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475"/>
      <w:bookmarkStart w:id="3" w:name="_Toc30292"/>
      <w:bookmarkStart w:id="4" w:name="_Toc15377425"/>
      <w:bookmarkStart w:id="5" w:name="_Toc15396597"/>
      <w:bookmarkStart w:id="6" w:name="_Toc15377193"/>
      <w:r>
        <w:rPr>
          <w:rFonts w:ascii="黑体" w:hAnsi="黑体" w:eastAsia="黑体"/>
          <w:color w:val="000000"/>
          <w:sz w:val="72"/>
          <w:szCs w:val="72"/>
        </w:rPr>
        <w:t>20</w:t>
      </w:r>
      <w:r>
        <w:rPr>
          <w:rFonts w:hint="eastAsia" w:ascii="黑体" w:hAnsi="黑体" w:eastAsia="黑体"/>
          <w:color w:val="000000"/>
          <w:sz w:val="72"/>
          <w:szCs w:val="72"/>
        </w:rPr>
        <w:t>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7426"/>
      <w:bookmarkStart w:id="8" w:name="_Toc15396476"/>
      <w:bookmarkStart w:id="9" w:name="_Toc15396598"/>
      <w:bookmarkStart w:id="10" w:name="_Toc15378442"/>
      <w:bookmarkStart w:id="11" w:name="_Toc15377194"/>
      <w:bookmarkStart w:id="12" w:name="_Toc7519"/>
      <w:r>
        <w:rPr>
          <w:rFonts w:hint="eastAsia" w:ascii="方正小标宋简体" w:hAnsi="宋体" w:eastAsia="方正小标宋简体"/>
          <w:color w:val="000000"/>
          <w:sz w:val="72"/>
          <w:szCs w:val="72"/>
        </w:rPr>
        <w:t>四川省阿坝州红原县</w:t>
      </w:r>
      <w:bookmarkEnd w:id="0"/>
      <w:bookmarkStart w:id="13" w:name="_Toc15306268"/>
      <w:r>
        <w:rPr>
          <w:rFonts w:hint="eastAsia" w:ascii="方正小标宋简体" w:hAnsi="宋体" w:eastAsia="方正小标宋简体"/>
          <w:color w:val="000000"/>
          <w:sz w:val="72"/>
          <w:szCs w:val="72"/>
        </w:rPr>
        <w:t>江茸乡人民政府部门决算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pStyle w:val="17"/>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sdt>
      <w:sdtPr>
        <w:rPr>
          <w:rFonts w:ascii="宋体" w:hAnsi="宋体"/>
        </w:rPr>
        <w:id w:val="147460265"/>
        <w:docPartObj>
          <w:docPartGallery w:val="Table of Contents"/>
          <w:docPartUnique/>
        </w:docPartObj>
      </w:sdtPr>
      <w:sdtEndPr>
        <w:rPr>
          <w:rFonts w:hint="eastAsia" w:ascii="Times New Roman" w:hAnsi="Times New Roman"/>
        </w:rPr>
      </w:sdtEndPr>
      <w:sdtContent>
        <w:p>
          <w:pPr>
            <w:jc w:val="center"/>
          </w:pPr>
          <w:r>
            <w:rPr>
              <w:rFonts w:ascii="宋体" w:hAnsi="宋体"/>
            </w:rPr>
            <w:t>目录</w:t>
          </w:r>
        </w:p>
        <w:p>
          <w:pPr>
            <w:pStyle w:val="14"/>
            <w:tabs>
              <w:tab w:val="right" w:leader="dot" w:pos="8306"/>
              <w:tab w:val="clear" w:pos="8296"/>
            </w:tabs>
          </w:pPr>
          <w:r>
            <w:rPr>
              <w:rFonts w:hint="eastAsia"/>
            </w:rPr>
            <w:fldChar w:fldCharType="begin"/>
          </w:r>
          <w:r>
            <w:rPr>
              <w:rFonts w:hint="eastAsia"/>
            </w:rPr>
            <w:instrText xml:space="preserve">TOC \o "1-3" \h \u </w:instrText>
          </w:r>
          <w:r>
            <w:rPr>
              <w:rFonts w:hint="eastAsia"/>
            </w:rPr>
            <w:fldChar w:fldCharType="separate"/>
          </w:r>
          <w:r>
            <w:fldChar w:fldCharType="begin"/>
          </w:r>
          <w:r>
            <w:instrText xml:space="preserve"> HYPERLINK \l "_Toc30292" </w:instrText>
          </w:r>
          <w:r>
            <w:fldChar w:fldCharType="separate"/>
          </w:r>
          <w:r>
            <w:rPr>
              <w:rFonts w:ascii="黑体" w:hAnsi="黑体" w:eastAsia="黑体"/>
              <w:szCs w:val="72"/>
            </w:rPr>
            <w:t>20</w:t>
          </w:r>
          <w:r>
            <w:rPr>
              <w:rFonts w:hint="eastAsia" w:ascii="黑体" w:hAnsi="黑体" w:eastAsia="黑体"/>
              <w:szCs w:val="72"/>
            </w:rPr>
            <w:t>20</w:t>
          </w:r>
          <w:r>
            <w:rPr>
              <w:rFonts w:hint="eastAsia" w:ascii="方正小标宋简体" w:hAnsi="宋体" w:eastAsia="方正小标宋简体"/>
              <w:szCs w:val="72"/>
            </w:rPr>
            <w:t>年度</w:t>
          </w:r>
          <w:r>
            <w:tab/>
          </w:r>
          <w:r>
            <w:fldChar w:fldCharType="begin"/>
          </w:r>
          <w:r>
            <w:instrText xml:space="preserve"> PAGEREF _Toc30292 \h </w:instrText>
          </w:r>
          <w:r>
            <w:fldChar w:fldCharType="separate"/>
          </w:r>
          <w:r>
            <w:t>1</w:t>
          </w:r>
          <w:r>
            <w:fldChar w:fldCharType="end"/>
          </w:r>
          <w:r>
            <w:fldChar w:fldCharType="end"/>
          </w:r>
        </w:p>
        <w:p>
          <w:pPr>
            <w:pStyle w:val="14"/>
            <w:tabs>
              <w:tab w:val="right" w:leader="dot" w:pos="8306"/>
              <w:tab w:val="clear" w:pos="8296"/>
            </w:tabs>
          </w:pPr>
          <w:r>
            <w:fldChar w:fldCharType="begin"/>
          </w:r>
          <w:r>
            <w:instrText xml:space="preserve"> HYPERLINK \l "_Toc7519" </w:instrText>
          </w:r>
          <w:r>
            <w:fldChar w:fldCharType="separate"/>
          </w:r>
          <w:r>
            <w:rPr>
              <w:rFonts w:hint="eastAsia" w:ascii="方正小标宋简体" w:hAnsi="宋体" w:eastAsia="方正小标宋简体"/>
              <w:szCs w:val="72"/>
            </w:rPr>
            <w:t>四川省阿坝州红原县江茸乡人民政府部门决算</w:t>
          </w:r>
          <w:r>
            <w:tab/>
          </w:r>
          <w:r>
            <w:fldChar w:fldCharType="begin"/>
          </w:r>
          <w:r>
            <w:instrText xml:space="preserve"> PAGEREF _Toc7519 \h </w:instrText>
          </w:r>
          <w:r>
            <w:fldChar w:fldCharType="separate"/>
          </w:r>
          <w:r>
            <w:t>1</w:t>
          </w:r>
          <w:r>
            <w:fldChar w:fldCharType="end"/>
          </w:r>
          <w:r>
            <w:fldChar w:fldCharType="end"/>
          </w:r>
        </w:p>
        <w:p>
          <w:pPr>
            <w:pStyle w:val="14"/>
            <w:tabs>
              <w:tab w:val="right" w:leader="dot" w:pos="8306"/>
              <w:tab w:val="clear" w:pos="8296"/>
            </w:tabs>
          </w:pPr>
          <w:r>
            <w:fldChar w:fldCharType="begin"/>
          </w:r>
          <w:r>
            <w:instrText xml:space="preserve"> HYPERLINK \l "_Toc18372" </w:instrText>
          </w:r>
          <w:r>
            <w:fldChar w:fldCharType="separate"/>
          </w:r>
          <w:r>
            <w:rPr>
              <w:rFonts w:hint="eastAsia" w:ascii="黑体" w:hAnsi="黑体" w:eastAsia="黑体"/>
            </w:rPr>
            <w:t>第一部分 部门概况</w:t>
          </w:r>
          <w:r>
            <w:tab/>
          </w:r>
          <w:r>
            <w:fldChar w:fldCharType="begin"/>
          </w:r>
          <w:r>
            <w:instrText xml:space="preserve"> PAGEREF _Toc18372 \h </w:instrText>
          </w:r>
          <w:r>
            <w:fldChar w:fldCharType="separate"/>
          </w:r>
          <w:r>
            <w:t>4</w:t>
          </w:r>
          <w:r>
            <w:fldChar w:fldCharType="end"/>
          </w:r>
          <w:r>
            <w:fldChar w:fldCharType="end"/>
          </w:r>
        </w:p>
        <w:p>
          <w:pPr>
            <w:pStyle w:val="10"/>
            <w:tabs>
              <w:tab w:val="right" w:leader="dot" w:pos="8306"/>
              <w:tab w:val="clear" w:pos="8296"/>
            </w:tabs>
          </w:pPr>
          <w:r>
            <w:fldChar w:fldCharType="begin"/>
          </w:r>
          <w:r>
            <w:instrText xml:space="preserve"> HYPERLINK \l "_Toc3188" </w:instrText>
          </w:r>
          <w:r>
            <w:fldChar w:fldCharType="separate"/>
          </w:r>
          <w:r>
            <w:rPr>
              <w:rFonts w:hint="eastAsia" w:ascii="仿宋" w:hAnsi="仿宋" w:eastAsia="仿宋"/>
              <w:bCs/>
              <w:szCs w:val="32"/>
            </w:rPr>
            <w:t>（二）</w:t>
          </w:r>
          <w:r>
            <w:rPr>
              <w:rFonts w:ascii="仿宋" w:hAnsi="仿宋" w:eastAsia="仿宋"/>
              <w:bCs/>
              <w:szCs w:val="32"/>
            </w:rPr>
            <w:t>20</w:t>
          </w:r>
          <w:r>
            <w:rPr>
              <w:rFonts w:hint="eastAsia" w:ascii="仿宋" w:hAnsi="仿宋" w:eastAsia="仿宋"/>
              <w:bCs/>
              <w:szCs w:val="32"/>
            </w:rPr>
            <w:t>20年重点工作完成情况。</w:t>
          </w:r>
          <w:r>
            <w:tab/>
          </w:r>
          <w:r>
            <w:fldChar w:fldCharType="begin"/>
          </w:r>
          <w:r>
            <w:instrText xml:space="preserve"> PAGEREF _Toc3188 \h </w:instrText>
          </w:r>
          <w:r>
            <w:fldChar w:fldCharType="separate"/>
          </w:r>
          <w:r>
            <w:t>4</w:t>
          </w:r>
          <w:r>
            <w:fldChar w:fldCharType="end"/>
          </w:r>
          <w:r>
            <w:fldChar w:fldCharType="end"/>
          </w:r>
        </w:p>
        <w:p>
          <w:pPr>
            <w:pStyle w:val="15"/>
            <w:tabs>
              <w:tab w:val="right" w:leader="dot" w:pos="8306"/>
              <w:tab w:val="clear" w:pos="8296"/>
            </w:tabs>
          </w:pPr>
          <w:r>
            <w:fldChar w:fldCharType="begin"/>
          </w:r>
          <w:r>
            <w:instrText xml:space="preserve"> HYPERLINK \l "_Toc19320" </w:instrText>
          </w:r>
          <w:r>
            <w:fldChar w:fldCharType="separate"/>
          </w:r>
          <w:r>
            <w:rPr>
              <w:rFonts w:hint="eastAsia" w:ascii="黑体" w:eastAsia="黑体"/>
            </w:rPr>
            <w:t>二、</w:t>
          </w:r>
          <w:r>
            <w:rPr>
              <w:rFonts w:hint="eastAsia" w:ascii="黑体" w:hAnsi="黑体" w:eastAsia="黑体"/>
            </w:rPr>
            <w:t>机构设置</w:t>
          </w:r>
          <w:r>
            <w:tab/>
          </w:r>
          <w:r>
            <w:fldChar w:fldCharType="begin"/>
          </w:r>
          <w:r>
            <w:instrText xml:space="preserve"> PAGEREF _Toc19320 \h </w:instrText>
          </w:r>
          <w:r>
            <w:fldChar w:fldCharType="separate"/>
          </w:r>
          <w:r>
            <w:t>9</w:t>
          </w:r>
          <w:r>
            <w:fldChar w:fldCharType="end"/>
          </w:r>
          <w:r>
            <w:fldChar w:fldCharType="end"/>
          </w:r>
        </w:p>
        <w:p>
          <w:pPr>
            <w:pStyle w:val="15"/>
            <w:tabs>
              <w:tab w:val="right" w:leader="dot" w:pos="8306"/>
              <w:tab w:val="clear" w:pos="8296"/>
            </w:tabs>
          </w:pPr>
          <w:r>
            <w:fldChar w:fldCharType="begin"/>
          </w:r>
          <w:r>
            <w:instrText xml:space="preserve"> HYPERLINK \l "_Toc7455"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_Toc7455 \h </w:instrText>
          </w:r>
          <w:r>
            <w:fldChar w:fldCharType="separate"/>
          </w:r>
          <w:r>
            <w:t>9</w:t>
          </w:r>
          <w:r>
            <w:fldChar w:fldCharType="end"/>
          </w:r>
          <w:r>
            <w:fldChar w:fldCharType="end"/>
          </w:r>
        </w:p>
        <w:p>
          <w:pPr>
            <w:pStyle w:val="15"/>
            <w:tabs>
              <w:tab w:val="right" w:leader="dot" w:pos="8306"/>
              <w:tab w:val="clear" w:pos="8296"/>
            </w:tabs>
          </w:pPr>
          <w:r>
            <w:fldChar w:fldCharType="begin"/>
          </w:r>
          <w:r>
            <w:instrText xml:space="preserve"> HYPERLINK \l "_Toc6724" </w:instrText>
          </w:r>
          <w:r>
            <w:fldChar w:fldCharType="separate"/>
          </w:r>
          <w:r>
            <w:rPr>
              <w:rFonts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_Toc6724 \h </w:instrText>
          </w:r>
          <w:r>
            <w:fldChar w:fldCharType="separate"/>
          </w:r>
          <w:r>
            <w:t>10</w:t>
          </w:r>
          <w:r>
            <w:fldChar w:fldCharType="end"/>
          </w:r>
          <w:r>
            <w:fldChar w:fldCharType="end"/>
          </w:r>
        </w:p>
        <w:p>
          <w:pPr>
            <w:pStyle w:val="15"/>
            <w:tabs>
              <w:tab w:val="right" w:leader="dot" w:pos="8306"/>
              <w:tab w:val="clear" w:pos="8296"/>
            </w:tabs>
          </w:pPr>
          <w:r>
            <w:fldChar w:fldCharType="begin"/>
          </w:r>
          <w:r>
            <w:instrText xml:space="preserve"> HYPERLINK \l "_Toc12789" </w:instrText>
          </w:r>
          <w:r>
            <w:fldChar w:fldCharType="separate"/>
          </w:r>
          <w:r>
            <w:rPr>
              <w:rFonts w:ascii="仿宋" w:hAnsi="仿宋" w:eastAsia="仿宋"/>
              <w:szCs w:val="32"/>
            </w:rPr>
            <w:t>20</w:t>
          </w:r>
          <w:r>
            <w:rPr>
              <w:rFonts w:hint="eastAsia" w:ascii="仿宋" w:hAnsi="仿宋" w:eastAsia="仿宋"/>
              <w:szCs w:val="32"/>
            </w:rPr>
            <w:t>20年本年收入合计695.56万元，其中：一般公共预算财政拨款收入695.56万元，占100</w:t>
          </w:r>
          <w:r>
            <w:rPr>
              <w:rFonts w:ascii="仿宋" w:hAnsi="仿宋" w:eastAsia="仿宋"/>
              <w:szCs w:val="32"/>
            </w:rPr>
            <w:t>%</w:t>
          </w:r>
          <w:r>
            <w:rPr>
              <w:rFonts w:hint="eastAsia" w:ascii="仿宋" w:hAnsi="仿宋" w:eastAsia="仿宋"/>
              <w:szCs w:val="32"/>
            </w:rPr>
            <w:t>；政府性基金预算财政拨款收入0万元，占0</w:t>
          </w:r>
          <w:r>
            <w:rPr>
              <w:rFonts w:ascii="仿宋" w:hAnsi="仿宋" w:eastAsia="仿宋"/>
              <w:szCs w:val="32"/>
            </w:rPr>
            <w:t>%</w:t>
          </w:r>
          <w:r>
            <w:rPr>
              <w:rFonts w:hint="eastAsia" w:ascii="仿宋" w:hAnsi="仿宋" w:eastAsia="仿宋"/>
              <w:szCs w:val="32"/>
            </w:rPr>
            <w:t>；上级补助收入0万元，占0</w:t>
          </w:r>
          <w:r>
            <w:rPr>
              <w:rFonts w:ascii="仿宋" w:hAnsi="仿宋" w:eastAsia="仿宋"/>
              <w:szCs w:val="32"/>
            </w:rPr>
            <w:t>%</w:t>
          </w:r>
          <w:r>
            <w:rPr>
              <w:rFonts w:hint="eastAsia" w:ascii="仿宋" w:hAnsi="仿宋" w:eastAsia="仿宋"/>
              <w:szCs w:val="32"/>
            </w:rPr>
            <w:t>；事业收入0万元，占0</w:t>
          </w:r>
          <w:r>
            <w:rPr>
              <w:rFonts w:ascii="仿宋" w:hAnsi="仿宋" w:eastAsia="仿宋"/>
              <w:szCs w:val="32"/>
            </w:rPr>
            <w:t>%</w:t>
          </w:r>
          <w:r>
            <w:rPr>
              <w:rFonts w:hint="eastAsia" w:ascii="仿宋" w:hAnsi="仿宋" w:eastAsia="仿宋"/>
              <w:szCs w:val="32"/>
            </w:rPr>
            <w:t>；经营收入0万元，占0</w:t>
          </w:r>
          <w:r>
            <w:rPr>
              <w:rFonts w:ascii="仿宋" w:hAnsi="仿宋" w:eastAsia="仿宋"/>
              <w:szCs w:val="32"/>
            </w:rPr>
            <w:t>%</w:t>
          </w:r>
          <w:r>
            <w:rPr>
              <w:rFonts w:hint="eastAsia" w:ascii="仿宋" w:hAnsi="仿宋" w:eastAsia="仿宋"/>
              <w:szCs w:val="32"/>
            </w:rPr>
            <w:t>；附属单位上缴收入0万元，占0</w:t>
          </w:r>
          <w:r>
            <w:rPr>
              <w:rFonts w:ascii="仿宋" w:hAnsi="仿宋" w:eastAsia="仿宋"/>
              <w:szCs w:val="32"/>
            </w:rPr>
            <w:t>%</w:t>
          </w:r>
          <w:r>
            <w:rPr>
              <w:rFonts w:hint="eastAsia" w:ascii="仿宋" w:hAnsi="仿宋" w:eastAsia="仿宋"/>
              <w:szCs w:val="32"/>
            </w:rPr>
            <w:t>；其他收入0万元，占0</w:t>
          </w:r>
          <w:r>
            <w:rPr>
              <w:rFonts w:ascii="仿宋" w:hAnsi="仿宋" w:eastAsia="仿宋"/>
              <w:szCs w:val="32"/>
            </w:rPr>
            <w:t>%</w:t>
          </w:r>
          <w:r>
            <w:rPr>
              <w:rFonts w:hint="eastAsia" w:ascii="仿宋" w:hAnsi="仿宋" w:eastAsia="仿宋"/>
              <w:szCs w:val="32"/>
            </w:rPr>
            <w:t>。</w:t>
          </w:r>
          <w:r>
            <w:tab/>
          </w:r>
          <w:r>
            <w:fldChar w:fldCharType="begin"/>
          </w:r>
          <w:r>
            <w:instrText xml:space="preserve"> PAGEREF _Toc12789 \h </w:instrText>
          </w:r>
          <w:r>
            <w:fldChar w:fldCharType="separate"/>
          </w:r>
          <w:r>
            <w:t>10</w:t>
          </w:r>
          <w:r>
            <w:fldChar w:fldCharType="end"/>
          </w:r>
          <w:r>
            <w:fldChar w:fldCharType="end"/>
          </w:r>
        </w:p>
        <w:p>
          <w:pPr>
            <w:pStyle w:val="15"/>
            <w:tabs>
              <w:tab w:val="right" w:leader="dot" w:pos="8306"/>
              <w:tab w:val="clear" w:pos="8296"/>
            </w:tabs>
          </w:pPr>
          <w:r>
            <w:fldChar w:fldCharType="begin"/>
          </w:r>
          <w:r>
            <w:instrText xml:space="preserve"> HYPERLINK \l "_Toc19762"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_Toc19762 \h </w:instrText>
          </w:r>
          <w:r>
            <w:fldChar w:fldCharType="separate"/>
          </w:r>
          <w:r>
            <w:t>11</w:t>
          </w:r>
          <w:r>
            <w:fldChar w:fldCharType="end"/>
          </w:r>
          <w:r>
            <w:fldChar w:fldCharType="end"/>
          </w:r>
        </w:p>
        <w:p>
          <w:pPr>
            <w:pStyle w:val="15"/>
            <w:tabs>
              <w:tab w:val="right" w:leader="dot" w:pos="8306"/>
              <w:tab w:val="clear" w:pos="8296"/>
            </w:tabs>
          </w:pPr>
          <w:r>
            <w:fldChar w:fldCharType="begin"/>
          </w:r>
          <w:r>
            <w:instrText xml:space="preserve"> HYPERLINK \l "_Toc25982" </w:instrText>
          </w:r>
          <w:r>
            <w:fldChar w:fldCharType="separate"/>
          </w:r>
          <w:r>
            <w:rPr>
              <w:rFonts w:ascii="仿宋" w:hAnsi="仿宋" w:eastAsia="仿宋"/>
              <w:szCs w:val="32"/>
            </w:rPr>
            <w:t>20</w:t>
          </w:r>
          <w:r>
            <w:rPr>
              <w:rFonts w:hint="eastAsia" w:ascii="仿宋" w:hAnsi="仿宋" w:eastAsia="仿宋"/>
              <w:szCs w:val="32"/>
            </w:rPr>
            <w:t>20年本年支出合计678.70万元，其中：基本支出510.83万元，占75</w:t>
          </w:r>
          <w:r>
            <w:rPr>
              <w:rFonts w:ascii="仿宋" w:hAnsi="仿宋" w:eastAsia="仿宋"/>
              <w:szCs w:val="32"/>
            </w:rPr>
            <w:t>%</w:t>
          </w:r>
          <w:r>
            <w:rPr>
              <w:rFonts w:hint="eastAsia" w:ascii="仿宋" w:hAnsi="仿宋" w:eastAsia="仿宋"/>
              <w:szCs w:val="32"/>
            </w:rPr>
            <w:t>；项目支出167.87万元，占25</w:t>
          </w:r>
          <w:r>
            <w:rPr>
              <w:rFonts w:ascii="仿宋" w:hAnsi="仿宋" w:eastAsia="仿宋"/>
              <w:szCs w:val="32"/>
            </w:rPr>
            <w:t>%</w:t>
          </w:r>
          <w:r>
            <w:rPr>
              <w:rFonts w:hint="eastAsia" w:ascii="仿宋" w:hAnsi="仿宋" w:eastAsia="仿宋"/>
              <w:szCs w:val="32"/>
            </w:rPr>
            <w:t>；经营支出0万元，占0</w:t>
          </w:r>
          <w:r>
            <w:rPr>
              <w:rFonts w:ascii="仿宋" w:hAnsi="仿宋" w:eastAsia="仿宋"/>
              <w:szCs w:val="32"/>
            </w:rPr>
            <w:t>%</w:t>
          </w:r>
          <w:r>
            <w:rPr>
              <w:rFonts w:hint="eastAsia" w:ascii="仿宋" w:hAnsi="仿宋" w:eastAsia="仿宋"/>
              <w:szCs w:val="32"/>
            </w:rPr>
            <w:t>；对附属单位补助支出0万元，占0</w:t>
          </w:r>
          <w:r>
            <w:rPr>
              <w:rFonts w:ascii="仿宋" w:hAnsi="仿宋" w:eastAsia="仿宋"/>
              <w:szCs w:val="32"/>
            </w:rPr>
            <w:t>%</w:t>
          </w:r>
          <w:r>
            <w:rPr>
              <w:rFonts w:hint="eastAsia" w:ascii="仿宋" w:hAnsi="仿宋" w:eastAsia="仿宋"/>
              <w:szCs w:val="32"/>
            </w:rPr>
            <w:t>。</w:t>
          </w:r>
          <w:r>
            <w:tab/>
          </w:r>
          <w:r>
            <w:fldChar w:fldCharType="begin"/>
          </w:r>
          <w:r>
            <w:instrText xml:space="preserve"> PAGEREF _Toc25982 \h </w:instrText>
          </w:r>
          <w:r>
            <w:fldChar w:fldCharType="separate"/>
          </w:r>
          <w:r>
            <w:t>11</w:t>
          </w:r>
          <w:r>
            <w:fldChar w:fldCharType="end"/>
          </w:r>
          <w:r>
            <w:fldChar w:fldCharType="end"/>
          </w:r>
        </w:p>
        <w:p>
          <w:pPr>
            <w:pStyle w:val="15"/>
            <w:tabs>
              <w:tab w:val="right" w:leader="dot" w:pos="8306"/>
              <w:tab w:val="clear" w:pos="8296"/>
            </w:tabs>
          </w:pPr>
          <w:r>
            <w:fldChar w:fldCharType="begin"/>
          </w:r>
          <w:r>
            <w:instrText xml:space="preserve"> HYPERLINK \l "_Toc27590" </w:instrText>
          </w:r>
          <w:r>
            <w:fldChar w:fldCharType="separate"/>
          </w:r>
          <w:r>
            <w:rPr>
              <w:rFonts w:ascii="黑体" w:hAnsi="黑体" w:eastAsia="黑体"/>
            </w:rPr>
            <w:t xml:space="preserve">四、 </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_Toc27590 \h </w:instrText>
          </w:r>
          <w:r>
            <w:fldChar w:fldCharType="separate"/>
          </w:r>
          <w:r>
            <w:t>12</w:t>
          </w:r>
          <w:r>
            <w:fldChar w:fldCharType="end"/>
          </w:r>
          <w:r>
            <w:fldChar w:fldCharType="end"/>
          </w:r>
        </w:p>
        <w:p>
          <w:pPr>
            <w:pStyle w:val="15"/>
            <w:tabs>
              <w:tab w:val="right" w:leader="dot" w:pos="8306"/>
              <w:tab w:val="clear" w:pos="8296"/>
            </w:tabs>
          </w:pPr>
          <w:r>
            <w:fldChar w:fldCharType="begin"/>
          </w:r>
          <w:r>
            <w:instrText xml:space="preserve"> HYPERLINK \l "_Toc987"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_Toc987 \h </w:instrText>
          </w:r>
          <w:r>
            <w:fldChar w:fldCharType="separate"/>
          </w:r>
          <w:r>
            <w:t>12</w:t>
          </w:r>
          <w:r>
            <w:fldChar w:fldCharType="end"/>
          </w:r>
          <w:r>
            <w:fldChar w:fldCharType="end"/>
          </w:r>
        </w:p>
        <w:p>
          <w:pPr>
            <w:pStyle w:val="10"/>
            <w:tabs>
              <w:tab w:val="right" w:leader="dot" w:pos="8306"/>
              <w:tab w:val="clear" w:pos="8296"/>
            </w:tabs>
          </w:pPr>
          <w:r>
            <w:fldChar w:fldCharType="begin"/>
          </w:r>
          <w:r>
            <w:instrText xml:space="preserve"> HYPERLINK \l "_Toc12673"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_Toc12673 \h </w:instrText>
          </w:r>
          <w:r>
            <w:fldChar w:fldCharType="separate"/>
          </w:r>
          <w:r>
            <w:t>12</w:t>
          </w:r>
          <w:r>
            <w:fldChar w:fldCharType="end"/>
          </w:r>
          <w:r>
            <w:fldChar w:fldCharType="end"/>
          </w:r>
        </w:p>
        <w:p>
          <w:pPr>
            <w:pStyle w:val="10"/>
            <w:tabs>
              <w:tab w:val="right" w:leader="dot" w:pos="8306"/>
              <w:tab w:val="clear" w:pos="8296"/>
            </w:tabs>
          </w:pPr>
          <w:r>
            <w:fldChar w:fldCharType="begin"/>
          </w:r>
          <w:r>
            <w:instrText xml:space="preserve"> HYPERLINK \l "_Toc8909"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_Toc8909 \h </w:instrText>
          </w:r>
          <w:r>
            <w:fldChar w:fldCharType="separate"/>
          </w:r>
          <w:r>
            <w:t>13</w:t>
          </w:r>
          <w:r>
            <w:fldChar w:fldCharType="end"/>
          </w:r>
          <w:r>
            <w:fldChar w:fldCharType="end"/>
          </w:r>
        </w:p>
        <w:p>
          <w:pPr>
            <w:pStyle w:val="10"/>
            <w:tabs>
              <w:tab w:val="right" w:leader="dot" w:pos="8306"/>
              <w:tab w:val="clear" w:pos="8296"/>
            </w:tabs>
          </w:pPr>
          <w:r>
            <w:fldChar w:fldCharType="begin"/>
          </w:r>
          <w:r>
            <w:instrText xml:space="preserve"> HYPERLINK \l "_Toc3170"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_Toc3170 \h </w:instrText>
          </w:r>
          <w:r>
            <w:fldChar w:fldCharType="separate"/>
          </w:r>
          <w:r>
            <w:t>14</w:t>
          </w:r>
          <w:r>
            <w:fldChar w:fldCharType="end"/>
          </w:r>
          <w:r>
            <w:fldChar w:fldCharType="end"/>
          </w:r>
        </w:p>
        <w:p>
          <w:pPr>
            <w:pStyle w:val="10"/>
            <w:tabs>
              <w:tab w:val="right" w:leader="dot" w:pos="8306"/>
              <w:tab w:val="clear" w:pos="8296"/>
            </w:tabs>
          </w:pPr>
          <w:r>
            <w:fldChar w:fldCharType="begin"/>
          </w:r>
          <w:r>
            <w:instrText xml:space="preserve"> HYPERLINK \l "_Toc21160" </w:instrText>
          </w:r>
          <w:r>
            <w:fldChar w:fldCharType="separate"/>
          </w:r>
          <w:r>
            <w:rPr>
              <w:rFonts w:hint="eastAsia" w:ascii="仿宋" w:hAnsi="仿宋" w:eastAsia="仿宋" w:cs="仿宋"/>
              <w:szCs w:val="32"/>
            </w:rPr>
            <w:t>2020年一般公共预算支出决算数为678.70万元，</w:t>
          </w:r>
          <w:r>
            <w:rPr>
              <w:rFonts w:hint="eastAsia" w:ascii="仿宋" w:hAnsi="仿宋" w:eastAsia="仿宋" w:cs="仿宋"/>
              <w:bCs/>
              <w:szCs w:val="32"/>
            </w:rPr>
            <w:t>完成预算100%。其中：</w:t>
          </w:r>
          <w:r>
            <w:tab/>
          </w:r>
          <w:r>
            <w:fldChar w:fldCharType="begin"/>
          </w:r>
          <w:r>
            <w:instrText xml:space="preserve"> PAGEREF _Toc21160 \h </w:instrText>
          </w:r>
          <w:r>
            <w:fldChar w:fldCharType="separate"/>
          </w:r>
          <w:r>
            <w:t>14</w:t>
          </w:r>
          <w:r>
            <w:fldChar w:fldCharType="end"/>
          </w:r>
          <w:r>
            <w:fldChar w:fldCharType="end"/>
          </w:r>
        </w:p>
        <w:p>
          <w:pPr>
            <w:pStyle w:val="15"/>
            <w:tabs>
              <w:tab w:val="right" w:leader="dot" w:pos="8306"/>
              <w:tab w:val="clear" w:pos="8296"/>
            </w:tabs>
          </w:pPr>
          <w:r>
            <w:fldChar w:fldCharType="begin"/>
          </w:r>
          <w:r>
            <w:instrText xml:space="preserve"> HYPERLINK \l "_Toc1135"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_Toc1135 \h </w:instrText>
          </w:r>
          <w:r>
            <w:fldChar w:fldCharType="separate"/>
          </w:r>
          <w:r>
            <w:t>17</w:t>
          </w:r>
          <w:r>
            <w:fldChar w:fldCharType="end"/>
          </w:r>
          <w:r>
            <w:fldChar w:fldCharType="end"/>
          </w:r>
        </w:p>
        <w:p>
          <w:pPr>
            <w:pStyle w:val="15"/>
            <w:tabs>
              <w:tab w:val="right" w:leader="dot" w:pos="8306"/>
              <w:tab w:val="clear" w:pos="8296"/>
            </w:tabs>
          </w:pPr>
          <w:r>
            <w:fldChar w:fldCharType="begin"/>
          </w:r>
          <w:r>
            <w:instrText xml:space="preserve"> HYPERLINK \l "_Toc30783"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_Toc30783 \h </w:instrText>
          </w:r>
          <w:r>
            <w:fldChar w:fldCharType="separate"/>
          </w:r>
          <w:r>
            <w:t>17</w:t>
          </w:r>
          <w:r>
            <w:fldChar w:fldCharType="end"/>
          </w:r>
          <w:r>
            <w:fldChar w:fldCharType="end"/>
          </w:r>
        </w:p>
        <w:p>
          <w:pPr>
            <w:pStyle w:val="10"/>
            <w:tabs>
              <w:tab w:val="right" w:leader="dot" w:pos="8306"/>
              <w:tab w:val="clear" w:pos="8296"/>
            </w:tabs>
          </w:pPr>
          <w:r>
            <w:fldChar w:fldCharType="begin"/>
          </w:r>
          <w:r>
            <w:instrText xml:space="preserve"> HYPERLINK \l "_Toc31889"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_Toc31889 \h </w:instrText>
          </w:r>
          <w:r>
            <w:fldChar w:fldCharType="separate"/>
          </w:r>
          <w:r>
            <w:t>17</w:t>
          </w:r>
          <w:r>
            <w:fldChar w:fldCharType="end"/>
          </w:r>
          <w:r>
            <w:fldChar w:fldCharType="end"/>
          </w:r>
        </w:p>
        <w:p>
          <w:pPr>
            <w:pStyle w:val="10"/>
            <w:tabs>
              <w:tab w:val="right" w:leader="dot" w:pos="8306"/>
              <w:tab w:val="clear" w:pos="8296"/>
            </w:tabs>
          </w:pPr>
          <w:r>
            <w:fldChar w:fldCharType="begin"/>
          </w:r>
          <w:r>
            <w:instrText xml:space="preserve"> HYPERLINK \l "_Toc7882"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_Toc7882 \h </w:instrText>
          </w:r>
          <w:r>
            <w:fldChar w:fldCharType="separate"/>
          </w:r>
          <w:r>
            <w:t>17</w:t>
          </w:r>
          <w:r>
            <w:fldChar w:fldCharType="end"/>
          </w:r>
          <w:r>
            <w:fldChar w:fldCharType="end"/>
          </w:r>
        </w:p>
        <w:p>
          <w:pPr>
            <w:pStyle w:val="15"/>
            <w:tabs>
              <w:tab w:val="right" w:leader="dot" w:pos="8306"/>
              <w:tab w:val="clear" w:pos="8296"/>
            </w:tabs>
          </w:pPr>
          <w:r>
            <w:fldChar w:fldCharType="begin"/>
          </w:r>
          <w:r>
            <w:instrText xml:space="preserve"> HYPERLINK \l "_Toc32581"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_Toc32581 \h </w:instrText>
          </w:r>
          <w:r>
            <w:fldChar w:fldCharType="separate"/>
          </w:r>
          <w:r>
            <w:t>19</w:t>
          </w:r>
          <w:r>
            <w:fldChar w:fldCharType="end"/>
          </w:r>
          <w:r>
            <w:fldChar w:fldCharType="end"/>
          </w:r>
        </w:p>
        <w:p>
          <w:pPr>
            <w:pStyle w:val="15"/>
            <w:tabs>
              <w:tab w:val="right" w:leader="dot" w:pos="8306"/>
              <w:tab w:val="clear" w:pos="8296"/>
            </w:tabs>
          </w:pPr>
          <w:r>
            <w:fldChar w:fldCharType="begin"/>
          </w:r>
          <w:r>
            <w:instrText xml:space="preserve"> HYPERLINK \l "_Toc19023" </w:instrText>
          </w:r>
          <w:r>
            <w:fldChar w:fldCharType="separate"/>
          </w:r>
          <w:r>
            <w:rPr>
              <w:rFonts w:hint="eastAsia" w:ascii="黑体" w:hAnsi="黑体" w:eastAsia="黑体"/>
            </w:rPr>
            <w:t>九、 国有资本经营预算支出决算情况说明</w:t>
          </w:r>
          <w:r>
            <w:tab/>
          </w:r>
          <w:r>
            <w:fldChar w:fldCharType="begin"/>
          </w:r>
          <w:r>
            <w:instrText xml:space="preserve"> PAGEREF _Toc19023 \h </w:instrText>
          </w:r>
          <w:r>
            <w:fldChar w:fldCharType="separate"/>
          </w:r>
          <w:r>
            <w:t>19</w:t>
          </w:r>
          <w:r>
            <w:fldChar w:fldCharType="end"/>
          </w:r>
          <w:r>
            <w:fldChar w:fldCharType="end"/>
          </w:r>
        </w:p>
        <w:p>
          <w:pPr>
            <w:pStyle w:val="15"/>
            <w:tabs>
              <w:tab w:val="right" w:leader="dot" w:pos="8306"/>
              <w:tab w:val="clear" w:pos="8296"/>
            </w:tabs>
          </w:pPr>
          <w:r>
            <w:fldChar w:fldCharType="begin"/>
          </w:r>
          <w:r>
            <w:instrText xml:space="preserve"> HYPERLINK \l "_Toc7671"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_Toc7671 \h </w:instrText>
          </w:r>
          <w:r>
            <w:fldChar w:fldCharType="separate"/>
          </w:r>
          <w:r>
            <w:t>19</w:t>
          </w:r>
          <w:r>
            <w:fldChar w:fldCharType="end"/>
          </w:r>
          <w:r>
            <w:fldChar w:fldCharType="end"/>
          </w:r>
        </w:p>
        <w:p>
          <w:pPr>
            <w:pStyle w:val="10"/>
            <w:tabs>
              <w:tab w:val="right" w:leader="dot" w:pos="8306"/>
              <w:tab w:val="clear" w:pos="8296"/>
            </w:tabs>
          </w:pPr>
          <w:r>
            <w:fldChar w:fldCharType="begin"/>
          </w:r>
          <w:r>
            <w:instrText xml:space="preserve"> HYPERLINK \l "_Toc22046" </w:instrText>
          </w:r>
          <w:r>
            <w:fldChar w:fldCharType="separate"/>
          </w:r>
          <w:r>
            <w:rPr>
              <w:rFonts w:hint="eastAsia" w:ascii="仿宋" w:hAnsi="仿宋" w:eastAsia="仿宋"/>
              <w:szCs w:val="32"/>
            </w:rPr>
            <w:t>（一）机关运行经费支出情况</w:t>
          </w:r>
          <w:r>
            <w:tab/>
          </w:r>
          <w:r>
            <w:fldChar w:fldCharType="begin"/>
          </w:r>
          <w:r>
            <w:instrText xml:space="preserve"> PAGEREF _Toc22046 \h </w:instrText>
          </w:r>
          <w:r>
            <w:fldChar w:fldCharType="separate"/>
          </w:r>
          <w:r>
            <w:t>19</w:t>
          </w:r>
          <w:r>
            <w:fldChar w:fldCharType="end"/>
          </w:r>
          <w:r>
            <w:fldChar w:fldCharType="end"/>
          </w:r>
        </w:p>
        <w:p>
          <w:pPr>
            <w:pStyle w:val="10"/>
            <w:tabs>
              <w:tab w:val="right" w:leader="dot" w:pos="8306"/>
              <w:tab w:val="clear" w:pos="8296"/>
            </w:tabs>
          </w:pPr>
          <w:r>
            <w:fldChar w:fldCharType="begin"/>
          </w:r>
          <w:r>
            <w:instrText xml:space="preserve"> HYPERLINK \l "_Toc24571" </w:instrText>
          </w:r>
          <w:r>
            <w:fldChar w:fldCharType="separate"/>
          </w:r>
          <w:r>
            <w:rPr>
              <w:rFonts w:hint="eastAsia" w:ascii="仿宋" w:hAnsi="仿宋" w:eastAsia="仿宋"/>
              <w:szCs w:val="32"/>
            </w:rPr>
            <w:t>（二）政府采购支出情况</w:t>
          </w:r>
          <w:r>
            <w:tab/>
          </w:r>
          <w:r>
            <w:fldChar w:fldCharType="begin"/>
          </w:r>
          <w:r>
            <w:instrText xml:space="preserve"> PAGEREF _Toc24571 \h </w:instrText>
          </w:r>
          <w:r>
            <w:fldChar w:fldCharType="separate"/>
          </w:r>
          <w:r>
            <w:t>19</w:t>
          </w:r>
          <w:r>
            <w:fldChar w:fldCharType="end"/>
          </w:r>
          <w:r>
            <w:fldChar w:fldCharType="end"/>
          </w:r>
        </w:p>
        <w:p>
          <w:pPr>
            <w:pStyle w:val="10"/>
            <w:tabs>
              <w:tab w:val="right" w:leader="dot" w:pos="8306"/>
              <w:tab w:val="clear" w:pos="8296"/>
            </w:tabs>
          </w:pPr>
          <w:r>
            <w:fldChar w:fldCharType="begin"/>
          </w:r>
          <w:r>
            <w:instrText xml:space="preserve"> HYPERLINK \l "_Toc2140" </w:instrText>
          </w:r>
          <w:r>
            <w:fldChar w:fldCharType="separate"/>
          </w:r>
          <w:r>
            <w:rPr>
              <w:rFonts w:hint="eastAsia" w:ascii="仿宋" w:hAnsi="仿宋" w:eastAsia="仿宋"/>
              <w:szCs w:val="32"/>
            </w:rPr>
            <w:t>（三）国有资产占有使用情况</w:t>
          </w:r>
          <w:r>
            <w:tab/>
          </w:r>
          <w:r>
            <w:fldChar w:fldCharType="begin"/>
          </w:r>
          <w:r>
            <w:instrText xml:space="preserve"> PAGEREF _Toc2140 \h </w:instrText>
          </w:r>
          <w:r>
            <w:fldChar w:fldCharType="separate"/>
          </w:r>
          <w:r>
            <w:t>19</w:t>
          </w:r>
          <w:r>
            <w:fldChar w:fldCharType="end"/>
          </w:r>
          <w:r>
            <w:fldChar w:fldCharType="end"/>
          </w:r>
        </w:p>
        <w:p>
          <w:pPr>
            <w:pStyle w:val="10"/>
            <w:tabs>
              <w:tab w:val="right" w:leader="dot" w:pos="8306"/>
              <w:tab w:val="clear" w:pos="8296"/>
            </w:tabs>
          </w:pPr>
          <w:r>
            <w:fldChar w:fldCharType="begin"/>
          </w:r>
          <w:r>
            <w:instrText xml:space="preserve"> HYPERLINK \l "_Toc26239" </w:instrText>
          </w:r>
          <w:r>
            <w:fldChar w:fldCharType="separate"/>
          </w:r>
          <w:r>
            <w:rPr>
              <w:rFonts w:hint="eastAsia" w:ascii="仿宋" w:hAnsi="仿宋" w:eastAsia="仿宋"/>
              <w:szCs w:val="32"/>
            </w:rPr>
            <w:t>（四）预算绩效管理情况。</w:t>
          </w:r>
          <w:r>
            <w:tab/>
          </w:r>
          <w:r>
            <w:fldChar w:fldCharType="begin"/>
          </w:r>
          <w:r>
            <w:instrText xml:space="preserve"> PAGEREF _Toc26239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"_Toc2738"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_Toc2738 \h </w:instrText>
          </w:r>
          <w:r>
            <w:fldChar w:fldCharType="separate"/>
          </w:r>
          <w:r>
            <w:t>37</w:t>
          </w:r>
          <w:r>
            <w:fldChar w:fldCharType="end"/>
          </w:r>
          <w:r>
            <w:fldChar w:fldCharType="end"/>
          </w:r>
        </w:p>
        <w:p>
          <w:pPr>
            <w:pStyle w:val="14"/>
            <w:tabs>
              <w:tab w:val="right" w:leader="dot" w:pos="8306"/>
              <w:tab w:val="clear" w:pos="8296"/>
            </w:tabs>
          </w:pPr>
          <w:r>
            <w:fldChar w:fldCharType="begin"/>
          </w:r>
          <w:r>
            <w:instrText xml:space="preserve"> HYPERLINK \l "_Toc21746"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_Toc21746 \h </w:instrText>
          </w:r>
          <w:r>
            <w:fldChar w:fldCharType="separate"/>
          </w:r>
          <w:r>
            <w:t>42</w:t>
          </w:r>
          <w:r>
            <w:fldChar w:fldCharType="end"/>
          </w:r>
          <w:r>
            <w:fldChar w:fldCharType="end"/>
          </w:r>
        </w:p>
        <w:p>
          <w:pPr>
            <w:pStyle w:val="14"/>
            <w:tabs>
              <w:tab w:val="right" w:leader="dot" w:pos="8306"/>
              <w:tab w:val="clear" w:pos="8296"/>
            </w:tabs>
          </w:pPr>
          <w:r>
            <w:fldChar w:fldCharType="begin"/>
          </w:r>
          <w:r>
            <w:instrText xml:space="preserve"> HYPERLINK \l "_Toc14742" </w:instrText>
          </w:r>
          <w:r>
            <w:fldChar w:fldCharType="separate"/>
          </w:r>
          <w:r>
            <w:rPr>
              <w:rFonts w:hint="eastAsia" w:ascii="黑体" w:hAnsi="黑体" w:eastAsia="黑体" w:cs="黑体"/>
              <w:szCs w:val="32"/>
            </w:rPr>
            <w:t>附件1</w:t>
          </w:r>
          <w:r>
            <w:tab/>
          </w:r>
          <w:r>
            <w:fldChar w:fldCharType="begin"/>
          </w:r>
          <w:r>
            <w:instrText xml:space="preserve"> PAGEREF _Toc14742 \h </w:instrText>
          </w:r>
          <w:r>
            <w:fldChar w:fldCharType="separate"/>
          </w:r>
          <w:r>
            <w:t>42</w:t>
          </w:r>
          <w:r>
            <w:fldChar w:fldCharType="end"/>
          </w:r>
          <w:r>
            <w:fldChar w:fldCharType="end"/>
          </w:r>
        </w:p>
        <w:p>
          <w:pPr>
            <w:pStyle w:val="15"/>
            <w:tabs>
              <w:tab w:val="right" w:leader="dot" w:pos="8306"/>
              <w:tab w:val="clear" w:pos="8296"/>
            </w:tabs>
          </w:pPr>
          <w:r>
            <w:fldChar w:fldCharType="begin"/>
          </w:r>
          <w:r>
            <w:instrText xml:space="preserve"> HYPERLINK \l "_Toc18861" </w:instrText>
          </w:r>
          <w:r>
            <w:fldChar w:fldCharType="separate"/>
          </w:r>
          <w:r>
            <w:rPr>
              <w:rFonts w:hint="eastAsia" w:ascii="仿宋_GB2312" w:hAnsi="仿宋_GB2312" w:eastAsia="仿宋_GB2312" w:cs="仿宋_GB2312"/>
              <w:bCs/>
              <w:szCs w:val="32"/>
              <w:lang w:val="zh-CN"/>
            </w:rPr>
            <w:t>一是预算编制先见性不足，与实际支出存在偏差；二是</w:t>
          </w:r>
          <w:r>
            <w:rPr>
              <w:rFonts w:hint="eastAsia" w:ascii="仿宋_GB2312" w:hAnsi="仿宋_GB2312" w:eastAsia="仿宋_GB2312" w:cs="仿宋_GB2312"/>
              <w:bCs/>
              <w:szCs w:val="32"/>
            </w:rPr>
            <w:t>内控制度建立的不够健全、完善、责任划分不够明确</w:t>
          </w:r>
          <w:r>
            <w:rPr>
              <w:rFonts w:hint="eastAsia" w:ascii="仿宋_GB2312" w:hAnsi="仿宋_GB2312" w:eastAsia="仿宋_GB2312" w:cs="仿宋_GB2312"/>
              <w:bCs/>
              <w:szCs w:val="32"/>
              <w:lang w:val="zh-CN"/>
            </w:rPr>
            <w:t>；三是绩效目标设立不够明确、细化和量化。虽然设立了项目资金绩效目标，但目标不够明确、细化和量化。</w:t>
          </w:r>
          <w:r>
            <w:tab/>
          </w:r>
          <w:r>
            <w:fldChar w:fldCharType="begin"/>
          </w:r>
          <w:r>
            <w:instrText xml:space="preserve"> PAGEREF _Toc18861 \h </w:instrText>
          </w:r>
          <w:r>
            <w:fldChar w:fldCharType="separate"/>
          </w:r>
          <w:r>
            <w:t>46</w:t>
          </w:r>
          <w:r>
            <w:fldChar w:fldCharType="end"/>
          </w:r>
          <w:r>
            <w:fldChar w:fldCharType="end"/>
          </w:r>
        </w:p>
        <w:p>
          <w:pPr>
            <w:pStyle w:val="14"/>
            <w:tabs>
              <w:tab w:val="right" w:leader="dot" w:pos="8306"/>
              <w:tab w:val="clear" w:pos="8296"/>
            </w:tabs>
          </w:pPr>
          <w:r>
            <w:fldChar w:fldCharType="begin"/>
          </w:r>
          <w:r>
            <w:instrText xml:space="preserve"> HYPERLINK \l "_Toc1743"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_Toc1743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"_Toc20710" </w:instrText>
          </w:r>
          <w:r>
            <w:fldChar w:fldCharType="separate"/>
          </w:r>
          <w:r>
            <w:rPr>
              <w:rFonts w:hint="eastAsia" w:ascii="仿宋" w:hAnsi="仿宋" w:eastAsia="仿宋"/>
            </w:rPr>
            <w:t>一、收入支出决算总表</w:t>
          </w:r>
          <w:r>
            <w:tab/>
          </w:r>
          <w:r>
            <w:fldChar w:fldCharType="begin"/>
          </w:r>
          <w:r>
            <w:instrText xml:space="preserve"> PAGEREF _Toc20710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"_Toc20766" </w:instrText>
          </w:r>
          <w:r>
            <w:fldChar w:fldCharType="separate"/>
          </w:r>
          <w:r>
            <w:rPr>
              <w:rFonts w:hint="eastAsia" w:ascii="仿宋" w:hAnsi="仿宋" w:eastAsia="仿宋"/>
            </w:rPr>
            <w:t>二、收入支出决算表</w:t>
          </w:r>
          <w:r>
            <w:tab/>
          </w:r>
          <w:r>
            <w:fldChar w:fldCharType="begin"/>
          </w:r>
          <w:r>
            <w:instrText xml:space="preserve"> PAGEREF _Toc20766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"_Toc19504" </w:instrText>
          </w:r>
          <w:r>
            <w:fldChar w:fldCharType="separate"/>
          </w:r>
          <w:r>
            <w:rPr>
              <w:rFonts w:hint="eastAsia" w:ascii="仿宋" w:hAnsi="仿宋" w:eastAsia="仿宋"/>
            </w:rPr>
            <w:t>三、收入决算表</w:t>
          </w:r>
          <w:r>
            <w:tab/>
          </w:r>
          <w:r>
            <w:fldChar w:fldCharType="begin"/>
          </w:r>
          <w:r>
            <w:instrText xml:space="preserve"> PAGEREF _Toc19504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"_Toc25143" </w:instrText>
          </w:r>
          <w:r>
            <w:fldChar w:fldCharType="separate"/>
          </w:r>
          <w:r>
            <w:rPr>
              <w:rFonts w:hint="eastAsia" w:ascii="仿宋" w:hAnsi="仿宋" w:eastAsia="仿宋"/>
            </w:rPr>
            <w:t>四、支出决算表</w:t>
          </w:r>
          <w:r>
            <w:tab/>
          </w:r>
          <w:r>
            <w:fldChar w:fldCharType="begin"/>
          </w:r>
          <w:r>
            <w:instrText xml:space="preserve"> PAGEREF _Toc25143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"_Toc23326" </w:instrText>
          </w:r>
          <w:r>
            <w:fldChar w:fldCharType="separate"/>
          </w:r>
          <w:r>
            <w:rPr>
              <w:rFonts w:hint="eastAsia" w:ascii="仿宋" w:hAnsi="仿宋" w:eastAsia="仿宋"/>
            </w:rPr>
            <w:t>五、支出决算明细表</w:t>
          </w:r>
          <w:r>
            <w:tab/>
          </w:r>
          <w:r>
            <w:fldChar w:fldCharType="begin"/>
          </w:r>
          <w:r>
            <w:instrText xml:space="preserve"> PAGEREF _Toc23326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"_Toc3433" </w:instrText>
          </w:r>
          <w:r>
            <w:fldChar w:fldCharType="separate"/>
          </w:r>
          <w:r>
            <w:rPr>
              <w:rFonts w:hint="eastAsia" w:ascii="仿宋" w:hAnsi="仿宋" w:eastAsia="仿宋"/>
            </w:rPr>
            <w:t>六、项目收入支出决算表</w:t>
          </w:r>
          <w:r>
            <w:tab/>
          </w:r>
          <w:r>
            <w:fldChar w:fldCharType="begin"/>
          </w:r>
          <w:r>
            <w:instrText xml:space="preserve"> PAGEREF _Toc3433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"_Toc30135" </w:instrText>
          </w:r>
          <w:r>
            <w:fldChar w:fldCharType="separate"/>
          </w:r>
          <w:r>
            <w:rPr>
              <w:rFonts w:hint="eastAsia" w:ascii="仿宋" w:hAnsi="仿宋" w:eastAsia="仿宋"/>
            </w:rPr>
            <w:t>七、一般公共预算财政拨款收入支出决算表</w:t>
          </w:r>
          <w:r>
            <w:tab/>
          </w:r>
          <w:r>
            <w:fldChar w:fldCharType="begin"/>
          </w:r>
          <w:r>
            <w:instrText xml:space="preserve"> PAGEREF _Toc30135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"_Toc31915" </w:instrText>
          </w:r>
          <w:r>
            <w:fldChar w:fldCharType="separate"/>
          </w:r>
          <w:r>
            <w:rPr>
              <w:rFonts w:hint="eastAsia" w:ascii="仿宋" w:hAnsi="仿宋" w:eastAsia="仿宋"/>
            </w:rPr>
            <w:t>八、一般公共预算财政拨款支出决算明细表</w:t>
          </w:r>
          <w:r>
            <w:tab/>
          </w:r>
          <w:r>
            <w:fldChar w:fldCharType="begin"/>
          </w:r>
          <w:r>
            <w:instrText xml:space="preserve"> PAGEREF _Toc31915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"_Toc12261" </w:instrText>
          </w:r>
          <w:r>
            <w:fldChar w:fldCharType="separate"/>
          </w:r>
          <w:r>
            <w:rPr>
              <w:rFonts w:hint="eastAsia" w:ascii="仿宋" w:hAnsi="仿宋" w:eastAsia="仿宋"/>
            </w:rPr>
            <w:t>九、一般公共预算财政拨款基本支出决算明细表</w:t>
          </w:r>
          <w:r>
            <w:tab/>
          </w:r>
          <w:r>
            <w:fldChar w:fldCharType="begin"/>
          </w:r>
          <w:r>
            <w:instrText xml:space="preserve"> PAGEREF _Toc12261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"_Toc26342" </w:instrText>
          </w:r>
          <w:r>
            <w:fldChar w:fldCharType="separate"/>
          </w:r>
          <w:r>
            <w:rPr>
              <w:rFonts w:hint="eastAsia" w:ascii="仿宋" w:hAnsi="仿宋" w:eastAsia="仿宋"/>
            </w:rPr>
            <w:t>十、一般公共预算财政拨款项目支出决算明细表</w:t>
          </w:r>
          <w:r>
            <w:tab/>
          </w:r>
          <w:r>
            <w:fldChar w:fldCharType="begin"/>
          </w:r>
          <w:r>
            <w:instrText xml:space="preserve"> PAGEREF _Toc26342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"_Toc5382" </w:instrText>
          </w:r>
          <w:r>
            <w:fldChar w:fldCharType="separate"/>
          </w:r>
          <w:r>
            <w:rPr>
              <w:rFonts w:hint="eastAsia" w:ascii="仿宋" w:hAnsi="仿宋" w:eastAsia="仿宋"/>
            </w:rPr>
            <w:t>十一、预算支出相关信息表</w:t>
          </w:r>
          <w:r>
            <w:tab/>
          </w:r>
          <w:r>
            <w:fldChar w:fldCharType="begin"/>
          </w:r>
          <w:r>
            <w:instrText xml:space="preserve"> PAGEREF _Toc5382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"_Toc432" </w:instrText>
          </w:r>
          <w:r>
            <w:fldChar w:fldCharType="separate"/>
          </w:r>
          <w:r>
            <w:rPr>
              <w:rFonts w:hint="eastAsia" w:ascii="仿宋" w:hAnsi="仿宋" w:eastAsia="仿宋"/>
            </w:rPr>
            <w:t>十二、基本数字表</w:t>
          </w:r>
          <w:r>
            <w:tab/>
          </w:r>
          <w:r>
            <w:fldChar w:fldCharType="begin"/>
          </w:r>
          <w:r>
            <w:instrText xml:space="preserve"> PAGEREF _Toc432 \h </w:instrText>
          </w:r>
          <w:r>
            <w:fldChar w:fldCharType="separate"/>
          </w:r>
          <w:r>
            <w:t>55</w:t>
          </w:r>
          <w:r>
            <w:fldChar w:fldCharType="end"/>
          </w:r>
          <w:r>
            <w:fldChar w:fldCharType="end"/>
          </w:r>
        </w:p>
        <w:p>
          <w:pPr>
            <w:pStyle w:val="15"/>
            <w:tabs>
              <w:tab w:val="right" w:leader="dot" w:pos="8306"/>
              <w:tab w:val="clear" w:pos="8296"/>
            </w:tabs>
          </w:pPr>
          <w:r>
            <w:fldChar w:fldCharType="begin"/>
          </w:r>
          <w:r>
            <w:instrText xml:space="preserve"> HYPERLINK \l "_Toc17726" </w:instrText>
          </w:r>
          <w:r>
            <w:fldChar w:fldCharType="separate"/>
          </w:r>
          <w:r>
            <w:rPr>
              <w:rFonts w:hint="eastAsia" w:ascii="仿宋" w:hAnsi="仿宋" w:eastAsia="仿宋"/>
            </w:rPr>
            <w:t>十三、机构运行信息表</w:t>
          </w:r>
          <w:r>
            <w:tab/>
          </w:r>
          <w:r>
            <w:fldChar w:fldCharType="begin"/>
          </w:r>
          <w:r>
            <w:instrText xml:space="preserve"> PAGEREF _Toc17726 \h </w:instrText>
          </w:r>
          <w:r>
            <w:fldChar w:fldCharType="separate"/>
          </w:r>
          <w:r>
            <w:t>55</w:t>
          </w:r>
          <w:r>
            <w:fldChar w:fldCharType="end"/>
          </w:r>
          <w:r>
            <w:fldChar w:fldCharType="end"/>
          </w:r>
        </w:p>
        <w:p>
          <w:r>
            <w:rPr>
              <w:rFonts w:hint="eastAsia"/>
            </w:rPr>
            <w:fldChar w:fldCharType="end"/>
          </w:r>
        </w:p>
      </w:sdtContent>
    </w:sdt>
    <w:p>
      <w:pPr>
        <w:pStyle w:val="3"/>
        <w:jc w:val="center"/>
        <w:rPr>
          <w:rFonts w:ascii="黑体" w:hAnsi="黑体" w:eastAsia="黑体"/>
          <w:b w:val="0"/>
        </w:rPr>
      </w:pPr>
      <w:bookmarkStart w:id="14" w:name="_Toc15396599"/>
      <w:bookmarkStart w:id="15" w:name="_Toc15377196"/>
    </w:p>
    <w:p>
      <w:pPr>
        <w:pStyle w:val="3"/>
        <w:jc w:val="center"/>
        <w:rPr>
          <w:rFonts w:ascii="黑体" w:hAnsi="黑体" w:eastAsia="黑体"/>
          <w:b w:val="0"/>
        </w:rPr>
      </w:pPr>
    </w:p>
    <w:p>
      <w:pPr>
        <w:pStyle w:val="3"/>
        <w:jc w:val="center"/>
        <w:rPr>
          <w:rFonts w:ascii="黑体" w:hAnsi="黑体" w:eastAsia="黑体"/>
          <w:b w:val="0"/>
        </w:rPr>
      </w:pPr>
    </w:p>
    <w:p>
      <w:pPr>
        <w:pStyle w:val="3"/>
        <w:rPr>
          <w:rFonts w:ascii="黑体" w:hAnsi="黑体" w:eastAsia="黑体"/>
          <w:b w:val="0"/>
        </w:rPr>
      </w:pPr>
    </w:p>
    <w:p>
      <w:pPr>
        <w:rPr>
          <w:rFonts w:ascii="黑体" w:hAnsi="黑体" w:eastAsia="黑体"/>
        </w:rPr>
      </w:pPr>
    </w:p>
    <w:p>
      <w:pPr>
        <w:pStyle w:val="12"/>
        <w:rPr>
          <w:rFonts w:ascii="黑体" w:hAnsi="黑体" w:eastAsia="黑体"/>
        </w:rPr>
      </w:pPr>
    </w:p>
    <w:p>
      <w:pPr>
        <w:pStyle w:val="12"/>
        <w:rPr>
          <w:rFonts w:ascii="黑体" w:hAnsi="黑体" w:eastAsia="黑体"/>
        </w:rPr>
      </w:pPr>
    </w:p>
    <w:p/>
    <w:p>
      <w:pPr>
        <w:pStyle w:val="3"/>
        <w:jc w:val="center"/>
        <w:rPr>
          <w:rFonts w:ascii="黑体" w:eastAsia="黑体"/>
          <w:color w:val="000000"/>
          <w:sz w:val="32"/>
          <w:szCs w:val="32"/>
        </w:rPr>
      </w:pPr>
      <w:bookmarkStart w:id="16" w:name="_Toc18372"/>
      <w:r>
        <w:rPr>
          <w:rFonts w:hint="eastAsia" w:ascii="黑体" w:hAnsi="黑体" w:eastAsia="黑体"/>
          <w:b w:val="0"/>
        </w:rPr>
        <w:t xml:space="preserve">第一部分 </w:t>
      </w:r>
      <w:r>
        <w:rPr>
          <w:rStyle w:val="30"/>
          <w:rFonts w:hint="eastAsia" w:ascii="黑体" w:hAnsi="黑体" w:eastAsia="黑体"/>
          <w:b w:val="0"/>
          <w:bCs w:val="0"/>
        </w:rPr>
        <w:t>部门概况</w:t>
      </w:r>
      <w:bookmarkEnd w:id="14"/>
      <w:bookmarkEnd w:id="15"/>
      <w:bookmarkEnd w:id="16"/>
    </w:p>
    <w:p>
      <w:pPr>
        <w:snapToGrid w:val="0"/>
        <w:spacing w:line="560" w:lineRule="exact"/>
        <w:ind w:firstLine="640" w:firstLineChars="200"/>
        <w:rPr>
          <w:rFonts w:ascii="黑体" w:eastAsia="黑体" w:hAnsiTheme="majorHAnsi" w:cstheme="majorBidi"/>
          <w:bCs/>
          <w:color w:val="000000"/>
          <w:sz w:val="32"/>
          <w:szCs w:val="32"/>
        </w:rPr>
      </w:pPr>
      <w:bookmarkStart w:id="17" w:name="_Toc15396600"/>
      <w:bookmarkStart w:id="18" w:name="_Toc15377197"/>
      <w:r>
        <w:rPr>
          <w:rFonts w:hint="eastAsia" w:ascii="黑体" w:eastAsia="黑体" w:hAnsiTheme="majorHAnsi" w:cstheme="majorBidi"/>
          <w:bCs/>
          <w:color w:val="000000"/>
          <w:sz w:val="32"/>
          <w:szCs w:val="32"/>
        </w:rPr>
        <w:t>一、基本职能及主要工作</w:t>
      </w:r>
      <w:bookmarkEnd w:id="17"/>
      <w:bookmarkEnd w:id="18"/>
    </w:p>
    <w:p>
      <w:pPr>
        <w:snapToGrid w:val="0"/>
        <w:spacing w:line="560" w:lineRule="exact"/>
        <w:ind w:firstLine="640" w:firstLineChars="200"/>
        <w:rPr>
          <w:rFonts w:ascii="仿宋_GB2312" w:hAnsi="仿宋_GB2312" w:eastAsia="仿宋_GB2312" w:cs="仿宋_GB2312"/>
          <w:bCs/>
          <w:sz w:val="32"/>
          <w:szCs w:val="32"/>
        </w:rPr>
      </w:pPr>
      <w:bookmarkStart w:id="19" w:name="_Toc15378445"/>
      <w:bookmarkStart w:id="20" w:name="_Toc15377198"/>
      <w:r>
        <w:rPr>
          <w:rFonts w:hint="eastAsia" w:ascii="仿宋_GB2312" w:hAnsi="仿宋_GB2312" w:eastAsia="仿宋_GB2312" w:cs="仿宋_GB2312"/>
          <w:bCs/>
          <w:sz w:val="32"/>
          <w:szCs w:val="32"/>
        </w:rPr>
        <w:t>（一）主要职能。</w:t>
      </w:r>
      <w:bookmarkEnd w:id="19"/>
      <w:bookmarkEnd w:id="20"/>
      <w:bookmarkStart w:id="21" w:name="_Toc15377199"/>
      <w:bookmarkStart w:id="22" w:name="_Toc15378446"/>
    </w:p>
    <w:p>
      <w:pPr>
        <w:snapToGrid w:val="0"/>
        <w:spacing w:line="560" w:lineRule="exact"/>
        <w:ind w:firstLine="640" w:firstLineChars="200"/>
        <w:rPr>
          <w:rFonts w:ascii="仿宋_GB2312" w:hAnsi="仿宋" w:eastAsia="仿宋_GB2312"/>
          <w:bCs/>
          <w:sz w:val="32"/>
          <w:szCs w:val="32"/>
        </w:rPr>
      </w:pPr>
      <w:r>
        <w:rPr>
          <w:rFonts w:hint="eastAsia" w:ascii="仿宋_GB2312" w:hAnsi="仿宋_GB2312" w:eastAsia="仿宋_GB2312" w:cs="仿宋_GB2312"/>
          <w:bCs/>
          <w:sz w:val="32"/>
          <w:szCs w:val="32"/>
        </w:rPr>
        <w:t>一是制定并组织实施乡村建设规划</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r>
        <w:rPr>
          <w:rFonts w:hint="eastAsia" w:hAnsi="仿宋_GB2312" w:cs="仿宋_GB2312"/>
          <w:bCs/>
          <w:sz w:val="32"/>
          <w:szCs w:val="32"/>
        </w:rPr>
        <w:t>。</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3" w:name="_Toc31513"/>
      <w:bookmarkStart w:id="24" w:name="_Toc3188"/>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rPr>
        <w:t>20年重点工作完成情况。</w:t>
      </w:r>
      <w:bookmarkEnd w:id="21"/>
      <w:bookmarkEnd w:id="22"/>
      <w:bookmarkEnd w:id="23"/>
      <w:bookmarkEnd w:id="24"/>
    </w:p>
    <w:p>
      <w:pPr>
        <w:pStyle w:val="16"/>
        <w:adjustRightInd w:val="0"/>
        <w:snapToGrid w:val="0"/>
        <w:spacing w:line="576" w:lineRule="exact"/>
        <w:ind w:firstLine="643" w:firstLineChars="200"/>
        <w:jc w:val="both"/>
        <w:rPr>
          <w:rFonts w:ascii="仿宋_GB2312" w:hAnsi="宋体" w:eastAsia="仿宋_GB2312"/>
          <w:sz w:val="32"/>
          <w:szCs w:val="32"/>
        </w:rPr>
      </w:pPr>
      <w:bookmarkStart w:id="25" w:name="_Toc15377200"/>
      <w:bookmarkStart w:id="26" w:name="_Toc15396601"/>
      <w:r>
        <w:rPr>
          <w:rFonts w:hint="eastAsia" w:ascii="楷体_GB2312" w:hAnsi="楷体_GB2312" w:eastAsia="楷体_GB2312" w:cs="楷体_GB2312"/>
          <w:b/>
          <w:bCs/>
          <w:sz w:val="32"/>
          <w:szCs w:val="32"/>
          <w:shd w:val="clear" w:color="auto" w:fill="FFFFFF"/>
        </w:rPr>
        <w:t>1.发展特色产业，助力乡村振兴</w:t>
      </w:r>
      <w:r>
        <w:rPr>
          <w:rFonts w:hint="eastAsia" w:ascii="黑体" w:hAnsi="黑体" w:eastAsia="黑体" w:cs="黑体"/>
          <w:sz w:val="32"/>
          <w:szCs w:val="32"/>
        </w:rPr>
        <w:t>。</w:t>
      </w:r>
      <w:r>
        <w:rPr>
          <w:rFonts w:hint="eastAsia" w:ascii="楷体_GB2312" w:hAnsi="楷体_GB2312" w:eastAsia="楷体_GB2312" w:cs="楷体_GB2312"/>
          <w:sz w:val="32"/>
          <w:szCs w:val="32"/>
          <w:shd w:val="clear" w:color="auto" w:fill="FFFFFF"/>
        </w:rPr>
        <w:t>一是畜牧业持续健康发展。</w:t>
      </w:r>
      <w:r>
        <w:rPr>
          <w:rFonts w:hint="eastAsia" w:ascii="仿宋_GB2312" w:hAnsi="仿宋_GB2312" w:eastAsia="仿宋_GB2312" w:cs="仿宋_GB2312"/>
          <w:sz w:val="32"/>
          <w:szCs w:val="32"/>
          <w:shd w:val="clear" w:color="auto" w:fill="FFFFFF"/>
        </w:rPr>
        <w:t>持续推行草畜平衡。按照以人定畜（每人只能养殖20头牛）的方式</w:t>
      </w:r>
      <w:r>
        <w:rPr>
          <w:rFonts w:ascii="仿宋_GB2312" w:hAnsi="仿宋_GB2312" w:eastAsia="仿宋_GB2312" w:cs="仿宋_GB2312"/>
          <w:sz w:val="32"/>
          <w:szCs w:val="32"/>
          <w:shd w:val="clear" w:color="auto" w:fill="FFFFFF"/>
        </w:rPr>
        <w:t>持续推进减畜工作</w:t>
      </w:r>
      <w:r>
        <w:rPr>
          <w:rFonts w:hint="eastAsia" w:ascii="仿宋_GB2312" w:hAnsi="仿宋_GB2312" w:eastAsia="仿宋_GB2312" w:cs="仿宋_GB2312"/>
          <w:sz w:val="32"/>
          <w:szCs w:val="32"/>
          <w:shd w:val="clear" w:color="auto" w:fill="FFFFFF"/>
        </w:rPr>
        <w:t>，草原资源生态得到有效保护。落实生态补奖励。为232户兑现发放生态奖补禁牧补助资金2367667.5元、草畜平衡补助资金1066360元，落实草管员</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shd w:val="clear" w:color="auto" w:fill="FFFFFF"/>
        </w:rPr>
        <w:t>名，实现群众减畜不减收</w:t>
      </w:r>
      <w:r>
        <w:rPr>
          <w:rFonts w:hint="eastAsia" w:ascii="仿宋_GB2312" w:hAnsi="仿宋_GB2312" w:eastAsia="仿宋_GB2312" w:cs="仿宋_GB2312"/>
          <w:sz w:val="32"/>
          <w:szCs w:val="32"/>
        </w:rPr>
        <w:t>。二是</w:t>
      </w:r>
      <w:r>
        <w:rPr>
          <w:rFonts w:hint="eastAsia" w:ascii="楷体_GB2312" w:hAnsi="仿宋_GB2312" w:eastAsia="楷体_GB2312" w:cs="仿宋_GB2312"/>
          <w:color w:val="000000"/>
          <w:sz w:val="32"/>
          <w:szCs w:val="32"/>
        </w:rPr>
        <w:t>集体经济成效明显。</w:t>
      </w:r>
      <w:r>
        <w:rPr>
          <w:rFonts w:hint="eastAsia" w:ascii="仿宋_GB2312" w:hAnsi="仿宋_GB2312" w:eastAsia="仿宋_GB2312" w:cs="仿宋_GB2312"/>
          <w:bCs/>
          <w:sz w:val="32"/>
          <w:szCs w:val="32"/>
          <w:shd w:val="clear" w:color="auto" w:fill="FFFFFF"/>
        </w:rPr>
        <w:t>持续壮大村集体经济。一是</w:t>
      </w:r>
      <w:r>
        <w:rPr>
          <w:rFonts w:hint="eastAsia" w:ascii="仿宋_GB2312" w:hAnsi="仿宋_GB2312" w:eastAsia="仿宋_GB2312" w:cs="仿宋_GB2312"/>
          <w:bCs/>
          <w:sz w:val="32"/>
          <w:szCs w:val="32"/>
        </w:rPr>
        <w:t>按照农村集体产权制度改革工作要求，完成了集体经济组织成员确认；</w:t>
      </w:r>
      <w:r>
        <w:rPr>
          <w:rFonts w:hint="eastAsia" w:ascii="仿宋_GB2312" w:eastAsia="仿宋_GB2312"/>
          <w:bCs/>
          <w:sz w:val="32"/>
          <w:szCs w:val="32"/>
        </w:rPr>
        <w:t>成立了临时理事会及监事会；</w:t>
      </w:r>
      <w:r>
        <w:rPr>
          <w:rFonts w:hint="eastAsia" w:ascii="仿宋_GB2312" w:hAnsi="仿宋_GB2312" w:eastAsia="仿宋_GB2312" w:cs="仿宋_GB2312"/>
          <w:bCs/>
          <w:sz w:val="32"/>
          <w:szCs w:val="32"/>
        </w:rPr>
        <w:t>完成了股权量化资产及成员登记，</w:t>
      </w:r>
      <w:r>
        <w:rPr>
          <w:rFonts w:hint="eastAsia" w:ascii="仿宋_GB2312" w:hAnsi="仿宋_GB2312" w:eastAsia="仿宋_GB2312" w:cs="仿宋_GB2312"/>
          <w:bCs/>
          <w:sz w:val="32"/>
          <w:szCs w:val="32"/>
          <w:shd w:val="clear" w:color="auto" w:fill="FFFFFF"/>
        </w:rPr>
        <w:t>集体经济制度更加规范完善</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shd w:val="clear" w:color="auto" w:fill="FFFFFF"/>
        </w:rPr>
        <w:t>二是抓实基础性产业。2020年茸日玛村绵羊养殖农民专业合作社存栏绵羊2700只</w:t>
      </w:r>
      <w:r>
        <w:rPr>
          <w:rFonts w:ascii="仿宋_GB2312" w:hAnsi="仿宋_GB2312" w:eastAsia="仿宋_GB2312" w:cs="仿宋_GB2312"/>
          <w:bCs/>
          <w:sz w:val="32"/>
          <w:szCs w:val="32"/>
          <w:shd w:val="clear" w:color="auto" w:fill="FFFFFF"/>
        </w:rPr>
        <w:t>、存栏牦牛200余头</w:t>
      </w:r>
      <w:r>
        <w:rPr>
          <w:rFonts w:hint="eastAsia" w:ascii="仿宋_GB2312" w:hAnsi="仿宋_GB2312" w:eastAsia="仿宋_GB2312" w:cs="仿宋_GB2312"/>
          <w:bCs/>
          <w:sz w:val="32"/>
          <w:szCs w:val="32"/>
          <w:shd w:val="clear" w:color="auto" w:fill="FFFFFF"/>
        </w:rPr>
        <w:t>；江宫玛村牦牛养殖农民专业合作社存栏</w:t>
      </w:r>
      <w:r>
        <w:rPr>
          <w:rFonts w:ascii="仿宋_GB2312" w:hAnsi="仿宋_GB2312" w:eastAsia="仿宋_GB2312" w:cs="仿宋_GB2312"/>
          <w:bCs/>
          <w:sz w:val="32"/>
          <w:szCs w:val="32"/>
          <w:shd w:val="clear" w:color="auto" w:fill="FFFFFF"/>
        </w:rPr>
        <w:t>绵羊500余只、存栏牦牛</w:t>
      </w:r>
      <w:r>
        <w:rPr>
          <w:rFonts w:hint="eastAsia" w:ascii="仿宋_GB2312" w:hAnsi="仿宋_GB2312" w:eastAsia="仿宋_GB2312" w:cs="仿宋_GB2312"/>
          <w:bCs/>
          <w:sz w:val="32"/>
          <w:szCs w:val="32"/>
          <w:shd w:val="clear" w:color="auto" w:fill="FFFFFF"/>
        </w:rPr>
        <w:t>3</w:t>
      </w:r>
      <w:r>
        <w:rPr>
          <w:rFonts w:ascii="仿宋_GB2312" w:hAnsi="仿宋_GB2312" w:eastAsia="仿宋_GB2312" w:cs="仿宋_GB2312"/>
          <w:bCs/>
          <w:sz w:val="32"/>
          <w:szCs w:val="32"/>
          <w:shd w:val="clear" w:color="auto" w:fill="FFFFFF"/>
        </w:rPr>
        <w:t>5</w:t>
      </w:r>
      <w:r>
        <w:rPr>
          <w:rFonts w:hint="eastAsia" w:ascii="仿宋_GB2312" w:hAnsi="仿宋_GB2312" w:eastAsia="仿宋_GB2312" w:cs="仿宋_GB2312"/>
          <w:bCs/>
          <w:sz w:val="32"/>
          <w:szCs w:val="32"/>
          <w:shd w:val="clear" w:color="auto" w:fill="FFFFFF"/>
        </w:rPr>
        <w:t>0余头，两个合作社带动群众持续增收。二是发展特色产业。</w:t>
      </w:r>
      <w:r>
        <w:rPr>
          <w:rFonts w:ascii="仿宋_GB2312" w:hAnsi="仿宋_GB2312" w:eastAsia="仿宋_GB2312" w:cs="仿宋_GB2312"/>
          <w:bCs/>
          <w:sz w:val="32"/>
          <w:szCs w:val="32"/>
          <w:shd w:val="clear" w:color="auto" w:fill="FFFFFF"/>
        </w:rPr>
        <w:t>三是大力发展文旅游积极开展</w:t>
      </w:r>
      <w:r>
        <w:rPr>
          <w:rFonts w:hint="eastAsia" w:ascii="仿宋_GB2312" w:hAnsi="仿宋_GB2312" w:eastAsia="仿宋_GB2312" w:cs="仿宋_GB2312"/>
          <w:bCs/>
          <w:sz w:val="32"/>
          <w:szCs w:val="32"/>
          <w:shd w:val="clear" w:color="auto" w:fill="FFFFFF"/>
        </w:rPr>
        <w:t>茸日玛村达格则AAA级景区</w:t>
      </w:r>
      <w:r>
        <w:rPr>
          <w:rFonts w:ascii="仿宋_GB2312" w:hAnsi="仿宋_GB2312" w:eastAsia="仿宋_GB2312" w:cs="仿宋_GB2312"/>
          <w:bCs/>
          <w:sz w:val="32"/>
          <w:szCs w:val="32"/>
          <w:shd w:val="clear" w:color="auto" w:fill="FFFFFF"/>
        </w:rPr>
        <w:t>创建，完成</w:t>
      </w:r>
      <w:r>
        <w:rPr>
          <w:rFonts w:hint="eastAsia" w:ascii="仿宋_GB2312" w:hAnsi="仿宋_GB2312" w:eastAsia="仿宋_GB2312" w:cs="仿宋_GB2312"/>
          <w:bCs/>
          <w:sz w:val="32"/>
          <w:szCs w:val="32"/>
          <w:shd w:val="clear" w:color="auto" w:fill="FFFFFF"/>
        </w:rPr>
        <w:t>栈道</w:t>
      </w:r>
      <w:r>
        <w:rPr>
          <w:rFonts w:ascii="仿宋_GB2312" w:hAnsi="仿宋_GB2312" w:eastAsia="仿宋_GB2312" w:cs="仿宋_GB2312"/>
          <w:bCs/>
          <w:sz w:val="32"/>
          <w:szCs w:val="32"/>
          <w:shd w:val="clear" w:color="auto" w:fill="FFFFFF"/>
        </w:rPr>
        <w:t>、、游客服务中心、</w:t>
      </w:r>
      <w:r>
        <w:rPr>
          <w:rFonts w:hint="eastAsia" w:ascii="仿宋_GB2312" w:hAnsi="仿宋_GB2312" w:eastAsia="仿宋_GB2312" w:cs="仿宋_GB2312"/>
          <w:bCs/>
          <w:sz w:val="32"/>
          <w:szCs w:val="32"/>
          <w:shd w:val="clear" w:color="auto" w:fill="FFFFFF"/>
        </w:rPr>
        <w:t>露营地及公共卫生间等基础设施</w:t>
      </w:r>
      <w:r>
        <w:rPr>
          <w:rFonts w:ascii="仿宋_GB2312" w:hAnsi="仿宋_GB2312" w:eastAsia="仿宋_GB2312" w:cs="仿宋_GB2312"/>
          <w:bCs/>
          <w:sz w:val="32"/>
          <w:szCs w:val="32"/>
          <w:shd w:val="clear" w:color="auto" w:fill="FFFFFF"/>
        </w:rPr>
        <w:t>建设</w:t>
      </w:r>
      <w:r>
        <w:rPr>
          <w:rFonts w:hint="eastAsia" w:ascii="仿宋_GB2312" w:hAnsi="仿宋_GB2312" w:eastAsia="仿宋_GB2312" w:cs="仿宋_GB2312"/>
          <w:bCs/>
          <w:sz w:val="32"/>
          <w:szCs w:val="32"/>
          <w:shd w:val="clear" w:color="auto" w:fill="FFFFFF"/>
        </w:rPr>
        <w:t>，预计明年开始运营。江宫玛村中藏药种植基地</w:t>
      </w:r>
      <w:r>
        <w:rPr>
          <w:rFonts w:hint="eastAsia" w:ascii="仿宋_GB2312" w:eastAsia="仿宋_GB2312"/>
          <w:bCs/>
          <w:sz w:val="32"/>
          <w:szCs w:val="32"/>
        </w:rPr>
        <w:t>种植贝母</w:t>
      </w:r>
      <w:r>
        <w:rPr>
          <w:rFonts w:ascii="仿宋_GB2312" w:eastAsia="仿宋_GB2312"/>
          <w:bCs/>
          <w:sz w:val="32"/>
          <w:szCs w:val="32"/>
        </w:rPr>
        <w:t>4</w:t>
      </w:r>
      <w:r>
        <w:rPr>
          <w:rFonts w:hint="eastAsia" w:ascii="仿宋_GB2312" w:eastAsia="仿宋_GB2312"/>
          <w:bCs/>
          <w:sz w:val="32"/>
          <w:szCs w:val="32"/>
        </w:rPr>
        <w:t>亩，</w:t>
      </w:r>
      <w:r>
        <w:rPr>
          <w:rFonts w:ascii="仿宋_GB2312" w:eastAsia="仿宋_GB2312"/>
          <w:bCs/>
          <w:sz w:val="32"/>
          <w:szCs w:val="32"/>
        </w:rPr>
        <w:t>试种</w:t>
      </w:r>
      <w:r>
        <w:rPr>
          <w:rFonts w:hint="eastAsia" w:ascii="仿宋_GB2312" w:eastAsia="仿宋_GB2312"/>
          <w:bCs/>
          <w:sz w:val="32"/>
          <w:szCs w:val="32"/>
        </w:rPr>
        <w:t>种植大黄及</w:t>
      </w:r>
      <w:r>
        <w:rPr>
          <w:rFonts w:ascii="仿宋_GB2312" w:eastAsia="仿宋_GB2312"/>
          <w:bCs/>
          <w:sz w:val="32"/>
          <w:szCs w:val="32"/>
        </w:rPr>
        <w:t>秦艽</w:t>
      </w:r>
      <w:r>
        <w:rPr>
          <w:rFonts w:hint="eastAsia" w:ascii="仿宋_GB2312" w:eastAsia="仿宋_GB2312"/>
          <w:bCs/>
          <w:sz w:val="32"/>
          <w:szCs w:val="32"/>
        </w:rPr>
        <w:t>。今年</w:t>
      </w:r>
      <w:r>
        <w:rPr>
          <w:rFonts w:hint="eastAsia" w:ascii="仿宋_GB2312" w:hAnsi="仿宋_GB2312" w:eastAsia="仿宋_GB2312" w:cs="仿宋_GB2312"/>
          <w:bCs/>
          <w:sz w:val="32"/>
          <w:szCs w:val="32"/>
          <w:shd w:val="clear" w:color="auto" w:fill="FFFFFF"/>
        </w:rPr>
        <w:t>收获贝母200余斤</w:t>
      </w:r>
      <w:r>
        <w:rPr>
          <w:rFonts w:ascii="仿宋_GB2312" w:hAnsi="仿宋_GB2312" w:eastAsia="仿宋_GB2312" w:cs="仿宋_GB2312"/>
          <w:bCs/>
          <w:sz w:val="32"/>
          <w:szCs w:val="32"/>
          <w:shd w:val="clear" w:color="auto" w:fill="FFFFFF"/>
        </w:rPr>
        <w:t>，经济收入6万余元</w:t>
      </w:r>
      <w:r>
        <w:rPr>
          <w:rFonts w:hint="eastAsia" w:ascii="仿宋_GB2312" w:hAnsi="仿宋_GB2312" w:eastAsia="仿宋_GB2312" w:cs="仿宋_GB2312"/>
          <w:bCs/>
          <w:sz w:val="32"/>
          <w:szCs w:val="32"/>
          <w:shd w:val="clear" w:color="auto" w:fill="FFFFFF"/>
        </w:rPr>
        <w:t>。三是</w:t>
      </w:r>
      <w:r>
        <w:rPr>
          <w:rFonts w:hint="eastAsia" w:ascii="楷体_GB2312" w:hAnsi="仿宋_GB2312" w:eastAsia="楷体_GB2312" w:cs="仿宋_GB2312"/>
          <w:bCs/>
          <w:color w:val="000000"/>
          <w:sz w:val="32"/>
          <w:szCs w:val="32"/>
        </w:rPr>
        <w:t>生产生活设施更加便利。</w:t>
      </w:r>
      <w:r>
        <w:rPr>
          <w:rFonts w:hint="eastAsia" w:ascii="仿宋_GB2312" w:hAnsi="宋体" w:eastAsia="仿宋_GB2312"/>
          <w:sz w:val="32"/>
          <w:szCs w:val="32"/>
        </w:rPr>
        <w:t>2020年总投资213万元改善基础设施。投资80万元维修建设牧业生产点道路40公里；投资10万元完成河道清淤扩挖、河堤堆磊4公里。投资90万元修建牧业生产点道路（草原防火通道）建设9公里；投资30万元采购安装太阳能路灯；综合文化中心即将投入使用，群众生产生活设施更加便捷优化，幸福感、满意度不断提升</w:t>
      </w:r>
      <w:r>
        <w:rPr>
          <w:rFonts w:ascii="仿宋_GB2312" w:hAnsi="宋体" w:eastAsia="仿宋_GB2312"/>
          <w:sz w:val="32"/>
          <w:szCs w:val="32"/>
        </w:rPr>
        <w:t>，切实加快查江路建设，S217线开工建设</w:t>
      </w:r>
      <w:r>
        <w:rPr>
          <w:rFonts w:hint="eastAsia" w:ascii="仿宋_GB2312" w:hAnsi="宋体" w:eastAsia="仿宋_GB2312"/>
          <w:sz w:val="32"/>
          <w:szCs w:val="32"/>
        </w:rPr>
        <w:t>。</w:t>
      </w:r>
    </w:p>
    <w:p>
      <w:pPr>
        <w:pStyle w:val="16"/>
        <w:adjustRightInd w:val="0"/>
        <w:snapToGrid w:val="0"/>
        <w:spacing w:line="576" w:lineRule="exact"/>
        <w:ind w:firstLine="643" w:firstLineChars="200"/>
        <w:jc w:val="both"/>
        <w:rPr>
          <w:rFonts w:ascii="楷体_GB2312" w:hAnsi="楷体_GB2312" w:eastAsia="楷体_GB2312" w:cs="楷体_GB2312"/>
          <w:sz w:val="32"/>
          <w:szCs w:val="32"/>
        </w:rPr>
      </w:pPr>
      <w:r>
        <w:rPr>
          <w:rFonts w:hint="eastAsia" w:ascii="楷体_GB2312" w:hAnsi="楷体_GB2312" w:eastAsia="楷体_GB2312" w:cs="楷体_GB2312"/>
          <w:b/>
          <w:bCs/>
          <w:sz w:val="32"/>
          <w:szCs w:val="32"/>
          <w:shd w:val="clear" w:color="auto" w:fill="FFFFFF"/>
        </w:rPr>
        <w:t>2.、脱贫攻坚圆满完成国检</w:t>
      </w:r>
      <w:r>
        <w:rPr>
          <w:rFonts w:ascii="楷体_GB2312" w:hAnsi="楷体_GB2312" w:eastAsia="楷体_GB2312" w:cs="楷体_GB2312"/>
          <w:b/>
          <w:bCs/>
          <w:sz w:val="32"/>
          <w:szCs w:val="32"/>
          <w:shd w:val="clear" w:color="auto" w:fill="FFFFFF"/>
        </w:rPr>
        <w:t>普查</w:t>
      </w:r>
      <w:r>
        <w:rPr>
          <w:rFonts w:hint="eastAsia" w:ascii="楷体_GB2312" w:hAnsi="楷体_GB2312" w:eastAsia="楷体_GB2312" w:cs="楷体_GB2312"/>
          <w:b/>
          <w:bCs/>
          <w:sz w:val="32"/>
          <w:szCs w:val="32"/>
          <w:shd w:val="clear" w:color="auto" w:fill="FFFFFF"/>
        </w:rPr>
        <w:t>。</w:t>
      </w:r>
      <w:r>
        <w:rPr>
          <w:rFonts w:hint="eastAsia" w:ascii="仿宋_GB2312" w:hAnsi="仿宋_GB2312" w:eastAsia="仿宋_GB2312" w:cs="仿宋_GB2312"/>
          <w:color w:val="000000"/>
          <w:sz w:val="32"/>
          <w:szCs w:val="32"/>
          <w:shd w:val="clear" w:color="auto" w:fill="FFFFFF"/>
        </w:rPr>
        <w:t>持续巩固我乡24户102人脱贫成效，在全面落实“两不愁三保障”工作的基础上，加大产业扶贫、就业扶贫、扶贫扶志扶智等力度，</w:t>
      </w:r>
      <w:r>
        <w:rPr>
          <w:rFonts w:hint="eastAsia" w:ascii="仿宋_GB2312" w:hAnsi="仿宋_GB2312" w:eastAsia="仿宋_GB2312" w:cs="仿宋_GB2312"/>
          <w:color w:val="000000"/>
          <w:sz w:val="32"/>
          <w:szCs w:val="32"/>
        </w:rPr>
        <w:t>2020年我乡贫困户人年人均收入达7000余元，且脱贫成效稳定。一是</w:t>
      </w:r>
      <w:r>
        <w:rPr>
          <w:rFonts w:hint="eastAsia" w:ascii="楷体_GB2312" w:hAnsi="楷体_GB2312" w:eastAsia="楷体_GB2312" w:cs="楷体_GB2312"/>
          <w:sz w:val="32"/>
          <w:szCs w:val="32"/>
        </w:rPr>
        <w:t>深入开展“回头看、回头帮”核查。</w:t>
      </w:r>
      <w:r>
        <w:rPr>
          <w:rFonts w:hint="eastAsia" w:ascii="仿宋_GB2312" w:hAnsi="仿宋_GB2312" w:eastAsia="仿宋_GB2312" w:cs="仿宋_GB2312"/>
          <w:color w:val="000000"/>
          <w:sz w:val="32"/>
          <w:szCs w:val="32"/>
        </w:rPr>
        <w:t>按照“四不摘”要求，组织各帮扶力量，围绕教育、医疗、住房、易地扶贫搬迁、饮水安全等重点领域，常态化开展“回头看、回头帮”户核查，全乡24户贫困户均有住房保障、安全饮水、生活用电、广播电视，且脱贫稳定。二是</w:t>
      </w:r>
      <w:r>
        <w:rPr>
          <w:rFonts w:hint="eastAsia" w:ascii="楷体_GB2312" w:hAnsi="楷体_GB2312" w:eastAsia="楷体_GB2312" w:cs="楷体_GB2312"/>
          <w:sz w:val="32"/>
          <w:szCs w:val="32"/>
        </w:rPr>
        <w:t>扎实推进脱贫攻坚普查。</w:t>
      </w:r>
    </w:p>
    <w:p>
      <w:pPr>
        <w:pStyle w:val="16"/>
        <w:adjustRightInd w:val="0"/>
        <w:snapToGrid w:val="0"/>
        <w:spacing w:line="576" w:lineRule="exact"/>
        <w:jc w:val="both"/>
        <w:rPr>
          <w:rFonts w:ascii="仿宋_GB2312" w:hAnsi="仿宋_GB2312" w:eastAsia="仿宋_GB2312" w:cs="仿宋_GB2312"/>
          <w:kern w:val="2"/>
          <w:sz w:val="32"/>
          <w:szCs w:val="32"/>
        </w:rPr>
      </w:pPr>
      <w:r>
        <w:rPr>
          <w:rFonts w:hint="eastAsia" w:ascii="仿宋_GB2312" w:hAnsi="仿宋_GB2312" w:eastAsia="仿宋_GB2312" w:cs="仿宋_GB2312"/>
          <w:color w:val="000000"/>
          <w:sz w:val="32"/>
          <w:szCs w:val="32"/>
        </w:rPr>
        <w:t>紧扣普查工作任务，在普查期限内对24户普查对象开展自查，包括脱贫攻坚重点项目、重点工程和到户政策落实情况，做到数据唯精唯实，确保了高质量完成普查；三是</w:t>
      </w:r>
      <w:r>
        <w:rPr>
          <w:rFonts w:hint="eastAsia" w:ascii="楷体_GB2312" w:hAnsi="楷体_GB2312" w:eastAsia="楷体_GB2312" w:cs="楷体_GB2312"/>
          <w:sz w:val="32"/>
          <w:szCs w:val="32"/>
        </w:rPr>
        <w:t>大力开展就业扶贫。</w:t>
      </w:r>
      <w:r>
        <w:rPr>
          <w:rFonts w:hint="eastAsia" w:ascii="仿宋_GB2312" w:hAnsi="仿宋_GB2312" w:eastAsia="仿宋_GB2312" w:cs="仿宋_GB2312"/>
          <w:color w:val="000000"/>
          <w:sz w:val="32"/>
          <w:szCs w:val="32"/>
        </w:rPr>
        <w:t>为助力受疫情影响贫困劳动力对象稳岗就业，脱贫不返贫，</w:t>
      </w:r>
      <w:r>
        <w:rPr>
          <w:rFonts w:hint="eastAsia" w:ascii="仿宋_GB2312" w:hAnsi="仿宋_GB2312" w:eastAsia="仿宋_GB2312" w:cs="仿宋_GB2312"/>
          <w:color w:val="000000"/>
          <w:kern w:val="2"/>
          <w:sz w:val="32"/>
          <w:szCs w:val="32"/>
        </w:rPr>
        <w:t>2020年我乡贫困人口已</w:t>
      </w:r>
      <w:r>
        <w:rPr>
          <w:rFonts w:ascii="仿宋_GB2312" w:hAnsi="仿宋_GB2312" w:eastAsia="仿宋_GB2312" w:cs="仿宋_GB2312"/>
          <w:color w:val="000000"/>
          <w:kern w:val="2"/>
          <w:sz w:val="32"/>
          <w:szCs w:val="32"/>
        </w:rPr>
        <w:t>就近就业和</w:t>
      </w:r>
      <w:r>
        <w:rPr>
          <w:rFonts w:hint="eastAsia" w:ascii="仿宋_GB2312" w:hAnsi="仿宋_GB2312" w:eastAsia="仿宋_GB2312" w:cs="仿宋_GB2312"/>
          <w:color w:val="000000"/>
          <w:kern w:val="2"/>
          <w:sz w:val="32"/>
          <w:szCs w:val="32"/>
        </w:rPr>
        <w:t>外出务工50人，全乡贫困户人口就业率达50%，全面促进有劳动力贫困家庭增收；四是加强防返贫致贫风险监测。</w:t>
      </w:r>
      <w:r>
        <w:rPr>
          <w:rFonts w:hint="eastAsia" w:ascii="仿宋_GB2312" w:hAnsi="仿宋_GB2312" w:eastAsia="仿宋_GB2312" w:cs="仿宋_GB2312"/>
          <w:sz w:val="32"/>
          <w:szCs w:val="32"/>
        </w:rPr>
        <w:t>借助联户联情群众工作，开展非建档立卡贫困户收入摸排工作。对我乡3户因病存在返贫风险家庭，通过安置公益性岗位、动员参加“以工代赈”投工投劳，低保兜底等方式</w:t>
      </w:r>
      <w:r>
        <w:rPr>
          <w:rFonts w:ascii="仿宋_GB2312" w:hAnsi="仿宋_GB2312" w:eastAsia="仿宋_GB2312" w:cs="仿宋_GB2312"/>
          <w:sz w:val="32"/>
          <w:szCs w:val="32"/>
        </w:rPr>
        <w:t>实现其稳定增收</w:t>
      </w:r>
      <w:r>
        <w:rPr>
          <w:rFonts w:hint="eastAsia" w:ascii="仿宋_GB2312" w:hAnsi="仿宋_GB2312" w:eastAsia="仿宋_GB2312" w:cs="仿宋_GB2312"/>
          <w:sz w:val="32"/>
          <w:szCs w:val="32"/>
        </w:rPr>
        <w:t>，确保脱离返贫风险。</w:t>
      </w:r>
    </w:p>
    <w:p>
      <w:pPr>
        <w:adjustRightInd w:val="0"/>
        <w:snapToGrid w:val="0"/>
        <w:spacing w:line="576" w:lineRule="exact"/>
        <w:ind w:firstLine="643" w:firstLineChars="200"/>
        <w:rPr>
          <w:rFonts w:ascii="仿宋_GB2312" w:hAnsi="仿宋_GB2312" w:eastAsia="仿宋_GB2312" w:cs="仿宋_GB2312"/>
          <w:sz w:val="32"/>
          <w:szCs w:val="32"/>
        </w:rPr>
      </w:pPr>
      <w:r>
        <w:rPr>
          <w:rFonts w:hint="eastAsia" w:ascii="楷体_GB2312" w:hAnsi="仿宋" w:eastAsia="楷体_GB2312" w:cs="仿宋"/>
          <w:b/>
          <w:bCs/>
          <w:color w:val="000000"/>
          <w:sz w:val="32"/>
          <w:szCs w:val="32"/>
        </w:rPr>
        <w:t>3、统筹推进民生社会事业。</w:t>
      </w:r>
      <w:r>
        <w:rPr>
          <w:rFonts w:hint="eastAsia" w:ascii="仿宋_GB2312" w:hAnsi="仿宋_GB2312" w:eastAsia="仿宋_GB2312" w:cs="仿宋_GB2312"/>
          <w:color w:val="000000"/>
          <w:sz w:val="32"/>
          <w:szCs w:val="32"/>
        </w:rPr>
        <w:t>一是卫计事业健康发展，全面开展幼儿保健工作，为0-6岁儿童预防接种共470人次；接收门诊患者1521人次，住院患者18人次；有序开展巡回医疗及宣讲，开展巡回医疗3次，健康宣传3次，发放宣传手册412余份。严格落实计生政策。广泛宣传育龄妇女生育秩序整治、</w:t>
      </w:r>
      <w:r>
        <w:rPr>
          <w:rFonts w:hint="eastAsia" w:ascii="仿宋_GB2312" w:hAnsi="仿宋" w:eastAsia="仿宋_GB2312" w:cs="仿宋"/>
          <w:color w:val="000000"/>
          <w:sz w:val="32"/>
          <w:szCs w:val="32"/>
        </w:rPr>
        <w:t>避孕药具知识普及，实现每个村计生人员准确掌握3种以上避孕药具的使用方法。今年</w:t>
      </w:r>
      <w:r>
        <w:rPr>
          <w:rFonts w:hint="eastAsia" w:ascii="仿宋_GB2312" w:hAnsi="仿宋_GB2312" w:eastAsia="仿宋_GB2312" w:cs="仿宋_GB2312"/>
          <w:color w:val="000000"/>
          <w:sz w:val="32"/>
          <w:szCs w:val="32"/>
        </w:rPr>
        <w:t>发放计生奖励扶助13户共计12480元；发放特扶2户共计14040元，办理准生证19人，全乡人口自然增长控制在规定范围内。</w:t>
      </w:r>
      <w:r>
        <w:rPr>
          <w:rFonts w:ascii="仿宋_GB2312" w:hAnsi="仿宋_GB2312" w:eastAsia="仿宋_GB2312" w:cs="仿宋_GB2312"/>
          <w:color w:val="000000"/>
          <w:sz w:val="32"/>
          <w:szCs w:val="32"/>
        </w:rPr>
        <w:t>三是全力开展疫情防控。新冠疫情发生后，乡党委政府高度重视，</w:t>
      </w:r>
      <w:r>
        <w:rPr>
          <w:rFonts w:hint="eastAsia" w:ascii="仿宋_GB2312" w:hAnsi="仿宋_GB2312" w:eastAsia="仿宋_GB2312" w:cs="仿宋_GB2312"/>
          <w:color w:val="000000"/>
          <w:sz w:val="32"/>
          <w:szCs w:val="32"/>
        </w:rPr>
        <w:t>赓即</w:t>
      </w:r>
      <w:r>
        <w:rPr>
          <w:rFonts w:ascii="仿宋_GB2312" w:hAnsi="仿宋_GB2312" w:eastAsia="仿宋_GB2312" w:cs="仿宋_GB2312"/>
          <w:color w:val="000000"/>
          <w:sz w:val="32"/>
          <w:szCs w:val="32"/>
        </w:rPr>
        <w:t>安排部署，全面宣传，设立防疫监测点2个，小区院落监测点4处，对过往行人和车辆进行全面监测，对风险区返乡的2名群众事实医院隔离观察，通过各类防控措施的落实，确保辖区无新冠疫情发生</w:t>
      </w:r>
      <w:r>
        <w:rPr>
          <w:rFonts w:hint="eastAsia" w:ascii="仿宋_GB2312" w:hAnsi="仿宋_GB2312" w:eastAsia="仿宋_GB2312" w:cs="仿宋_GB2312"/>
          <w:color w:val="000000"/>
          <w:sz w:val="32"/>
          <w:szCs w:val="32"/>
        </w:rPr>
        <w:t>；二是教育事业稳步推进，</w:t>
      </w:r>
      <w:r>
        <w:rPr>
          <w:rFonts w:hint="eastAsia" w:ascii="仿宋_GB2312" w:hAnsi="仿宋_GB2312" w:eastAsia="仿宋_GB2312" w:cs="仿宋_GB2312"/>
          <w:sz w:val="32"/>
          <w:szCs w:val="32"/>
        </w:rPr>
        <w:t>健全建档立卡贫困户学生基础台账，为全乡25名贫困学生申请发放教育扶贫救助基金19900元；为6名符合条件的学生发放网上申请特别资助基金24000元。规范完善控辍保学失辍学儿童少年基础台账，对辖区学生辍学、失学原因、去向等进行登记造册，底数更加清楚。加大义务教育法及教育宣传，</w:t>
      </w:r>
      <w:r>
        <w:rPr>
          <w:rFonts w:ascii="仿宋_GB2312" w:hAnsi="仿宋_GB2312" w:eastAsia="仿宋_GB2312" w:cs="仿宋_GB2312"/>
          <w:sz w:val="32"/>
          <w:szCs w:val="32"/>
        </w:rPr>
        <w:t>大力提升就学意识</w:t>
      </w:r>
      <w:r>
        <w:rPr>
          <w:rFonts w:hint="eastAsia" w:ascii="仿宋_GB2312" w:hAnsi="仿宋_GB2312" w:eastAsia="仿宋_GB2312" w:cs="仿宋_GB2312"/>
          <w:sz w:val="32"/>
          <w:szCs w:val="32"/>
        </w:rPr>
        <w:t>。目前义务教育阶段入学率达100%，实现“零辍学”；三是残疾人事业高质量发展。</w:t>
      </w:r>
      <w:r>
        <w:rPr>
          <w:rFonts w:hint="eastAsia" w:ascii="仿宋_GB2312" w:hAnsi="宋体" w:eastAsia="仿宋_GB2312" w:cs="仿宋"/>
          <w:color w:val="000000"/>
          <w:sz w:val="32"/>
          <w:szCs w:val="32"/>
        </w:rPr>
        <w:t>2020年</w:t>
      </w:r>
      <w:r>
        <w:rPr>
          <w:rFonts w:hint="eastAsia" w:ascii="仿宋_GB2312" w:hAnsi="仿宋_GB2312" w:eastAsia="仿宋_GB2312" w:cs="仿宋_GB2312"/>
          <w:color w:val="000000"/>
          <w:sz w:val="32"/>
          <w:szCs w:val="32"/>
        </w:rPr>
        <w:t>我乡共66名残疾人，</w:t>
      </w:r>
      <w:r>
        <w:rPr>
          <w:rFonts w:hint="eastAsia" w:ascii="仿宋_GB2312" w:hAnsi="仿宋" w:eastAsia="仿宋_GB2312" w:cs="仿宋"/>
          <w:color w:val="000000"/>
          <w:sz w:val="32"/>
          <w:szCs w:val="32"/>
        </w:rPr>
        <w:t>及时足额兑现国家关于残疾人的各类惠民政策。</w:t>
      </w:r>
      <w:r>
        <w:rPr>
          <w:rFonts w:hint="eastAsia" w:ascii="仿宋_GB2312" w:hAnsi="仿宋_GB2312" w:eastAsia="仿宋_GB2312" w:cs="仿宋_GB2312"/>
          <w:color w:val="000000"/>
          <w:sz w:val="32"/>
          <w:szCs w:val="32"/>
        </w:rPr>
        <w:t>按季度发放35名重度残疾人护</w:t>
      </w:r>
      <w:r>
        <w:rPr>
          <w:rFonts w:hint="eastAsia" w:ascii="仿宋_GB2312" w:hAnsi="仿宋" w:eastAsia="仿宋_GB2312" w:cs="仿宋"/>
          <w:color w:val="000000"/>
          <w:sz w:val="32"/>
          <w:szCs w:val="32"/>
        </w:rPr>
        <w:t>理补贴25830</w:t>
      </w:r>
      <w:r>
        <w:rPr>
          <w:rFonts w:hint="eastAsia" w:ascii="仿宋_GB2312" w:hAnsi="仿宋_GB2312" w:eastAsia="仿宋_GB2312" w:cs="仿宋_GB2312"/>
          <w:color w:val="000000"/>
          <w:sz w:val="32"/>
          <w:szCs w:val="32"/>
        </w:rPr>
        <w:t>元，</w:t>
      </w:r>
      <w:r>
        <w:rPr>
          <w:rFonts w:hint="eastAsia" w:ascii="仿宋_GB2312" w:hAnsi="仿宋" w:eastAsia="仿宋_GB2312" w:cs="仿宋"/>
          <w:color w:val="000000"/>
          <w:sz w:val="32"/>
          <w:szCs w:val="32"/>
        </w:rPr>
        <w:t>为</w:t>
      </w:r>
      <w:r>
        <w:rPr>
          <w:rFonts w:hint="eastAsia" w:ascii="仿宋_GB2312" w:hAnsi="仿宋_GB2312" w:eastAsia="仿宋_GB2312" w:cs="仿宋_GB2312"/>
          <w:color w:val="000000"/>
          <w:sz w:val="32"/>
          <w:szCs w:val="32"/>
        </w:rPr>
        <w:t>30名残疾人</w:t>
      </w:r>
      <w:r>
        <w:rPr>
          <w:rFonts w:hint="eastAsia" w:ascii="仿宋_GB2312" w:hAnsi="仿宋" w:eastAsia="仿宋_GB2312" w:cs="仿宋"/>
          <w:color w:val="000000"/>
          <w:sz w:val="32"/>
          <w:szCs w:val="32"/>
        </w:rPr>
        <w:t>员发放城</w:t>
      </w:r>
      <w:r>
        <w:rPr>
          <w:rFonts w:hint="eastAsia" w:ascii="仿宋_GB2312" w:hAnsi="仿宋_GB2312" w:eastAsia="仿宋_GB2312" w:cs="仿宋_GB2312"/>
          <w:color w:val="000000"/>
          <w:sz w:val="32"/>
          <w:szCs w:val="32"/>
        </w:rPr>
        <w:t>乡居民养老保险补助金36000元；为21名低保困难残疾人落实补助金22680元；为2名困难残疾人落实生活救助金10000元</w:t>
      </w:r>
      <w:r>
        <w:rPr>
          <w:rFonts w:hint="eastAsia" w:ascii="仿宋_GB2312" w:hAnsi="仿宋" w:eastAsia="仿宋_GB2312" w:cs="仿宋"/>
          <w:color w:val="000000"/>
          <w:sz w:val="32"/>
          <w:szCs w:val="32"/>
        </w:rPr>
        <w:t>；</w:t>
      </w:r>
      <w:r>
        <w:rPr>
          <w:rFonts w:hint="eastAsia" w:ascii="仿宋_GB2312" w:hAnsi="仿宋_GB2312" w:eastAsia="仿宋_GB2312" w:cs="仿宋_GB2312"/>
          <w:color w:val="000000"/>
          <w:sz w:val="32"/>
          <w:szCs w:val="32"/>
        </w:rPr>
        <w:t>为4名困难残疾人争取落实燃油补助金1460元；</w:t>
      </w:r>
      <w:r>
        <w:rPr>
          <w:rFonts w:hint="eastAsia" w:ascii="仿宋_GB2312" w:hAnsi="仿宋" w:eastAsia="仿宋_GB2312" w:cs="仿宋"/>
          <w:b/>
          <w:bCs/>
          <w:color w:val="000000"/>
          <w:sz w:val="32"/>
          <w:szCs w:val="32"/>
        </w:rPr>
        <w:t>三是</w:t>
      </w:r>
      <w:r>
        <w:rPr>
          <w:rFonts w:hint="eastAsia" w:ascii="仿宋_GB2312" w:hAnsi="仿宋" w:eastAsia="仿宋_GB2312" w:cs="仿宋"/>
          <w:color w:val="000000"/>
          <w:sz w:val="32"/>
          <w:szCs w:val="32"/>
        </w:rPr>
        <w:t>落实居家灵活就业（直补）创业，为3名残疾人落实居家灵活就业300</w:t>
      </w:r>
      <w:r>
        <w:rPr>
          <w:rFonts w:ascii="仿宋_GB2312" w:hAnsi="仿宋" w:eastAsia="仿宋_GB2312" w:cs="仿宋"/>
          <w:color w:val="000000"/>
          <w:sz w:val="32"/>
          <w:szCs w:val="32"/>
        </w:rPr>
        <w:t>0</w:t>
      </w:r>
      <w:r>
        <w:rPr>
          <w:rFonts w:hint="eastAsia" w:ascii="仿宋_GB2312" w:hAnsi="仿宋" w:eastAsia="仿宋_GB2312" w:cs="仿宋"/>
          <w:color w:val="000000"/>
          <w:sz w:val="32"/>
          <w:szCs w:val="32"/>
        </w:rPr>
        <w:t>元补助资金。四是社会保障更加有力，</w:t>
      </w:r>
      <w:r>
        <w:rPr>
          <w:rFonts w:hint="eastAsia" w:ascii="仿宋_GB2312" w:hAnsi="仿宋_GB2312" w:eastAsia="仿宋_GB2312" w:cs="仿宋_GB2312"/>
          <w:sz w:val="32"/>
          <w:szCs w:val="32"/>
        </w:rPr>
        <w:t>2020年正确无误发放低保16户63人，发放大骨节164户258人，同时严格落实低保清退新增。落实5名农村分散特困人员补助金36000元。</w:t>
      </w:r>
      <w:r>
        <w:rPr>
          <w:rFonts w:ascii="仿宋_GB2312" w:hAnsi="仿宋_GB2312" w:eastAsia="仿宋_GB2312" w:cs="仿宋_GB2312"/>
          <w:sz w:val="32"/>
          <w:szCs w:val="32"/>
        </w:rPr>
        <w:t>强化农村居民养老保险收缴力度，截至目前全乡收取养老保险</w:t>
      </w:r>
      <w:r>
        <w:rPr>
          <w:rFonts w:hint="eastAsia" w:ascii="仿宋_GB2312" w:hAnsi="仿宋_GB2312" w:eastAsia="仿宋_GB2312" w:cs="仿宋_GB2312"/>
          <w:sz w:val="32"/>
          <w:szCs w:val="32"/>
        </w:rPr>
        <w:t>366</w:t>
      </w:r>
      <w:r>
        <w:rPr>
          <w:rFonts w:ascii="仿宋_GB2312" w:hAnsi="仿宋_GB2312" w:eastAsia="仿宋_GB2312" w:cs="仿宋_GB2312"/>
          <w:sz w:val="32"/>
          <w:szCs w:val="32"/>
        </w:rPr>
        <w:t>名。</w:t>
      </w:r>
      <w:r>
        <w:rPr>
          <w:rFonts w:hint="eastAsia" w:ascii="仿宋_GB2312" w:hAnsi="仿宋_GB2312" w:eastAsia="仿宋_GB2312" w:cs="仿宋_GB2312"/>
          <w:sz w:val="32"/>
          <w:szCs w:val="32"/>
        </w:rPr>
        <w:t>四是加强城乡居民医疗保险缴纳报销。目前，我乡共缴纳医疗保险1310人，为28户申请二次医疗保险报销，医保购买率达到99%以上。</w:t>
      </w:r>
    </w:p>
    <w:p>
      <w:pPr>
        <w:adjustRightInd w:val="0"/>
        <w:snapToGrid w:val="0"/>
        <w:spacing w:line="576"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五是安全生产工作提档升级。健全各级安全生产责任制，完善相关预案方案，紧紧围绕治理隐患、防范事故的安全生产月活动主题，掀起学习贯彻《安全生产法》的热潮，使安全发展的理念深入人心。安全生产月开展综合整治活动。开展安全大检查与辖区内所有施工队伍签订安全生产责任书7份，共查出安全隐患2处。开展交通安全整治，签订农村交通道路安全责任书98份，农村交通道路安全驾驶人责任书113余份，统计全乡农村机动车98辆，农村驾驶人113人。采取“一查二宣三回头”的方式集中开展瓶装液化石油气专项整治活动，防范遏制了安全事故发生。加大对交通运输等行业的安全管理和对突发森林火灾整治力度，目前开展治安巡逻演练与突发情况应急演练3次。</w:t>
      </w:r>
      <w:r>
        <w:rPr>
          <w:rFonts w:ascii="仿宋_GB2312" w:hAnsi="仿宋_GB2312" w:eastAsia="仿宋_GB2312" w:cs="仿宋_GB2312"/>
          <w:sz w:val="32"/>
          <w:szCs w:val="32"/>
        </w:rPr>
        <w:t>全力开展防汛减灾和地质灾害防治工作，全面落实工作责任，强化隐患排查监测和三避让措施，确保汛期安全。六</w:t>
      </w:r>
      <w:r>
        <w:rPr>
          <w:rFonts w:hint="eastAsia" w:ascii="仿宋_GB2312" w:hAnsi="仿宋_GB2312" w:eastAsia="仿宋_GB2312" w:cs="仿宋_GB2312"/>
          <w:sz w:val="32"/>
          <w:szCs w:val="32"/>
        </w:rPr>
        <w:t>是严格管制刀具和枪支弹药、爆炸物品等危险物品管理，并与各个商铺、餐饮茶楼签定《食品安全责任书》、《环境卫生责任书》共计18份，目前我乡共开展整治查处工作10次，保证了“零”安全事故；六是环境卫生持续改善。</w:t>
      </w:r>
      <w:r>
        <w:rPr>
          <w:rFonts w:hint="eastAsia" w:ascii="仿宋_GB2312" w:hAnsi="仿宋_GB2312" w:eastAsia="仿宋_GB2312" w:cs="仿宋_GB2312"/>
          <w:kern w:val="0"/>
          <w:sz w:val="32"/>
          <w:szCs w:val="30"/>
        </w:rPr>
        <w:t>按照全域无垃圾要求，乡党委政府形成了环卫工人积极清理、卫生专干常态检查、群众自发清扫的环境卫生整治氛围。一年来，我乡共出动垃圾清理车450余次，清理垃圾60余吨，清理卫生死角50余处，开展卫生巡查220余次。群众树立了爱护卫生意识，环境卫生质量明显提高；七是</w:t>
      </w:r>
      <w:r>
        <w:rPr>
          <w:rFonts w:ascii="仿宋_GB2312" w:hAnsi="仿宋_GB2312" w:eastAsia="仿宋_GB2312" w:cs="仿宋_GB2312"/>
          <w:kern w:val="0"/>
          <w:sz w:val="32"/>
          <w:szCs w:val="30"/>
        </w:rPr>
        <w:t>大力发展文旅游事业</w:t>
      </w:r>
      <w:r>
        <w:rPr>
          <w:rFonts w:hint="eastAsia" w:ascii="仿宋_GB2312" w:hAnsi="仿宋_GB2312" w:eastAsia="仿宋_GB2312" w:cs="仿宋_GB2312"/>
          <w:kern w:val="0"/>
          <w:sz w:val="32"/>
          <w:szCs w:val="30"/>
        </w:rPr>
        <w:t>，</w:t>
      </w:r>
      <w:r>
        <w:rPr>
          <w:rFonts w:ascii="仿宋_GB2312" w:hAnsi="仿宋_GB2312" w:eastAsia="仿宋_GB2312" w:cs="仿宋_GB2312"/>
          <w:kern w:val="0"/>
          <w:sz w:val="32"/>
          <w:szCs w:val="30"/>
        </w:rPr>
        <w:t>再积极开展茸日玛村达格则AAA级景区创建的同时，我乡进一步完善村民综合文化设施建设，组织群众开展喜闻乐见的文体活动，积极筹备庆祝建县60周年和夏季雅克音乐季活动</w:t>
      </w:r>
      <w:r>
        <w:rPr>
          <w:rFonts w:hint="eastAsia" w:ascii="仿宋_GB2312" w:hAnsi="仿宋_GB2312" w:eastAsia="仿宋_GB2312" w:cs="仿宋_GB2312"/>
          <w:kern w:val="0"/>
          <w:sz w:val="32"/>
          <w:szCs w:val="30"/>
        </w:rPr>
        <w:t>；八是武装、兵役、统计、水务、档案、文化、保密、行权、电力等工作得到进一步加强。</w:t>
      </w:r>
      <w:r>
        <w:rPr>
          <w:rFonts w:hint="eastAsia" w:ascii="仿宋_GB2312" w:hAnsi="仿宋_GB2312" w:eastAsia="仿宋_GB2312" w:cs="仿宋_GB2312"/>
          <w:color w:val="000000"/>
          <w:sz w:val="32"/>
          <w:szCs w:val="32"/>
        </w:rPr>
        <w:t>有序做好兵役登记，2020年全乡兵役登记11人，达到100%全覆盖，组织民兵围绕森林草原防火、防汛、地质灾害等开展应急演练，基层武装战斗力与凝聚力明显增强。</w:t>
      </w:r>
      <w:r>
        <w:rPr>
          <w:rFonts w:hint="eastAsia" w:ascii="仿宋_GB2312" w:hAnsi="仿宋_GB2312" w:eastAsia="仿宋_GB2312" w:cs="仿宋_GB2312"/>
          <w:sz w:val="32"/>
          <w:szCs w:val="32"/>
        </w:rPr>
        <w:t>汛期未雨绸缪，提前做好河道清淤，山洪、泥石流、坍塌垮塌等灾害的监测预警排查，确保了群众生命财产的安全；加强安全饮水设施检查维修，确保辖区群众全年不断水。严格按照上级要求及法律规定做好保密及档案工作，干部和涉密人员的保密意识不断提升，档案工作更加规范化。</w:t>
      </w:r>
      <w:r>
        <w:rPr>
          <w:rFonts w:hint="eastAsia" w:ascii="仿宋_GB2312" w:hAnsi="仿宋_GB2312" w:eastAsia="仿宋_GB2312" w:cs="仿宋_GB2312"/>
          <w:color w:val="000000"/>
          <w:kern w:val="0"/>
          <w:sz w:val="32"/>
          <w:szCs w:val="32"/>
        </w:rPr>
        <w:t>严格按照上级要求，按时、按质、按量报送统计和行权的各类报表资料。</w:t>
      </w:r>
    </w:p>
    <w:p>
      <w:pPr>
        <w:pStyle w:val="4"/>
        <w:spacing w:line="576" w:lineRule="exact"/>
        <w:ind w:firstLine="640" w:firstLineChars="200"/>
        <w:rPr>
          <w:rStyle w:val="31"/>
          <w:b w:val="0"/>
          <w:bCs w:val="0"/>
        </w:rPr>
      </w:pPr>
      <w:bookmarkStart w:id="27" w:name="_Toc19320"/>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5"/>
      <w:bookmarkEnd w:id="26"/>
      <w:bookmarkEnd w:id="27"/>
    </w:p>
    <w:p>
      <w:pPr>
        <w:adjustRightInd w:val="0"/>
        <w:snapToGrid w:val="0"/>
        <w:spacing w:line="576" w:lineRule="exact"/>
        <w:ind w:firstLine="640" w:firstLineChars="200"/>
      </w:pPr>
      <w:bookmarkStart w:id="28" w:name="_Toc15396602"/>
      <w:bookmarkStart w:id="29" w:name="_Toc15377204"/>
      <w:r>
        <w:rPr>
          <w:rFonts w:hint="eastAsia" w:ascii="仿宋_GB2312" w:hAnsi="仿宋_GB2312" w:eastAsia="仿宋_GB2312" w:cs="仿宋_GB2312"/>
          <w:color w:val="000000"/>
          <w:sz w:val="32"/>
          <w:szCs w:val="32"/>
        </w:rPr>
        <w:t>我单位为独立核算全额拨款行政单位，截止2020年底我单位共有编制27个，其中公务员编制15个，其中行政工勤编制0个，事业工勤编制2个，在职27人，其中参公0人，公务员20人，事业人员10。2020年新录入公务员0人，转入0人，事业编制0人，2020年减少0人，行政工勤0人，退休0人。</w:t>
      </w:r>
      <w:bookmarkEnd w:id="28"/>
      <w:bookmarkEnd w:id="29"/>
    </w:p>
    <w:p>
      <w:pPr>
        <w:pStyle w:val="29"/>
        <w:numPr>
          <w:ilvl w:val="0"/>
          <w:numId w:val="1"/>
        </w:numPr>
        <w:spacing w:line="576" w:lineRule="exact"/>
        <w:ind w:firstLineChars="0"/>
        <w:outlineLvl w:val="1"/>
        <w:rPr>
          <w:rStyle w:val="31"/>
          <w:rFonts w:ascii="黑体" w:hAnsi="黑体" w:eastAsia="黑体"/>
          <w:b w:val="0"/>
        </w:rPr>
      </w:pPr>
      <w:bookmarkStart w:id="30" w:name="_Toc7455"/>
      <w:bookmarkStart w:id="31" w:name="_Toc15396603"/>
      <w:bookmarkStart w:id="32" w:name="_Toc15377205"/>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30"/>
      <w:bookmarkEnd w:id="31"/>
      <w:bookmarkEnd w:id="32"/>
    </w:p>
    <w:p>
      <w:pPr>
        <w:spacing w:line="576" w:lineRule="exact"/>
        <w:ind w:firstLine="640" w:firstLineChars="200"/>
        <w:rPr>
          <w:rFonts w:ascii="仿宋" w:hAnsi="仿宋" w:eastAsia="仿宋"/>
          <w:color w:val="000000" w:themeColor="text1"/>
          <w:sz w:val="32"/>
          <w:szCs w:val="32"/>
        </w:rPr>
      </w:pPr>
      <w:r>
        <w:rPr>
          <w:rFonts w:hint="eastAsia" w:ascii="仿宋" w:hAnsi="仿宋" w:eastAsia="仿宋"/>
          <w:color w:val="000000"/>
          <w:sz w:val="32"/>
          <w:szCs w:val="32"/>
        </w:rPr>
        <w:t>2020年度收入总计695.56万元，支出总计678.70万元。与2019年相比，收入总计增加77.62万元，上涨11</w:t>
      </w:r>
      <w:r>
        <w:rPr>
          <w:rFonts w:ascii="仿宋" w:hAnsi="仿宋" w:eastAsia="仿宋"/>
          <w:color w:val="000000"/>
          <w:sz w:val="32"/>
          <w:szCs w:val="32"/>
        </w:rPr>
        <w:t>%</w:t>
      </w:r>
      <w:r>
        <w:rPr>
          <w:rFonts w:hint="eastAsia" w:ascii="仿宋" w:hAnsi="仿宋" w:eastAsia="仿宋"/>
          <w:color w:val="000000"/>
          <w:sz w:val="32"/>
          <w:szCs w:val="32"/>
        </w:rPr>
        <w:t>，支出总计增加28.19万元，上涨0.04%。主要变动原因是项目增加。</w:t>
      </w: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7"/>
        <w:rPr>
          <w:rFonts w:ascii="仿宋" w:hAnsi="仿宋" w:eastAsia="仿宋"/>
          <w:color w:val="000000" w:themeColor="text1"/>
          <w:sz w:val="32"/>
          <w:szCs w:val="32"/>
        </w:rPr>
      </w:pPr>
    </w:p>
    <w:p>
      <w:r>
        <w:drawing>
          <wp:anchor distT="0" distB="0" distL="114300" distR="114300" simplePos="0" relativeHeight="251661312" behindDoc="0" locked="0" layoutInCell="1" allowOverlap="1">
            <wp:simplePos x="0" y="0"/>
            <wp:positionH relativeFrom="column">
              <wp:posOffset>-109220</wp:posOffset>
            </wp:positionH>
            <wp:positionV relativeFrom="paragraph">
              <wp:posOffset>236855</wp:posOffset>
            </wp:positionV>
            <wp:extent cx="5189855" cy="3170555"/>
            <wp:effectExtent l="4445" t="4445" r="0" b="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jc w:val="left"/>
        <w:rPr>
          <w:rFonts w:ascii="仿宋_GB2312" w:eastAsia="仿宋_GB2312"/>
          <w:color w:val="000000"/>
          <w:sz w:val="32"/>
          <w:szCs w:val="32"/>
        </w:rPr>
      </w:pPr>
    </w:p>
    <w:p>
      <w:pPr>
        <w:pStyle w:val="29"/>
        <w:numPr>
          <w:ilvl w:val="0"/>
          <w:numId w:val="1"/>
        </w:numPr>
        <w:spacing w:line="600" w:lineRule="exact"/>
        <w:ind w:firstLineChars="0"/>
        <w:outlineLvl w:val="1"/>
        <w:rPr>
          <w:rStyle w:val="31"/>
          <w:rFonts w:ascii="黑体" w:hAnsi="黑体" w:eastAsia="黑体"/>
          <w:b w:val="0"/>
        </w:rPr>
      </w:pPr>
      <w:bookmarkStart w:id="33" w:name="_Toc6724"/>
      <w:bookmarkStart w:id="34" w:name="_Toc15377206"/>
      <w:bookmarkStart w:id="35" w:name="_Toc15396604"/>
      <w:r>
        <w:rPr>
          <w:rFonts w:hint="eastAsia" w:ascii="黑体" w:hAnsi="黑体" w:eastAsia="黑体"/>
          <w:color w:val="000000"/>
          <w:sz w:val="32"/>
          <w:szCs w:val="32"/>
        </w:rPr>
        <w:t>收</w:t>
      </w:r>
      <w:r>
        <w:rPr>
          <w:rStyle w:val="31"/>
          <w:rFonts w:hint="eastAsia" w:ascii="黑体" w:hAnsi="黑体" w:eastAsia="黑体"/>
          <w:b w:val="0"/>
        </w:rPr>
        <w:t>入决算情况说明</w:t>
      </w:r>
      <w:bookmarkEnd w:id="33"/>
      <w:bookmarkEnd w:id="34"/>
      <w:bookmarkEnd w:id="35"/>
    </w:p>
    <w:p>
      <w:pPr>
        <w:spacing w:line="600" w:lineRule="exact"/>
        <w:ind w:firstLine="640" w:firstLineChars="200"/>
        <w:outlineLvl w:val="1"/>
        <w:rPr>
          <w:rFonts w:ascii="仿宋" w:hAnsi="仿宋" w:eastAsia="仿宋"/>
          <w:color w:val="000000"/>
          <w:sz w:val="32"/>
          <w:szCs w:val="32"/>
        </w:rPr>
      </w:pPr>
      <w:bookmarkStart w:id="36" w:name="_Toc12789"/>
      <w:bookmarkStart w:id="37" w:name="_Toc29935"/>
      <w:bookmarkStart w:id="38" w:name="_Toc1820"/>
      <w:r>
        <w:rPr>
          <w:rFonts w:ascii="仿宋" w:hAnsi="仿宋" w:eastAsia="仿宋"/>
          <w:color w:val="000000"/>
          <w:sz w:val="32"/>
          <w:szCs w:val="32"/>
        </w:rPr>
        <w:t>20</w:t>
      </w:r>
      <w:r>
        <w:rPr>
          <w:rFonts w:hint="eastAsia" w:ascii="仿宋" w:hAnsi="仿宋" w:eastAsia="仿宋"/>
          <w:color w:val="000000"/>
          <w:sz w:val="32"/>
          <w:szCs w:val="32"/>
        </w:rPr>
        <w:t>20年本年收入合计695.56万元，其中：一般公共预算财政拨款收入695.56万元，占100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bookmarkEnd w:id="36"/>
      <w:bookmarkEnd w:id="37"/>
      <w:bookmarkEnd w:id="38"/>
    </w:p>
    <w:p>
      <w:pPr>
        <w:spacing w:line="600" w:lineRule="exact"/>
        <w:ind w:firstLine="960" w:firstLineChars="3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pStyle w:val="17"/>
        <w:ind w:firstLine="0" w:firstLineChars="0"/>
      </w:pPr>
      <w:r>
        <w:drawing>
          <wp:inline distT="0" distB="0" distL="114300" distR="114300">
            <wp:extent cx="4542790" cy="2351405"/>
            <wp:effectExtent l="4445" t="4445" r="5715" b="635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color w:val="FF0000"/>
          <w:sz w:val="32"/>
          <w:szCs w:val="32"/>
        </w:rPr>
      </w:pPr>
    </w:p>
    <w:p>
      <w:pPr>
        <w:pStyle w:val="29"/>
        <w:numPr>
          <w:ilvl w:val="0"/>
          <w:numId w:val="1"/>
        </w:numPr>
        <w:spacing w:line="600" w:lineRule="exact"/>
        <w:ind w:firstLineChars="0"/>
        <w:outlineLvl w:val="1"/>
        <w:rPr>
          <w:rStyle w:val="31"/>
          <w:rFonts w:ascii="黑体" w:hAnsi="黑体" w:eastAsia="黑体"/>
          <w:b w:val="0"/>
        </w:rPr>
      </w:pPr>
      <w:bookmarkStart w:id="39" w:name="_Toc15396605"/>
      <w:bookmarkStart w:id="40" w:name="_Toc15377207"/>
      <w:bookmarkStart w:id="41" w:name="_Toc19762"/>
      <w:r>
        <w:rPr>
          <w:rFonts w:hint="eastAsia" w:ascii="黑体" w:hAnsi="黑体" w:eastAsia="黑体"/>
          <w:color w:val="000000"/>
          <w:sz w:val="32"/>
          <w:szCs w:val="32"/>
        </w:rPr>
        <w:t>支</w:t>
      </w:r>
      <w:r>
        <w:rPr>
          <w:rStyle w:val="31"/>
          <w:rFonts w:hint="eastAsia" w:ascii="黑体" w:hAnsi="黑体" w:eastAsia="黑体"/>
          <w:b w:val="0"/>
        </w:rPr>
        <w:t>出决算情况说明</w:t>
      </w:r>
      <w:bookmarkEnd w:id="39"/>
      <w:bookmarkEnd w:id="40"/>
      <w:bookmarkEnd w:id="41"/>
    </w:p>
    <w:p>
      <w:pPr>
        <w:spacing w:line="600" w:lineRule="exact"/>
        <w:ind w:firstLine="640" w:firstLineChars="200"/>
        <w:outlineLvl w:val="1"/>
        <w:rPr>
          <w:rFonts w:ascii="仿宋" w:hAnsi="仿宋" w:eastAsia="仿宋"/>
          <w:color w:val="000000"/>
          <w:sz w:val="32"/>
          <w:szCs w:val="32"/>
        </w:rPr>
      </w:pPr>
      <w:bookmarkStart w:id="42" w:name="_Toc25982"/>
      <w:bookmarkStart w:id="43" w:name="_Toc31017"/>
      <w:bookmarkStart w:id="44" w:name="_Toc30411"/>
      <w:r>
        <w:rPr>
          <w:rFonts w:ascii="仿宋" w:hAnsi="仿宋" w:eastAsia="仿宋"/>
          <w:color w:val="000000"/>
          <w:sz w:val="32"/>
          <w:szCs w:val="32"/>
        </w:rPr>
        <w:t>20</w:t>
      </w:r>
      <w:r>
        <w:rPr>
          <w:rFonts w:hint="eastAsia" w:ascii="仿宋" w:hAnsi="仿宋" w:eastAsia="仿宋"/>
          <w:color w:val="000000"/>
          <w:sz w:val="32"/>
          <w:szCs w:val="32"/>
        </w:rPr>
        <w:t>20年本年支出合计678.70万元，其中：基本支出510.83万元，占75</w:t>
      </w:r>
      <w:r>
        <w:rPr>
          <w:rFonts w:ascii="仿宋" w:hAnsi="仿宋" w:eastAsia="仿宋"/>
          <w:color w:val="000000"/>
          <w:sz w:val="32"/>
          <w:szCs w:val="32"/>
        </w:rPr>
        <w:t>%</w:t>
      </w:r>
      <w:r>
        <w:rPr>
          <w:rFonts w:hint="eastAsia" w:ascii="仿宋" w:hAnsi="仿宋" w:eastAsia="仿宋"/>
          <w:color w:val="000000"/>
          <w:sz w:val="32"/>
          <w:szCs w:val="32"/>
        </w:rPr>
        <w:t>；项目支出167.87万元，占25</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bookmarkEnd w:id="42"/>
      <w:bookmarkEnd w:id="43"/>
      <w:bookmarkEnd w:id="44"/>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pStyle w:val="17"/>
        <w:ind w:left="0" w:leftChars="0" w:firstLine="0" w:firstLineChars="0"/>
        <w:rPr>
          <w:rFonts w:ascii="仿宋_GB2312" w:eastAsia="仿宋_GB2312"/>
          <w:color w:val="FF0000"/>
          <w:sz w:val="32"/>
          <w:szCs w:val="32"/>
        </w:rPr>
      </w:pPr>
      <w:r>
        <w:drawing>
          <wp:anchor distT="0" distB="0" distL="114300" distR="114300" simplePos="0" relativeHeight="251662336" behindDoc="0" locked="0" layoutInCell="1" allowOverlap="1">
            <wp:simplePos x="0" y="0"/>
            <wp:positionH relativeFrom="column">
              <wp:posOffset>109220</wp:posOffset>
            </wp:positionH>
            <wp:positionV relativeFrom="paragraph">
              <wp:posOffset>95885</wp:posOffset>
            </wp:positionV>
            <wp:extent cx="4828540" cy="2866390"/>
            <wp:effectExtent l="4445" t="4445" r="5715" b="5715"/>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numPr>
          <w:ilvl w:val="0"/>
          <w:numId w:val="1"/>
        </w:numPr>
        <w:spacing w:line="600" w:lineRule="exact"/>
        <w:outlineLvl w:val="1"/>
        <w:rPr>
          <w:rStyle w:val="31"/>
          <w:rFonts w:ascii="黑体" w:hAnsi="黑体" w:eastAsia="黑体"/>
          <w:b w:val="0"/>
        </w:rPr>
      </w:pPr>
      <w:bookmarkStart w:id="45" w:name="_Toc15396606"/>
      <w:bookmarkStart w:id="46" w:name="_Toc15377208"/>
      <w:bookmarkStart w:id="47" w:name="_Toc27590"/>
      <w:r>
        <w:rPr>
          <w:rFonts w:hint="eastAsia" w:ascii="黑体" w:hAnsi="黑体" w:eastAsia="黑体"/>
          <w:color w:val="000000"/>
          <w:sz w:val="32"/>
          <w:szCs w:val="32"/>
        </w:rPr>
        <w:t>财</w:t>
      </w:r>
      <w:r>
        <w:rPr>
          <w:rStyle w:val="31"/>
          <w:rFonts w:hint="eastAsia" w:ascii="黑体" w:hAnsi="黑体" w:eastAsia="黑体"/>
          <w:b w:val="0"/>
        </w:rPr>
        <w:t>政拨款收入支出决算总体情况说明</w:t>
      </w:r>
      <w:bookmarkEnd w:id="45"/>
      <w:bookmarkEnd w:id="46"/>
      <w:bookmarkEnd w:id="47"/>
    </w:p>
    <w:p>
      <w:pPr>
        <w:pStyle w:val="12"/>
        <w:ind w:left="640"/>
      </w:pPr>
    </w:p>
    <w:p>
      <w:pPr>
        <w:spacing w:line="600" w:lineRule="exact"/>
        <w:ind w:firstLine="640"/>
      </w:pPr>
      <w:r>
        <w:rPr>
          <w:rFonts w:ascii="仿宋" w:hAnsi="仿宋" w:eastAsia="仿宋"/>
          <w:color w:val="000000"/>
          <w:sz w:val="32"/>
          <w:szCs w:val="32"/>
        </w:rPr>
        <w:t>20</w:t>
      </w:r>
      <w:r>
        <w:rPr>
          <w:rFonts w:hint="eastAsia" w:ascii="仿宋" w:hAnsi="仿宋" w:eastAsia="仿宋"/>
          <w:color w:val="000000"/>
          <w:sz w:val="32"/>
          <w:szCs w:val="32"/>
        </w:rPr>
        <w:t>20年财政拨款收入总计695.56万元，支出总计678.70万元。与2019年相比，财政拨款收入总计收入增加77.62万元，上涨11</w:t>
      </w:r>
      <w:r>
        <w:rPr>
          <w:rFonts w:ascii="仿宋" w:hAnsi="仿宋" w:eastAsia="仿宋"/>
          <w:color w:val="000000"/>
          <w:sz w:val="32"/>
          <w:szCs w:val="32"/>
        </w:rPr>
        <w:t>%</w:t>
      </w:r>
      <w:r>
        <w:rPr>
          <w:rFonts w:hint="eastAsia" w:ascii="仿宋" w:hAnsi="仿宋" w:eastAsia="仿宋"/>
          <w:color w:val="000000"/>
          <w:sz w:val="32"/>
          <w:szCs w:val="32"/>
        </w:rPr>
        <w:t>，支出总计增加28.19万元，上涨0.04%。主要变动原因是项目增加。</w:t>
      </w:r>
    </w:p>
    <w:p>
      <w:pPr>
        <w:spacing w:line="600" w:lineRule="exact"/>
      </w:pPr>
      <w:r>
        <w:drawing>
          <wp:anchor distT="0" distB="0" distL="114300" distR="114300" simplePos="0" relativeHeight="251663360" behindDoc="0" locked="0" layoutInCell="1" allowOverlap="1">
            <wp:simplePos x="0" y="0"/>
            <wp:positionH relativeFrom="column">
              <wp:posOffset>61595</wp:posOffset>
            </wp:positionH>
            <wp:positionV relativeFrom="paragraph">
              <wp:posOffset>657860</wp:posOffset>
            </wp:positionV>
            <wp:extent cx="5189855" cy="3170555"/>
            <wp:effectExtent l="4445" t="4445" r="6350" b="635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31"/>
          <w:rFonts w:ascii="黑体" w:hAnsi="黑体" w:eastAsia="黑体"/>
          <w:b w:val="0"/>
        </w:rPr>
      </w:pPr>
      <w:bookmarkStart w:id="48" w:name="_Toc15377209"/>
      <w:bookmarkStart w:id="49" w:name="_Toc987"/>
      <w:bookmarkStart w:id="50"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48"/>
      <w:bookmarkEnd w:id="49"/>
      <w:bookmarkEnd w:id="50"/>
    </w:p>
    <w:p>
      <w:pPr>
        <w:spacing w:line="600" w:lineRule="exact"/>
        <w:ind w:firstLine="643" w:firstLineChars="200"/>
        <w:outlineLvl w:val="2"/>
        <w:rPr>
          <w:rFonts w:ascii="仿宋" w:hAnsi="仿宋" w:eastAsia="仿宋"/>
          <w:b/>
          <w:color w:val="000000"/>
          <w:sz w:val="32"/>
          <w:szCs w:val="32"/>
        </w:rPr>
      </w:pPr>
      <w:bookmarkStart w:id="51" w:name="_Toc15377210"/>
      <w:bookmarkStart w:id="52" w:name="_Toc12673"/>
      <w:r>
        <w:rPr>
          <w:rFonts w:hint="eastAsia" w:ascii="仿宋" w:hAnsi="仿宋" w:eastAsia="仿宋"/>
          <w:b/>
          <w:color w:val="000000"/>
          <w:sz w:val="32"/>
          <w:szCs w:val="32"/>
        </w:rPr>
        <w:t>（一）一般公共预算财政拨款支出决算总体情况</w:t>
      </w:r>
      <w:bookmarkEnd w:id="51"/>
      <w:bookmarkEnd w:id="52"/>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2020年一般公共预算财政拨款支出678.70万元，占本年支出合计的100</w:t>
      </w:r>
      <w:r>
        <w:rPr>
          <w:rFonts w:ascii="仿宋" w:hAnsi="仿宋" w:eastAsia="仿宋"/>
          <w:color w:val="000000"/>
          <w:sz w:val="32"/>
          <w:szCs w:val="32"/>
        </w:rPr>
        <w:t>%</w:t>
      </w:r>
      <w:r>
        <w:rPr>
          <w:rFonts w:hint="eastAsia" w:ascii="仿宋" w:hAnsi="仿宋" w:eastAsia="仿宋"/>
          <w:color w:val="000000"/>
          <w:sz w:val="32"/>
          <w:szCs w:val="32"/>
        </w:rPr>
        <w:t>。与2019年相比，一般公共预算财政拨款增加28.19万元，上涨0.04%。主要变动原因是项目增加。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pStyle w:val="17"/>
      </w:pPr>
      <w:r>
        <w:drawing>
          <wp:inline distT="0" distB="0" distL="114300" distR="114300">
            <wp:extent cx="4572000" cy="2743200"/>
            <wp:effectExtent l="4445" t="4445" r="14605" b="14605"/>
            <wp:docPr id="1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53" w:name="_Toc15377211"/>
      <w:bookmarkStart w:id="54" w:name="_Toc8909"/>
      <w:r>
        <w:rPr>
          <w:rFonts w:hint="eastAsia" w:ascii="仿宋" w:hAnsi="仿宋" w:eastAsia="仿宋"/>
          <w:b/>
          <w:color w:val="000000"/>
          <w:sz w:val="32"/>
          <w:szCs w:val="32"/>
        </w:rPr>
        <w:t>（二）一般公共预算财政拨款支出决算结构情况</w:t>
      </w:r>
      <w:bookmarkEnd w:id="53"/>
      <w:bookmarkEnd w:id="5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sz w:val="32"/>
          <w:szCs w:val="32"/>
        </w:rPr>
        <w:t>678.70</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color w:val="000000" w:themeColor="text1"/>
          <w:sz w:val="32"/>
          <w:szCs w:val="32"/>
        </w:rPr>
        <w:t>一般公共服务（类）支出414.87万元，占61%；公共安全支出0.23万元，占0.03%；文化旅游体育与传媒（类）支出4万元，占0.6%；社会保障和就业（类）支出88.27万元，占13%；卫生健康支出27.24万元，占4%；城乡社区支出6.92万元，占1.07%；农林水支出96.65万元，占14.3%；住房保障支出40.53万元，占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color w:val="000000"/>
          <w:sz w:val="32"/>
          <w:szCs w:val="32"/>
        </w:rPr>
        <w:t>（图6：一般公共预算财政拨款支出决算结构）（饼状图）</w:t>
      </w:r>
    </w:p>
    <w:p>
      <w:pPr>
        <w:pStyle w:val="17"/>
        <w:ind w:firstLine="0" w:firstLineChars="0"/>
        <w:rPr>
          <w:rFonts w:ascii="仿宋" w:hAnsi="仿宋" w:eastAsia="仿宋"/>
          <w:color w:val="000000"/>
          <w:sz w:val="32"/>
          <w:szCs w:val="32"/>
        </w:rPr>
      </w:pPr>
      <w:r>
        <w:drawing>
          <wp:inline distT="0" distB="0" distL="114300" distR="114300">
            <wp:extent cx="4572000" cy="2743200"/>
            <wp:effectExtent l="4445" t="4445" r="14605" b="14605"/>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outlineLvl w:val="2"/>
        <w:rPr>
          <w:rFonts w:ascii="仿宋" w:hAnsi="仿宋" w:eastAsia="仿宋"/>
          <w:b/>
          <w:color w:val="000000"/>
          <w:sz w:val="32"/>
          <w:szCs w:val="32"/>
        </w:rPr>
      </w:pPr>
      <w:bookmarkStart w:id="55" w:name="_Toc15377212"/>
      <w:bookmarkStart w:id="56" w:name="_Toc3170"/>
      <w:r>
        <w:rPr>
          <w:rFonts w:hint="eastAsia" w:ascii="仿宋" w:hAnsi="仿宋" w:eastAsia="仿宋"/>
          <w:b/>
          <w:color w:val="000000"/>
          <w:sz w:val="32"/>
          <w:szCs w:val="32"/>
        </w:rPr>
        <w:t>（三）一般公共预算财政拨款支出决算具体情况</w:t>
      </w:r>
      <w:bookmarkEnd w:id="55"/>
      <w:bookmarkEnd w:id="56"/>
    </w:p>
    <w:p>
      <w:pPr>
        <w:spacing w:line="600" w:lineRule="exact"/>
        <w:ind w:firstLine="643" w:firstLineChars="200"/>
        <w:outlineLvl w:val="2"/>
        <w:rPr>
          <w:rFonts w:ascii="仿宋" w:hAnsi="仿宋" w:eastAsia="仿宋" w:cs="仿宋"/>
          <w:color w:val="FF0000"/>
          <w:sz w:val="32"/>
          <w:szCs w:val="32"/>
        </w:rPr>
      </w:pPr>
      <w:bookmarkStart w:id="57" w:name="_Toc15377444"/>
      <w:bookmarkStart w:id="58" w:name="_Toc15377213"/>
      <w:bookmarkStart w:id="59" w:name="_Toc9371"/>
      <w:bookmarkStart w:id="60" w:name="_Toc15378460"/>
      <w:bookmarkStart w:id="61" w:name="_Toc18179"/>
      <w:bookmarkStart w:id="62" w:name="_Toc21160"/>
      <w:r>
        <w:rPr>
          <w:rFonts w:hint="eastAsia" w:ascii="仿宋" w:hAnsi="仿宋" w:eastAsia="仿宋" w:cs="仿宋"/>
          <w:b/>
          <w:color w:val="000000" w:themeColor="text1"/>
          <w:sz w:val="32"/>
          <w:szCs w:val="32"/>
        </w:rPr>
        <w:t>2020年一般公共预算支出决算数为678.70万元</w:t>
      </w:r>
      <w:r>
        <w:rPr>
          <w:rFonts w:hint="eastAsia" w:ascii="仿宋" w:hAnsi="仿宋" w:eastAsia="仿宋" w:cs="仿宋"/>
          <w:color w:val="000000" w:themeColor="text1"/>
          <w:sz w:val="32"/>
          <w:szCs w:val="32"/>
        </w:rPr>
        <w:t>，</w:t>
      </w:r>
      <w:r>
        <w:rPr>
          <w:rStyle w:val="20"/>
          <w:rFonts w:hint="eastAsia" w:ascii="仿宋" w:hAnsi="仿宋" w:eastAsia="仿宋" w:cs="仿宋"/>
          <w:bCs/>
          <w:color w:val="000000" w:themeColor="text1"/>
          <w:sz w:val="32"/>
          <w:szCs w:val="32"/>
        </w:rPr>
        <w:t>完成</w:t>
      </w:r>
      <w:r>
        <w:rPr>
          <w:rStyle w:val="20"/>
          <w:rFonts w:hint="eastAsia" w:ascii="仿宋" w:hAnsi="仿宋" w:eastAsia="仿宋" w:cs="仿宋"/>
          <w:bCs/>
          <w:color w:val="000000"/>
          <w:sz w:val="32"/>
          <w:szCs w:val="32"/>
        </w:rPr>
        <w:t>预算100%。其中：</w:t>
      </w:r>
      <w:bookmarkEnd w:id="57"/>
      <w:bookmarkEnd w:id="58"/>
      <w:bookmarkEnd w:id="59"/>
      <w:bookmarkEnd w:id="60"/>
      <w:bookmarkEnd w:id="61"/>
      <w:bookmarkEnd w:id="62"/>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1.一般公共服务支出201：支出决算为414.87万元，完成预算100%。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（1）人大事务行政运行20101 01: 支出决算为15.66万元，完成预算100%。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 （2）政府办公厅（室）及相关机构事务行政运行20103 01：支出决算为189.77万元，完成预算100%。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（3）政府办公厅（室）及相关机构事务一般行政管理事务20103 02：支出决算为25.63万元，完成预算100%。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（4）政府办公厅（室）及相关机构事务事业运行20103 50：支出决算为82.31万元，完成预算100%。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（5）财政事务行政运行20106 01：支出决算为18.56万元，完成预算100%。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（6）党委办公厅（室）及相关机构事务 行政运行20131 01：支出决算为82.93万元，完成预算100%。</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2.公共安全支出204:支出决算为0.23万元，完成预算100%。</w:t>
      </w:r>
    </w:p>
    <w:p>
      <w:pPr>
        <w:pStyle w:val="7"/>
      </w:pPr>
      <w:r>
        <w:rPr>
          <w:rFonts w:hint="eastAsia" w:ascii="仿宋" w:hAnsi="仿宋" w:eastAsia="仿宋"/>
          <w:color w:val="000000"/>
          <w:sz w:val="32"/>
          <w:szCs w:val="32"/>
        </w:rPr>
        <w:t>（1）公共安全支出 其他公共安全204 99 01；支出决算0.23万；支出决算为0.23万元，完成预算100%。</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3.文化旅游体育与传媒支出207：支出决算为4万元，完成预算100%。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（1）文化旅游体育和传媒支出 文化和旅游 其他文化和旅游支出207 01 99；支出决算为4万元，完成预算100%。 </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4.社会保障和就业支出208：支出决算为88.27万元，完成预算100%。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（1）社会保障和就业支出 民政管理事务 基层政权和社区建设208 02 08：支出决算为32.18万元，完成预算100%。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（2）社会保障和就业支出 行政事业单位养老 机关事务基本养老保险缴费支出208 05 05：支出决算为：37.39万元，完成预算100%。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（3）社会保障好就业支出 行政事业单位养老 机关事业单位职业年金缴费支出208 05 06：支出决算为18.7万元，完成预算100%。</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5.卫生健康支出210：支出决算为27.24万元，完成预算100%。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（1）卫生健康支出 公共卫生 其他公共卫生支出210 04 99：支出决算为2.26万元，完成预算100%。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（2）卫生健康支出 行政事业单位医疗 行政单位医疗210 11 01：支出决算为20.32万元，完成预算100%。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（3）卫生健康支出 行政事业单位医疗 公务员医疗补助210 11 03：支出决算为4.65万元，完成预算100%。</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6.城乡社区支出212：支出决算6.92万元，完成预算100%。</w:t>
      </w:r>
    </w:p>
    <w:p>
      <w:pPr>
        <w:pStyle w:val="7"/>
      </w:pPr>
      <w:r>
        <w:rPr>
          <w:rFonts w:hint="eastAsia" w:ascii="仿宋" w:hAnsi="仿宋" w:eastAsia="仿宋"/>
          <w:color w:val="000000"/>
          <w:sz w:val="32"/>
          <w:szCs w:val="32"/>
        </w:rPr>
        <w:t>（1）城乡社区支出 城乡社区环境卫生 城乡社区环境卫生212 05 01：支出决算为6.92万元，完成预算100%。</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7.农林水支出213：支出决算96.65万元，完成预算100%。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（1）农林水 扶贫 农村基础设施建设213 05 04：支出决算为38.78万元，完成预算100%。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（2）农林水 扶贫  生产发展213 05 05;支出决算为2.65万元，完成预算100%。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（3）农林水 扶贫 其他扶贫支出213 05 99：支出决算为5.57万元，完成预算100%。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（4）农林水 农村综合改革 对村民委员会和村党支部的补助213 07 05：支出决算49.66万元，完成预算100%。</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8.住房保障支出221：支出决算为40.53万元，完成预算100%。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（1）住房保障支出 住房改革支出 住房公积金221 02 01：支出决算为40.53万元，完成预算100%。</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31"/>
        </w:rPr>
      </w:pPr>
      <w:bookmarkStart w:id="63" w:name="_Toc15396608"/>
      <w:bookmarkStart w:id="64" w:name="_Toc15377214"/>
      <w:bookmarkStart w:id="65" w:name="_Toc1135"/>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63"/>
      <w:bookmarkEnd w:id="64"/>
      <w:bookmarkEnd w:id="65"/>
      <w:r>
        <w:rPr>
          <w:rStyle w:val="31"/>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2020年一般公共预算财政拨款基本支出510.83万元，其中：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473.50万元，主要包括：基本工资80.89万元、津贴补贴193.50万元、奖金63.05万元、绩效工资6.63万元、机关事业单位基本养老保险缴费37.39万元、职业年金缴费18.7万元、职工基本医疗保险缴费20.32万元、公务员医疗补助缴费4.65万元、其他社会保障缴费5.15万元、住房公积金40.53万元、医疗费2.68万元，对个人和家庭的补助2.15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35.18万元，主要包括：办公费12.24万元、印刷费3.3万元、手续费0.15万元、电费3.8万元、邮电费2.5万元、取暖费1.5万元、差旅费2万元、维修（护）费0.98万元、培训费1.51万元、公务接待费0.1万元、劳务费0.5万元、公务用车运行维护费6.6万元。</w:t>
      </w:r>
    </w:p>
    <w:p>
      <w:pPr>
        <w:spacing w:line="600" w:lineRule="exact"/>
        <w:ind w:firstLine="640"/>
        <w:outlineLvl w:val="1"/>
        <w:rPr>
          <w:rStyle w:val="31"/>
          <w:rFonts w:ascii="黑体" w:hAnsi="黑体" w:eastAsia="黑体"/>
          <w:b w:val="0"/>
        </w:rPr>
      </w:pPr>
      <w:bookmarkStart w:id="66" w:name="_Toc15396609"/>
      <w:bookmarkStart w:id="67" w:name="_Toc30783"/>
      <w:bookmarkStart w:id="68" w:name="_Toc15377215"/>
      <w:r>
        <w:rPr>
          <w:rFonts w:hint="eastAsia" w:ascii="黑体" w:eastAsia="黑体"/>
          <w:color w:val="000000"/>
          <w:sz w:val="32"/>
          <w:szCs w:val="32"/>
        </w:rPr>
        <w:t>七、</w:t>
      </w:r>
      <w:r>
        <w:rPr>
          <w:rStyle w:val="31"/>
          <w:rFonts w:hint="eastAsia" w:ascii="黑体" w:hAnsi="黑体" w:eastAsia="黑体"/>
        </w:rPr>
        <w:t>“</w:t>
      </w:r>
      <w:r>
        <w:rPr>
          <w:rStyle w:val="31"/>
          <w:rFonts w:hint="eastAsia" w:ascii="黑体" w:hAnsi="黑体" w:eastAsia="黑体"/>
          <w:b w:val="0"/>
        </w:rPr>
        <w:t>三公”经费财政拨款支出决算情况说明</w:t>
      </w:r>
      <w:bookmarkEnd w:id="66"/>
      <w:bookmarkEnd w:id="67"/>
      <w:bookmarkEnd w:id="68"/>
    </w:p>
    <w:p>
      <w:pPr>
        <w:spacing w:line="600" w:lineRule="exact"/>
        <w:ind w:firstLine="640"/>
        <w:outlineLvl w:val="2"/>
        <w:rPr>
          <w:rFonts w:ascii="仿宋" w:hAnsi="仿宋" w:eastAsia="仿宋"/>
          <w:b/>
          <w:color w:val="000000"/>
          <w:sz w:val="32"/>
          <w:szCs w:val="32"/>
        </w:rPr>
      </w:pPr>
      <w:bookmarkStart w:id="69" w:name="_Toc15377216"/>
      <w:bookmarkStart w:id="70" w:name="_Toc31889"/>
      <w:r>
        <w:rPr>
          <w:rFonts w:hint="eastAsia" w:ascii="仿宋" w:hAnsi="仿宋" w:eastAsia="仿宋"/>
          <w:b/>
          <w:color w:val="000000"/>
          <w:sz w:val="32"/>
          <w:szCs w:val="32"/>
        </w:rPr>
        <w:t>（一）“三公”经费财政拨款支出决算总体情况说明</w:t>
      </w:r>
      <w:bookmarkEnd w:id="69"/>
      <w:bookmarkEnd w:id="70"/>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2020年“三公”经费财政拨款支出决算为6.7万元，完成预算100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71" w:name="_Toc15377217"/>
      <w:bookmarkStart w:id="72" w:name="_Toc7882"/>
      <w:r>
        <w:rPr>
          <w:rFonts w:hint="eastAsia" w:ascii="仿宋" w:hAnsi="仿宋" w:eastAsia="仿宋"/>
          <w:b/>
          <w:color w:val="000000"/>
          <w:sz w:val="32"/>
          <w:szCs w:val="32"/>
        </w:rPr>
        <w:t>（二）“三公”经费财政拨款支出决算具体情况说明</w:t>
      </w:r>
      <w:bookmarkEnd w:id="71"/>
      <w:bookmarkEnd w:id="7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020年“三公”经费财政拨款支出决算中，因公出国（境）费支出决算0万元，占0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；公务用车购置及运行维护费支出决算6.6万元，占98</w:t>
      </w:r>
      <w:r>
        <w:rPr>
          <w:rFonts w:ascii="仿宋" w:hAnsi="仿宋" w:eastAsia="仿宋"/>
          <w:color w:val="000000"/>
          <w:sz w:val="32"/>
          <w:szCs w:val="32"/>
        </w:rPr>
        <w:t>%</w:t>
      </w:r>
      <w:r>
        <w:rPr>
          <w:rFonts w:hint="eastAsia" w:ascii="仿宋" w:hAnsi="仿宋" w:eastAsia="仿宋"/>
          <w:color w:val="000000"/>
          <w:sz w:val="32"/>
          <w:szCs w:val="32"/>
        </w:rPr>
        <w:t>；公务接待费支出决算0.1万元，占0.2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7"/>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0"/>
          <w:rFonts w:hint="eastAsia" w:ascii="仿宋" w:hAnsi="仿宋" w:eastAsia="仿宋"/>
          <w:b w:val="0"/>
          <w:bCs/>
          <w:color w:val="000000"/>
          <w:sz w:val="32"/>
          <w:szCs w:val="32"/>
        </w:rPr>
        <w:t>完成预算0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9年持平。</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6.6万元,</w:t>
      </w:r>
      <w:r>
        <w:rPr>
          <w:rStyle w:val="20"/>
          <w:rFonts w:hint="eastAsia" w:ascii="仿宋" w:hAnsi="仿宋" w:eastAsia="仿宋"/>
          <w:b w:val="0"/>
          <w:bCs/>
          <w:color w:val="000000"/>
          <w:sz w:val="32"/>
          <w:szCs w:val="32"/>
        </w:rPr>
        <w:t>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9年持平。</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1</w:t>
      </w:r>
      <w:r>
        <w:rPr>
          <w:rFonts w:hint="eastAsia" w:ascii="仿宋_GB2312" w:eastAsia="仿宋_GB2312"/>
          <w:color w:val="000000"/>
          <w:sz w:val="32"/>
          <w:szCs w:val="32"/>
        </w:rPr>
        <w:t>辆、机要通信用车0辆、应急保障用车0辆、 执法执勤用车0辆。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6.6万元。主要用于主要用于到县城开会、办事等所需的公务用车燃料费、维修费、保险费等支出。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1万元，</w:t>
      </w:r>
      <w:r>
        <w:rPr>
          <w:rStyle w:val="20"/>
          <w:rFonts w:hint="eastAsia" w:ascii="仿宋" w:hAnsi="仿宋" w:eastAsia="仿宋"/>
          <w:b w:val="0"/>
          <w:bCs/>
          <w:color w:val="000000"/>
          <w:sz w:val="32"/>
          <w:szCs w:val="32"/>
        </w:rPr>
        <w:t>完成预算0.2</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9年增加1000元，上涨0.2%，主要原因为2020年发生公务接待。</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万元，主要用于执行公务、开展业务活动开支的交通费、住宿费、用餐费等。国内公务接待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0</w:t>
      </w:r>
      <w:r>
        <w:rPr>
          <w:rFonts w:hint="eastAsia" w:ascii="仿宋_GB2312" w:eastAsia="仿宋_GB2312"/>
          <w:color w:val="000000"/>
          <w:sz w:val="32"/>
          <w:szCs w:val="32"/>
        </w:rPr>
        <w:t>。其中：</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r>
        <w:rPr>
          <w:rFonts w:ascii="仿宋_GB2312" w:eastAsia="仿宋_GB2312"/>
          <w:color w:val="000000"/>
          <w:sz w:val="32"/>
          <w:szCs w:val="32"/>
        </w:rPr>
        <w:t>0</w:t>
      </w:r>
      <w:bookmarkStart w:id="73" w:name="_Toc15396610"/>
      <w:bookmarkStart w:id="74" w:name="_Toc15377218"/>
    </w:p>
    <w:p>
      <w:pPr>
        <w:spacing w:line="600" w:lineRule="exact"/>
        <w:ind w:firstLine="640"/>
        <w:outlineLvl w:val="1"/>
        <w:rPr>
          <w:rStyle w:val="31"/>
          <w:rFonts w:ascii="黑体" w:hAnsi="黑体" w:eastAsia="黑体"/>
        </w:rPr>
      </w:pPr>
      <w:bookmarkStart w:id="75" w:name="_Toc32581"/>
      <w:r>
        <w:rPr>
          <w:rFonts w:hint="eastAsia" w:ascii="黑体" w:eastAsia="黑体"/>
          <w:color w:val="000000"/>
          <w:sz w:val="32"/>
          <w:szCs w:val="32"/>
        </w:rPr>
        <w:t>八、</w:t>
      </w:r>
      <w:r>
        <w:rPr>
          <w:rStyle w:val="31"/>
          <w:rFonts w:hint="eastAsia" w:ascii="黑体" w:hAnsi="黑体" w:eastAsia="黑体"/>
          <w:b w:val="0"/>
        </w:rPr>
        <w:t>政府性基金预算支出决算情况说明</w:t>
      </w:r>
      <w:bookmarkEnd w:id="73"/>
      <w:bookmarkEnd w:id="74"/>
      <w:bookmarkEnd w:id="7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3"/>
        </w:numPr>
        <w:spacing w:line="600" w:lineRule="exact"/>
        <w:ind w:firstLine="640"/>
        <w:outlineLvl w:val="1"/>
        <w:rPr>
          <w:rStyle w:val="31"/>
          <w:rFonts w:ascii="黑体" w:hAnsi="黑体" w:eastAsia="黑体"/>
          <w:b w:val="0"/>
        </w:rPr>
      </w:pPr>
      <w:bookmarkStart w:id="76" w:name="_Toc19023"/>
      <w:bookmarkStart w:id="77" w:name="_Toc15377219"/>
      <w:bookmarkStart w:id="78" w:name="_Toc15396611"/>
      <w:r>
        <w:rPr>
          <w:rStyle w:val="31"/>
          <w:rFonts w:hint="eastAsia" w:ascii="黑体" w:hAnsi="黑体" w:eastAsia="黑体"/>
          <w:b w:val="0"/>
        </w:rPr>
        <w:t>国有资本经营预算支出决算情况说明</w:t>
      </w:r>
      <w:bookmarkEnd w:id="76"/>
      <w:bookmarkEnd w:id="77"/>
      <w:bookmarkEnd w:id="78"/>
    </w:p>
    <w:p>
      <w:pPr>
        <w:spacing w:line="600" w:lineRule="exact"/>
        <w:ind w:firstLine="640"/>
        <w:rPr>
          <w:rFonts w:ascii="方正小标宋简体" w:hAnsi="方正小标宋简体" w:eastAsia="仿宋_GB2312" w:cs="方正小标宋简体"/>
          <w:sz w:val="44"/>
          <w:szCs w:val="44"/>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spacing w:line="600" w:lineRule="exact"/>
        <w:ind w:firstLine="800" w:firstLineChars="250"/>
        <w:outlineLvl w:val="1"/>
        <w:rPr>
          <w:rStyle w:val="31"/>
          <w:rFonts w:ascii="黑体" w:hAnsi="黑体" w:eastAsia="黑体"/>
        </w:rPr>
      </w:pPr>
      <w:bookmarkStart w:id="79" w:name="_Toc7671"/>
      <w:bookmarkStart w:id="80" w:name="_Toc15377221"/>
      <w:bookmarkStart w:id="81" w:name="_Toc15396612"/>
      <w:r>
        <w:rPr>
          <w:rFonts w:hint="eastAsia" w:ascii="黑体" w:hAnsi="黑体" w:eastAsia="黑体"/>
          <w:color w:val="000000"/>
          <w:sz w:val="32"/>
          <w:szCs w:val="32"/>
        </w:rPr>
        <w:t>十</w:t>
      </w:r>
      <w:r>
        <w:rPr>
          <w:rStyle w:val="31"/>
          <w:rFonts w:hint="eastAsia" w:ascii="黑体" w:hAnsi="黑体" w:eastAsia="黑体"/>
        </w:rPr>
        <w:t>、</w:t>
      </w:r>
      <w:r>
        <w:rPr>
          <w:rStyle w:val="31"/>
          <w:rFonts w:hint="eastAsia" w:ascii="黑体" w:hAnsi="黑体" w:eastAsia="黑体"/>
          <w:b w:val="0"/>
        </w:rPr>
        <w:t>其他重要事项的情况说明</w:t>
      </w:r>
      <w:bookmarkEnd w:id="79"/>
      <w:bookmarkEnd w:id="80"/>
      <w:bookmarkEnd w:id="81"/>
    </w:p>
    <w:p>
      <w:pPr>
        <w:spacing w:line="600" w:lineRule="exact"/>
        <w:ind w:firstLine="643" w:firstLineChars="200"/>
        <w:outlineLvl w:val="2"/>
        <w:rPr>
          <w:rFonts w:ascii="仿宋" w:hAnsi="仿宋" w:eastAsia="仿宋"/>
          <w:color w:val="000000"/>
          <w:sz w:val="32"/>
          <w:szCs w:val="32"/>
        </w:rPr>
      </w:pPr>
      <w:bookmarkStart w:id="82" w:name="_Toc22046"/>
      <w:bookmarkStart w:id="83" w:name="_Toc15377222"/>
      <w:r>
        <w:rPr>
          <w:rFonts w:hint="eastAsia" w:ascii="仿宋" w:hAnsi="仿宋" w:eastAsia="仿宋"/>
          <w:b/>
          <w:color w:val="000000"/>
          <w:sz w:val="32"/>
          <w:szCs w:val="32"/>
        </w:rPr>
        <w:t>（一）机关运行经费支出情况</w:t>
      </w:r>
      <w:bookmarkEnd w:id="82"/>
      <w:bookmarkEnd w:id="83"/>
    </w:p>
    <w:p>
      <w:pPr>
        <w:spacing w:line="600" w:lineRule="exact"/>
        <w:ind w:firstLine="640"/>
        <w:rPr>
          <w:rFonts w:ascii="仿宋_GB2312" w:eastAsia="仿宋_GB2312"/>
          <w:b/>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20年，江茸乡机关运行经费支出6.6万元，用于公务用车运行维护费，与2019年持平。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4" w:name="_Toc24571"/>
      <w:bookmarkStart w:id="85" w:name="_Toc15377223"/>
      <w:r>
        <w:rPr>
          <w:rFonts w:hint="eastAsia" w:ascii="仿宋" w:hAnsi="仿宋" w:eastAsia="仿宋"/>
          <w:b/>
          <w:color w:val="000000"/>
          <w:sz w:val="32"/>
          <w:szCs w:val="32"/>
        </w:rPr>
        <w:t>（二）政府采购支出情况</w:t>
      </w:r>
      <w:bookmarkEnd w:id="84"/>
      <w:bookmarkEnd w:id="85"/>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2020年，江茸乡政府采购支出总额0万元，其中：政府采购货物支出0万元、政府采购工程支出0万元、政府采购服务支出0万元。授予中小企业合同金额0万元，占政府采购支出总额的0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6" w:name="_Toc15377224"/>
      <w:bookmarkStart w:id="87" w:name="_Toc2140"/>
      <w:r>
        <w:rPr>
          <w:rFonts w:hint="eastAsia" w:ascii="仿宋" w:hAnsi="仿宋" w:eastAsia="仿宋"/>
          <w:b/>
          <w:color w:val="000000"/>
          <w:sz w:val="32"/>
          <w:szCs w:val="32"/>
        </w:rPr>
        <w:t>（三）国有资产占有使用情况</w:t>
      </w:r>
      <w:bookmarkEnd w:id="86"/>
      <w:bookmarkEnd w:id="87"/>
    </w:p>
    <w:p>
      <w:pPr>
        <w:autoSpaceDE w:val="0"/>
        <w:autoSpaceDN w:val="0"/>
        <w:adjustRightInd w:val="0"/>
        <w:spacing w:line="60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themeColor="text1"/>
          <w:sz w:val="32"/>
          <w:szCs w:val="32"/>
        </w:rPr>
        <w:t>江茸乡共有车辆</w:t>
      </w:r>
      <w:r>
        <w:rPr>
          <w:rFonts w:ascii="仿宋_GB2312" w:eastAsia="仿宋_GB2312"/>
          <w:color w:val="000000" w:themeColor="text1"/>
          <w:sz w:val="32"/>
          <w:szCs w:val="32"/>
        </w:rPr>
        <w:t>2</w:t>
      </w:r>
      <w:r>
        <w:rPr>
          <w:rFonts w:hint="eastAsia" w:ascii="仿宋_GB2312" w:eastAsia="仿宋_GB2312"/>
          <w:color w:val="000000" w:themeColor="text1"/>
          <w:sz w:val="32"/>
          <w:szCs w:val="32"/>
        </w:rPr>
        <w:t>辆，其中：部级领导干部用车</w:t>
      </w:r>
      <w:r>
        <w:rPr>
          <w:rFonts w:ascii="仿宋_GB2312" w:eastAsia="仿宋_GB2312"/>
          <w:color w:val="000000" w:themeColor="text1"/>
          <w:sz w:val="32"/>
          <w:szCs w:val="32"/>
        </w:rPr>
        <w:t>0</w:t>
      </w:r>
      <w:r>
        <w:rPr>
          <w:rFonts w:hint="eastAsia" w:ascii="仿宋_GB2312" w:eastAsia="仿宋_GB2312"/>
          <w:color w:val="000000" w:themeColor="text1"/>
          <w:sz w:val="32"/>
          <w:szCs w:val="32"/>
        </w:rPr>
        <w:t>辆、一般公务用车</w:t>
      </w:r>
      <w:r>
        <w:rPr>
          <w:rFonts w:ascii="仿宋_GB2312" w:eastAsia="仿宋_GB2312"/>
          <w:color w:val="000000" w:themeColor="text1"/>
          <w:sz w:val="32"/>
          <w:szCs w:val="32"/>
        </w:rPr>
        <w:t>2</w:t>
      </w:r>
      <w:r>
        <w:rPr>
          <w:rFonts w:hint="eastAsia" w:ascii="仿宋_GB2312" w:eastAsia="仿宋_GB2312"/>
          <w:color w:val="000000" w:themeColor="text1"/>
          <w:sz w:val="32"/>
          <w:szCs w:val="32"/>
        </w:rPr>
        <w:t>辆，主要是用于日常出差使用。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8" w:name="_Toc26239"/>
      <w:r>
        <w:rPr>
          <w:rFonts w:hint="eastAsia" w:ascii="仿宋" w:hAnsi="仿宋" w:eastAsia="仿宋"/>
          <w:b/>
          <w:color w:val="000000"/>
          <w:sz w:val="32"/>
          <w:szCs w:val="32"/>
        </w:rPr>
        <w:t>（四）预算绩效管理情况。</w:t>
      </w:r>
      <w:bookmarkEnd w:id="88"/>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根据预算绩效管理要求，本单位在年初预算编制阶段，组织对江茸乡</w:t>
      </w:r>
      <w:r>
        <w:rPr>
          <w:rFonts w:hint="eastAsia" w:ascii="仿宋_GB2312" w:hAnsi="仿宋_GB2312" w:eastAsia="仿宋_GB2312" w:cs="仿宋_GB2312"/>
          <w:bCs/>
          <w:sz w:val="32"/>
          <w:szCs w:val="32"/>
        </w:rPr>
        <w:t>2020年太阳能路灯采购安装项</w:t>
      </w:r>
      <w:r>
        <w:rPr>
          <w:rFonts w:hint="eastAsia" w:ascii="仿宋_GB2312" w:hAnsi="仿宋_GB2312" w:eastAsia="仿宋_GB2312" w:cs="仿宋_GB2312"/>
          <w:sz w:val="32"/>
          <w:szCs w:val="32"/>
        </w:rPr>
        <w:t>目</w:t>
      </w:r>
      <w:r>
        <w:rPr>
          <w:rFonts w:hint="eastAsia" w:ascii="仿宋_GB2312" w:hAnsi="仿宋_GB2312" w:eastAsia="仿宋_GB2312" w:cs="仿宋_GB2312"/>
          <w:color w:val="000000" w:themeColor="text1"/>
          <w:sz w:val="32"/>
          <w:szCs w:val="32"/>
        </w:rPr>
        <w:t>、江宫寺寺庙基础设施维修项目</w:t>
      </w:r>
      <w:r>
        <w:rPr>
          <w:rFonts w:hint="eastAsia" w:ascii="仿宋_GB2312" w:hAnsi="仿宋" w:eastAsia="仿宋_GB2312" w:cs="仿宋"/>
          <w:color w:val="000000" w:themeColor="text1"/>
          <w:sz w:val="32"/>
          <w:szCs w:val="32"/>
        </w:rPr>
        <w:t>、</w:t>
      </w:r>
      <w:r>
        <w:rPr>
          <w:rFonts w:hint="eastAsia" w:ascii="仿宋_GB2312" w:hAnsi="仿宋_GB2312" w:eastAsia="仿宋_GB2312" w:cs="仿宋_GB2312"/>
          <w:sz w:val="32"/>
          <w:szCs w:val="32"/>
        </w:rPr>
        <w:t>2020年红原县江茸乡基层政权附属设施建设项目、红原县江茸乡江宫玛村村民活动中心改造提升项目、红原县江茸乡茸日玛村牧业生产点（草原防火通道）建设项目等开展了预算事前绩效评估，预算执行过程中，选取5个项目开展绩效监控，年终执行完毕后，对5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w:t>
      </w:r>
      <w:r>
        <w:rPr>
          <w:rFonts w:hint="eastAsia" w:ascii="仿宋_GB2312" w:hAnsi="仿宋_GB2312" w:eastAsia="仿宋_GB2312" w:cs="仿宋_GB2312"/>
          <w:bCs/>
          <w:sz w:val="32"/>
          <w:szCs w:val="32"/>
          <w:lang w:val="zh-CN"/>
        </w:rPr>
        <w:t>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val="zh-CN"/>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2.本部门在2020年度部门决算中反映江茸乡</w:t>
      </w:r>
      <w:r>
        <w:rPr>
          <w:rFonts w:hint="eastAsia" w:ascii="仿宋_GB2312" w:hAnsi="仿宋_GB2312" w:eastAsia="仿宋_GB2312" w:cs="仿宋_GB2312"/>
          <w:bCs/>
          <w:sz w:val="32"/>
          <w:szCs w:val="32"/>
        </w:rPr>
        <w:t>2020年太阳能路灯采购安装项</w:t>
      </w:r>
      <w:r>
        <w:rPr>
          <w:rFonts w:hint="eastAsia" w:ascii="仿宋_GB2312" w:hAnsi="仿宋_GB2312" w:eastAsia="仿宋_GB2312" w:cs="仿宋_GB2312"/>
          <w:sz w:val="32"/>
          <w:szCs w:val="32"/>
        </w:rPr>
        <w:t>目</w:t>
      </w:r>
      <w:r>
        <w:rPr>
          <w:rFonts w:hint="eastAsia" w:ascii="仿宋_GB2312" w:hAnsi="仿宋_GB2312" w:eastAsia="仿宋_GB2312" w:cs="仿宋_GB2312"/>
          <w:color w:val="000000" w:themeColor="text1"/>
          <w:sz w:val="32"/>
          <w:szCs w:val="32"/>
        </w:rPr>
        <w:t>、江宫寺寺庙基础设施维修项目</w:t>
      </w:r>
      <w:r>
        <w:rPr>
          <w:rFonts w:hint="eastAsia" w:ascii="仿宋_GB2312" w:hAnsi="仿宋" w:eastAsia="仿宋_GB2312" w:cs="仿宋"/>
          <w:color w:val="000000" w:themeColor="text1"/>
          <w:sz w:val="32"/>
          <w:szCs w:val="32"/>
        </w:rPr>
        <w:t>、</w:t>
      </w:r>
      <w:r>
        <w:rPr>
          <w:rFonts w:hint="eastAsia" w:ascii="仿宋_GB2312" w:hAnsi="仿宋_GB2312" w:eastAsia="仿宋_GB2312" w:cs="仿宋_GB2312"/>
          <w:sz w:val="32"/>
          <w:szCs w:val="32"/>
        </w:rPr>
        <w:t>2020年红原县江茸乡基层政权附属设施建设项目、红原县江茸乡江宫玛村村民活动中心改造提升项目、红原县江茸乡茸日玛村牧业生产点（草原防火通道）建设项目等5个项目绩效目标实际完成情况。</w:t>
      </w:r>
    </w:p>
    <w:p>
      <w:pPr>
        <w:numPr>
          <w:ilvl w:val="0"/>
          <w:numId w:val="4"/>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红原县江茸乡</w:t>
      </w:r>
      <w:r>
        <w:rPr>
          <w:rFonts w:hint="eastAsia" w:ascii="仿宋_GB2312" w:hAnsi="仿宋_GB2312" w:eastAsia="仿宋_GB2312" w:cs="仿宋_GB2312"/>
          <w:bCs/>
          <w:sz w:val="32"/>
          <w:szCs w:val="32"/>
        </w:rPr>
        <w:t>2020年太阳能路灯采购安装项目</w:t>
      </w:r>
      <w:r>
        <w:rPr>
          <w:rFonts w:hint="eastAsia" w:ascii="仿宋_GB2312" w:hAnsi="仿宋_GB2312" w:eastAsia="仿宋_GB2312" w:cs="仿宋_GB2312"/>
          <w:sz w:val="32"/>
          <w:szCs w:val="32"/>
        </w:rPr>
        <w:t>绩效目标完成情况综述。项目全年预算数29.6万元，执行数为29.6万元，完成预算的100%。通过项目实施，江茸乡基础设施改善得到了保障，为牧民群众生产带来了方便，改善群众生活条件，促进社会稳定，使群众长期受益。</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rPr>
              <w:t>江茸乡</w:t>
            </w:r>
            <w:r>
              <w:rPr>
                <w:rFonts w:hint="eastAsia" w:ascii="仿宋_GB2312" w:hAnsi="仿宋_GB2312" w:eastAsia="仿宋_GB2312" w:cs="仿宋_GB2312"/>
                <w:bCs/>
                <w:sz w:val="32"/>
                <w:szCs w:val="32"/>
              </w:rPr>
              <w:t>2020年太阳能路灯采购安装项</w:t>
            </w:r>
            <w:r>
              <w:rPr>
                <w:rFonts w:hint="eastAsia" w:ascii="仿宋_GB2312" w:hAnsi="仿宋_GB2312" w:eastAsia="仿宋_GB2312" w:cs="仿宋_GB2312"/>
                <w:sz w:val="32"/>
                <w:szCs w:val="32"/>
              </w:rPr>
              <w:t>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红原县江茸乡人民政府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29.6</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29.6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29.6</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29.6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改善江茸乡基础设施，为牧民群众生产带来了方便，改善群众生活条件，促进社会稳定，使群众长期受益。</w:t>
            </w:r>
          </w:p>
          <w:p>
            <w:pPr>
              <w:jc w:val="center"/>
              <w:rPr>
                <w:rFonts w:ascii="仿宋_GB2312" w:hAnsi="仿宋_GB2312" w:eastAsia="仿宋_GB2312" w:cs="仿宋_GB2312"/>
                <w:sz w:val="24"/>
              </w:rPr>
            </w:pP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改善江茸乡基础设施，为牧民群众生产带来了方便，改善群众生活条件，促进社会稳定，使群众长期受益。</w:t>
            </w:r>
          </w:p>
          <w:p>
            <w:pPr>
              <w:widowControl/>
              <w:jc w:val="center"/>
              <w:textAlignment w:val="center"/>
              <w:rPr>
                <w:rFonts w:ascii="宋体" w:cs="宋体"/>
                <w:color w:val="000000"/>
                <w:kern w:val="0"/>
                <w:sz w:val="20"/>
                <w:szCs w:val="20"/>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完成设施设备采购建设</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hAnsi="宋?" w:cs="宋?"/>
                <w:sz w:val="20"/>
                <w:szCs w:val="20"/>
              </w:rPr>
              <w:t>基础设施改善得到保障</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hAnsi="宋?" w:cs="宋?"/>
                <w:sz w:val="20"/>
                <w:szCs w:val="20"/>
              </w:rPr>
              <w:t>基础设施改善得到保障</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改善江茸乡基础设施，为牧民群众生产带来了方便，改善群众生活条件，促进社会稳定，使群众长期受益。</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改善江茸乡基础设施，为牧民群众生产带来了方便，改善群众生活条件，促进社会稳定，使群众长期受益。</w:t>
            </w:r>
          </w:p>
          <w:p>
            <w:pPr>
              <w:jc w:val="center"/>
              <w:rPr>
                <w:rFonts w:asci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改善江茸乡基础设施，为牧民群众生产带来了方便，改善群众生活条件，促进社会稳定，使群众长期受益。</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改善江茸乡基础设施，为牧民群众生产带来了方便，改善群众生活条件，促进社会稳定，使群众长期受益。</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7"/>
      </w:pPr>
    </w:p>
    <w:p>
      <w:pPr>
        <w:widowControl/>
        <w:jc w:val="left"/>
        <w:textAlignment w:val="center"/>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t xml:space="preserve">   （2）江宫寺寺庙基础设施维修项目</w:t>
      </w:r>
      <w:r>
        <w:rPr>
          <w:rFonts w:hint="eastAsia" w:ascii="仿宋_GB2312" w:hAnsi="仿宋_GB2312" w:eastAsia="仿宋_GB2312" w:cs="仿宋_GB2312"/>
          <w:sz w:val="32"/>
          <w:szCs w:val="32"/>
        </w:rPr>
        <w:t>绩效目标完成情况综述。项目全年预算数20万元，执行数为20万元，完成预算的100%。通过项目实施，</w:t>
      </w:r>
      <w:r>
        <w:rPr>
          <w:rFonts w:hint="eastAsia" w:ascii="仿宋_GB2312" w:hAnsi="仿宋_GB2312" w:eastAsia="仿宋_GB2312" w:cs="仿宋_GB2312"/>
          <w:color w:val="000000" w:themeColor="text1"/>
          <w:sz w:val="32"/>
          <w:szCs w:val="32"/>
        </w:rPr>
        <w:t>改善江茸乡江宫寺寺庙基础设施，改善僧众生活条件，促进民族团结，使僧众长期受益。</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color w:val="000000" w:themeColor="text1"/>
                <w:sz w:val="32"/>
                <w:szCs w:val="32"/>
              </w:rPr>
              <w:t>江宫寺寺庙基础设施维修项目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红原县江茸乡人民政府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20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20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20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20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改善江茸乡江宫寺寺庙基础设施，改善僧众生活条件，促进民族团结，使僧众长期受益。</w:t>
            </w:r>
          </w:p>
          <w:p>
            <w:pPr>
              <w:rPr>
                <w:rFonts w:ascii="仿宋_GB2312" w:hAnsi="仿宋_GB2312" w:eastAsia="仿宋_GB2312" w:cs="仿宋_GB2312"/>
                <w:sz w:val="24"/>
              </w:rPr>
            </w:pP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改善江茸乡江宫寺寺庙基础设施，改善僧众生活条件，促进民族团结，使僧众长期受益。</w:t>
            </w:r>
          </w:p>
          <w:p>
            <w:pPr>
              <w:widowControl/>
              <w:jc w:val="center"/>
              <w:textAlignment w:val="center"/>
              <w:rPr>
                <w:rFonts w:ascii="宋体" w:cs="宋体"/>
                <w:color w:val="000000"/>
                <w:kern w:val="0"/>
                <w:sz w:val="20"/>
                <w:szCs w:val="20"/>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社会满意效益100%</w:t>
            </w: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大经堂梯步维修：510米。僧房维修11户。柴火棚维修22个</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31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hAnsi="宋?" w:cs="宋?"/>
                <w:sz w:val="20"/>
                <w:szCs w:val="20"/>
              </w:rPr>
              <w:t>改善僧众生活条件</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hAnsi="宋?" w:cs="宋?"/>
                <w:sz w:val="20"/>
                <w:szCs w:val="20"/>
              </w:rPr>
              <w:t>改善僧众生活条件</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改善江茸乡江宫寺寺庙基础设施，改善僧众生活条件，促进民族团结，使僧众长期受益。</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改善江茸乡江宫寺寺庙基础设施，改善僧众生活条件，促进民族团结，使僧众长期受益。</w:t>
            </w:r>
          </w:p>
          <w:p>
            <w:pPr>
              <w:jc w:val="center"/>
              <w:rPr>
                <w:rFonts w:asci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改善江茸乡江宫寺寺庙基础设施，改善僧众生活条件，促进民族团结，使僧众长期受益。</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改善江茸乡江宫寺寺庙基础设施，改善僧众生活条件，促进民族团结，使僧众长期受益。</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7"/>
      </w:pP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2020年红原县江茸乡基层政权附属设施建设项目绩效目标完成情况综述。项目全年预算数63万元，执行数为63万元，完成预算的100%。通过项目实施后，有助于江茸乡进一步统一思想，转变观念，基层政权的不断完善，也方便辖区群众办事。</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rPr>
              <w:t>2020年红原县江茸乡基层政权附属设施建设项目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红原县江茸乡人民政府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63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63</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63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63</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232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江茸乡干部提供良好的工作环境与办公条件,树立良好的行政机关形象,将大大提高江茸乡工作效率,方便群众办事,改善投资环境,为助推全县经济发展有积极的作用。</w:t>
            </w: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江茸乡干部提供良好的工作环境与办公条件,树立良好的行政机关形象,将大大提高江茸乡工作效率,方便群众办事,改善投资环境,为助推全县经济发展有积极的作用。</w:t>
            </w:r>
          </w:p>
          <w:p>
            <w:pPr>
              <w:widowControl/>
              <w:jc w:val="center"/>
              <w:textAlignment w:val="center"/>
              <w:rPr>
                <w:rFonts w:ascii="宋体" w:cs="宋体"/>
                <w:color w:val="000000"/>
                <w:kern w:val="0"/>
                <w:sz w:val="20"/>
                <w:szCs w:val="20"/>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41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提高工作效率</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提高工作效率</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hAnsi="宋?" w:cs="宋?"/>
                <w:sz w:val="20"/>
                <w:szCs w:val="20"/>
              </w:rPr>
              <w:t>促进牧民增收</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hAnsi="宋?" w:cs="宋?"/>
                <w:sz w:val="20"/>
                <w:szCs w:val="20"/>
              </w:rPr>
              <w:t>促进牧民增收</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江茸乡干部提供良好的工作环境与办公条件,树立良好的行政机关形象,将大大提高江茸乡工作效率,方便群众办事,改善投资环境,为助推全县经济发展有积极的作用。</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江茸乡干部提供良好的工作环境与办公条件,树立良好的行政机关形象,将大大提高江茸乡工作效率,方便群众办事,改善投资环境,为助推全县经济发展有积极的作用。</w:t>
            </w:r>
          </w:p>
          <w:p>
            <w:pPr>
              <w:jc w:val="center"/>
              <w:rPr>
                <w:rFonts w:asci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长期，大大提高工作效率。</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rPr>
              <w:t>长期，大大提高工作效率。</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7"/>
      </w:pP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红原县江茸乡江宫玛村村民活动中心改造提升项目绩效目标完成情况综述。项目全年预算数39.98万元，执行数为39.98万元，完成预算的100%。通过项目实施，一是进一步提高了公共基础设施配套建设；二是基础设施完善，有利于统筹城乡发展，为区域经济的进一步转型发展提供了良好的客观环境，三是江茸乡属于县域边远乡镇，基础设施相对薄弱，此项目实施有利于乡村文化建设，为乡村振兴建设提供有力保障。</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rPr>
              <w:t>红原县江茸乡江宫玛村村民活动中心改造提升项目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红原县江茸乡人民政府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39.98</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39.98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39.98</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39.98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65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基础设施完善，有利于统筹城乡发展，为区域经济的进一步转型发展提供了良好的客观环境。</w:t>
            </w: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仿宋_GB2312" w:eastAsia="仿宋_GB2312" w:cs="仿宋_GB2312"/>
                <w:sz w:val="24"/>
              </w:rPr>
              <w:t>基础设施完善，有利于统筹城乡发展，为区域经济的进一步转型发展提供了良好的客观环境。</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提高了公共基础设施配套建设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提高了公共基础设施配套建设</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未出现更改</w:t>
            </w:r>
          </w:p>
        </w:tc>
      </w:tr>
      <w:tr>
        <w:tblPrEx>
          <w:tblCellMar>
            <w:top w:w="15" w:type="dxa"/>
            <w:left w:w="15" w:type="dxa"/>
            <w:bottom w:w="15" w:type="dxa"/>
            <w:right w:w="15" w:type="dxa"/>
          </w:tblCellMar>
        </w:tblPrEx>
        <w:trPr>
          <w:trHeight w:val="6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提高了公共基础设施配套建设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提高了公共基础设施配套建设</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rPr>
              <w:t>基础设施完善，有利于统筹城乡发展，为区域经济的进一步转型发展提供了良好的客观环境。</w:t>
            </w: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基础设施完善，有利于统筹城乡发展，为区域经济的进一步转型发展提供了良好的客观环境。</w:t>
            </w:r>
          </w:p>
          <w:p>
            <w:pPr>
              <w:jc w:val="center"/>
              <w:rPr>
                <w:rFonts w:asci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基础设施完善，有利于统筹城乡发展，为区域经济的进一步转型发展提供了良好的客观环境。</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rPr>
              <w:t>基础设施完善，有利于统筹城乡发展，为区域经济的进一步转型发展提供了良好的客观环境。</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7"/>
      </w:pPr>
    </w:p>
    <w:p>
      <w:pPr>
        <w:widowControl/>
        <w:ind w:firstLine="640" w:firstLineChars="200"/>
        <w:jc w:val="left"/>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（5）红原县江茸乡茸日玛村牧业生产点（草原防火通道）建设项目绩效目标完成情况综述。项目全年预算数90万元，执行数为90万元，完成预算的100%。通过项目实施，牧业生产点道路（草原防火通道）建设</w:t>
      </w:r>
      <w:bookmarkStart w:id="125" w:name="_GoBack"/>
      <w:bookmarkEnd w:id="125"/>
      <w:r>
        <w:rPr>
          <w:rFonts w:hint="eastAsia" w:ascii="仿宋_GB2312" w:hAnsi="仿宋_GB2312" w:eastAsia="仿宋_GB2312" w:cs="仿宋_GB2312"/>
          <w:sz w:val="32"/>
          <w:szCs w:val="32"/>
        </w:rPr>
        <w:t>是改善我乡畜牧业经济及森林草原火灾扑灭的重要途径，也是畜牧业发展的重要基础设施，在畜牧业生产、牧民群众的生活和农村经济发展中具有十分重要的作用。</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rPr>
              <w:t>红原县江茸乡茸日玛村牧业生产点（草原防火通道）建设项目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红原县江茸乡人民政府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90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90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90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b/>
                <w:color w:val="000000"/>
                <w:sz w:val="24"/>
              </w:rPr>
              <w:t>90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232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牧业生产点道路（草原防火通道）建设是改善我乡畜牧业经济及森林草原火灾扑灭的重要途径，也是畜牧业发展的重要基础设施，在畜牧业生产、牧民群众的生活和农村经济发展中具有十分重要的作用。</w:t>
            </w:r>
          </w:p>
          <w:p>
            <w:pPr>
              <w:jc w:val="center"/>
              <w:rPr>
                <w:rFonts w:ascii="仿宋_GB2312" w:hAnsi="仿宋_GB2312" w:eastAsia="仿宋_GB2312" w:cs="仿宋_GB2312"/>
                <w:sz w:val="24"/>
              </w:rPr>
            </w:pP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牧业生产点道路（草原防火通道）建设是改善我乡畜牧业经济及森林草原火灾扑灭的重要途径，也是畜牧业发展的重要基础设施，在畜牧业生产、牧民群众的生活和农村经济发展中具有十分重要的作用。</w:t>
            </w:r>
          </w:p>
          <w:p>
            <w:pPr>
              <w:widowControl/>
              <w:jc w:val="center"/>
              <w:textAlignment w:val="center"/>
              <w:rPr>
                <w:rFonts w:ascii="宋体" w:cs="宋体"/>
                <w:color w:val="000000"/>
                <w:kern w:val="0"/>
                <w:sz w:val="20"/>
                <w:szCs w:val="20"/>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社会效益100%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社会效益100%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hAnsi="宋?" w:cs="宋?"/>
                <w:sz w:val="20"/>
                <w:szCs w:val="20"/>
              </w:rPr>
              <w:t>促进牧民增收、生活安全</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hAnsi="宋?" w:cs="宋?"/>
                <w:sz w:val="20"/>
                <w:szCs w:val="20"/>
              </w:rPr>
              <w:t>促进牧民增收、生活安全</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牧业生产点道路（草原防火通道）建设是改善我乡畜牧业经济及森林草原火灾扑灭的重要途径，也是畜牧业发展的重要基础设施，在畜牧业生产、牧民群众的生活和农村经济发展中具有十分重要的作用。</w:t>
            </w:r>
          </w:p>
          <w:p>
            <w:pPr>
              <w:widowControl/>
              <w:jc w:val="center"/>
              <w:textAlignment w:val="center"/>
              <w:rPr>
                <w:rFonts w:ascii="仿宋_GB2312" w:hAnsi="仿宋_GB2312" w:eastAsia="仿宋_GB2312" w:cs="仿宋_GB2312"/>
                <w:sz w:val="24"/>
              </w:rPr>
            </w:pP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牧业生产点道路（草原防火通道）建设是改善我乡畜牧业经济及森林草原火灾扑灭的重要途径，也是畜牧业发展的重要基础设施，在畜牧业生产、牧民群众的生活和农村经济发展中具有十分重要的作用。</w:t>
            </w:r>
          </w:p>
          <w:p>
            <w:pPr>
              <w:widowControl/>
              <w:jc w:val="center"/>
              <w:textAlignment w:val="center"/>
              <w:rPr>
                <w:rFonts w:ascii="仿宋_GB2312" w:hAnsi="仿宋_GB2312" w:eastAsia="仿宋_GB2312" w:cs="仿宋_GB2312"/>
                <w:sz w:val="24"/>
              </w:rPr>
            </w:pPr>
          </w:p>
          <w:p>
            <w:pPr>
              <w:jc w:val="center"/>
              <w:rPr>
                <w:rFonts w:asci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加强群众安全，促进牧户增收。</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加强群众安全，促进牧户增收。</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本部门按要求对2020年部门整体支出绩效评价情况开展自评，《江茸乡人民政府2020年部门整体支出绩效评价报告》见附件（附件1）。</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本部门自行组织对红原县江茸乡垃圾处理点维修建设项目、茸日玛村合作社种草项目、</w:t>
      </w:r>
      <w:r>
        <w:rPr>
          <w:rFonts w:hint="eastAsia" w:ascii="仿宋_GB2312" w:hAnsi="仿宋_GB2312" w:eastAsia="仿宋_GB2312" w:cs="仿宋_GB2312"/>
          <w:color w:val="000000" w:themeColor="text1"/>
          <w:sz w:val="32"/>
          <w:szCs w:val="32"/>
        </w:rPr>
        <w:t>生产性道路（草原防火通道）5公里</w:t>
      </w:r>
      <w:r>
        <w:rPr>
          <w:rFonts w:hint="eastAsia" w:ascii="仿宋_GB2312" w:hAnsi="仿宋_GB2312" w:eastAsia="仿宋_GB2312" w:cs="仿宋_GB2312"/>
          <w:sz w:val="32"/>
          <w:szCs w:val="32"/>
        </w:rPr>
        <w:t>项目、新建家庭牧场、新建暖棚开展了绩效评价，《江茸乡项目2020年绩效评价报告》见附件（附件2）。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30"/>
          <w:rFonts w:ascii="黑体" w:hAnsi="黑体" w:eastAsia="黑体"/>
          <w:b w:val="0"/>
        </w:rPr>
      </w:pPr>
      <w:bookmarkStart w:id="89" w:name="_Toc15396613"/>
      <w:bookmarkStart w:id="90" w:name="_Toc15377225"/>
      <w:bookmarkStart w:id="91" w:name="_Toc2738"/>
      <w:r>
        <w:rPr>
          <w:rFonts w:hint="eastAsia" w:ascii="黑体" w:hAnsi="黑体" w:eastAsia="黑体"/>
          <w:color w:val="000000"/>
          <w:sz w:val="44"/>
          <w:szCs w:val="44"/>
        </w:rPr>
        <w:t>名</w:t>
      </w:r>
      <w:r>
        <w:rPr>
          <w:rStyle w:val="30"/>
          <w:rFonts w:hint="eastAsia" w:ascii="黑体" w:hAnsi="黑体" w:eastAsia="黑体"/>
          <w:b w:val="0"/>
        </w:rPr>
        <w:t>词解释</w:t>
      </w:r>
      <w:bookmarkEnd w:id="89"/>
      <w:bookmarkEnd w:id="90"/>
      <w:bookmarkEnd w:id="91"/>
    </w:p>
    <w:p>
      <w:pPr>
        <w:spacing w:line="600" w:lineRule="exact"/>
        <w:jc w:val="left"/>
        <w:rPr>
          <w:rFonts w:ascii="宋体"/>
          <w:b/>
          <w:color w:val="000000"/>
          <w:sz w:val="44"/>
          <w:szCs w:val="44"/>
        </w:rPr>
      </w:pPr>
    </w:p>
    <w:p>
      <w:pPr>
        <w:autoSpaceDE w:val="0"/>
        <w:autoSpaceDN w:val="0"/>
        <w:adjustRightInd w:val="0"/>
        <w:spacing w:line="600" w:lineRule="exact"/>
        <w:ind w:firstLine="640" w:firstLineChars="200"/>
        <w:jc w:val="left"/>
        <w:rPr>
          <w:rFonts w:ascii="仿宋_GB2312" w:eastAsia="仿宋_GB2312"/>
          <w:color w:val="000000"/>
          <w:sz w:val="32"/>
          <w:szCs w:val="32"/>
        </w:rPr>
      </w:pPr>
      <w:bookmarkStart w:id="92" w:name="_Toc15377226"/>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2.其他收入：指单位取得财政拨款收入以外的各项收入。主要是眉山援建项目收入等。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5. 一般公共服务（类）201（款）01（项）01——行政运行：反映行政单位（包括实行公务员管理的事业单位）的基本支出反映行政单位（包括实行公务员管理的事业单位）的基本支出。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6. 一般公共服务（类）201（款）01（项）04——人大会议费：反映各级人大召开"人代会"等专门会议的支出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7. 一般公共服务（类）201（款03（项）01——行政运行：反映各级政府办公厅（室）及相关机构的支出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8. 一般公共服务（类）201（款）03（项）99——其他政府办公厅（室）及相关机构事务支出：反映除上述项目以外的其他政府办公厅（室）及相关机构事务支出。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9. 一般公共服务（类）201（款）06（项）01—行政运行: 反映财政事务方面的支出。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 xml:space="preserve">10. 一般公共服务（类）201（款）31（项）01—其它政府办公厅及相关事务支出:反映行政单位（包括实行公务员管理的事业单位）的基本支出 </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11.社会保障和就业支出（类）208（款）05（项）05——机关事业单位基本养老保险缴费支出：反映机关事业单位实施养老保险制度的单位缴纳的基本养老保险费支出。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12.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13.医疗卫生与计划生育支出(类）210（款）11（项）01——行政单位医疗：反映财政部门集中安排的公务员医疗补助经费。</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14.医疗卫生与计划生育支出(类）210（款）11（项）02——事业单位医疗：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15.农林水支出（类）213（款）01（项）42—农村道路建设：反映用于农村公路、乡村道路建设方面的支出。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16.农林水支出（类）213（款）01（项）52—对高校毕业生到基层任职补助：反映按规定对高校毕业生到基层任职的补助支出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17.农林水支出（类）213（款）02（项）04—林业事业机构：反映用于林业事业单位的基本支出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18.农林水支出（类）213（款）03（项）14—防汛：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19.农林水支出（类）213（款）07（项）05—对村民委员会和党支部补助：反映各级财政对村民委员会和村党支部的补助支出，以及支持建立县级基本财力保障机制安排的村级组织运转奖补资金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20.住房保障支出(类）221（款）02（项）01—住房公积金：反映行政事业单位按人力资源和社会保障部、财政部规定的基本工资和津贴补贴以及规定比例为职工缴纳的住房公积金。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21.其他支出(类）229（款）99（项）01—其他支出：反映除上述项目以外其他不能划分到具体功能科目中的支出项目</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22.年末结转和结余：指本年度或以前年度预算安排、因客观条件发生变化无法按原计划实施，需延迟到以后年度按有关规定继续使用的资金。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23.基本支出：指为保障机构正常运转、完成日常工作任务而发生的人员支出和公用支出。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24.项目支出：指在基本支出之外为完成特定行政任务和事业发展目标所发生的支出。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25.“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color w:val="000000"/>
          <w:sz w:val="44"/>
          <w:szCs w:val="44"/>
        </w:rPr>
        <w:br w:type="page"/>
      </w:r>
      <w:bookmarkStart w:id="93" w:name="_Toc15396614"/>
      <w:bookmarkStart w:id="94" w:name="_Toc21746"/>
      <w:r>
        <w:rPr>
          <w:rFonts w:hint="eastAsia" w:ascii="黑体" w:hAnsi="黑体" w:eastAsia="黑体"/>
          <w:color w:val="000000"/>
          <w:sz w:val="44"/>
          <w:szCs w:val="44"/>
        </w:rPr>
        <w:t>第</w:t>
      </w:r>
      <w:r>
        <w:rPr>
          <w:rStyle w:val="30"/>
          <w:rFonts w:hint="eastAsia" w:ascii="黑体" w:hAnsi="黑体" w:eastAsia="黑体"/>
          <w:b w:val="0"/>
        </w:rPr>
        <w:t>四部分 附件</w:t>
      </w:r>
      <w:bookmarkEnd w:id="93"/>
      <w:bookmarkEnd w:id="94"/>
    </w:p>
    <w:p>
      <w:pPr>
        <w:spacing w:line="600" w:lineRule="exact"/>
        <w:jc w:val="left"/>
        <w:outlineLvl w:val="0"/>
        <w:rPr>
          <w:rFonts w:ascii="方正小标宋简体" w:hAnsi="方正小标宋简体" w:eastAsia="方正小标宋简体" w:cs="方正小标宋简体"/>
          <w:sz w:val="32"/>
          <w:szCs w:val="32"/>
        </w:rPr>
      </w:pPr>
      <w:bookmarkStart w:id="95" w:name="_Toc14742"/>
      <w:r>
        <w:rPr>
          <w:rFonts w:hint="eastAsia" w:ascii="黑体" w:hAnsi="黑体" w:eastAsia="黑体" w:cs="黑体"/>
          <w:sz w:val="32"/>
          <w:szCs w:val="32"/>
        </w:rPr>
        <w:t>附件1</w:t>
      </w:r>
      <w:bookmarkEnd w:id="95"/>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rPr>
        <w:t>江茸乡人民政府</w:t>
      </w:r>
      <w:r>
        <w:rPr>
          <w:rFonts w:ascii="方正小标宋简体" w:hAnsi="宋体" w:eastAsia="方正小标宋简体"/>
          <w:color w:val="000000"/>
          <w:kern w:val="0"/>
          <w:sz w:val="40"/>
          <w:szCs w:val="44"/>
        </w:rPr>
        <w:t>20</w:t>
      </w:r>
      <w:r>
        <w:rPr>
          <w:rFonts w:hint="eastAsia" w:ascii="方正小标宋简体" w:hAnsi="宋体" w:eastAsia="方正小标宋简体"/>
          <w:color w:val="000000"/>
          <w:kern w:val="0"/>
          <w:sz w:val="40"/>
          <w:szCs w:val="44"/>
        </w:rPr>
        <w:t>20</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rPr>
          <w:rFonts w:ascii="黑体" w:hAnsi="黑体" w:eastAsia="黑体" w:cs="黑体"/>
          <w:sz w:val="32"/>
          <w:szCs w:val="32"/>
          <w:lang w:val="zh-CN"/>
        </w:rPr>
      </w:pPr>
      <w:r>
        <w:rPr>
          <w:rFonts w:hint="eastAsia" w:ascii="黑体" w:hAnsi="黑体" w:eastAsia="黑体" w:cs="黑体"/>
          <w:sz w:val="32"/>
          <w:szCs w:val="32"/>
          <w:lang w:val="zh-CN"/>
        </w:rPr>
        <w:t>一、单位概况</w:t>
      </w:r>
    </w:p>
    <w:p>
      <w:pPr>
        <w:ind w:firstLine="320" w:firstLineChars="100"/>
        <w:rPr>
          <w:rFonts w:eastAsia="仿宋_GB2312"/>
          <w:lang w:val="zh-CN"/>
        </w:rPr>
      </w:pPr>
      <w:r>
        <w:rPr>
          <w:rFonts w:hint="eastAsia" w:ascii="仿宋_GB2312" w:eastAsia="仿宋_GB2312" w:cs="宋体"/>
          <w:sz w:val="32"/>
          <w:szCs w:val="32"/>
          <w:lang w:val="zh-CN"/>
        </w:rPr>
        <w:t>（一）</w:t>
      </w:r>
      <w:r>
        <w:rPr>
          <w:rFonts w:hint="eastAsia" w:ascii="仿宋_GB2312" w:eastAsia="仿宋_GB2312" w:cs="宋体"/>
          <w:b/>
          <w:bCs/>
          <w:sz w:val="32"/>
          <w:szCs w:val="32"/>
          <w:lang w:val="zh-CN"/>
        </w:rPr>
        <w:t>机构组成。</w:t>
      </w:r>
      <w:r>
        <w:rPr>
          <w:rFonts w:hint="eastAsia" w:ascii="仿宋_GB2312" w:eastAsia="仿宋_GB2312" w:cs="宋体"/>
          <w:sz w:val="32"/>
          <w:szCs w:val="32"/>
          <w:lang w:val="zh-CN"/>
        </w:rPr>
        <w:t>江茸乡为独立核算编制的</w:t>
      </w:r>
      <w:r>
        <w:rPr>
          <w:rFonts w:hint="eastAsia" w:ascii="仿宋_GB2312" w:hAnsi="仿宋_GB2312" w:eastAsia="仿宋_GB2312" w:cs="仿宋_GB2312"/>
          <w:bCs/>
          <w:sz w:val="32"/>
          <w:szCs w:val="32"/>
        </w:rPr>
        <w:t>行政单位。</w:t>
      </w:r>
    </w:p>
    <w:p>
      <w:pPr>
        <w:widowControl/>
        <w:adjustRightInd w:val="0"/>
        <w:snapToGrid w:val="0"/>
        <w:spacing w:line="576" w:lineRule="exact"/>
        <w:ind w:firstLine="320" w:firstLineChars="100"/>
        <w:jc w:val="left"/>
        <w:rPr>
          <w:rFonts w:ascii="仿宋" w:hAnsi="仿宋" w:eastAsia="仿宋" w:cs="仿宋"/>
          <w:color w:val="000000"/>
          <w:kern w:val="0"/>
          <w:sz w:val="32"/>
          <w:szCs w:val="32"/>
          <w:lang w:val="zh-CN"/>
        </w:rPr>
      </w:pPr>
      <w:r>
        <w:rPr>
          <w:rFonts w:ascii="??_GB2312" w:hAnsi="宋体" w:eastAsia="Times New Roman" w:cs="宋体"/>
          <w:b/>
          <w:bCs/>
          <w:color w:val="000000"/>
          <w:kern w:val="0"/>
          <w:sz w:val="32"/>
          <w:lang w:val="zh-CN"/>
        </w:rPr>
        <w:t>（二）机构职能。</w:t>
      </w:r>
      <w:r>
        <w:rPr>
          <w:rFonts w:hint="eastAsia" w:ascii="仿宋" w:hAnsi="仿宋" w:eastAsia="仿宋" w:cs="仿宋"/>
          <w:color w:val="000000"/>
          <w:kern w:val="0"/>
          <w:sz w:val="32"/>
          <w:szCs w:val="32"/>
          <w:lang w:val="zh-CN"/>
        </w:rPr>
        <w:t>根据江茸乡三定方案（红委办【</w:t>
      </w:r>
      <w:r>
        <w:rPr>
          <w:rFonts w:hint="eastAsia" w:ascii="仿宋" w:hAnsi="仿宋" w:eastAsia="仿宋" w:cs="仿宋"/>
          <w:color w:val="000000"/>
          <w:kern w:val="0"/>
          <w:sz w:val="32"/>
          <w:szCs w:val="32"/>
        </w:rPr>
        <w:t>2021</w:t>
      </w:r>
      <w:r>
        <w:rPr>
          <w:rFonts w:hint="eastAsia" w:ascii="仿宋" w:hAnsi="仿宋" w:eastAsia="仿宋" w:cs="仿宋"/>
          <w:color w:val="000000"/>
          <w:kern w:val="0"/>
          <w:sz w:val="32"/>
          <w:szCs w:val="32"/>
          <w:lang w:val="zh-CN"/>
        </w:rPr>
        <w:t>】</w:t>
      </w:r>
      <w:r>
        <w:rPr>
          <w:rFonts w:hint="eastAsia" w:ascii="仿宋" w:hAnsi="仿宋" w:eastAsia="仿宋" w:cs="仿宋"/>
          <w:color w:val="000000"/>
          <w:kern w:val="0"/>
          <w:sz w:val="32"/>
          <w:szCs w:val="32"/>
        </w:rPr>
        <w:t>127号</w:t>
      </w:r>
      <w:r>
        <w:rPr>
          <w:rFonts w:hint="eastAsia" w:ascii="仿宋" w:hAnsi="仿宋" w:eastAsia="仿宋" w:cs="仿宋"/>
          <w:color w:val="000000"/>
          <w:kern w:val="0"/>
          <w:sz w:val="32"/>
          <w:szCs w:val="32"/>
          <w:lang w:val="zh-CN"/>
        </w:rPr>
        <w:t>）。</w:t>
      </w:r>
    </w:p>
    <w:p>
      <w:pPr>
        <w:shd w:val="clear" w:color="auto" w:fill="FFFFFF"/>
        <w:snapToGrid w:val="0"/>
        <w:spacing w:line="576" w:lineRule="exact"/>
        <w:ind w:left="420" w:leftChars="200"/>
        <w:rPr>
          <w:rFonts w:ascii="仿宋_GB2312" w:hAnsi="仿宋" w:eastAsia="仿宋_GB2312"/>
          <w:sz w:val="32"/>
          <w:szCs w:val="32"/>
        </w:rPr>
      </w:pPr>
      <w:r>
        <w:rPr>
          <w:rFonts w:hint="eastAsia" w:ascii="仿宋_GB2312" w:hAnsi="仿宋" w:eastAsia="仿宋_GB2312"/>
          <w:b/>
          <w:bCs/>
          <w:sz w:val="32"/>
          <w:szCs w:val="32"/>
        </w:rPr>
        <w:t>（1）乡党委工作职责</w:t>
      </w:r>
    </w:p>
    <w:p>
      <w:p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乡党委是本乡各项工作的领导核心，是农村改革和经济建设的直接组织者和领导者，主要职责：</w:t>
      </w:r>
    </w:p>
    <w:p>
      <w:pPr>
        <w:numPr>
          <w:ilvl w:val="0"/>
          <w:numId w:val="6"/>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负责贯彻执行党的路线方针政策和上级党组织及本乡党员代表大会的决议；</w:t>
      </w:r>
    </w:p>
    <w:p>
      <w:pPr>
        <w:numPr>
          <w:ilvl w:val="0"/>
          <w:numId w:val="6"/>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讨论决定本乡经济建设和社会发展的重大问题；</w:t>
      </w:r>
    </w:p>
    <w:p>
      <w:pPr>
        <w:numPr>
          <w:ilvl w:val="0"/>
          <w:numId w:val="6"/>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领导乡政权机关和群众组织，支持和保证这些机关和组织依照国家法律法规及各自章程充分行使职权；</w:t>
      </w:r>
    </w:p>
    <w:p>
      <w:pPr>
        <w:numPr>
          <w:ilvl w:val="0"/>
          <w:numId w:val="6"/>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加强乡党委自身建设和以党支部为核心的村级组织建设；</w:t>
      </w:r>
    </w:p>
    <w:p>
      <w:pPr>
        <w:numPr>
          <w:ilvl w:val="0"/>
          <w:numId w:val="6"/>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按照干部管理权限，负责对干部的教育、培养、选拔、考核和监督工作；</w:t>
      </w:r>
    </w:p>
    <w:p>
      <w:pPr>
        <w:numPr>
          <w:ilvl w:val="0"/>
          <w:numId w:val="6"/>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领导本乡的社会主义民主法制建设和精神文明建设，做好社会治安综合治理和计划生育等工作。</w:t>
      </w:r>
    </w:p>
    <w:p>
      <w:pPr>
        <w:shd w:val="clear" w:color="auto" w:fill="FFFFFF"/>
        <w:snapToGrid w:val="0"/>
        <w:spacing w:line="576" w:lineRule="exact"/>
        <w:ind w:firstLine="640"/>
        <w:rPr>
          <w:rFonts w:ascii="仿宋_GB2312" w:hAnsi="仿宋" w:eastAsia="仿宋_GB2312"/>
          <w:b/>
          <w:bCs/>
          <w:sz w:val="32"/>
          <w:szCs w:val="32"/>
        </w:rPr>
      </w:pPr>
      <w:r>
        <w:rPr>
          <w:rFonts w:hint="eastAsia" w:ascii="仿宋_GB2312" w:hAnsi="仿宋" w:eastAsia="仿宋_GB2312"/>
          <w:b/>
          <w:bCs/>
          <w:sz w:val="32"/>
          <w:szCs w:val="32"/>
        </w:rPr>
        <w:t>（2）人大主席团工作职责</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1.负责召开本级人民代表大会会议的具体准备工作；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2.负责联系本级人民代表大会代表，组织代表开展活动，总结交流代表小组活动经验；</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3.反映代表和群众对本级人民政府工作的建议、批评和意见；</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4.参加本级人民政府的重要会议；</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5.组织实施本级人民代表大会和主席团决定的有关事项；</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6.督促办理代表和人民群众的来信来访。</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b/>
          <w:bCs/>
          <w:sz w:val="32"/>
          <w:szCs w:val="32"/>
        </w:rPr>
        <w:t>（3）政府工作职责</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1.贯彻执行党的路线方针政策和国家法律法规，贯彻执行上级行政机关的决议、命令及同级党委的决定，执行乡人民代表大会的决议；</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2.对乡人民代表大会及其主席团和上级行政机关负责并报告工作；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3.编制和执行乡国民经济和社会发展计划，编制并执行财政预算；</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4.管理本行政区域经济和各项社会事业的行政工作；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5.负责辖区内行政执法工作，维护社会秩序，保护公民人身、民主、财产等合法权利，保护各种经济组织的合法权益；</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6.指导、支持和帮助村民委员会工作；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7.法律规定赋予烦人其它职责。</w:t>
      </w:r>
    </w:p>
    <w:p>
      <w:pPr>
        <w:shd w:val="clear" w:color="auto" w:fill="FFFFFF"/>
        <w:snapToGrid w:val="0"/>
        <w:spacing w:line="576" w:lineRule="exact"/>
        <w:ind w:firstLine="640"/>
        <w:rPr>
          <w:rFonts w:ascii="仿宋_GB2312" w:hAnsi="仿宋" w:eastAsia="仿宋_GB2312"/>
          <w:b/>
          <w:bCs/>
          <w:sz w:val="32"/>
          <w:szCs w:val="32"/>
        </w:rPr>
      </w:pPr>
      <w:r>
        <w:rPr>
          <w:rFonts w:hint="eastAsia" w:ascii="仿宋_GB2312" w:hAnsi="仿宋" w:eastAsia="仿宋_GB2312"/>
          <w:b/>
          <w:bCs/>
          <w:sz w:val="32"/>
          <w:szCs w:val="32"/>
        </w:rPr>
        <w:t>（4）人民武装部工作职责</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1.负责民兵组织建设、政治教育、军事训练；</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2.为本系统自主择业转业干部提供管理和服务；</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3.组织带领民兵完成战备执勤任务，配合公安部门维护社会治安；</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4.战时组织带领民兵参军参战，支援前线；</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5.负责征兵工作和预备役士兵、预备役军官登记统计工作；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6.协同预备役部（分）队落实参训人员，做好兵员的管理、动员集结等工作；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7.协助有关部门开展国防教育，做好退伍人员的安置和烈军属的优抚工作；</w:t>
      </w:r>
    </w:p>
    <w:p>
      <w:pPr>
        <w:ind w:firstLine="640" w:firstLineChars="200"/>
        <w:jc w:val="left"/>
        <w:rPr>
          <w:rFonts w:ascii="仿宋_GB2312" w:hAnsi="仿宋_GB2312" w:eastAsia="仿宋_GB2312" w:cs="仿宋_GB2312"/>
          <w:bCs/>
          <w:sz w:val="32"/>
          <w:szCs w:val="32"/>
        </w:rPr>
      </w:pPr>
      <w:r>
        <w:rPr>
          <w:rFonts w:hint="eastAsia" w:ascii="仿宋_GB2312" w:hAnsi="仿宋" w:eastAsia="仿宋_GB2312"/>
          <w:sz w:val="32"/>
          <w:szCs w:val="32"/>
        </w:rPr>
        <w:t>8.完成地方党委、人民政府和上级军事机关交给的其他工作任务。</w:t>
      </w:r>
    </w:p>
    <w:p>
      <w:pPr>
        <w:ind w:left="420" w:leftChars="200" w:firstLine="160" w:firstLineChars="50"/>
        <w:rPr>
          <w:rFonts w:ascii="黑体" w:hAnsi="黑体" w:eastAsia="黑体" w:cs="黑体"/>
          <w:sz w:val="32"/>
          <w:szCs w:val="32"/>
          <w:lang w:val="zh-CN"/>
        </w:rPr>
      </w:pPr>
      <w:r>
        <w:rPr>
          <w:rFonts w:hint="eastAsia" w:ascii="黑体" w:hAnsi="黑体" w:eastAsia="黑体" w:cs="黑体"/>
          <w:sz w:val="32"/>
          <w:szCs w:val="32"/>
          <w:lang w:val="zh-CN"/>
        </w:rPr>
        <w:t>二、部门财政资金收支情况</w:t>
      </w:r>
    </w:p>
    <w:p>
      <w:pPr>
        <w:widowControl/>
        <w:adjustRightInd w:val="0"/>
        <w:snapToGrid w:val="0"/>
        <w:spacing w:line="576" w:lineRule="exact"/>
        <w:ind w:firstLine="320" w:firstLineChars="100"/>
        <w:jc w:val="left"/>
        <w:rPr>
          <w:rFonts w:ascii="楷体" w:hAnsi="楷体" w:eastAsia="楷体" w:cs="楷体"/>
        </w:rPr>
      </w:pPr>
      <w:r>
        <w:rPr>
          <w:rFonts w:ascii="??_GB2312" w:hAnsi="宋体" w:eastAsia="Times New Roman" w:cs="宋体"/>
          <w:b/>
          <w:bCs/>
          <w:color w:val="000000"/>
          <w:kern w:val="0"/>
          <w:sz w:val="32"/>
          <w:lang w:val="zh-CN"/>
        </w:rPr>
        <w:t>（一）部门财政资金收入情况。</w:t>
      </w:r>
    </w:p>
    <w:p>
      <w:pPr>
        <w:spacing w:line="576" w:lineRule="exact"/>
        <w:ind w:firstLine="640"/>
        <w:rPr>
          <w:rFonts w:ascii="仿宋_GB2312" w:hAnsi="仿宋_GB2312" w:eastAsia="仿宋_GB2312" w:cs="仿宋_GB2312"/>
          <w:bCs/>
          <w:sz w:val="32"/>
          <w:szCs w:val="32"/>
        </w:rPr>
      </w:pPr>
      <w:r>
        <w:rPr>
          <w:rFonts w:hint="eastAsia" w:ascii="仿宋_GB2312" w:eastAsia="仿宋_GB2312"/>
          <w:color w:val="000000"/>
          <w:sz w:val="32"/>
          <w:szCs w:val="32"/>
        </w:rPr>
        <w:t>2020年江茸乡财政拨款收入总计</w:t>
      </w:r>
      <w:r>
        <w:rPr>
          <w:rFonts w:hint="eastAsia" w:ascii="仿宋_GB2312" w:hAnsi="仿宋" w:eastAsia="仿宋_GB2312"/>
          <w:sz w:val="32"/>
          <w:szCs w:val="32"/>
        </w:rPr>
        <w:t>695.56</w:t>
      </w:r>
      <w:r>
        <w:rPr>
          <w:rFonts w:hint="eastAsia" w:ascii="仿宋_GB2312" w:eastAsia="仿宋_GB2312"/>
          <w:color w:val="000000"/>
          <w:sz w:val="32"/>
          <w:szCs w:val="32"/>
        </w:rPr>
        <w:t>万元,</w:t>
      </w:r>
      <w:r>
        <w:rPr>
          <w:rFonts w:hint="eastAsia" w:ascii="仿宋_GB2312" w:hAnsi="仿宋_GB2312" w:eastAsia="仿宋_GB2312" w:cs="仿宋_GB2312"/>
          <w:bCs/>
          <w:sz w:val="32"/>
          <w:szCs w:val="32"/>
        </w:rPr>
        <w:t>其中：一般公共预算财政拨款收入678.70万元。</w:t>
      </w:r>
    </w:p>
    <w:p>
      <w:pPr>
        <w:pStyle w:val="8"/>
        <w:spacing w:before="93"/>
        <w:ind w:firstLine="640" w:firstLineChars="200"/>
        <w:rPr>
          <w:rFonts w:ascii="楷体" w:hAnsi="楷体" w:eastAsia="楷体" w:cs="楷体"/>
        </w:rPr>
      </w:pPr>
      <w:r>
        <w:rPr>
          <w:rFonts w:hint="eastAsia" w:ascii="楷体" w:hAnsi="楷体" w:eastAsia="楷体" w:cs="楷体"/>
          <w:color w:val="000000"/>
          <w:sz w:val="32"/>
          <w:szCs w:val="32"/>
        </w:rPr>
        <w:t>（二）</w:t>
      </w:r>
      <w:r>
        <w:rPr>
          <w:rFonts w:hint="eastAsia" w:ascii="楷体" w:hAnsi="楷体" w:eastAsia="楷体" w:cs="楷体"/>
          <w:b/>
          <w:sz w:val="32"/>
          <w:szCs w:val="32"/>
        </w:rPr>
        <w:t>部门财政资金支出情况</w:t>
      </w:r>
    </w:p>
    <w:p>
      <w:pPr>
        <w:spacing w:line="560" w:lineRule="exact"/>
        <w:ind w:firstLine="640" w:firstLineChars="200"/>
        <w:rPr>
          <w:rFonts w:ascii="仿宋_GB2312" w:eastAsia="仿宋"/>
          <w:color w:val="000000"/>
          <w:sz w:val="32"/>
          <w:szCs w:val="32"/>
        </w:rPr>
      </w:pPr>
      <w:r>
        <w:rPr>
          <w:rFonts w:hint="eastAsia" w:ascii="仿宋_GB2312" w:eastAsia="仿宋_GB2312"/>
          <w:color w:val="000000"/>
          <w:sz w:val="32"/>
          <w:szCs w:val="32"/>
        </w:rPr>
        <w:t>2020年江茸乡本年支出合计678.7万元，其中：</w:t>
      </w:r>
      <w:r>
        <w:rPr>
          <w:rFonts w:hint="eastAsia" w:ascii="仿宋" w:hAnsi="仿宋" w:eastAsia="仿宋"/>
          <w:color w:val="000000"/>
          <w:sz w:val="32"/>
          <w:szCs w:val="32"/>
        </w:rPr>
        <w:t>基本支出510.83万元，占75</w:t>
      </w:r>
      <w:r>
        <w:rPr>
          <w:rFonts w:ascii="仿宋" w:hAnsi="仿宋" w:eastAsia="仿宋"/>
          <w:color w:val="000000"/>
          <w:sz w:val="32"/>
          <w:szCs w:val="32"/>
        </w:rPr>
        <w:t>%</w:t>
      </w:r>
      <w:r>
        <w:rPr>
          <w:rFonts w:hint="eastAsia" w:ascii="仿宋" w:hAnsi="仿宋" w:eastAsia="仿宋"/>
          <w:color w:val="000000"/>
          <w:sz w:val="32"/>
          <w:szCs w:val="32"/>
        </w:rPr>
        <w:t>；项目支出167.87万元，占25</w:t>
      </w:r>
      <w:r>
        <w:rPr>
          <w:rFonts w:ascii="仿宋" w:hAnsi="仿宋" w:eastAsia="仿宋"/>
          <w:color w:val="000000"/>
          <w:sz w:val="32"/>
          <w:szCs w:val="32"/>
        </w:rPr>
        <w:t>%</w:t>
      </w:r>
      <w:r>
        <w:rPr>
          <w:rFonts w:hint="eastAsia" w:ascii="仿宋" w:hAnsi="仿宋" w:eastAsia="仿宋"/>
          <w:color w:val="000000"/>
          <w:sz w:val="32"/>
          <w:szCs w:val="32"/>
        </w:rPr>
        <w:t>。</w:t>
      </w:r>
    </w:p>
    <w:p>
      <w:pPr>
        <w:ind w:left="420" w:leftChars="200" w:firstLine="320" w:firstLineChars="100"/>
        <w:rPr>
          <w:rFonts w:ascii="黑体" w:hAnsi="黑体" w:eastAsia="黑体" w:cs="黑体"/>
          <w:sz w:val="32"/>
          <w:szCs w:val="32"/>
        </w:rPr>
      </w:pPr>
      <w:r>
        <w:rPr>
          <w:rFonts w:hint="eastAsia" w:ascii="黑体" w:hAnsi="黑体" w:eastAsia="黑体" w:cs="黑体"/>
          <w:sz w:val="32"/>
          <w:szCs w:val="32"/>
        </w:rPr>
        <w:t>三、部门财政支出管理情况</w:t>
      </w:r>
    </w:p>
    <w:p>
      <w:pPr>
        <w:pStyle w:val="8"/>
        <w:numPr>
          <w:ilvl w:val="0"/>
          <w:numId w:val="7"/>
        </w:numPr>
        <w:spacing w:before="93"/>
        <w:ind w:left="420" w:leftChars="200"/>
        <w:rPr>
          <w:rFonts w:ascii="??_GB2312" w:hAnsi="宋体" w:eastAsia="Times New Roman" w:cs="宋体"/>
          <w:b/>
          <w:bCs/>
          <w:color w:val="000000"/>
          <w:sz w:val="32"/>
          <w:lang w:val="zh-CN"/>
        </w:rPr>
      </w:pPr>
      <w:r>
        <w:rPr>
          <w:rFonts w:hint="eastAsia" w:ascii="??_GB2312" w:hAnsi="宋体" w:eastAsia="Times New Roman" w:cs="宋体"/>
          <w:b/>
          <w:bCs/>
          <w:color w:val="000000"/>
          <w:sz w:val="32"/>
          <w:lang w:val="zh-CN"/>
        </w:rPr>
        <w:t>预算编制情况</w:t>
      </w:r>
    </w:p>
    <w:p>
      <w:pPr>
        <w:pStyle w:val="8"/>
        <w:spacing w:before="93"/>
        <w:rPr>
          <w:rFonts w:hAnsi="仿宋_GB2312" w:cs="仿宋_GB2312"/>
          <w:sz w:val="32"/>
          <w:szCs w:val="32"/>
        </w:rPr>
      </w:pPr>
      <w:r>
        <w:rPr>
          <w:rFonts w:hint="eastAsia" w:hAnsi="仿宋_GB2312" w:cs="仿宋_GB2312"/>
          <w:sz w:val="32"/>
          <w:szCs w:val="32"/>
        </w:rPr>
        <w:t>按照县财政预算编制工作要求，我乡组织财务人员积极参与预算编制培训会，及时掌握预算编制口径等相关知识，结合单位工作实际，按照“两上两下”编制方式，全面、及时、完整地编制了单位预算，并经财政部门审核下达。</w:t>
      </w:r>
    </w:p>
    <w:p>
      <w:pPr>
        <w:pStyle w:val="8"/>
        <w:numPr>
          <w:ilvl w:val="0"/>
          <w:numId w:val="7"/>
        </w:numPr>
        <w:spacing w:before="93"/>
        <w:ind w:left="420" w:leftChars="200"/>
        <w:rPr>
          <w:rFonts w:ascii="??_GB2312" w:hAnsi="宋体" w:eastAsia="Times New Roman" w:cs="宋体"/>
          <w:b/>
          <w:bCs/>
          <w:color w:val="000000"/>
          <w:sz w:val="32"/>
          <w:lang w:val="zh-CN"/>
        </w:rPr>
      </w:pPr>
      <w:r>
        <w:rPr>
          <w:rFonts w:hint="eastAsia" w:ascii="??_GB2312" w:hAnsi="宋体" w:eastAsia="Times New Roman" w:cs="宋体"/>
          <w:b/>
          <w:bCs/>
          <w:color w:val="000000"/>
          <w:sz w:val="32"/>
          <w:lang w:val="zh-CN"/>
        </w:rPr>
        <w:t>执行管理情况</w:t>
      </w:r>
    </w:p>
    <w:p>
      <w:pPr>
        <w:pStyle w:val="8"/>
        <w:spacing w:before="93"/>
        <w:ind w:firstLine="640"/>
        <w:rPr>
          <w:rFonts w:hAnsi="仿宋_GB2312" w:cs="仿宋_GB2312"/>
          <w:sz w:val="32"/>
          <w:szCs w:val="32"/>
        </w:rPr>
      </w:pPr>
      <w:r>
        <w:rPr>
          <w:rFonts w:hint="eastAsia" w:hAnsi="仿宋_GB2312" w:cs="仿宋_GB2312"/>
          <w:sz w:val="32"/>
          <w:szCs w:val="32"/>
        </w:rPr>
        <w:t>在预算执行中，我乡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pStyle w:val="8"/>
        <w:spacing w:before="93"/>
        <w:ind w:firstLine="640"/>
        <w:rPr>
          <w:rFonts w:hAnsi="仿宋_GB2312" w:cs="仿宋_GB2312"/>
          <w:sz w:val="32"/>
          <w:szCs w:val="32"/>
        </w:rPr>
      </w:pPr>
      <w:r>
        <w:rPr>
          <w:rFonts w:hint="eastAsia" w:hAnsi="仿宋_GB2312" w:cs="仿宋_GB2312"/>
          <w:sz w:val="32"/>
          <w:szCs w:val="32"/>
        </w:rPr>
        <w:t>2020年度“三公“经费支出情况：无出国出境费用；公务用车运行费为</w:t>
      </w:r>
      <w:r>
        <w:rPr>
          <w:rFonts w:hint="eastAsia" w:ascii="仿宋" w:hAnsi="仿宋" w:eastAsia="仿宋"/>
          <w:color w:val="000000"/>
          <w:sz w:val="32"/>
          <w:szCs w:val="32"/>
        </w:rPr>
        <w:t>6.6</w:t>
      </w:r>
      <w:r>
        <w:rPr>
          <w:rFonts w:hint="eastAsia" w:hAnsi="仿宋_GB2312" w:cs="仿宋_GB2312"/>
          <w:sz w:val="32"/>
          <w:szCs w:val="32"/>
        </w:rPr>
        <w:t>元，公务接待费用为0.1万元。</w:t>
      </w:r>
    </w:p>
    <w:p>
      <w:pPr>
        <w:widowControl/>
        <w:adjustRightInd w:val="0"/>
        <w:snapToGrid w:val="0"/>
        <w:spacing w:line="576" w:lineRule="exact"/>
        <w:ind w:firstLine="720"/>
        <w:jc w:val="left"/>
        <w:rPr>
          <w:rFonts w:ascii="??_GB2312" w:hAnsi="宋体" w:eastAsia="Times New Roman" w:cs="宋体"/>
          <w:b/>
          <w:bCs/>
          <w:color w:val="000000"/>
          <w:kern w:val="0"/>
          <w:sz w:val="32"/>
          <w:lang w:val="zh-CN"/>
        </w:rPr>
      </w:pPr>
      <w:r>
        <w:rPr>
          <w:rFonts w:ascii="??_GB2312" w:hAnsi="宋体" w:eastAsia="Times New Roman" w:cs="宋体"/>
          <w:b/>
          <w:bCs/>
          <w:color w:val="000000"/>
          <w:kern w:val="0"/>
          <w:sz w:val="32"/>
          <w:lang w:val="zh-CN"/>
        </w:rPr>
        <w:t>（三）综合管理情况。</w:t>
      </w:r>
    </w:p>
    <w:p>
      <w:pPr>
        <w:pStyle w:val="16"/>
        <w:widowControl/>
        <w:shd w:val="clear" w:color="auto" w:fill="FFFFFF"/>
        <w:spacing w:line="576" w:lineRule="exact"/>
        <w:ind w:firstLine="643" w:firstLineChars="200"/>
        <w:rPr>
          <w:rFonts w:ascii="仿宋_GB2312" w:hAnsi="仿宋_GB2312" w:eastAsia="仿宋_GB2312" w:cs="仿宋_GB2312"/>
          <w:bCs/>
          <w:kern w:val="2"/>
          <w:sz w:val="32"/>
          <w:szCs w:val="32"/>
          <w:lang w:val="zh-CN"/>
        </w:rPr>
      </w:pPr>
      <w:r>
        <w:rPr>
          <w:rFonts w:hint="eastAsia" w:ascii="宋体" w:hAnsi="宋体" w:cs="宋体"/>
          <w:b/>
          <w:bCs/>
          <w:color w:val="000000"/>
          <w:sz w:val="32"/>
          <w:szCs w:val="32"/>
          <w:shd w:val="clear" w:color="auto" w:fill="FFFFFF"/>
        </w:rPr>
        <w:t>预决算公开：</w:t>
      </w:r>
      <w:r>
        <w:rPr>
          <w:rFonts w:hint="eastAsia" w:ascii="仿宋_GB2312" w:hAnsi="仿宋_GB2312" w:eastAsia="仿宋_GB2312" w:cs="仿宋_GB2312"/>
          <w:bCs/>
          <w:kern w:val="2"/>
          <w:sz w:val="32"/>
          <w:szCs w:val="32"/>
          <w:lang w:val="zh-CN"/>
        </w:rPr>
        <w:t>20</w:t>
      </w:r>
      <w:r>
        <w:rPr>
          <w:rFonts w:hint="eastAsia" w:ascii="仿宋_GB2312" w:hAnsi="仿宋_GB2312" w:eastAsia="仿宋_GB2312" w:cs="仿宋_GB2312"/>
          <w:bCs/>
          <w:kern w:val="2"/>
          <w:sz w:val="32"/>
          <w:szCs w:val="32"/>
        </w:rPr>
        <w:t>20</w:t>
      </w:r>
      <w:r>
        <w:rPr>
          <w:rFonts w:hint="eastAsia" w:ascii="仿宋_GB2312" w:hAnsi="仿宋_GB2312" w:eastAsia="仿宋_GB2312" w:cs="仿宋_GB2312"/>
          <w:bCs/>
          <w:kern w:val="2"/>
          <w:sz w:val="32"/>
          <w:szCs w:val="32"/>
          <w:lang w:val="zh-CN"/>
        </w:rPr>
        <w:t>年，我乡按照上级的要求，我乡在财政批复后</w:t>
      </w:r>
      <w:r>
        <w:rPr>
          <w:rFonts w:hint="eastAsia" w:ascii="仿宋_GB2312" w:hAnsi="仿宋_GB2312" w:eastAsia="仿宋_GB2312" w:cs="仿宋_GB2312"/>
          <w:bCs/>
          <w:kern w:val="2"/>
          <w:sz w:val="32"/>
          <w:szCs w:val="32"/>
        </w:rPr>
        <w:t>15</w:t>
      </w:r>
      <w:r>
        <w:rPr>
          <w:rFonts w:hint="eastAsia" w:ascii="仿宋_GB2312" w:hAnsi="仿宋_GB2312" w:eastAsia="仿宋_GB2312" w:cs="仿宋_GB2312"/>
          <w:bCs/>
          <w:kern w:val="2"/>
          <w:sz w:val="32"/>
          <w:szCs w:val="32"/>
          <w:lang w:val="zh-CN"/>
        </w:rPr>
        <w:t>日内在指定网站公开预决算信息。</w:t>
      </w:r>
    </w:p>
    <w:p>
      <w:pPr>
        <w:pStyle w:val="16"/>
        <w:widowControl/>
        <w:shd w:val="clear" w:color="auto" w:fill="FFFFFF"/>
        <w:spacing w:line="576" w:lineRule="exact"/>
        <w:ind w:firstLine="643" w:firstLineChars="200"/>
        <w:rPr>
          <w:rFonts w:ascii="仿宋_GB2312" w:hAnsi="仿宋_GB2312" w:eastAsia="仿宋_GB2312" w:cs="仿宋_GB2312"/>
          <w:bCs/>
          <w:kern w:val="2"/>
          <w:sz w:val="32"/>
          <w:szCs w:val="32"/>
          <w:lang w:val="zh-CN"/>
        </w:rPr>
      </w:pPr>
      <w:r>
        <w:rPr>
          <w:rFonts w:hint="eastAsia" w:ascii="宋体" w:hAnsi="宋体" w:cs="宋体"/>
          <w:b/>
          <w:bCs/>
          <w:color w:val="000000"/>
          <w:sz w:val="32"/>
          <w:szCs w:val="32"/>
          <w:shd w:val="clear" w:color="auto" w:fill="FFFFFF"/>
        </w:rPr>
        <w:t>资产管理：</w:t>
      </w:r>
      <w:r>
        <w:rPr>
          <w:rFonts w:hint="eastAsia" w:ascii="仿宋_GB2312" w:hAnsi="仿宋_GB2312" w:eastAsia="仿宋_GB2312" w:cs="仿宋_GB2312"/>
          <w:bCs/>
          <w:kern w:val="2"/>
          <w:sz w:val="32"/>
          <w:szCs w:val="32"/>
          <w:lang w:val="zh-CN"/>
        </w:rPr>
        <w:t>乡机关建立了资产管理制度，组织开展资产盘点和清查，并就清查中发现的问题进行全面整改。</w:t>
      </w:r>
    </w:p>
    <w:p>
      <w:pPr>
        <w:pStyle w:val="16"/>
        <w:widowControl/>
        <w:shd w:val="clear" w:color="auto" w:fill="FFFFFF"/>
        <w:spacing w:line="576" w:lineRule="exact"/>
        <w:ind w:firstLine="643" w:firstLineChars="200"/>
        <w:rPr>
          <w:rFonts w:ascii="仿宋_GB2312" w:hAnsi="仿宋_GB2312" w:eastAsia="仿宋_GB2312" w:cs="仿宋_GB2312"/>
          <w:bCs/>
          <w:kern w:val="2"/>
          <w:sz w:val="32"/>
          <w:szCs w:val="32"/>
          <w:lang w:val="zh-CN"/>
        </w:rPr>
      </w:pPr>
      <w:r>
        <w:rPr>
          <w:rFonts w:hint="eastAsia" w:ascii="宋体" w:hAnsi="宋体" w:cs="宋体"/>
          <w:b/>
          <w:bCs/>
          <w:color w:val="000000"/>
          <w:sz w:val="32"/>
          <w:szCs w:val="32"/>
          <w:shd w:val="clear" w:color="auto" w:fill="FFFFFF"/>
        </w:rPr>
        <w:t>内部管理制度建设情况：</w:t>
      </w:r>
      <w:r>
        <w:rPr>
          <w:rFonts w:hint="eastAsia" w:ascii="仿宋_GB2312" w:hAnsi="仿宋_GB2312" w:eastAsia="仿宋_GB2312" w:cs="仿宋_GB2312"/>
          <w:bCs/>
          <w:kern w:val="2"/>
          <w:sz w:val="32"/>
          <w:szCs w:val="32"/>
          <w:lang w:val="zh-CN"/>
        </w:rPr>
        <w:t>20</w:t>
      </w:r>
      <w:r>
        <w:rPr>
          <w:rFonts w:hint="eastAsia" w:ascii="仿宋_GB2312" w:hAnsi="仿宋_GB2312" w:eastAsia="仿宋_GB2312" w:cs="仿宋_GB2312"/>
          <w:bCs/>
          <w:kern w:val="2"/>
          <w:sz w:val="32"/>
          <w:szCs w:val="32"/>
        </w:rPr>
        <w:t>20</w:t>
      </w:r>
      <w:r>
        <w:rPr>
          <w:rFonts w:hint="eastAsia" w:ascii="仿宋_GB2312" w:hAnsi="仿宋_GB2312" w:eastAsia="仿宋_GB2312" w:cs="仿宋_GB2312"/>
          <w:bCs/>
          <w:kern w:val="2"/>
          <w:sz w:val="32"/>
          <w:szCs w:val="32"/>
          <w:lang w:val="zh-CN"/>
        </w:rPr>
        <w:t>年以来，我乡制定了乡机关内部控制工作实施方案，并不断完善了“预算管理办法”、“合同管理制度”、“收支管理办法”、“资产管理制度”等一系列内部制度。</w:t>
      </w:r>
    </w:p>
    <w:p>
      <w:pPr>
        <w:pStyle w:val="16"/>
        <w:widowControl/>
        <w:shd w:val="clear" w:color="auto" w:fill="FFFFFF"/>
        <w:spacing w:line="576" w:lineRule="exact"/>
        <w:ind w:firstLine="643" w:firstLineChars="200"/>
        <w:rPr>
          <w:rFonts w:ascii="仿宋_GB2312" w:hAnsi="仿宋_GB2312" w:eastAsia="仿宋_GB2312" w:cs="仿宋_GB2312"/>
          <w:bCs/>
          <w:kern w:val="2"/>
          <w:sz w:val="32"/>
          <w:szCs w:val="32"/>
          <w:lang w:val="zh-CN"/>
        </w:rPr>
      </w:pPr>
      <w:r>
        <w:rPr>
          <w:rFonts w:hint="eastAsia" w:ascii="宋体" w:hAnsi="宋体" w:cs="宋体"/>
          <w:b/>
          <w:bCs/>
          <w:color w:val="000000"/>
          <w:sz w:val="32"/>
          <w:szCs w:val="32"/>
          <w:shd w:val="clear" w:color="auto" w:fill="FFFFFF"/>
        </w:rPr>
        <w:t>绩效评价：</w:t>
      </w:r>
      <w:r>
        <w:rPr>
          <w:rFonts w:hint="eastAsia" w:ascii="仿宋_GB2312" w:hAnsi="仿宋_GB2312" w:eastAsia="仿宋_GB2312" w:cs="仿宋_GB2312"/>
          <w:bCs/>
          <w:kern w:val="2"/>
          <w:sz w:val="32"/>
          <w:szCs w:val="32"/>
          <w:lang w:val="zh-CN"/>
        </w:rPr>
        <w:t>根据绩效评价的要求，我们成立了自评工作领导小组，对照自评方案进行研究和布署，按照自评方案的要求，对照各实施项目的内容逐条逐项自评。</w:t>
      </w:r>
    </w:p>
    <w:p>
      <w:pPr>
        <w:widowControl/>
        <w:numPr>
          <w:ilvl w:val="0"/>
          <w:numId w:val="8"/>
        </w:numPr>
        <w:adjustRightInd w:val="0"/>
        <w:snapToGrid w:val="0"/>
        <w:spacing w:line="576" w:lineRule="exact"/>
        <w:ind w:firstLine="720"/>
        <w:jc w:val="left"/>
        <w:rPr>
          <w:rFonts w:ascii="??_GB2312" w:hAnsi="宋体" w:eastAsia="Times New Roman" w:cs="宋体"/>
          <w:b/>
          <w:bCs/>
          <w:color w:val="000000"/>
          <w:kern w:val="0"/>
          <w:sz w:val="32"/>
          <w:lang w:val="zh-CN"/>
        </w:rPr>
      </w:pPr>
      <w:r>
        <w:rPr>
          <w:rFonts w:ascii="??_GB2312" w:hAnsi="宋体" w:eastAsia="Times New Roman" w:cs="宋体"/>
          <w:b/>
          <w:bCs/>
          <w:color w:val="000000"/>
          <w:kern w:val="0"/>
          <w:sz w:val="32"/>
          <w:lang w:val="zh-CN"/>
        </w:rPr>
        <w:t>整体绩效。</w:t>
      </w:r>
    </w:p>
    <w:p>
      <w:pPr>
        <w:pStyle w:val="16"/>
        <w:widowControl/>
        <w:shd w:val="clear" w:color="auto" w:fill="FFFFFF"/>
        <w:spacing w:line="576" w:lineRule="exact"/>
        <w:ind w:firstLine="640" w:firstLineChars="200"/>
        <w:rPr>
          <w:rFonts w:ascii="仿宋_GB2312" w:hAnsi="仿宋_GB2312" w:eastAsia="仿宋_GB2312" w:cs="仿宋_GB2312"/>
          <w:bCs/>
          <w:kern w:val="2"/>
          <w:sz w:val="32"/>
          <w:szCs w:val="32"/>
          <w:lang w:val="zh-CN"/>
        </w:rPr>
      </w:pPr>
      <w:r>
        <w:rPr>
          <w:rFonts w:hint="eastAsia" w:ascii="仿宋_GB2312" w:hAnsi="仿宋_GB2312" w:eastAsia="仿宋_GB2312" w:cs="仿宋_GB2312"/>
          <w:bCs/>
          <w:kern w:val="2"/>
          <w:sz w:val="32"/>
          <w:szCs w:val="32"/>
          <w:lang w:val="zh-CN"/>
        </w:rPr>
        <w:t>从整体情况来看，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p>
    <w:p>
      <w:pPr>
        <w:pStyle w:val="16"/>
        <w:widowControl/>
        <w:shd w:val="clear" w:color="auto" w:fill="FFFFFF"/>
        <w:spacing w:line="576" w:lineRule="exact"/>
        <w:ind w:firstLine="643" w:firstLineChars="200"/>
        <w:rPr>
          <w:rFonts w:ascii="仿宋_GB2312" w:hAnsi="仿宋_GB2312" w:eastAsia="仿宋_GB2312" w:cs="仿宋_GB2312"/>
          <w:b/>
          <w:kern w:val="2"/>
          <w:sz w:val="32"/>
          <w:szCs w:val="32"/>
          <w:lang w:val="zh-CN"/>
        </w:rPr>
      </w:pPr>
      <w:r>
        <w:rPr>
          <w:rFonts w:hint="eastAsia" w:ascii="仿宋_GB2312" w:hAnsi="仿宋_GB2312" w:eastAsia="仿宋_GB2312" w:cs="仿宋_GB2312"/>
          <w:b/>
          <w:kern w:val="2"/>
          <w:sz w:val="32"/>
          <w:szCs w:val="32"/>
          <w:lang w:val="zh-CN"/>
        </w:rPr>
        <w:t>四、评价结论及建议</w:t>
      </w:r>
    </w:p>
    <w:p>
      <w:pPr>
        <w:pStyle w:val="16"/>
        <w:widowControl/>
        <w:shd w:val="clear" w:color="auto" w:fill="FFFFFF"/>
        <w:spacing w:line="576" w:lineRule="exact"/>
        <w:ind w:firstLine="643" w:firstLineChars="200"/>
        <w:rPr>
          <w:rFonts w:ascii="仿宋_GB2312" w:hAnsi="仿宋_GB2312" w:eastAsia="仿宋_GB2312" w:cs="仿宋_GB2312"/>
          <w:b/>
          <w:kern w:val="2"/>
          <w:sz w:val="32"/>
          <w:szCs w:val="32"/>
          <w:lang w:val="zh-CN"/>
        </w:rPr>
      </w:pPr>
      <w:r>
        <w:rPr>
          <w:rFonts w:hint="eastAsia" w:ascii="仿宋_GB2312" w:hAnsi="仿宋_GB2312" w:eastAsia="仿宋_GB2312" w:cs="仿宋_GB2312"/>
          <w:b/>
          <w:kern w:val="2"/>
          <w:sz w:val="32"/>
          <w:szCs w:val="32"/>
          <w:lang w:val="zh-CN"/>
        </w:rPr>
        <w:t>（一）评价结论。</w:t>
      </w:r>
    </w:p>
    <w:p>
      <w:pPr>
        <w:pStyle w:val="16"/>
        <w:widowControl/>
        <w:shd w:val="clear" w:color="auto" w:fill="FFFFFF"/>
        <w:spacing w:line="576" w:lineRule="exact"/>
        <w:ind w:firstLine="640" w:firstLineChars="200"/>
        <w:rPr>
          <w:rFonts w:ascii="仿宋_GB2312" w:hAnsi="仿宋_GB2312" w:eastAsia="仿宋_GB2312" w:cs="仿宋_GB2312"/>
          <w:bCs/>
          <w:kern w:val="2"/>
          <w:sz w:val="32"/>
          <w:szCs w:val="32"/>
          <w:lang w:val="zh-CN"/>
        </w:rPr>
      </w:pPr>
      <w:r>
        <w:rPr>
          <w:rFonts w:hint="eastAsia" w:ascii="仿宋_GB2312" w:hAnsi="仿宋_GB2312" w:eastAsia="仿宋_GB2312" w:cs="仿宋_GB2312"/>
          <w:bCs/>
          <w:kern w:val="2"/>
          <w:sz w:val="32"/>
          <w:szCs w:val="32"/>
          <w:lang w:val="zh-CN"/>
        </w:rPr>
        <w:t>在自评过程发现问题，查找原因，及时纠正偏差，为下一步工作夯实基础。我乡评价得分</w:t>
      </w:r>
      <w:r>
        <w:rPr>
          <w:rFonts w:hint="eastAsia" w:ascii="仿宋_GB2312" w:hAnsi="仿宋_GB2312" w:eastAsia="仿宋_GB2312" w:cs="仿宋_GB2312"/>
          <w:bCs/>
          <w:kern w:val="2"/>
          <w:sz w:val="32"/>
          <w:szCs w:val="32"/>
        </w:rPr>
        <w:t>90</w:t>
      </w:r>
      <w:r>
        <w:rPr>
          <w:rFonts w:hint="eastAsia" w:ascii="仿宋_GB2312" w:hAnsi="仿宋_GB2312" w:eastAsia="仿宋_GB2312" w:cs="仿宋_GB2312"/>
          <w:bCs/>
          <w:kern w:val="2"/>
          <w:sz w:val="32"/>
          <w:szCs w:val="32"/>
          <w:lang w:val="zh-CN"/>
        </w:rPr>
        <w:t>分，整体评价良好，预算收入和支出相符。</w:t>
      </w:r>
    </w:p>
    <w:p>
      <w:pPr>
        <w:widowControl/>
        <w:adjustRightInd w:val="0"/>
        <w:snapToGrid w:val="0"/>
        <w:spacing w:line="576" w:lineRule="exact"/>
        <w:ind w:left="720"/>
        <w:jc w:val="left"/>
        <w:rPr>
          <w:rFonts w:ascii="??_GB2312" w:hAnsi="宋体" w:eastAsia="Times New Roman" w:cs="宋体"/>
          <w:b/>
          <w:bCs/>
          <w:color w:val="000000"/>
          <w:kern w:val="0"/>
          <w:sz w:val="32"/>
          <w:lang w:val="zh-CN"/>
        </w:rPr>
      </w:pPr>
      <w:r>
        <w:rPr>
          <w:rFonts w:ascii="??_GB2312" w:hAnsi="宋体" w:eastAsia="Times New Roman" w:cs="宋体"/>
          <w:b/>
          <w:bCs/>
          <w:color w:val="000000"/>
          <w:kern w:val="0"/>
          <w:sz w:val="32"/>
          <w:lang w:val="zh-CN"/>
        </w:rPr>
        <w:t>（二）存在问题。</w:t>
      </w:r>
    </w:p>
    <w:p>
      <w:pPr>
        <w:widowControl/>
        <w:adjustRightInd w:val="0"/>
        <w:snapToGrid w:val="0"/>
        <w:spacing w:line="480" w:lineRule="exact"/>
        <w:ind w:firstLine="640" w:firstLineChars="200"/>
        <w:jc w:val="left"/>
        <w:outlineLvl w:val="1"/>
        <w:rPr>
          <w:rFonts w:ascii="仿宋_GB2312" w:hAnsi="仿宋_GB2312" w:eastAsia="仿宋_GB2312" w:cs="仿宋_GB2312"/>
          <w:bCs/>
          <w:sz w:val="32"/>
          <w:szCs w:val="32"/>
          <w:lang w:val="zh-CN"/>
        </w:rPr>
      </w:pPr>
      <w:bookmarkStart w:id="96" w:name="_Toc18861"/>
      <w:r>
        <w:rPr>
          <w:rFonts w:hint="eastAsia" w:ascii="仿宋_GB2312" w:hAnsi="仿宋_GB2312" w:eastAsia="仿宋_GB2312" w:cs="仿宋_GB2312"/>
          <w:bCs/>
          <w:sz w:val="32"/>
          <w:szCs w:val="32"/>
          <w:lang w:val="zh-CN"/>
        </w:rPr>
        <w:t>一是预算编制先见性不足，与实际支出存在偏差；二是</w:t>
      </w:r>
      <w:r>
        <w:rPr>
          <w:rFonts w:hint="eastAsia" w:ascii="仿宋_GB2312" w:hAnsi="仿宋_GB2312" w:eastAsia="仿宋_GB2312" w:cs="仿宋_GB2312"/>
          <w:bCs/>
          <w:sz w:val="32"/>
          <w:szCs w:val="32"/>
        </w:rPr>
        <w:t>内控制度建立的不够健全、完善、责任划分不够明确</w:t>
      </w:r>
      <w:r>
        <w:rPr>
          <w:rFonts w:hint="eastAsia" w:ascii="仿宋_GB2312" w:hAnsi="仿宋_GB2312" w:eastAsia="仿宋_GB2312" w:cs="仿宋_GB2312"/>
          <w:bCs/>
          <w:sz w:val="32"/>
          <w:szCs w:val="32"/>
          <w:lang w:val="zh-CN"/>
        </w:rPr>
        <w:t>；三是绩效目标设立不够明确、细化和量化。虽然设立了项目资金绩效目标，但目标不够明确、细化和量化。</w:t>
      </w:r>
      <w:bookmarkEnd w:id="96"/>
    </w:p>
    <w:p>
      <w:pPr>
        <w:widowControl/>
        <w:adjustRightInd w:val="0"/>
        <w:snapToGrid w:val="0"/>
        <w:spacing w:line="576" w:lineRule="exact"/>
        <w:ind w:left="720"/>
        <w:jc w:val="left"/>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（三）改进建议。</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是认真做好预算的编制，细化预算编制，二是进一步完善内部管理制度，提升管理效能，更好地履行职能职责，三是不断加强新《预算法》、《行政单位会计制度》等学习，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580" w:lineRule="exact"/>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pStyle w:val="17"/>
        <w:ind w:firstLine="640"/>
        <w:rPr>
          <w:rFonts w:ascii="仿宋_GB2312" w:hAnsi="仿宋_GB2312" w:eastAsia="仿宋_GB2312" w:cs="仿宋_GB2312"/>
          <w:sz w:val="32"/>
          <w:szCs w:val="32"/>
        </w:rPr>
      </w:pPr>
    </w:p>
    <w:p>
      <w:pPr>
        <w:spacing w:line="580" w:lineRule="exact"/>
        <w:rPr>
          <w:rFonts w:ascii="仿宋_GB2312" w:hAnsi="仿宋_GB2312" w:eastAsia="仿宋_GB2312" w:cs="仿宋_GB2312"/>
          <w:color w:val="000000" w:themeColor="text1"/>
          <w:sz w:val="32"/>
          <w:szCs w:val="32"/>
        </w:rPr>
      </w:pPr>
      <w:r>
        <w:rPr>
          <w:rFonts w:hint="eastAsia" w:ascii="黑体" w:hAnsi="黑体" w:eastAsia="黑体" w:cs="黑体"/>
          <w:color w:val="000000" w:themeColor="text1"/>
          <w:sz w:val="32"/>
          <w:szCs w:val="32"/>
        </w:rPr>
        <w:t>附件2</w:t>
      </w:r>
    </w:p>
    <w:p>
      <w:pPr>
        <w:spacing w:line="580" w:lineRule="exact"/>
        <w:ind w:firstLine="640" w:firstLineChars="200"/>
        <w:rPr>
          <w:rFonts w:ascii="仿宋_GB2312" w:hAnsi="仿宋_GB2312" w:eastAsia="仿宋_GB2312" w:cs="仿宋_GB2312"/>
          <w:color w:val="000000" w:themeColor="text1"/>
          <w:sz w:val="32"/>
          <w:szCs w:val="32"/>
        </w:rPr>
      </w:pPr>
    </w:p>
    <w:p>
      <w:pPr>
        <w:spacing w:line="600" w:lineRule="exact"/>
        <w:jc w:val="center"/>
        <w:rPr>
          <w:rFonts w:ascii="方正小标宋简体" w:hAnsi="宋体" w:eastAsia="方正小标宋简体"/>
          <w:color w:val="000000" w:themeColor="text1"/>
          <w:kern w:val="0"/>
          <w:sz w:val="44"/>
          <w:szCs w:val="44"/>
          <w:lang w:val="zh-CN"/>
        </w:rPr>
      </w:pPr>
      <w:r>
        <w:rPr>
          <w:rFonts w:hint="eastAsia" w:ascii="方正小标宋简体" w:hAnsi="宋体" w:eastAsia="方正小标宋简体"/>
          <w:color w:val="000000" w:themeColor="text1"/>
          <w:kern w:val="0"/>
          <w:sz w:val="44"/>
          <w:szCs w:val="44"/>
        </w:rPr>
        <w:t>江茸乡</w:t>
      </w:r>
      <w:r>
        <w:rPr>
          <w:rFonts w:hint="eastAsia" w:ascii="方正小标宋简体" w:hAnsi="宋体" w:eastAsia="方正小标宋简体"/>
          <w:color w:val="000000" w:themeColor="text1"/>
          <w:kern w:val="0"/>
          <w:sz w:val="44"/>
          <w:szCs w:val="44"/>
          <w:lang w:val="zh-CN"/>
        </w:rPr>
        <w:t>项目</w:t>
      </w:r>
      <w:r>
        <w:rPr>
          <w:rFonts w:hint="eastAsia" w:ascii="方正小标宋简体" w:hAnsi="宋体" w:eastAsia="方正小标宋简体"/>
          <w:color w:val="000000" w:themeColor="text1"/>
          <w:kern w:val="0"/>
          <w:sz w:val="44"/>
          <w:szCs w:val="44"/>
        </w:rPr>
        <w:t>2020年</w:t>
      </w:r>
      <w:r>
        <w:rPr>
          <w:rFonts w:hint="eastAsia" w:ascii="方正小标宋简体" w:hAnsi="宋体" w:eastAsia="方正小标宋简体"/>
          <w:color w:val="000000" w:themeColor="text1"/>
          <w:kern w:val="0"/>
          <w:sz w:val="44"/>
          <w:szCs w:val="44"/>
          <w:lang w:val="zh-CN"/>
        </w:rPr>
        <w:t>绩效评价报告</w:t>
      </w:r>
    </w:p>
    <w:p>
      <w:pPr>
        <w:spacing w:line="600" w:lineRule="exact"/>
        <w:rPr>
          <w:rFonts w:ascii="宋体" w:hAnsi="宋体"/>
          <w:color w:val="000000" w:themeColor="text1"/>
          <w:sz w:val="32"/>
          <w:szCs w:val="32"/>
          <w:lang w:val="zh-CN"/>
        </w:rPr>
      </w:pPr>
    </w:p>
    <w:p>
      <w:pPr>
        <w:adjustRightInd w:val="0"/>
        <w:snapToGrid w:val="0"/>
        <w:spacing w:line="600" w:lineRule="exact"/>
        <w:ind w:firstLine="720"/>
        <w:rPr>
          <w:rFonts w:ascii="黑体" w:hAnsi="宋体" w:eastAsia="黑体"/>
          <w:color w:val="000000" w:themeColor="text1"/>
          <w:sz w:val="32"/>
          <w:szCs w:val="32"/>
          <w:lang w:val="zh-CN"/>
        </w:rPr>
      </w:pPr>
      <w:r>
        <w:rPr>
          <w:rFonts w:hint="eastAsia" w:ascii="黑体" w:hAnsi="宋体" w:eastAsia="黑体"/>
          <w:color w:val="000000" w:themeColor="text1"/>
          <w:sz w:val="32"/>
          <w:szCs w:val="32"/>
        </w:rPr>
        <w:t>一、</w:t>
      </w:r>
      <w:r>
        <w:rPr>
          <w:rFonts w:hint="eastAsia" w:ascii="黑体" w:hAnsi="宋体" w:eastAsia="黑体"/>
          <w:color w:val="000000" w:themeColor="text1"/>
          <w:sz w:val="32"/>
          <w:szCs w:val="32"/>
          <w:lang w:val="zh-CN"/>
        </w:rPr>
        <w:t>项目概况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（一）项目基本情况。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1．说明项目主管部门（单位）在该项目管理中的职能，行使党委、政府监管及相关职能。</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2．召开大会收集需建设项目意见，汇总编制实施方案及项目实施表上报行业主管部门。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（二）项目绩效目标。</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（1）红原县江茸乡</w:t>
      </w:r>
      <w:r>
        <w:rPr>
          <w:rFonts w:hint="eastAsia" w:ascii="仿宋_GB2312" w:hAnsi="仿宋_GB2312" w:eastAsia="仿宋_GB2312" w:cs="仿宋_GB2312"/>
          <w:bCs/>
          <w:sz w:val="32"/>
          <w:szCs w:val="32"/>
        </w:rPr>
        <w:t>2020年太阳能路灯采购安装项目</w:t>
      </w:r>
      <w:r>
        <w:rPr>
          <w:rFonts w:hint="eastAsia" w:ascii="仿宋_GB2312" w:hAnsi="仿宋_GB2312" w:eastAsia="仿宋_GB2312" w:cs="仿宋_GB2312"/>
          <w:sz w:val="32"/>
          <w:szCs w:val="32"/>
        </w:rPr>
        <w:t>绩效目标完成情况综述。项目全年预算数29.6万元，执行数为29.6万元，完成预算的100%。通过项目实施，江茸乡基础设施改善得到了保障，为牧民群众生产带来了方便，改善群众生活条件，促进社会稳定，使群众长期受益。</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t>（2）江宫寺寺庙基础设施维修项目</w:t>
      </w:r>
      <w:r>
        <w:rPr>
          <w:rFonts w:hint="eastAsia" w:ascii="仿宋_GB2312" w:hAnsi="仿宋_GB2312" w:eastAsia="仿宋_GB2312" w:cs="仿宋_GB2312"/>
          <w:sz w:val="32"/>
          <w:szCs w:val="32"/>
        </w:rPr>
        <w:t>绩效目标完成情况综述。项目全年预算数20万元，执行数为20万元，完成预算的100%。通过项目实施，</w:t>
      </w:r>
      <w:r>
        <w:rPr>
          <w:rFonts w:hint="eastAsia" w:ascii="仿宋_GB2312" w:hAnsi="仿宋_GB2312" w:eastAsia="仿宋_GB2312" w:cs="仿宋_GB2312"/>
          <w:color w:val="000000" w:themeColor="text1"/>
          <w:sz w:val="32"/>
          <w:szCs w:val="32"/>
        </w:rPr>
        <w:t>改善江茸乡江宫寺寺庙基础设施，改善僧众生活条件，促进民族团结，使僧众长期受益。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t>（3）</w:t>
      </w:r>
      <w:r>
        <w:rPr>
          <w:rFonts w:hint="eastAsia" w:ascii="仿宋_GB2312" w:hAnsi="仿宋_GB2312" w:eastAsia="仿宋_GB2312" w:cs="仿宋_GB2312"/>
          <w:sz w:val="32"/>
          <w:szCs w:val="32"/>
        </w:rPr>
        <w:t>2020年红原县江茸乡基层政权附属设施建设项目绩效目标完成情况综述。项目全年预算数63万元，执行数为63万元，完成预算的100%。通过项目实施后，有助于江茸乡进一步统一思想，转变观念，基层政权的不断完善，也方便辖区群众办事。（4）新建家庭牧场项目绩效目标完成情况综述。项目全年预算数16.4万元，执行数为16.4万元，完成预算的100%。通过项目实施，使得畜牧养殖规模化标准化，并能够合理有效利用草畜资源，切实保护草原生态环境，提高生产，增加牧民收入。</w:t>
      </w:r>
    </w:p>
    <w:p>
      <w:pPr>
        <w:spacing w:line="540" w:lineRule="exact"/>
        <w:ind w:firstLine="640" w:firstLineChars="200"/>
      </w:pPr>
      <w:r>
        <w:rPr>
          <w:rFonts w:hint="eastAsia" w:ascii="仿宋_GB2312" w:hAnsi="仿宋_GB2312" w:eastAsia="仿宋_GB2312" w:cs="仿宋_GB2312"/>
          <w:sz w:val="32"/>
          <w:szCs w:val="32"/>
        </w:rPr>
        <w:t>（4）红原县江茸乡江宫玛村村民活动中心改造提升项目绩效目标完成情况综述。项目全年预算数39.98万元，执行数为39.98万元，完成预算的100%。通过项目实施，一是进一步提高了公共基础设施配套建设；二是基础设施完善，有利于统筹城乡发展，为区域经济的进一步转型发展提供了良好的客观环境，三是江茸乡属于县域边远乡镇，基础设施相对薄弱，此项目实施有利于乡村文化建设，为乡村振兴建设提供有力保障。</w:t>
      </w:r>
    </w:p>
    <w:p>
      <w:pPr>
        <w:spacing w:line="560" w:lineRule="exact"/>
        <w:ind w:firstLine="640" w:firstLineChars="200"/>
        <w:rPr>
          <w:rFonts w:ascii="仿宋_GB2312" w:hAnsi="宋体" w:eastAsia="仿宋_GB2312"/>
          <w:color w:val="000000" w:themeColor="text1"/>
          <w:sz w:val="32"/>
          <w:szCs w:val="32"/>
          <w:lang w:val="zh-CN"/>
        </w:rPr>
      </w:pPr>
      <w:r>
        <w:rPr>
          <w:rFonts w:hint="eastAsia" w:ascii="仿宋_GB2312" w:hAnsi="仿宋_GB2312" w:eastAsia="仿宋_GB2312" w:cs="仿宋_GB2312"/>
          <w:sz w:val="32"/>
          <w:szCs w:val="32"/>
        </w:rPr>
        <w:t>（5）红原县江茸乡茸日玛村牧业生产点（草原防火通道）建设项目绩效目标完成情况综述。项目全年预算数90万元，执行数为90万元，完成预算的100%。通过项目实施，牧业生产点道路（草原防火通道）建设是改善我乡畜牧业经济及森林草原火灾扑灭的重要途径，也是畜牧业发展的重要基础设施，在畜牧业生产、牧民群众的生活和农村经济发展中具有十分重要的作用。</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（三）项目自评步骤及方法。</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说明项目绩效自评采用的组织实施步骤及方法。</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二、项目资金申报及使用情况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一是通过实地查看和村民大会的召开讨论，群定好项目的具体内容；二是询问专业人员确定项目资金的预算及编制实施方案并上报相关部门。</w:t>
      </w:r>
    </w:p>
    <w:p>
      <w:pPr>
        <w:numPr>
          <w:ilvl w:val="0"/>
          <w:numId w:val="9"/>
        </w:num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资金计划、到位及使用情况。</w:t>
      </w:r>
    </w:p>
    <w:p>
      <w:pPr>
        <w:adjustRightInd w:val="0"/>
        <w:snapToGrid w:val="0"/>
        <w:spacing w:line="600" w:lineRule="exact"/>
        <w:rPr>
          <w:rFonts w:ascii="楷体_GB2312" w:hAnsi="宋体" w:eastAsia="楷体_GB2312"/>
          <w:b/>
          <w:color w:val="000000" w:themeColor="text1"/>
          <w:sz w:val="32"/>
          <w:szCs w:val="32"/>
        </w:rPr>
      </w:pPr>
      <w:r>
        <w:rPr>
          <w:rFonts w:hint="eastAsia" w:ascii="楷体_GB2312" w:hAnsi="宋体" w:eastAsia="楷体_GB2312"/>
          <w:b/>
          <w:color w:val="000000" w:themeColor="text1"/>
          <w:sz w:val="32"/>
          <w:szCs w:val="32"/>
        </w:rPr>
        <w:t>一、红原县江茸乡2020年太阳能路灯采购安装项目</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sz w:val="32"/>
          <w:szCs w:val="32"/>
        </w:rPr>
        <w:t>红原县江茸乡</w:t>
      </w:r>
      <w:r>
        <w:rPr>
          <w:rFonts w:hint="eastAsia" w:ascii="仿宋_GB2312" w:hAnsi="仿宋_GB2312" w:eastAsia="仿宋_GB2312" w:cs="仿宋_GB2312"/>
          <w:bCs/>
          <w:sz w:val="32"/>
          <w:szCs w:val="32"/>
        </w:rPr>
        <w:t>2020年太阳能路灯采购安装项目</w:t>
      </w:r>
      <w:r>
        <w:rPr>
          <w:rFonts w:hint="eastAsia" w:ascii="仿宋_GB2312" w:hAnsi="仿宋_GB2312" w:eastAsia="仿宋_GB2312" w:cs="仿宋_GB2312"/>
          <w:color w:val="000000" w:themeColor="text1"/>
          <w:sz w:val="32"/>
          <w:szCs w:val="32"/>
        </w:rPr>
        <w:t>全年预算数29.6万元，执行数为29.6万元，完成预算的100%。</w:t>
      </w:r>
    </w:p>
    <w:p>
      <w:pPr>
        <w:spacing w:line="580" w:lineRule="exact"/>
        <w:ind w:firstLine="640" w:firstLineChars="2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w:t>
      </w:r>
      <w:r>
        <w:rPr>
          <w:rFonts w:hint="eastAsia" w:ascii="仿宋_GB2312" w:hAnsi="宋体" w:eastAsia="仿宋_GB2312"/>
          <w:color w:val="000000" w:themeColor="text1"/>
          <w:sz w:val="32"/>
          <w:szCs w:val="32"/>
        </w:rPr>
        <w:t>2020</w:t>
      </w:r>
      <w:r>
        <w:rPr>
          <w:rFonts w:hint="eastAsia" w:ascii="仿宋_GB2312" w:hAnsi="宋体" w:eastAsia="仿宋_GB2312"/>
          <w:color w:val="000000" w:themeColor="text1"/>
          <w:sz w:val="32"/>
          <w:szCs w:val="32"/>
          <w:lang w:val="zh-CN"/>
        </w:rPr>
        <w:t>年到位，与计划相符合。</w:t>
      </w:r>
    </w:p>
    <w:p>
      <w:pPr>
        <w:adjustRightInd w:val="0"/>
        <w:snapToGrid w:val="0"/>
        <w:spacing w:line="600" w:lineRule="exact"/>
        <w:ind w:left="420" w:leftChars="2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rPr>
        <w:t>3.</w:t>
      </w: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lang w:val="zh-CN"/>
        </w:rPr>
        <w:t>该项目目前已通过乡、村初验，拨付</w:t>
      </w:r>
      <w:r>
        <w:rPr>
          <w:rFonts w:hint="eastAsia" w:ascii="仿宋_GB2312" w:hAnsi="宋体" w:eastAsia="仿宋_GB2312"/>
          <w:color w:val="000000" w:themeColor="text1"/>
          <w:sz w:val="32"/>
          <w:szCs w:val="32"/>
        </w:rPr>
        <w:t>100%项目款，项目资金与预算相符合。</w:t>
      </w:r>
    </w:p>
    <w:p>
      <w:pPr>
        <w:adjustRightInd w:val="0"/>
        <w:snapToGrid w:val="0"/>
        <w:spacing w:line="600" w:lineRule="exact"/>
        <w:rPr>
          <w:rFonts w:ascii="楷体_GB2312" w:hAnsi="宋体" w:eastAsia="楷体_GB2312"/>
          <w:b/>
          <w:color w:val="000000" w:themeColor="text1"/>
          <w:sz w:val="32"/>
          <w:szCs w:val="32"/>
        </w:rPr>
      </w:pPr>
      <w:r>
        <w:rPr>
          <w:rFonts w:hint="eastAsia" w:ascii="楷体_GB2312" w:hAnsi="宋体" w:eastAsia="楷体_GB2312"/>
          <w:b/>
          <w:color w:val="000000" w:themeColor="text1"/>
          <w:sz w:val="32"/>
          <w:szCs w:val="32"/>
        </w:rPr>
        <w:t>二、江宫寺寺庙基础设施维修项目</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仿宋_GB2312" w:hAnsi="仿宋_GB2312" w:eastAsia="仿宋_GB2312" w:cs="仿宋_GB2312"/>
          <w:color w:val="000000" w:themeColor="text1"/>
          <w:sz w:val="32"/>
          <w:szCs w:val="32"/>
        </w:rPr>
        <w:t>江宫寺寺庙基础设施维修项目</w:t>
      </w:r>
      <w:r>
        <w:rPr>
          <w:rFonts w:hint="eastAsia" w:ascii="仿宋_GB2312" w:hAnsi="仿宋_GB2312" w:eastAsia="仿宋_GB2312" w:cs="仿宋_GB2312"/>
          <w:sz w:val="32"/>
          <w:szCs w:val="32"/>
        </w:rPr>
        <w:t>绩效目标完成情况综述。项目全年预算数20万元，执行数为20万元，完成预算的100%。</w:t>
      </w:r>
    </w:p>
    <w:p>
      <w:pPr>
        <w:spacing w:line="580" w:lineRule="exact"/>
        <w:ind w:firstLine="640" w:firstLineChars="2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w:t>
      </w:r>
      <w:r>
        <w:rPr>
          <w:rFonts w:hint="eastAsia" w:ascii="仿宋_GB2312" w:hAnsi="宋体" w:eastAsia="仿宋_GB2312"/>
          <w:color w:val="000000" w:themeColor="text1"/>
          <w:sz w:val="32"/>
          <w:szCs w:val="32"/>
        </w:rPr>
        <w:t>2020</w:t>
      </w:r>
      <w:r>
        <w:rPr>
          <w:rFonts w:hint="eastAsia" w:ascii="仿宋_GB2312" w:hAnsi="宋体" w:eastAsia="仿宋_GB2312"/>
          <w:color w:val="000000" w:themeColor="text1"/>
          <w:sz w:val="32"/>
          <w:szCs w:val="32"/>
          <w:lang w:val="zh-CN"/>
        </w:rPr>
        <w:t>年到位，与计划相符合。</w:t>
      </w:r>
    </w:p>
    <w:p>
      <w:pPr>
        <w:adjustRightInd w:val="0"/>
        <w:snapToGrid w:val="0"/>
        <w:spacing w:line="600" w:lineRule="exact"/>
        <w:ind w:left="420" w:leftChars="200" w:firstLine="320" w:firstLineChars="1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rPr>
        <w:t>3.</w:t>
      </w: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该项目目前已通过乡、村初验，拨付</w:t>
      </w:r>
      <w:r>
        <w:rPr>
          <w:rFonts w:hint="eastAsia" w:ascii="仿宋_GB2312" w:hAnsi="宋体" w:eastAsia="仿宋_GB2312"/>
          <w:color w:val="000000" w:themeColor="text1"/>
          <w:sz w:val="32"/>
          <w:szCs w:val="32"/>
        </w:rPr>
        <w:t>100%项目款，项目资金与预算相符合。</w:t>
      </w:r>
    </w:p>
    <w:p>
      <w:pPr>
        <w:adjustRightInd w:val="0"/>
        <w:snapToGrid w:val="0"/>
        <w:spacing w:line="600" w:lineRule="exact"/>
        <w:rPr>
          <w:rFonts w:ascii="楷体_GB2312" w:hAnsi="宋体" w:eastAsia="楷体_GB2312"/>
          <w:b/>
          <w:color w:val="000000" w:themeColor="text1"/>
          <w:sz w:val="32"/>
          <w:szCs w:val="32"/>
        </w:rPr>
      </w:pPr>
      <w:r>
        <w:rPr>
          <w:rFonts w:hint="eastAsia" w:ascii="楷体_GB2312" w:hAnsi="宋体" w:eastAsia="楷体_GB2312"/>
          <w:b/>
          <w:color w:val="000000" w:themeColor="text1"/>
          <w:sz w:val="32"/>
          <w:szCs w:val="32"/>
        </w:rPr>
        <w:t>三、2020年红原县江茸乡基层政权附属设施建设项目</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2020年红原县江茸乡基层政权附属设施建设项目绩效目标完成情况综述。项目全年预算数63万元，执行数为63万元，完成预算的100%。</w:t>
      </w:r>
    </w:p>
    <w:p>
      <w:pPr>
        <w:spacing w:line="580" w:lineRule="exact"/>
        <w:ind w:firstLine="640" w:firstLineChars="2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资金已于20</w:t>
      </w:r>
      <w:r>
        <w:rPr>
          <w:rFonts w:hint="eastAsia" w:ascii="仿宋_GB2312" w:hAnsi="宋体" w:eastAsia="仿宋_GB2312"/>
          <w:color w:val="000000" w:themeColor="text1"/>
          <w:sz w:val="32"/>
          <w:szCs w:val="32"/>
        </w:rPr>
        <w:t>20</w:t>
      </w:r>
      <w:r>
        <w:rPr>
          <w:rFonts w:hint="eastAsia" w:ascii="仿宋_GB2312" w:hAnsi="宋体" w:eastAsia="仿宋_GB2312"/>
          <w:color w:val="000000" w:themeColor="text1"/>
          <w:sz w:val="32"/>
          <w:szCs w:val="32"/>
          <w:lang w:val="zh-CN"/>
        </w:rPr>
        <w:t>年到位，与计划相符合。</w:t>
      </w:r>
    </w:p>
    <w:p>
      <w:pPr>
        <w:adjustRightInd w:val="0"/>
        <w:snapToGrid w:val="0"/>
        <w:spacing w:line="600" w:lineRule="exact"/>
        <w:ind w:left="420" w:leftChars="200" w:firstLine="320" w:firstLineChars="1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rPr>
        <w:t>3.</w:t>
      </w: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lang w:val="zh-CN"/>
        </w:rPr>
        <w:t>该项目目前已通过乡、村初验，拨付</w:t>
      </w:r>
      <w:r>
        <w:rPr>
          <w:rFonts w:hint="eastAsia" w:ascii="仿宋_GB2312" w:hAnsi="宋体" w:eastAsia="仿宋_GB2312"/>
          <w:color w:val="000000" w:themeColor="text1"/>
          <w:sz w:val="32"/>
          <w:szCs w:val="32"/>
        </w:rPr>
        <w:t>100%项目款，项目资金与预算相符合。</w:t>
      </w:r>
    </w:p>
    <w:p>
      <w:pPr>
        <w:adjustRightInd w:val="0"/>
        <w:snapToGrid w:val="0"/>
        <w:spacing w:line="600" w:lineRule="exact"/>
        <w:rPr>
          <w:rFonts w:ascii="楷体_GB2312" w:hAnsi="宋体" w:eastAsia="楷体_GB2312"/>
          <w:b/>
          <w:color w:val="000000" w:themeColor="text1"/>
          <w:sz w:val="32"/>
          <w:szCs w:val="32"/>
        </w:rPr>
      </w:pPr>
      <w:r>
        <w:rPr>
          <w:rFonts w:hint="eastAsia" w:ascii="楷体_GB2312" w:hAnsi="宋体" w:eastAsia="楷体_GB2312"/>
          <w:b/>
          <w:color w:val="000000" w:themeColor="text1"/>
          <w:sz w:val="32"/>
          <w:szCs w:val="32"/>
        </w:rPr>
        <w:t>四、红原县江茸乡江宫玛村村民活动中心改造提升项目</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红原县江茸乡江宫玛村村民活动中心改造提升项目绩效目标完成情况综述。项目全年预算数39.98万元，执行数为39.98万元，完成预算的100%。</w:t>
      </w:r>
    </w:p>
    <w:p>
      <w:pPr>
        <w:spacing w:line="580" w:lineRule="exact"/>
        <w:ind w:firstLine="640" w:firstLineChars="2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资金已于20</w:t>
      </w:r>
      <w:r>
        <w:rPr>
          <w:rFonts w:hint="eastAsia" w:ascii="仿宋_GB2312" w:hAnsi="宋体" w:eastAsia="仿宋_GB2312"/>
          <w:color w:val="000000" w:themeColor="text1"/>
          <w:sz w:val="32"/>
          <w:szCs w:val="32"/>
        </w:rPr>
        <w:t>20</w:t>
      </w:r>
      <w:r>
        <w:rPr>
          <w:rFonts w:hint="eastAsia" w:ascii="仿宋_GB2312" w:hAnsi="宋体" w:eastAsia="仿宋_GB2312"/>
          <w:color w:val="000000" w:themeColor="text1"/>
          <w:sz w:val="32"/>
          <w:szCs w:val="32"/>
          <w:lang w:val="zh-CN"/>
        </w:rPr>
        <w:t>年到位，与计划相符合。</w:t>
      </w:r>
    </w:p>
    <w:p>
      <w:pPr>
        <w:adjustRightInd w:val="0"/>
        <w:snapToGrid w:val="0"/>
        <w:spacing w:line="600" w:lineRule="exact"/>
        <w:ind w:left="420" w:leftChars="200" w:firstLine="320" w:firstLineChars="1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rPr>
        <w:t>3.</w:t>
      </w: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lang w:val="zh-CN"/>
        </w:rPr>
        <w:t>该项目目前已通过乡、村初验，拨付</w:t>
      </w:r>
      <w:r>
        <w:rPr>
          <w:rFonts w:hint="eastAsia" w:ascii="仿宋_GB2312" w:hAnsi="宋体" w:eastAsia="仿宋_GB2312"/>
          <w:color w:val="000000" w:themeColor="text1"/>
          <w:sz w:val="32"/>
          <w:szCs w:val="32"/>
        </w:rPr>
        <w:t>100%项目款，项目资金与预算相符合。</w:t>
      </w:r>
    </w:p>
    <w:p>
      <w:pPr>
        <w:adjustRightInd w:val="0"/>
        <w:snapToGrid w:val="0"/>
        <w:spacing w:line="600" w:lineRule="exact"/>
        <w:rPr>
          <w:rFonts w:ascii="楷体_GB2312" w:hAnsi="宋体" w:eastAsia="楷体_GB2312"/>
          <w:b/>
          <w:color w:val="000000" w:themeColor="text1"/>
          <w:sz w:val="32"/>
          <w:szCs w:val="32"/>
        </w:rPr>
      </w:pPr>
      <w:r>
        <w:rPr>
          <w:rFonts w:hint="eastAsia" w:ascii="楷体_GB2312" w:hAnsi="宋体" w:eastAsia="楷体_GB2312"/>
          <w:b/>
          <w:color w:val="000000" w:themeColor="text1"/>
          <w:sz w:val="32"/>
          <w:szCs w:val="32"/>
        </w:rPr>
        <w:t>五、红原县江茸乡茸日玛村牧业生产点（草原防火通道）建设项目</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红原县江茸乡茸日玛村牧业生产点（草原防火通道）建设项目绩效目标完成情况综述。项目全年预算数90万元，执行数为90万元，完成预算的100%。</w:t>
      </w:r>
    </w:p>
    <w:p>
      <w:pPr>
        <w:spacing w:line="580" w:lineRule="exact"/>
        <w:ind w:firstLine="640" w:firstLineChars="2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资金已于20</w:t>
      </w:r>
      <w:r>
        <w:rPr>
          <w:rFonts w:hint="eastAsia" w:ascii="仿宋_GB2312" w:hAnsi="宋体" w:eastAsia="仿宋_GB2312"/>
          <w:color w:val="000000" w:themeColor="text1"/>
          <w:sz w:val="32"/>
          <w:szCs w:val="32"/>
        </w:rPr>
        <w:t>20</w:t>
      </w:r>
      <w:r>
        <w:rPr>
          <w:rFonts w:hint="eastAsia" w:ascii="仿宋_GB2312" w:hAnsi="宋体" w:eastAsia="仿宋_GB2312"/>
          <w:color w:val="000000" w:themeColor="text1"/>
          <w:sz w:val="32"/>
          <w:szCs w:val="32"/>
          <w:lang w:val="zh-CN"/>
        </w:rPr>
        <w:t>年到位，与计划相符合。</w:t>
      </w:r>
    </w:p>
    <w:p>
      <w:pPr>
        <w:adjustRightInd w:val="0"/>
        <w:snapToGrid w:val="0"/>
        <w:spacing w:line="600" w:lineRule="exact"/>
        <w:ind w:left="420" w:leftChars="200" w:firstLine="320" w:firstLineChars="1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rPr>
        <w:t>3.</w:t>
      </w: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pPr>
      <w:r>
        <w:rPr>
          <w:rFonts w:hint="eastAsia" w:ascii="仿宋_GB2312" w:hAnsi="宋体" w:eastAsia="仿宋_GB2312"/>
          <w:color w:val="000000" w:themeColor="text1"/>
          <w:sz w:val="32"/>
          <w:szCs w:val="32"/>
          <w:lang w:val="zh-CN"/>
        </w:rPr>
        <w:t>该项目目前已通过乡、村初验，拨付</w:t>
      </w:r>
      <w:r>
        <w:rPr>
          <w:rFonts w:hint="eastAsia" w:ascii="仿宋_GB2312" w:hAnsi="宋体" w:eastAsia="仿宋_GB2312"/>
          <w:color w:val="000000" w:themeColor="text1"/>
          <w:sz w:val="32"/>
          <w:szCs w:val="32"/>
        </w:rPr>
        <w:t>100%项目款，项目资金与预算相符合。</w:t>
      </w:r>
    </w:p>
    <w:p>
      <w:pPr>
        <w:pStyle w:val="12"/>
        <w:rPr>
          <w:lang w:val="zh-CN"/>
        </w:rPr>
      </w:pP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（三）项目财务管理情况。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一是项目资金的使用进行透明化管理，资金的来源及使用途径均已公示公告，并成立了以乡纪委成员和村会计的项目资金监管小组做到项目资金用到实处；二是严格按照合同、方案、项目进度拨付资金。</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三、项目实施及管理情况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结合项目组织实施管理办法，重点围绕以下内容进行分析评价，并对自评中发现的问题分析说明。</w:t>
      </w:r>
    </w:p>
    <w:p>
      <w:pPr>
        <w:numPr>
          <w:ilvl w:val="0"/>
          <w:numId w:val="10"/>
        </w:num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项目组织架构及实施流程。</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项目成立了以村委会成员牵头的项目理事会，主要负责对项目的推进和项目的监管。制定了一套切实可行的管理制度并与理事会成员的组成进行了为期7日的公示公告，公式期内无异议。</w:t>
      </w:r>
    </w:p>
    <w:p>
      <w:pPr>
        <w:numPr>
          <w:ilvl w:val="0"/>
          <w:numId w:val="10"/>
        </w:num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项目管理情况。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一是项目资金的使用进行透明化管理，资金的来源及使用途径均已公示公告，并成立了以乡纪委成员和村会计的项目资金监管小组做到项目资金用到实处；二是严格按照合同、方案、项目进度拨付资金。</w:t>
      </w:r>
    </w:p>
    <w:p>
      <w:pPr>
        <w:numPr>
          <w:ilvl w:val="0"/>
          <w:numId w:val="10"/>
        </w:num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项目监管情况。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项目成立了以村委会成员牵头的项目理事会，主要负责对项目的推进和项目的监管。制定了一套切实可行的管理制度并与理事会成员的组成进行了为期7日的公示公告，公式期内无异议。</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黑体" w:hAnsi="宋体" w:eastAsia="黑体"/>
          <w:color w:val="000000" w:themeColor="text1"/>
          <w:sz w:val="32"/>
          <w:szCs w:val="32"/>
        </w:rPr>
        <w:t>四、项目绩效情况</w:t>
      </w:r>
      <w:r>
        <w:rPr>
          <w:rFonts w:hint="eastAsia" w:ascii="仿宋_GB2312" w:hAnsi="宋体" w:eastAsia="仿宋_GB2312"/>
          <w:color w:val="000000" w:themeColor="text1"/>
          <w:sz w:val="32"/>
          <w:szCs w:val="32"/>
          <w:lang w:val="zh-CN"/>
        </w:rPr>
        <w:tab/>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（一）项目完成情况。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仿宋_GB2312" w:hAnsi="宋体" w:eastAsia="仿宋_GB2312"/>
          <w:color w:val="000000" w:themeColor="text1"/>
          <w:sz w:val="32"/>
          <w:szCs w:val="32"/>
          <w:lang w:val="zh-CN"/>
        </w:rPr>
        <w:t>严格按照实施方案完成，完成绩效目标设定的任务量。符合绩效目标设定的验收标准，达到行业基准水平。</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（二）项目效益情况。</w:t>
      </w:r>
    </w:p>
    <w:p>
      <w:pPr>
        <w:spacing w:line="560" w:lineRule="exact"/>
        <w:ind w:firstLine="640" w:firstLineChars="200"/>
        <w:rPr>
          <w:rFonts w:ascii="仿宋_GB2312" w:hAnsi="宋体" w:eastAsia="仿宋_GB2312"/>
          <w:color w:val="000000" w:themeColor="text1"/>
          <w:sz w:val="32"/>
          <w:szCs w:val="32"/>
          <w:lang w:val="zh-CN"/>
        </w:rPr>
      </w:pPr>
      <w:r>
        <w:rPr>
          <w:rFonts w:hint="eastAsia" w:ascii="仿宋_GB2312" w:hAnsi="仿宋_GB2312" w:eastAsia="仿宋_GB2312" w:cs="仿宋_GB2312"/>
          <w:sz w:val="32"/>
          <w:szCs w:val="32"/>
        </w:rPr>
        <w:t>通过项目实施，提高群众、僧众生产、生活、学习的环境设施</w:t>
      </w:r>
      <w:r>
        <w:rPr>
          <w:rFonts w:hint="eastAsia" w:ascii="仿宋_GB2312" w:eastAsia="仿宋_GB2312"/>
          <w:sz w:val="32"/>
          <w:szCs w:val="32"/>
        </w:rPr>
        <w:t>，保障群众人身、生产安全，进一步增加牧民收入，提高乡政府办事效率。</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五、评价结论及建议</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（一）评价结论。</w:t>
      </w:r>
    </w:p>
    <w:p>
      <w:pPr>
        <w:adjustRightInd w:val="0"/>
        <w:snapToGrid w:val="0"/>
        <w:spacing w:line="600" w:lineRule="exact"/>
        <w:ind w:firstLine="640" w:firstLineChars="200"/>
        <w:rPr>
          <w:rFonts w:ascii="仿宋_GB2312" w:hAnsi="宋体" w:eastAsia="仿宋_GB2312"/>
          <w:color w:val="000000" w:themeColor="text1"/>
          <w:sz w:val="32"/>
          <w:szCs w:val="32"/>
          <w:bdr w:val="single" w:color="auto" w:sz="4" w:space="0"/>
          <w:lang w:val="zh-CN"/>
        </w:rPr>
      </w:pPr>
      <w:r>
        <w:rPr>
          <w:rFonts w:hint="eastAsia" w:ascii="仿宋_GB2312" w:hAnsi="宋体" w:eastAsia="仿宋_GB2312"/>
          <w:color w:val="000000" w:themeColor="text1"/>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（二）存在的问题。</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项目建成后，后期维护不到位。</w:t>
      </w:r>
      <w:r>
        <w:rPr>
          <w:rFonts w:hint="eastAsia" w:ascii="仿宋_GB2312" w:hAnsi="宋体" w:eastAsia="仿宋_GB2312"/>
          <w:color w:val="000000" w:themeColor="text1"/>
          <w:sz w:val="32"/>
          <w:szCs w:val="32"/>
          <w:lang w:val="zh-CN"/>
        </w:rPr>
        <w:tab/>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（三）相关建议。</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建议上级部门拨付后期专项维护费用。</w:t>
      </w:r>
    </w:p>
    <w:p>
      <w:pPr>
        <w:pStyle w:val="17"/>
        <w:ind w:firstLine="640"/>
        <w:rPr>
          <w:rFonts w:ascii="仿宋_GB2312" w:hAnsi="仿宋_GB2312" w:eastAsia="仿宋_GB2312" w:cs="仿宋_GB2312"/>
          <w:sz w:val="32"/>
          <w:szCs w:val="32"/>
        </w:rPr>
      </w:pPr>
    </w:p>
    <w:p>
      <w:pPr>
        <w:widowControl/>
        <w:jc w:val="left"/>
        <w:rPr>
          <w:rStyle w:val="30"/>
          <w:rFonts w:ascii="黑体" w:hAnsi="黑体" w:eastAsia="黑体"/>
          <w:b w:val="0"/>
        </w:rPr>
      </w:pPr>
    </w:p>
    <w:p>
      <w:pPr>
        <w:widowControl/>
        <w:jc w:val="left"/>
        <w:rPr>
          <w:rStyle w:val="30"/>
          <w:rFonts w:ascii="黑体" w:hAnsi="黑体" w:eastAsia="黑体"/>
          <w:b w:val="0"/>
        </w:rPr>
      </w:pPr>
      <w:r>
        <w:rPr>
          <w:rStyle w:val="30"/>
          <w:rFonts w:ascii="黑体" w:hAnsi="黑体" w:eastAsia="黑体"/>
          <w:b w:val="0"/>
        </w:rPr>
        <w:br w:type="page"/>
      </w:r>
    </w:p>
    <w:p>
      <w:pPr>
        <w:spacing w:line="600" w:lineRule="exact"/>
        <w:jc w:val="center"/>
        <w:outlineLvl w:val="0"/>
        <w:rPr>
          <w:rStyle w:val="30"/>
          <w:rFonts w:ascii="黑体" w:hAnsi="黑体" w:eastAsia="黑体"/>
          <w:b w:val="0"/>
        </w:rPr>
      </w:pPr>
    </w:p>
    <w:p>
      <w:pPr>
        <w:spacing w:line="600" w:lineRule="exact"/>
        <w:jc w:val="center"/>
        <w:outlineLvl w:val="0"/>
        <w:rPr>
          <w:rStyle w:val="30"/>
          <w:rFonts w:ascii="黑体" w:hAnsi="黑体" w:eastAsia="黑体"/>
          <w:b w:val="0"/>
        </w:rPr>
      </w:pPr>
      <w:bookmarkStart w:id="97" w:name="_Toc15396618"/>
      <w:bookmarkStart w:id="98" w:name="_Toc1743"/>
      <w:r>
        <w:rPr>
          <w:rFonts w:hint="eastAsia" w:ascii="黑体" w:hAnsi="黑体" w:eastAsia="黑体"/>
          <w:color w:val="000000"/>
          <w:sz w:val="44"/>
          <w:szCs w:val="44"/>
        </w:rPr>
        <w:t>第</w:t>
      </w:r>
      <w:r>
        <w:rPr>
          <w:rStyle w:val="30"/>
          <w:rFonts w:hint="eastAsia" w:ascii="黑体" w:hAnsi="黑体" w:eastAsia="黑体"/>
          <w:b w:val="0"/>
        </w:rPr>
        <w:t>五部分 附表</w:t>
      </w:r>
      <w:bookmarkEnd w:id="92"/>
      <w:bookmarkEnd w:id="97"/>
      <w:bookmarkEnd w:id="98"/>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99" w:name="_Toc15396619"/>
      <w:bookmarkStart w:id="100" w:name="_Toc20710"/>
      <w:r>
        <w:rPr>
          <w:rFonts w:hint="eastAsia" w:ascii="仿宋" w:hAnsi="仿宋" w:eastAsia="仿宋"/>
          <w:b w:val="0"/>
          <w:color w:val="000000"/>
        </w:rPr>
        <w:t>一、</w:t>
      </w:r>
      <w:bookmarkEnd w:id="99"/>
      <w:r>
        <w:rPr>
          <w:rFonts w:hint="eastAsia" w:ascii="仿宋" w:hAnsi="仿宋" w:eastAsia="仿宋"/>
          <w:b w:val="0"/>
          <w:color w:val="000000"/>
        </w:rPr>
        <w:t>收入支出决算总表</w:t>
      </w:r>
      <w:bookmarkEnd w:id="100"/>
    </w:p>
    <w:p>
      <w:pPr>
        <w:pStyle w:val="4"/>
        <w:rPr>
          <w:rFonts w:ascii="仿宋" w:hAnsi="仿宋" w:eastAsia="仿宋"/>
          <w:color w:val="000000"/>
        </w:rPr>
      </w:pPr>
      <w:bookmarkStart w:id="101" w:name="_Toc15396620"/>
      <w:bookmarkStart w:id="102" w:name="_Toc20766"/>
      <w:r>
        <w:rPr>
          <w:rFonts w:hint="eastAsia" w:ascii="仿宋" w:hAnsi="仿宋" w:eastAsia="仿宋"/>
          <w:b w:val="0"/>
          <w:color w:val="000000"/>
        </w:rPr>
        <w:t>二、</w:t>
      </w:r>
      <w:bookmarkEnd w:id="101"/>
      <w:r>
        <w:rPr>
          <w:rFonts w:hint="eastAsia" w:ascii="仿宋" w:hAnsi="仿宋" w:eastAsia="仿宋"/>
          <w:b w:val="0"/>
          <w:color w:val="000000"/>
        </w:rPr>
        <w:t>收入支出决算表</w:t>
      </w:r>
      <w:bookmarkEnd w:id="102"/>
    </w:p>
    <w:p>
      <w:pPr>
        <w:pStyle w:val="4"/>
        <w:rPr>
          <w:rFonts w:ascii="仿宋" w:hAnsi="仿宋" w:eastAsia="仿宋"/>
          <w:color w:val="000000"/>
        </w:rPr>
      </w:pPr>
      <w:bookmarkStart w:id="103" w:name="_Toc15396621"/>
      <w:bookmarkStart w:id="104" w:name="_Toc19504"/>
      <w:r>
        <w:rPr>
          <w:rStyle w:val="31"/>
          <w:rFonts w:hint="eastAsia" w:ascii="仿宋" w:hAnsi="仿宋" w:eastAsia="仿宋"/>
          <w:b w:val="0"/>
          <w:bCs w:val="0"/>
        </w:rPr>
        <w:t>三、</w:t>
      </w:r>
      <w:bookmarkEnd w:id="103"/>
      <w:r>
        <w:rPr>
          <w:rFonts w:hint="eastAsia" w:ascii="仿宋" w:hAnsi="仿宋" w:eastAsia="仿宋"/>
          <w:b w:val="0"/>
          <w:color w:val="000000"/>
        </w:rPr>
        <w:t>收入决算表</w:t>
      </w:r>
      <w:bookmarkEnd w:id="104"/>
    </w:p>
    <w:p>
      <w:pPr>
        <w:pStyle w:val="4"/>
        <w:rPr>
          <w:rFonts w:ascii="仿宋" w:hAnsi="仿宋" w:eastAsia="仿宋"/>
          <w:b w:val="0"/>
          <w:color w:val="000000"/>
        </w:rPr>
      </w:pPr>
      <w:bookmarkStart w:id="105" w:name="_Toc15396622"/>
      <w:bookmarkStart w:id="106" w:name="_Toc25143"/>
      <w:r>
        <w:rPr>
          <w:rStyle w:val="31"/>
          <w:rFonts w:hint="eastAsia" w:ascii="仿宋" w:hAnsi="仿宋" w:eastAsia="仿宋"/>
          <w:b w:val="0"/>
          <w:bCs w:val="0"/>
        </w:rPr>
        <w:t>四、</w:t>
      </w:r>
      <w:bookmarkEnd w:id="105"/>
      <w:r>
        <w:rPr>
          <w:rFonts w:hint="eastAsia" w:ascii="仿宋" w:hAnsi="仿宋" w:eastAsia="仿宋"/>
          <w:b w:val="0"/>
          <w:color w:val="000000"/>
        </w:rPr>
        <w:t>支出决算表</w:t>
      </w:r>
      <w:bookmarkEnd w:id="106"/>
    </w:p>
    <w:p>
      <w:pPr>
        <w:pStyle w:val="4"/>
        <w:rPr>
          <w:rStyle w:val="31"/>
          <w:rFonts w:ascii="仿宋" w:hAnsi="仿宋" w:eastAsia="仿宋"/>
          <w:b w:val="0"/>
          <w:bCs w:val="0"/>
        </w:rPr>
      </w:pPr>
      <w:bookmarkStart w:id="107" w:name="_Toc15396623"/>
      <w:bookmarkStart w:id="108" w:name="_Toc23326"/>
      <w:r>
        <w:rPr>
          <w:rStyle w:val="31"/>
          <w:rFonts w:hint="eastAsia" w:ascii="仿宋" w:hAnsi="仿宋" w:eastAsia="仿宋"/>
          <w:b w:val="0"/>
          <w:bCs w:val="0"/>
        </w:rPr>
        <w:t>五、</w:t>
      </w:r>
      <w:bookmarkEnd w:id="107"/>
      <w:bookmarkStart w:id="109" w:name="_Toc15396624"/>
      <w:r>
        <w:rPr>
          <w:rFonts w:hint="eastAsia" w:ascii="仿宋" w:hAnsi="仿宋" w:eastAsia="仿宋"/>
          <w:b w:val="0"/>
          <w:color w:val="000000"/>
        </w:rPr>
        <w:t>支出决算明细表</w:t>
      </w:r>
      <w:bookmarkEnd w:id="108"/>
    </w:p>
    <w:p>
      <w:pPr>
        <w:pStyle w:val="4"/>
        <w:rPr>
          <w:rFonts w:ascii="仿宋" w:hAnsi="仿宋" w:eastAsia="仿宋"/>
          <w:color w:val="000000"/>
        </w:rPr>
      </w:pPr>
      <w:bookmarkStart w:id="110" w:name="_Toc3433"/>
      <w:r>
        <w:rPr>
          <w:rStyle w:val="31"/>
          <w:rFonts w:hint="eastAsia" w:ascii="仿宋" w:hAnsi="仿宋" w:eastAsia="仿宋"/>
          <w:b w:val="0"/>
          <w:bCs w:val="0"/>
        </w:rPr>
        <w:t>六、</w:t>
      </w:r>
      <w:bookmarkEnd w:id="109"/>
      <w:r>
        <w:rPr>
          <w:rFonts w:hint="eastAsia" w:ascii="仿宋" w:hAnsi="仿宋" w:eastAsia="仿宋"/>
          <w:b w:val="0"/>
          <w:color w:val="000000"/>
        </w:rPr>
        <w:t>项目收入支出决算表</w:t>
      </w:r>
      <w:bookmarkEnd w:id="110"/>
    </w:p>
    <w:p>
      <w:pPr>
        <w:pStyle w:val="4"/>
        <w:rPr>
          <w:rFonts w:ascii="仿宋" w:hAnsi="仿宋" w:eastAsia="仿宋"/>
          <w:color w:val="000000"/>
        </w:rPr>
      </w:pPr>
      <w:bookmarkStart w:id="111" w:name="_Toc15396625"/>
      <w:bookmarkStart w:id="112" w:name="_Toc30135"/>
      <w:r>
        <w:rPr>
          <w:rStyle w:val="31"/>
          <w:rFonts w:hint="eastAsia" w:ascii="仿宋" w:hAnsi="仿宋" w:eastAsia="仿宋"/>
          <w:b w:val="0"/>
          <w:bCs w:val="0"/>
        </w:rPr>
        <w:t>七、</w:t>
      </w:r>
      <w:bookmarkEnd w:id="111"/>
      <w:r>
        <w:rPr>
          <w:rFonts w:hint="eastAsia" w:ascii="仿宋" w:hAnsi="仿宋" w:eastAsia="仿宋"/>
          <w:b w:val="0"/>
          <w:color w:val="000000"/>
        </w:rPr>
        <w:t>一般公共预算财政拨款收入支出决算表</w:t>
      </w:r>
      <w:bookmarkEnd w:id="112"/>
    </w:p>
    <w:p>
      <w:pPr>
        <w:pStyle w:val="4"/>
        <w:rPr>
          <w:rFonts w:ascii="仿宋" w:hAnsi="仿宋" w:eastAsia="仿宋"/>
          <w:b w:val="0"/>
          <w:color w:val="000000"/>
        </w:rPr>
      </w:pPr>
      <w:bookmarkStart w:id="113" w:name="_Toc15396626"/>
      <w:bookmarkStart w:id="114" w:name="_Toc31915"/>
      <w:r>
        <w:rPr>
          <w:rStyle w:val="31"/>
          <w:rFonts w:hint="eastAsia" w:ascii="仿宋" w:hAnsi="仿宋" w:eastAsia="仿宋"/>
          <w:b w:val="0"/>
          <w:bCs w:val="0"/>
        </w:rPr>
        <w:t>八、</w:t>
      </w:r>
      <w:bookmarkEnd w:id="113"/>
      <w:bookmarkStart w:id="115" w:name="_Toc15396627"/>
      <w:r>
        <w:rPr>
          <w:rFonts w:hint="eastAsia" w:ascii="仿宋" w:hAnsi="仿宋" w:eastAsia="仿宋"/>
          <w:b w:val="0"/>
          <w:color w:val="000000"/>
        </w:rPr>
        <w:t>一般公共预算财政拨款支出决算明细表</w:t>
      </w:r>
      <w:bookmarkEnd w:id="114"/>
    </w:p>
    <w:p>
      <w:pPr>
        <w:pStyle w:val="4"/>
        <w:rPr>
          <w:rFonts w:ascii="仿宋" w:hAnsi="仿宋" w:eastAsia="仿宋"/>
          <w:b w:val="0"/>
          <w:color w:val="000000"/>
        </w:rPr>
      </w:pPr>
      <w:bookmarkStart w:id="116" w:name="_Toc12261"/>
      <w:r>
        <w:rPr>
          <w:rStyle w:val="31"/>
          <w:rFonts w:hint="eastAsia" w:ascii="仿宋" w:hAnsi="仿宋" w:eastAsia="仿宋"/>
          <w:b w:val="0"/>
          <w:bCs w:val="0"/>
        </w:rPr>
        <w:t>九、</w:t>
      </w:r>
      <w:bookmarkEnd w:id="115"/>
      <w:bookmarkStart w:id="117" w:name="_Toc15396628"/>
      <w:r>
        <w:rPr>
          <w:rFonts w:hint="eastAsia" w:ascii="仿宋" w:hAnsi="仿宋" w:eastAsia="仿宋"/>
          <w:b w:val="0"/>
          <w:color w:val="000000"/>
        </w:rPr>
        <w:t>一般公共预算财政拨款基本支出决算明细表</w:t>
      </w:r>
      <w:bookmarkEnd w:id="116"/>
    </w:p>
    <w:p>
      <w:pPr>
        <w:pStyle w:val="4"/>
        <w:rPr>
          <w:rFonts w:ascii="仿宋" w:hAnsi="仿宋" w:eastAsia="仿宋"/>
          <w:color w:val="000000"/>
        </w:rPr>
      </w:pPr>
      <w:bookmarkStart w:id="118" w:name="_Toc26342"/>
      <w:r>
        <w:rPr>
          <w:rStyle w:val="31"/>
          <w:rFonts w:hint="eastAsia" w:ascii="仿宋" w:hAnsi="仿宋" w:eastAsia="仿宋"/>
          <w:b w:val="0"/>
          <w:bCs w:val="0"/>
        </w:rPr>
        <w:t>十、</w:t>
      </w:r>
      <w:bookmarkEnd w:id="117"/>
      <w:r>
        <w:rPr>
          <w:rFonts w:hint="eastAsia" w:ascii="仿宋" w:hAnsi="仿宋" w:eastAsia="仿宋"/>
          <w:b w:val="0"/>
          <w:color w:val="000000"/>
        </w:rPr>
        <w:t>一般公共预算财政拨款项目支出决算明细表</w:t>
      </w:r>
      <w:bookmarkEnd w:id="118"/>
    </w:p>
    <w:p>
      <w:pPr>
        <w:pStyle w:val="4"/>
        <w:rPr>
          <w:rFonts w:ascii="仿宋" w:hAnsi="仿宋" w:eastAsia="仿宋"/>
          <w:color w:val="000000"/>
        </w:rPr>
      </w:pPr>
      <w:bookmarkStart w:id="119" w:name="_Toc15396629"/>
      <w:bookmarkStart w:id="120" w:name="_Toc5382"/>
      <w:r>
        <w:rPr>
          <w:rStyle w:val="31"/>
          <w:rFonts w:hint="eastAsia" w:ascii="仿宋" w:hAnsi="仿宋" w:eastAsia="仿宋"/>
          <w:b w:val="0"/>
          <w:bCs w:val="0"/>
        </w:rPr>
        <w:t>十一、</w:t>
      </w:r>
      <w:bookmarkEnd w:id="119"/>
      <w:r>
        <w:rPr>
          <w:rFonts w:hint="eastAsia" w:ascii="仿宋" w:hAnsi="仿宋" w:eastAsia="仿宋"/>
          <w:b w:val="0"/>
          <w:color w:val="000000"/>
        </w:rPr>
        <w:t>预算支出相关信息表</w:t>
      </w:r>
      <w:bookmarkEnd w:id="120"/>
    </w:p>
    <w:p>
      <w:pPr>
        <w:pStyle w:val="4"/>
        <w:rPr>
          <w:rFonts w:ascii="仿宋" w:hAnsi="仿宋" w:eastAsia="仿宋"/>
          <w:color w:val="000000"/>
        </w:rPr>
      </w:pPr>
      <w:bookmarkStart w:id="121" w:name="_Toc15396630"/>
      <w:bookmarkStart w:id="122" w:name="_Toc432"/>
      <w:r>
        <w:rPr>
          <w:rStyle w:val="31"/>
          <w:rFonts w:hint="eastAsia" w:ascii="仿宋" w:hAnsi="仿宋" w:eastAsia="仿宋"/>
          <w:b w:val="0"/>
          <w:bCs w:val="0"/>
        </w:rPr>
        <w:t>十二、</w:t>
      </w:r>
      <w:r>
        <w:rPr>
          <w:rFonts w:hint="eastAsia" w:ascii="仿宋" w:hAnsi="仿宋" w:eastAsia="仿宋"/>
          <w:b w:val="0"/>
          <w:color w:val="000000"/>
        </w:rPr>
        <w:t>基本数字表</w:t>
      </w:r>
      <w:bookmarkEnd w:id="121"/>
      <w:bookmarkEnd w:id="122"/>
    </w:p>
    <w:p>
      <w:pPr>
        <w:pStyle w:val="4"/>
        <w:rPr>
          <w:rFonts w:ascii="仿宋" w:hAnsi="仿宋" w:eastAsia="仿宋"/>
          <w:b w:val="0"/>
          <w:color w:val="000000"/>
        </w:rPr>
      </w:pPr>
      <w:bookmarkStart w:id="123" w:name="_Toc15396631"/>
      <w:bookmarkStart w:id="124" w:name="_Toc17726"/>
      <w:r>
        <w:rPr>
          <w:rStyle w:val="31"/>
          <w:rFonts w:hint="eastAsia" w:ascii="仿宋" w:hAnsi="仿宋" w:eastAsia="仿宋"/>
          <w:b w:val="0"/>
          <w:bCs w:val="0"/>
        </w:rPr>
        <w:t>十三、</w:t>
      </w:r>
      <w:bookmarkEnd w:id="123"/>
      <w:r>
        <w:rPr>
          <w:rFonts w:hint="eastAsia" w:ascii="仿宋" w:hAnsi="仿宋" w:eastAsia="仿宋"/>
          <w:b w:val="0"/>
          <w:color w:val="000000"/>
        </w:rPr>
        <w:t>机构运行信息表</w:t>
      </w:r>
      <w:bookmarkEnd w:id="124"/>
    </w:p>
    <w:p>
      <w:pPr>
        <w:pStyle w:val="6"/>
        <w:ind w:firstLine="0" w:firstLineChars="0"/>
      </w:pPr>
    </w:p>
    <w:sectPr>
      <w:footerReference r:id="rId5" w:type="first"/>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宋?">
    <w:altName w:val="Malgun Gothic"/>
    <w:panose1 w:val="00000000000000000000"/>
    <w:charset w:val="81"/>
    <w:family w:val="roman"/>
    <w:pitch w:val="default"/>
    <w:sig w:usb0="00000000" w:usb1="00000000" w:usb2="00000010" w:usb3="00000000" w:csb0="00080000"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pict>
        <v:shape id="文本框 3"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Lsacg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4S7GnIAQAAmQMAAA4AAAAAAAAAAQAgAAAAHgEAAGRycy9lMm9Eb2Mu&#10;eG1sUEsFBgAAAAAGAAYAWQEAAFgFAAAAAA==&#10;">
          <v:path/>
          <v:fill on="f" focussize="0,0"/>
          <v:stroke on="f" joinstyle="miter"/>
          <v:imagedata o:title=""/>
          <o:lock v:ext="edit"/>
          <v:textbox inset="0mm,0mm,0mm,0mm" style="mso-fit-shape-to-text:t;">
            <w:txbxContent>
              <w:sdt>
                <w:sdtPr>
                  <w:id w:val="-1994781956"/>
                </w:sdtPr>
                <w:sdtContent>
                  <w:p>
                    <w:pPr>
                      <w:pStyle w:val="12"/>
                      <w:jc w:val="center"/>
                    </w:pPr>
                    <w:r>
                      <w:fldChar w:fldCharType="begin"/>
                    </w:r>
                    <w:r>
                      <w:instrText xml:space="preserve">PAGE   \* MERGEFORMAT</w:instrText>
                    </w:r>
                    <w:r>
                      <w:fldChar w:fldCharType="separate"/>
                    </w:r>
                    <w:r>
                      <w:rPr>
                        <w:lang w:val="zh-CN"/>
                      </w:rPr>
                      <w:t>36</w:t>
                    </w:r>
                    <w:r>
                      <w:fldChar w:fldCharType="end"/>
                    </w:r>
                  </w:p>
                </w:sdtContent>
              </w:sdt>
              <w:p>
                <w:pPr>
                  <w:pStyle w:val="12"/>
                </w:pPr>
              </w:p>
            </w:txbxContent>
          </v:textbox>
        </v:shape>
      </w:pic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shape id="文本框 4" o:spid="_x0000_s2050"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qwBckBAACZAwAADgAAAGRycy9lMm9Eb2MueG1srVPNjtMwEL4j8Q6W&#10;79TZC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L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o6rAFyQEAAJkDAAAOAAAAAAAAAAEAIAAAAB4BAABkcnMvZTJvRG9j&#10;LnhtbFBLBQYAAAAABgAGAFkBAABZBQAAAAA=&#10;">
          <v:path/>
          <v:fill on="f" focussize="0,0"/>
          <v:stroke on="f" joinstyle="miter"/>
          <v:imagedata o:title=""/>
          <o:lock v:ext="edit"/>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E84DD"/>
    <w:multiLevelType w:val="singleLevel"/>
    <w:tmpl w:val="99EE84DD"/>
    <w:lvl w:ilvl="0" w:tentative="0">
      <w:start w:val="2"/>
      <w:numFmt w:val="chineseCounting"/>
      <w:suff w:val="nothing"/>
      <w:lvlText w:val="（%1）"/>
      <w:lvlJc w:val="left"/>
      <w:rPr>
        <w:rFonts w:hint="eastAsia" w:cs="Times New Roman"/>
      </w:rPr>
    </w:lvl>
  </w:abstractNum>
  <w:abstractNum w:abstractNumId="1">
    <w:nsid w:val="BBFBAFAC"/>
    <w:multiLevelType w:val="singleLevel"/>
    <w:tmpl w:val="BBFBAFAC"/>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027A03B2"/>
    <w:multiLevelType w:val="singleLevel"/>
    <w:tmpl w:val="027A03B2"/>
    <w:lvl w:ilvl="0" w:tentative="0">
      <w:start w:val="1"/>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4D9AF260"/>
    <w:multiLevelType w:val="singleLevel"/>
    <w:tmpl w:val="4D9AF260"/>
    <w:lvl w:ilvl="0" w:tentative="0">
      <w:start w:val="1"/>
      <w:numFmt w:val="chineseCounting"/>
      <w:suff w:val="nothing"/>
      <w:lvlText w:val="（%1）"/>
      <w:lvlJc w:val="left"/>
      <w:rPr>
        <w:rFonts w:hint="eastAsia"/>
        <w:lang w:val="en-US"/>
      </w:rPr>
    </w:lvl>
  </w:abstractNum>
  <w:abstractNum w:abstractNumId="7">
    <w:nsid w:val="579EF9E7"/>
    <w:multiLevelType w:val="singleLevel"/>
    <w:tmpl w:val="579EF9E7"/>
    <w:lvl w:ilvl="0" w:tentative="0">
      <w:start w:val="1"/>
      <w:numFmt w:val="decimal"/>
      <w:suff w:val="nothing"/>
      <w:lvlText w:val="%1."/>
      <w:lvlJc w:val="left"/>
    </w:lvl>
  </w:abstractNum>
  <w:abstractNum w:abstractNumId="8">
    <w:nsid w:val="5CB9F824"/>
    <w:multiLevelType w:val="singleLevel"/>
    <w:tmpl w:val="5CB9F824"/>
    <w:lvl w:ilvl="0" w:tentative="0">
      <w:start w:val="1"/>
      <w:numFmt w:val="decimal"/>
      <w:suff w:val="nothing"/>
      <w:lvlText w:val="（%1）"/>
      <w:lvlJc w:val="left"/>
    </w:lvl>
  </w:abstractNum>
  <w:abstractNum w:abstractNumId="9">
    <w:nsid w:val="6B25997A"/>
    <w:multiLevelType w:val="singleLevel"/>
    <w:tmpl w:val="6B25997A"/>
    <w:lvl w:ilvl="0" w:tentative="0">
      <w:start w:val="1"/>
      <w:numFmt w:val="chineseCounting"/>
      <w:suff w:val="nothing"/>
      <w:lvlText w:val="（%1）"/>
      <w:lvlJc w:val="left"/>
      <w:rPr>
        <w:rFonts w:hint="eastAsia"/>
      </w:rPr>
    </w:lvl>
  </w:abstractNum>
  <w:num w:numId="1">
    <w:abstractNumId w:val="5"/>
  </w:num>
  <w:num w:numId="2">
    <w:abstractNumId w:val="4"/>
  </w:num>
  <w:num w:numId="3">
    <w:abstractNumId w:val="2"/>
  </w:num>
  <w:num w:numId="4">
    <w:abstractNumId w:val="8"/>
  </w:num>
  <w:num w:numId="5">
    <w:abstractNumId w:val="3"/>
  </w:num>
  <w:num w:numId="6">
    <w:abstractNumId w:val="7"/>
  </w:num>
  <w:num w:numId="7">
    <w:abstractNumId w:val="6"/>
  </w:num>
  <w:num w:numId="8">
    <w:abstractNumId w:val="0"/>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ZlYWNiYzVjNGE0MjBjZGRjMzRlMjFmMGMyZDQ4Nzg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0DCF"/>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B5784"/>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37948"/>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10C055FF"/>
    <w:rsid w:val="16BB723D"/>
    <w:rsid w:val="183500C9"/>
    <w:rsid w:val="188C616C"/>
    <w:rsid w:val="1DA076DC"/>
    <w:rsid w:val="20836900"/>
    <w:rsid w:val="223D08AC"/>
    <w:rsid w:val="240371BF"/>
    <w:rsid w:val="29FD04D3"/>
    <w:rsid w:val="2C4A141C"/>
    <w:rsid w:val="2C673F57"/>
    <w:rsid w:val="319F7F4E"/>
    <w:rsid w:val="35C24C31"/>
    <w:rsid w:val="365340C6"/>
    <w:rsid w:val="37434CCD"/>
    <w:rsid w:val="3BD45317"/>
    <w:rsid w:val="3D9301D1"/>
    <w:rsid w:val="46596F2F"/>
    <w:rsid w:val="46C43FE0"/>
    <w:rsid w:val="49FB4B2E"/>
    <w:rsid w:val="4B1931D8"/>
    <w:rsid w:val="4D1646FD"/>
    <w:rsid w:val="4ECE2238"/>
    <w:rsid w:val="50506A35"/>
    <w:rsid w:val="57A70DE1"/>
    <w:rsid w:val="5DC75378"/>
    <w:rsid w:val="67DB317E"/>
    <w:rsid w:val="68C3694D"/>
    <w:rsid w:val="6F3B504A"/>
    <w:rsid w:val="72734D90"/>
    <w:rsid w:val="72B33C76"/>
    <w:rsid w:val="733009D8"/>
    <w:rsid w:val="7A5C3C8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sz w:val="24"/>
    </w:rPr>
  </w:style>
  <w:style w:type="paragraph" w:styleId="6">
    <w:name w:val="Normal Indent"/>
    <w:basedOn w:val="1"/>
    <w:qFormat/>
    <w:uiPriority w:val="0"/>
    <w:pPr>
      <w:ind w:firstLine="420" w:firstLineChars="200"/>
    </w:pPr>
    <w:rPr>
      <w:rFonts w:ascii="Calibri" w:hAnsi="Calibri" w:cs="黑体"/>
    </w:rPr>
  </w:style>
  <w:style w:type="paragraph" w:styleId="7">
    <w:name w:val="Salutation"/>
    <w:basedOn w:val="1"/>
    <w:next w:val="1"/>
    <w:qFormat/>
    <w:uiPriority w:val="0"/>
    <w:pPr>
      <w:textAlignment w:val="baseline"/>
    </w:pPr>
    <w:rPr>
      <w:rFonts w:ascii="Calibri" w:hAnsi="Calibri"/>
      <w:szCs w:val="21"/>
    </w:rPr>
  </w:style>
  <w:style w:type="paragraph" w:styleId="8">
    <w:name w:val="Body Text"/>
    <w:basedOn w:val="1"/>
    <w:link w:val="27"/>
    <w:qFormat/>
    <w:uiPriority w:val="99"/>
    <w:pPr>
      <w:spacing w:beforeLines="30"/>
    </w:pPr>
    <w:rPr>
      <w:rFonts w:ascii="仿宋_GB2312" w:eastAsia="仿宋_GB2312"/>
      <w:kern w:val="0"/>
      <w:sz w:val="30"/>
    </w:rPr>
  </w:style>
  <w:style w:type="paragraph" w:styleId="9">
    <w:name w:val="Body Text Indent"/>
    <w:basedOn w:val="1"/>
    <w:qFormat/>
    <w:uiPriority w:val="99"/>
    <w:pPr>
      <w:spacing w:after="120"/>
      <w:ind w:left="420" w:leftChars="200"/>
    </w:pPr>
    <w:rPr>
      <w:szCs w:val="2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next w:val="11"/>
    <w:qFormat/>
    <w:uiPriority w:val="0"/>
    <w:pPr>
      <w:jc w:val="left"/>
    </w:pPr>
    <w:rPr>
      <w:kern w:val="0"/>
      <w:sz w:val="24"/>
    </w:rPr>
  </w:style>
  <w:style w:type="paragraph" w:styleId="17">
    <w:name w:val="Body Text First Indent 2"/>
    <w:basedOn w:val="9"/>
    <w:qFormat/>
    <w:uiPriority w:val="99"/>
    <w:pPr>
      <w:ind w:firstLine="420" w:firstLineChars="200"/>
    </w:p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Char"/>
    <w:link w:val="12"/>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Char"/>
    <w:link w:val="8"/>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9"/>
    <w:link w:val="3"/>
    <w:qFormat/>
    <w:uiPriority w:val="9"/>
    <w:rPr>
      <w:rFonts w:ascii="Times New Roman" w:hAnsi="Times New Roman"/>
      <w:b/>
      <w:bCs/>
      <w:kern w:val="44"/>
      <w:sz w:val="44"/>
      <w:szCs w:val="44"/>
    </w:rPr>
  </w:style>
  <w:style w:type="character" w:customStyle="1" w:styleId="31">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批注框文本 Char"/>
    <w:basedOn w:val="19"/>
    <w:link w:val="11"/>
    <w:semiHidden/>
    <w:qFormat/>
    <w:uiPriority w:val="99"/>
    <w:rPr>
      <w:rFonts w:ascii="Times New Roman" w:hAnsi="Times New Roman"/>
      <w:kern w:val="2"/>
      <w:sz w:val="18"/>
      <w:szCs w:val="18"/>
    </w:rPr>
  </w:style>
  <w:style w:type="character" w:customStyle="1" w:styleId="34">
    <w:name w:val="标题 3 Char"/>
    <w:basedOn w:val="19"/>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6">
    <w:name w:val="List Paragraph1"/>
    <w:basedOn w:val="1"/>
    <w:qFormat/>
    <w:uiPriority w:val="0"/>
    <w:pPr>
      <w:ind w:firstLine="420" w:firstLineChars="200"/>
    </w:pPr>
  </w:style>
  <w:style w:type="paragraph" w:customStyle="1" w:styleId="3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普通(网站) New"/>
    <w:basedOn w:val="1"/>
    <w:qFormat/>
    <w:uiPriority w:val="0"/>
    <w:pPr>
      <w:widowControl/>
      <w:spacing w:beforeAutospacing="1"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[工作簿1]Sheet1!$B$6</c:f>
              <c:strCache>
                <c:ptCount val="1"/>
                <c:pt idx="0">
                  <c:v>2019</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[工作簿1]Sheet1!$C$5:$D$5</c:f>
              <c:strCache>
                <c:ptCount val="2"/>
                <c:pt idx="0">
                  <c:v>收入（万元）</c:v>
                </c:pt>
                <c:pt idx="1">
                  <c:v>支出（万元）</c:v>
                </c:pt>
              </c:strCache>
            </c:strRef>
          </c:cat>
          <c:val>
            <c:numRef>
              <c:f>[工作簿1]Sheet1!$C$6:$D$6</c:f>
              <c:numCache>
                <c:formatCode>General</c:formatCode>
                <c:ptCount val="2"/>
                <c:pt idx="0">
                  <c:v>617.94</c:v>
                </c:pt>
                <c:pt idx="1">
                  <c:v>650.51</c:v>
                </c:pt>
              </c:numCache>
            </c:numRef>
          </c:val>
        </c:ser>
        <c:ser>
          <c:idx val="1"/>
          <c:order val="1"/>
          <c:tx>
            <c:strRef>
              <c:f>[工作簿1]Sheet1!$B$7</c:f>
              <c:strCache>
                <c:ptCount val="1"/>
                <c:pt idx="0">
                  <c:v>2020</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[工作簿1]Sheet1!$C$5:$D$5</c:f>
              <c:strCache>
                <c:ptCount val="2"/>
                <c:pt idx="0">
                  <c:v>收入（万元）</c:v>
                </c:pt>
                <c:pt idx="1">
                  <c:v>支出（万元）</c:v>
                </c:pt>
              </c:strCache>
            </c:strRef>
          </c:cat>
          <c:val>
            <c:numRef>
              <c:f>[工作簿1]Sheet1!$C$7:$D$7</c:f>
              <c:numCache>
                <c:formatCode>General</c:formatCode>
                <c:ptCount val="2"/>
                <c:pt idx="0">
                  <c:v>695.56</c:v>
                </c:pt>
                <c:pt idx="1">
                  <c:v>678.7</c:v>
                </c:pt>
              </c:numCache>
            </c:numRef>
          </c:val>
        </c:ser>
        <c:dLbls>
          <c:showLegendKey val="0"/>
          <c:showVal val="1"/>
          <c:showCatName val="0"/>
          <c:showSerName val="0"/>
          <c:showPercent val="0"/>
          <c:showBubbleSize val="0"/>
        </c:dLbls>
        <c:gapWidth val="219"/>
        <c:overlap val="-27"/>
        <c:axId val="84068224"/>
        <c:axId val="84069760"/>
      </c:barChart>
      <c:catAx>
        <c:axId val="840682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069760"/>
        <c:crosses val="autoZero"/>
        <c:auto val="1"/>
        <c:lblAlgn val="ctr"/>
        <c:lblOffset val="100"/>
        <c:noMultiLvlLbl val="0"/>
      </c:catAx>
      <c:valAx>
        <c:axId val="84069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0682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[工作簿1]Sheet1!$A$3</c:f>
              <c:strCache>
                <c:ptCount val="1"/>
                <c:pt idx="0">
                  <c:v>收入决算结构图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r>
                      <a:t>100%</a:t>
                    </a:r>
                  </a:p>
                </c:rich>
              </c:tx>
              <c:dLblPos val="ctr"/>
              <c:showLegendKey val="0"/>
              <c:showVal val="1"/>
              <c:showCatName val="0"/>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[工作簿1]Sheet1!$B$2</c:f>
              <c:strCache>
                <c:ptCount val="1"/>
                <c:pt idx="0">
                  <c:v>一般公共预算财政拨款收入</c:v>
                </c:pt>
              </c:strCache>
            </c:strRef>
          </c:cat>
          <c:val>
            <c:numRef>
              <c:f>[工作簿1]Sheet1!$B$3</c:f>
              <c:numCache>
                <c:formatCode>0%</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[工作簿1]Sheet1!$C$5:$C$6</c:f>
              <c:strCache>
                <c:ptCount val="2"/>
                <c:pt idx="0">
                  <c:v>基本支出</c:v>
                </c:pt>
                <c:pt idx="1">
                  <c:v>项目支出</c:v>
                </c:pt>
              </c:strCache>
            </c:strRef>
          </c:cat>
          <c:val>
            <c:numRef>
              <c:f>[工作簿1]Sheet1!$D$5:$D$6</c:f>
              <c:numCache>
                <c:formatCode>0%</c:formatCode>
                <c:ptCount val="2"/>
                <c:pt idx="0">
                  <c:v>0.75</c:v>
                </c:pt>
                <c:pt idx="1">
                  <c:v>0.25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[工作簿1]Sheet1!$B$6</c:f>
              <c:strCache>
                <c:ptCount val="1"/>
                <c:pt idx="0">
                  <c:v>2019</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[工作簿1]Sheet1!$C$5:$D$5</c:f>
              <c:strCache>
                <c:ptCount val="2"/>
                <c:pt idx="0">
                  <c:v>收入（万元）</c:v>
                </c:pt>
                <c:pt idx="1">
                  <c:v>支出（万元）</c:v>
                </c:pt>
              </c:strCache>
            </c:strRef>
          </c:cat>
          <c:val>
            <c:numRef>
              <c:f>[工作簿1]Sheet1!$C$6:$D$6</c:f>
              <c:numCache>
                <c:formatCode>General</c:formatCode>
                <c:ptCount val="2"/>
                <c:pt idx="0">
                  <c:v>617.94</c:v>
                </c:pt>
                <c:pt idx="1">
                  <c:v>650.51</c:v>
                </c:pt>
              </c:numCache>
            </c:numRef>
          </c:val>
        </c:ser>
        <c:ser>
          <c:idx val="1"/>
          <c:order val="1"/>
          <c:tx>
            <c:strRef>
              <c:f>[工作簿1]Sheet1!$B$7</c:f>
              <c:strCache>
                <c:ptCount val="1"/>
                <c:pt idx="0">
                  <c:v>2020</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[工作簿1]Sheet1!$C$5:$D$5</c:f>
              <c:strCache>
                <c:ptCount val="2"/>
                <c:pt idx="0">
                  <c:v>收入（万元）</c:v>
                </c:pt>
                <c:pt idx="1">
                  <c:v>支出（万元）</c:v>
                </c:pt>
              </c:strCache>
            </c:strRef>
          </c:cat>
          <c:val>
            <c:numRef>
              <c:f>[工作簿1]Sheet1!$C$7:$D$7</c:f>
              <c:numCache>
                <c:formatCode>General</c:formatCode>
                <c:ptCount val="2"/>
                <c:pt idx="0">
                  <c:v>695.56</c:v>
                </c:pt>
                <c:pt idx="1">
                  <c:v>678.7</c:v>
                </c:pt>
              </c:numCache>
            </c:numRef>
          </c:val>
        </c:ser>
        <c:dLbls>
          <c:showLegendKey val="0"/>
          <c:showVal val="1"/>
          <c:showCatName val="0"/>
          <c:showSerName val="0"/>
          <c:showPercent val="0"/>
          <c:showBubbleSize val="0"/>
        </c:dLbls>
        <c:gapWidth val="219"/>
        <c:overlap val="-27"/>
        <c:axId val="95004544"/>
        <c:axId val="95006080"/>
      </c:barChart>
      <c:catAx>
        <c:axId val="950045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006080"/>
        <c:crosses val="autoZero"/>
        <c:auto val="1"/>
        <c:lblAlgn val="ctr"/>
        <c:lblOffset val="100"/>
        <c:noMultiLvlLbl val="0"/>
      </c:catAx>
      <c:valAx>
        <c:axId val="9500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00454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[工作簿1]Sheet1!$C$4</c:f>
              <c:strCache>
                <c:ptCount val="1"/>
                <c:pt idx="0">
                  <c:v>一般公共预算财政拨款（万元）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[工作簿1]Sheet1!$B$5:$B$6</c:f>
              <c:numCache>
                <c:formatCode>General</c:formatCode>
                <c:ptCount val="2"/>
                <c:pt idx="0">
                  <c:v>2019</c:v>
                </c:pt>
                <c:pt idx="1">
                  <c:v>2020</c:v>
                </c:pt>
              </c:numCache>
            </c:numRef>
          </c:cat>
          <c:val>
            <c:numRef>
              <c:f>[工作簿1]Sheet1!$C$5:$C$6</c:f>
              <c:numCache>
                <c:formatCode>General</c:formatCode>
                <c:ptCount val="2"/>
                <c:pt idx="0">
                  <c:v>650.51</c:v>
                </c:pt>
                <c:pt idx="1">
                  <c:v>678.7</c:v>
                </c:pt>
              </c:numCache>
            </c:numRef>
          </c:val>
        </c:ser>
        <c:dLbls>
          <c:showLegendKey val="0"/>
          <c:showVal val="1"/>
          <c:showCatName val="0"/>
          <c:showSerName val="0"/>
          <c:showPercent val="0"/>
          <c:showBubbleSize val="0"/>
        </c:dLbls>
        <c:gapWidth val="219"/>
        <c:overlap val="-27"/>
        <c:axId val="96754688"/>
        <c:axId val="96756480"/>
      </c:barChart>
      <c:catAx>
        <c:axId val="9675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756480"/>
        <c:crosses val="autoZero"/>
        <c:auto val="1"/>
        <c:lblAlgn val="ctr"/>
        <c:lblOffset val="100"/>
        <c:noMultiLvlLbl val="0"/>
      </c:catAx>
      <c:valAx>
        <c:axId val="9675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754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strRef>
              <c:f>[工作簿1]Sheet1!$E$4:$E$11</c:f>
              <c:strCache>
                <c:ptCount val="8"/>
                <c:pt idx="0">
                  <c:v>一般公共服务支出</c:v>
                </c:pt>
                <c:pt idx="1">
                  <c:v>公共安全支出</c:v>
                </c:pt>
                <c:pt idx="2">
                  <c:v>文化旅游体育与传媒支出</c:v>
                </c:pt>
                <c:pt idx="3">
                  <c:v>社会保障和就业支出</c:v>
                </c:pt>
                <c:pt idx="4">
                  <c:v>卫生健康支出</c:v>
                </c:pt>
                <c:pt idx="5">
                  <c:v>城乡社区支出</c:v>
                </c:pt>
                <c:pt idx="6">
                  <c:v>农林水支出</c:v>
                </c:pt>
                <c:pt idx="7">
                  <c:v>住房保障支出</c:v>
                </c:pt>
              </c:strCache>
            </c:strRef>
          </c:cat>
          <c:val>
            <c:numRef>
              <c:f>[工作簿1]Sheet1!$F$4:$F$11</c:f>
              <c:numCache>
                <c:formatCode>0%</c:formatCode>
                <c:ptCount val="8"/>
                <c:pt idx="0">
                  <c:v>0.61</c:v>
                </c:pt>
                <c:pt idx="1" c:formatCode="0.00%">
                  <c:v>0.0003</c:v>
                </c:pt>
                <c:pt idx="2" c:formatCode="0.00%">
                  <c:v>0.006</c:v>
                </c:pt>
                <c:pt idx="3">
                  <c:v>0.13</c:v>
                </c:pt>
                <c:pt idx="4">
                  <c:v>0.04</c:v>
                </c:pt>
                <c:pt idx="5" c:formatCode="0.00%">
                  <c:v>0.0107</c:v>
                </c:pt>
                <c:pt idx="6" c:formatCode="0.00%">
                  <c:v>0.143</c:v>
                </c:pt>
                <c:pt idx="7">
                  <c:v>0.06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2"/>
              <c:layout>
                <c:manualLayout>
                  <c:x val="0.0946396305316687"/>
                  <c:y val="0.032724774527105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[工作簿2]Sheet1!$B$4:$D$4</c:f>
              <c:strCache>
                <c:ptCount val="3"/>
                <c:pt idx="0">
                  <c:v>因公出国（境）费支出</c:v>
                </c:pt>
                <c:pt idx="1">
                  <c:v>公务用车购置及运行维护费支出</c:v>
                </c:pt>
                <c:pt idx="2">
                  <c:v>公务接待费支出</c:v>
                </c:pt>
              </c:strCache>
            </c:strRef>
          </c:cat>
          <c:val>
            <c:numRef>
              <c:f>[工作簿2]Sheet1!$B$5:$D$5</c:f>
              <c:numCache>
                <c:formatCode>0%</c:formatCode>
                <c:ptCount val="3"/>
                <c:pt idx="0">
                  <c:v>0</c:v>
                </c:pt>
                <c:pt idx="1">
                  <c:v>0.98</c:v>
                </c:pt>
                <c:pt idx="2" c:formatCode="0.00%">
                  <c:v>0.002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55</Pages>
  <Words>23229</Words>
  <Characters>6195</Characters>
  <Lines>51</Lines>
  <Paragraphs>58</Paragraphs>
  <TotalTime>0</TotalTime>
  <ScaleCrop>false</ScaleCrop>
  <LinksUpToDate>false</LinksUpToDate>
  <CharactersWithSpaces>29366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north </cp:lastModifiedBy>
  <cp:lastPrinted>2020-07-23T02:58:00Z</cp:lastPrinted>
  <dcterms:modified xsi:type="dcterms:W3CDTF">2023-07-18T07:50:24Z</dcterms:modified>
  <dc:title>四川省***</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E4AAFF2B4DC54AB8870A723211EB3117</vt:lpwstr>
  </property>
</Properties>
</file>