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6"/>
          <w:rFonts w:hint="eastAsia" w:ascii="方正小标宋简体" w:hAnsi="方正小标宋简体" w:eastAsia="方正小标宋简体" w:cs="方正小标宋简体"/>
          <w:sz w:val="44"/>
          <w:szCs w:val="44"/>
          <w:shd w:val="clear" w:fill="FFFFFF"/>
        </w:rPr>
        <w:t>2020年度</w:t>
      </w:r>
    </w:p>
    <w:p>
      <w:pPr>
        <w:pStyle w:val="12"/>
        <w:keepNext w:val="0"/>
        <w:keepLines w:val="0"/>
        <w:widowControl/>
        <w:suppressLineNumbers w:val="0"/>
        <w:ind w:left="0" w:right="75"/>
        <w:jc w:val="center"/>
        <w:rPr>
          <w:rStyle w:val="16"/>
          <w:rFonts w:hint="eastAsia" w:ascii="方正小标宋简体" w:hAnsi="方正小标宋简体" w:eastAsia="方正小标宋简体" w:cs="方正小标宋简体"/>
          <w:sz w:val="44"/>
          <w:szCs w:val="44"/>
          <w:shd w:val="clear" w:fill="FFFFFF"/>
        </w:rPr>
      </w:pPr>
      <w:r>
        <w:rPr>
          <w:rStyle w:val="16"/>
          <w:rFonts w:hint="eastAsia" w:ascii="方正小标宋简体" w:hAnsi="方正小标宋简体" w:eastAsia="方正小标宋简体" w:cs="方正小标宋简体"/>
          <w:sz w:val="44"/>
          <w:szCs w:val="44"/>
          <w:shd w:val="clear" w:fill="FFFFFF"/>
        </w:rPr>
        <w:t>阿坝州红原县交通运输局（汇总）部门决算</w:t>
      </w:r>
    </w:p>
    <w:p>
      <w:pPr>
        <w:pStyle w:val="12"/>
        <w:keepNext w:val="0"/>
        <w:keepLines w:val="0"/>
        <w:widowControl/>
        <w:suppressLineNumbers w:val="0"/>
        <w:ind w:left="0" w:right="75"/>
        <w:jc w:val="center"/>
        <w:rPr>
          <w:rStyle w:val="16"/>
          <w:rFonts w:hint="eastAsia" w:ascii="方正小标宋简体" w:hAnsi="方正小标宋简体" w:eastAsia="方正小标宋简体" w:cs="方正小标宋简体"/>
          <w:sz w:val="44"/>
          <w:szCs w:val="44"/>
          <w:shd w:val="clear" w:fill="FFFFFF"/>
          <w:lang w:val="en-US" w:eastAsia="zh-CN"/>
        </w:rPr>
      </w:pPr>
      <w:r>
        <w:rPr>
          <w:rStyle w:val="16"/>
          <w:rFonts w:hint="eastAsia" w:ascii="方正小标宋简体" w:hAnsi="方正小标宋简体" w:eastAsia="方正小标宋简体" w:cs="方正小标宋简体"/>
          <w:sz w:val="44"/>
          <w:szCs w:val="44"/>
          <w:shd w:val="clear" w:fill="FFFFFF"/>
          <w:lang w:val="en-US" w:eastAsia="zh-CN"/>
        </w:rPr>
        <w:t>公开编制说明</w:t>
      </w: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sz w:val="24"/>
          <w:szCs w:val="24"/>
          <w:shd w:val="clear" w:fill="FFFFFF"/>
        </w:rPr>
      </w:pPr>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保密审查情况：已审查，内容审定</w:t>
      </w:r>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部门主要负责人审签情况：已审签，同意对外公开</w:t>
      </w:r>
    </w:p>
    <w:p>
      <w:pPr>
        <w:pStyle w:val="12"/>
        <w:keepNext w:val="0"/>
        <w:keepLines w:val="0"/>
        <w:widowControl/>
        <w:suppressLineNumbers w:val="0"/>
        <w:ind w:left="0" w:right="75"/>
        <w:jc w:val="center"/>
      </w:pPr>
      <w:r>
        <w:rPr>
          <w:rStyle w:val="16"/>
          <w:sz w:val="30"/>
          <w:szCs w:val="30"/>
          <w:shd w:val="clear" w:fill="FFFFFF"/>
        </w:rPr>
        <w:t>目 录</w:t>
      </w:r>
    </w:p>
    <w:sdt>
      <w:sdtPr>
        <w:rPr>
          <w:rFonts w:ascii="宋体" w:hAnsi="宋体" w:eastAsia="宋体" w:cstheme="minorBidi"/>
          <w:kern w:val="2"/>
          <w:sz w:val="21"/>
          <w:szCs w:val="24"/>
          <w:lang w:val="en-US" w:eastAsia="zh-CN" w:bidi="ar-SA"/>
        </w:rPr>
        <w:id w:val="147463358"/>
        <w15:color w:val="DBDBDB"/>
        <w:docPartObj>
          <w:docPartGallery w:val="Table of Contents"/>
          <w:docPartUnique/>
        </w:docPartObj>
      </w:sdtPr>
      <w:sdtEndPr>
        <w:rPr>
          <w:rFonts w:hint="eastAsia" w:ascii="仿宋_GB2312" w:hAnsi="仿宋_GB2312" w:eastAsia="仿宋_GB2312" w:cs="仿宋_GB2312"/>
          <w:kern w:val="0"/>
          <w:sz w:val="28"/>
          <w:szCs w:val="28"/>
          <w:shd w:val="clear" w:fill="FFFFFF"/>
          <w:lang w:val="en-US" w:eastAsia="zh-CN" w:bidi="ar"/>
        </w:rPr>
      </w:sdtEndPr>
      <w:sdtContent>
        <w:p>
          <w:pPr>
            <w:spacing w:before="0" w:beforeLines="0" w:after="0" w:afterLines="0" w:line="240" w:lineRule="auto"/>
            <w:ind w:left="0" w:leftChars="0" w:right="0" w:rightChars="0" w:firstLine="0" w:firstLineChars="0"/>
            <w:jc w:val="center"/>
          </w:pPr>
          <w:bookmarkStart w:id="54" w:name="_GoBack"/>
          <w:bookmarkEnd w:id="54"/>
        </w:p>
        <w:p>
          <w:pPr>
            <w:pStyle w:val="10"/>
            <w:tabs>
              <w:tab w:val="right" w:leader="dot" w:pos="8306"/>
            </w:tabs>
            <w:rPr>
              <w:rFonts w:hint="eastAsia" w:ascii="仿宋_GB2312" w:hAnsi="仿宋_GB2312" w:eastAsia="仿宋_GB2312" w:cs="仿宋_GB2312"/>
              <w:sz w:val="28"/>
              <w:szCs w:val="28"/>
            </w:rPr>
          </w:pPr>
          <w:r>
            <w:rPr>
              <w:rStyle w:val="16"/>
              <w:rFonts w:hint="eastAsia" w:ascii="仿宋_GB2312" w:hAnsi="仿宋_GB2312" w:eastAsia="仿宋_GB2312" w:cs="仿宋_GB2312"/>
              <w:sz w:val="28"/>
              <w:szCs w:val="28"/>
              <w:shd w:val="clear" w:fill="FFFFFF"/>
            </w:rPr>
            <w:fldChar w:fldCharType="begin"/>
          </w:r>
          <w:r>
            <w:rPr>
              <w:rStyle w:val="16"/>
              <w:rFonts w:hint="eastAsia" w:ascii="仿宋_GB2312" w:hAnsi="仿宋_GB2312" w:eastAsia="仿宋_GB2312" w:cs="仿宋_GB2312"/>
              <w:sz w:val="28"/>
              <w:szCs w:val="28"/>
              <w:shd w:val="clear" w:fill="FFFFFF"/>
            </w:rPr>
            <w:instrText xml:space="preserve">TOC \o "1-3" \h \u </w:instrText>
          </w:r>
          <w:r>
            <w:rPr>
              <w:rStyle w:val="16"/>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_Toc25784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第一部分 部门概况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_Toc14556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一、基本职能及主要工作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_Toc14556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_Toc7513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sz w:val="28"/>
              <w:szCs w:val="28"/>
              <w:shd w:val="clear" w:fill="FFFFFF"/>
            </w:rPr>
            <w:t>（一）主要职能。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_Toc32659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sz w:val="28"/>
              <w:szCs w:val="28"/>
              <w:shd w:val="clear" w:fill="FFFFFF"/>
            </w:rPr>
            <w:t>（二）2020年重点工作完成情况。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_Toc32659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_Toc21119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sz w:val="28"/>
              <w:szCs w:val="28"/>
              <w:shd w:val="clear" w:fill="FFFFFF"/>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_Toc21119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_Toc13026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第二部分 2020年度部门决算情况说明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_Toc13026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_Toc29815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val="0"/>
              <w:sz w:val="28"/>
              <w:szCs w:val="28"/>
              <w:shd w:val="clear" w:fill="FFFFFF"/>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_Toc29815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_Toc31979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二、收入决算情况说明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_Toc31979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_Toc23460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sz w:val="28"/>
              <w:szCs w:val="28"/>
              <w:lang w:eastAsia="zh-CN"/>
            </w:rPr>
            <w:t>三、</w:t>
          </w:r>
          <w:r>
            <w:rPr>
              <w:rFonts w:hint="eastAsia" w:ascii="仿宋_GB2312" w:hAnsi="仿宋_GB2312" w:eastAsia="仿宋_GB2312" w:cs="仿宋_GB2312"/>
              <w:bCs/>
              <w:sz w:val="28"/>
              <w:szCs w:val="28"/>
            </w:rPr>
            <w:t>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_Toc23460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_Toc30767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bCs w:val="0"/>
              <w:sz w:val="28"/>
              <w:szCs w:val="28"/>
              <w:shd w:val="clear" w:fill="FFFFFF"/>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_Toc30767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_Toc21916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_Toc21916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_Toc19607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（一）一般公共预算财政拨款支出决算总体情况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_Toc19607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_Toc146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（二）一般公共预算财政拨款支出决算结构情况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_Toc1490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（三）一般公共预算财政拨款支出决算具体情况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_Toc1490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_Toc3758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_Toc3758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_Toc30132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七、“三公”经费财政拨款支出决算情况说明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_Toc30132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_Toc6527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（一）“三公”经费财政拨款支出决算总体情况说明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_Toc19065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（二）“三公”经费财政拨款支出决算具体情况说明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_Toc19065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_Toc11695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_Toc11695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_Toc14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九、国有资本经营预算支出决算情况说明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_Toc14750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_Toc14750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_Toc19673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（一）机关运行经费支出情况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_Toc19673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_Toc7570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（二）政府采购支出情况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_Toc28059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（三）国有资产占有使用情况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_Toc28059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_Toc21142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（四）预算绩效管理情况。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_Toc21142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_Toc4432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第三部分 名词解释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_Toc4432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_Toc1357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第四部分 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_Toc1357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_Toc27976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lang w:eastAsia="zh-CN"/>
            </w:rPr>
            <w:t>红原县交通局</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年部门</w:t>
          </w:r>
          <w:r>
            <w:rPr>
              <w:rFonts w:hint="eastAsia" w:ascii="仿宋_GB2312" w:hAnsi="仿宋_GB2312" w:eastAsia="仿宋_GB2312" w:cs="仿宋_GB2312"/>
              <w:sz w:val="28"/>
              <w:szCs w:val="28"/>
              <w:lang w:eastAsia="zh-CN"/>
            </w:rPr>
            <w:t>整体</w:t>
          </w:r>
          <w:r>
            <w:rPr>
              <w:rFonts w:hint="eastAsia" w:ascii="仿宋_GB2312" w:hAnsi="仿宋_GB2312" w:eastAsia="仿宋_GB2312" w:cs="仿宋_GB2312"/>
              <w:sz w:val="28"/>
              <w:szCs w:val="28"/>
            </w:rPr>
            <w:t>支出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_Toc27976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_Toc11316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lang w:eastAsia="zh-CN"/>
            </w:rPr>
            <w:t>红原县交通运输局</w:t>
          </w:r>
          <w:r>
            <w:rPr>
              <w:rFonts w:hint="eastAsia" w:ascii="仿宋_GB2312" w:hAnsi="仿宋_GB2312" w:eastAsia="仿宋_GB2312" w:cs="仿宋_GB2312"/>
              <w:sz w:val="28"/>
              <w:szCs w:val="28"/>
              <w:lang w:val="en-US" w:eastAsia="zh-CN"/>
            </w:rPr>
            <w:t>2020年</w:t>
          </w:r>
          <w:r>
            <w:rPr>
              <w:rFonts w:hint="eastAsia" w:ascii="仿宋_GB2312" w:hAnsi="仿宋_GB2312" w:eastAsia="仿宋_GB2312" w:cs="仿宋_GB2312"/>
              <w:sz w:val="28"/>
              <w:szCs w:val="28"/>
            </w:rPr>
            <w:t>项目支出绩效自评报告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_Toc713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第五部分 附表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_Toc7471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一、收入支出决算总表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_Toc7471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_Toc11000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二、收入决算表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_Toc11000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_Toc1116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三、支出决算表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_Toc25313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四、财政拨款收入支出决算总表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_Toc25313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_Toc28276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五、财政拨款支出决算明细表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_Toc28276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_Toc24778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六、一般公共预算财政拨款支出决算表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_Toc24778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_Toc27462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七、一般公共预算财政拨款支出决算明细表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_Toc27462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_Toc1352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八、一般公共预算财政拨款基本支出决算表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_Toc1352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_Toc12567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九、一般公共预算财政拨款项目支出决算表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_Toc12567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_Toc3483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十、一般公共预算财政拨款“三公”经费支出决算表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_Toc3483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_Toc12263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十一、政府性基金预算财政拨款收入支出决算表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_Toc12263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_Toc23145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十二、政府性基金预算财政拨款“三公”经费支出决算表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_Toc23145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_Toc15335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十三、国有资本经营预算财政拨款收入支出决算表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_Toc15335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1"/>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fill="FFFFFF"/>
            </w:rPr>
            <w:fldChar w:fldCharType="begin"/>
          </w:r>
          <w:r>
            <w:rPr>
              <w:rFonts w:hint="eastAsia" w:ascii="仿宋_GB2312" w:hAnsi="仿宋_GB2312" w:eastAsia="仿宋_GB2312" w:cs="仿宋_GB2312"/>
              <w:sz w:val="28"/>
              <w:szCs w:val="28"/>
              <w:shd w:val="clear" w:fill="FFFFFF"/>
            </w:rPr>
            <w:instrText xml:space="preserve"> HYPERLINK \l _Toc29901 </w:instrText>
          </w:r>
          <w:r>
            <w:rPr>
              <w:rFonts w:hint="eastAsia" w:ascii="仿宋_GB2312" w:hAnsi="仿宋_GB2312" w:eastAsia="仿宋_GB2312" w:cs="仿宋_GB2312"/>
              <w:sz w:val="28"/>
              <w:szCs w:val="28"/>
              <w:shd w:val="clear" w:fill="FFFFFF"/>
            </w:rPr>
            <w:fldChar w:fldCharType="separate"/>
          </w:r>
          <w:r>
            <w:rPr>
              <w:rFonts w:hint="eastAsia" w:ascii="仿宋_GB2312" w:hAnsi="仿宋_GB2312" w:eastAsia="仿宋_GB2312" w:cs="仿宋_GB2312"/>
              <w:sz w:val="28"/>
              <w:szCs w:val="28"/>
              <w:shd w:val="clear" w:fill="FFFFFF"/>
            </w:rPr>
            <w:t>十四、国有资本经营预算财政拨款支出决算表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_Toc29901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shd w:val="clear" w:fill="FFFFFF"/>
            </w:rPr>
            <w:fldChar w:fldCharType="end"/>
          </w:r>
        </w:p>
        <w:p>
          <w:pPr>
            <w:pStyle w:val="12"/>
            <w:keepNext w:val="0"/>
            <w:keepLines w:val="0"/>
            <w:widowControl/>
            <w:suppressLineNumbers w:val="0"/>
            <w:ind w:left="0" w:right="75"/>
            <w:jc w:val="center"/>
            <w:outlineLvl w:val="0"/>
            <w:rPr>
              <w:rStyle w:val="16"/>
              <w:rFonts w:hint="eastAsia" w:ascii="仿宋_GB2312" w:hAnsi="仿宋_GB2312" w:eastAsia="仿宋_GB2312" w:cs="仿宋_GB2312"/>
              <w:sz w:val="28"/>
              <w:szCs w:val="28"/>
              <w:shd w:val="clear" w:fill="FFFFFF"/>
            </w:rPr>
          </w:pPr>
          <w:r>
            <w:rPr>
              <w:rFonts w:hint="eastAsia" w:ascii="仿宋_GB2312" w:hAnsi="仿宋_GB2312" w:eastAsia="仿宋_GB2312" w:cs="仿宋_GB2312"/>
              <w:sz w:val="28"/>
              <w:szCs w:val="28"/>
              <w:shd w:val="clear" w:fill="FFFFFF"/>
            </w:rPr>
            <w:fldChar w:fldCharType="end"/>
          </w:r>
        </w:p>
      </w:sdtContent>
    </w:sdt>
    <w:p>
      <w:pPr>
        <w:pStyle w:val="12"/>
        <w:keepNext w:val="0"/>
        <w:keepLines w:val="0"/>
        <w:widowControl/>
        <w:suppressLineNumbers w:val="0"/>
        <w:ind w:left="0" w:right="75"/>
        <w:jc w:val="center"/>
        <w:outlineLvl w:val="0"/>
        <w:rPr>
          <w:rFonts w:hint="eastAsia" w:ascii="黑体" w:hAnsi="黑体" w:eastAsia="黑体" w:cs="黑体"/>
          <w:sz w:val="44"/>
          <w:szCs w:val="44"/>
        </w:rPr>
      </w:pPr>
      <w:bookmarkStart w:id="0" w:name="_Toc25784"/>
      <w:r>
        <w:rPr>
          <w:rStyle w:val="16"/>
          <w:rFonts w:hint="eastAsia" w:ascii="黑体" w:hAnsi="黑体" w:eastAsia="黑体" w:cs="黑体"/>
          <w:sz w:val="44"/>
          <w:szCs w:val="44"/>
          <w:shd w:val="clear" w:fill="FFFFFF"/>
        </w:rPr>
        <w:t>第一部分 部门概况</w:t>
      </w:r>
      <w:bookmarkEnd w:id="0"/>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1" w:name="_Toc14556"/>
      <w:r>
        <w:rPr>
          <w:rStyle w:val="16"/>
          <w:rFonts w:hint="eastAsia" w:ascii="黑体" w:hAnsi="黑体" w:eastAsia="黑体" w:cs="黑体"/>
          <w:sz w:val="32"/>
          <w:szCs w:val="32"/>
          <w:shd w:val="clear" w:fill="FFFFFF"/>
        </w:rPr>
        <w:t>一、基本职能及主要工作</w:t>
      </w:r>
      <w:bookmarkEnd w:id="1"/>
    </w:p>
    <w:p>
      <w:pPr>
        <w:pStyle w:val="12"/>
        <w:keepNext w:val="0"/>
        <w:keepLines w:val="0"/>
        <w:widowControl/>
        <w:suppressLineNumbers w:val="0"/>
        <w:ind w:left="0" w:right="75"/>
        <w:jc w:val="left"/>
        <w:outlineLvl w:val="2"/>
        <w:rPr>
          <w:rFonts w:hint="eastAsia" w:ascii="楷体_GB2312" w:hAnsi="楷体_GB2312" w:eastAsia="楷体_GB2312" w:cs="楷体_GB2312"/>
          <w:b/>
          <w:bCs/>
          <w:sz w:val="32"/>
          <w:szCs w:val="32"/>
          <w:shd w:val="clear" w:fill="FFFFFF"/>
        </w:rPr>
      </w:pPr>
      <w:bookmarkStart w:id="2" w:name="_Toc7513"/>
      <w:r>
        <w:rPr>
          <w:rFonts w:hint="eastAsia" w:ascii="楷体_GB2312" w:hAnsi="楷体_GB2312" w:eastAsia="楷体_GB2312" w:cs="楷体_GB2312"/>
          <w:b/>
          <w:bCs/>
          <w:sz w:val="32"/>
          <w:szCs w:val="32"/>
          <w:shd w:val="clear" w:fill="FFFFFF"/>
        </w:rPr>
        <w:t>（一）主要职能。</w:t>
      </w:r>
      <w:bookmarkEnd w:id="2"/>
    </w:p>
    <w:p>
      <w:pPr>
        <w:pStyle w:val="6"/>
        <w:adjustRightInd w:val="0"/>
        <w:snapToGrid w:val="0"/>
        <w:spacing w:before="93" w:line="580" w:lineRule="exact"/>
        <w:ind w:firstLine="640" w:firstLineChars="20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1.</w:t>
      </w:r>
      <w:r>
        <w:rPr>
          <w:rFonts w:hint="eastAsia" w:asciiTheme="minorEastAsia" w:hAnsiTheme="minorEastAsia" w:eastAsiaTheme="minorEastAsia"/>
          <w:bCs/>
          <w:sz w:val="32"/>
          <w:szCs w:val="32"/>
        </w:rPr>
        <w:t>贯彻执行国家有关交通运输行业的方针、政策和法律法规。</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2.</w:t>
      </w:r>
      <w:r>
        <w:rPr>
          <w:rFonts w:hint="eastAsia" w:asciiTheme="minorEastAsia" w:hAnsiTheme="minorEastAsia" w:eastAsiaTheme="minorEastAsia"/>
          <w:bCs/>
          <w:sz w:val="32"/>
          <w:szCs w:val="32"/>
        </w:rPr>
        <w:t>负责本系统、本部门依法行政工作，落实行政执法责任制。</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3.</w:t>
      </w:r>
      <w:r>
        <w:rPr>
          <w:rFonts w:hint="eastAsia" w:asciiTheme="minorEastAsia" w:hAnsiTheme="minorEastAsia" w:eastAsiaTheme="minorEastAsia"/>
          <w:bCs/>
          <w:sz w:val="32"/>
          <w:szCs w:val="32"/>
        </w:rPr>
        <w:t>承担全县道路，水路交通运输市场监管责任。</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4.</w:t>
      </w:r>
      <w:r>
        <w:rPr>
          <w:rFonts w:hint="eastAsia" w:asciiTheme="minorEastAsia" w:hAnsiTheme="minorEastAsia" w:eastAsiaTheme="minorEastAsia"/>
          <w:bCs/>
          <w:sz w:val="32"/>
          <w:szCs w:val="32"/>
        </w:rPr>
        <w:t>承担水上交通安全监管责任。</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5.</w:t>
      </w:r>
      <w:r>
        <w:rPr>
          <w:rFonts w:hint="eastAsia" w:asciiTheme="minorEastAsia" w:hAnsiTheme="minorEastAsia" w:eastAsiaTheme="minorEastAsia"/>
          <w:bCs/>
          <w:sz w:val="32"/>
          <w:szCs w:val="32"/>
        </w:rPr>
        <w:t>负责提出公路、水路固定资产投资规模和方向、县财政性资金安排建议，按照规定权限审批、核准省、州、县规划内和年度计划规模内固定资产投资项目。</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6.</w:t>
      </w:r>
      <w:r>
        <w:rPr>
          <w:rFonts w:hint="eastAsia" w:asciiTheme="minorEastAsia" w:hAnsiTheme="minorEastAsia" w:eastAsiaTheme="minorEastAsia"/>
          <w:bCs/>
          <w:sz w:val="32"/>
          <w:szCs w:val="32"/>
        </w:rPr>
        <w:t>承担公路、水路建设市场监管责任。</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7.</w:t>
      </w:r>
      <w:r>
        <w:rPr>
          <w:rFonts w:hint="eastAsia" w:asciiTheme="minorEastAsia" w:hAnsiTheme="minorEastAsia" w:eastAsiaTheme="minorEastAsia"/>
          <w:bCs/>
          <w:sz w:val="32"/>
          <w:szCs w:val="32"/>
        </w:rPr>
        <w:t>指导公路、水路行业安全生产和应急管理工作。</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8.</w:t>
      </w:r>
      <w:r>
        <w:rPr>
          <w:rFonts w:hint="eastAsia" w:asciiTheme="minorEastAsia" w:hAnsiTheme="minorEastAsia" w:eastAsiaTheme="minorEastAsia"/>
          <w:bCs/>
          <w:sz w:val="32"/>
          <w:szCs w:val="32"/>
        </w:rPr>
        <w:t>制定交通运输科技政策并监督实施，组织科技开发。</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9.</w:t>
      </w:r>
      <w:r>
        <w:rPr>
          <w:rFonts w:hint="eastAsia" w:asciiTheme="minorEastAsia" w:hAnsiTheme="minorEastAsia" w:eastAsiaTheme="minorEastAsia"/>
          <w:bCs/>
          <w:sz w:val="32"/>
          <w:szCs w:val="32"/>
        </w:rPr>
        <w:t>负责公路、水路有关涉外工作，开展对经济技术交流与合作，指导全县交通运输行业招商引资和利用外资工作。</w:t>
      </w:r>
    </w:p>
    <w:p>
      <w:pPr>
        <w:pStyle w:val="6"/>
        <w:adjustRightInd w:val="0"/>
        <w:snapToGrid w:val="0"/>
        <w:spacing w:before="93" w:line="580" w:lineRule="exact"/>
        <w:ind w:firstLine="672" w:firstLineChars="210"/>
        <w:rPr>
          <w:rFonts w:asciiTheme="minorEastAsia" w:hAnsiTheme="minorEastAsia" w:eastAsiaTheme="minorEastAsia"/>
          <w:bCs/>
          <w:sz w:val="32"/>
          <w:szCs w:val="32"/>
        </w:rPr>
      </w:pPr>
      <w:r>
        <w:rPr>
          <w:rFonts w:hint="eastAsia" w:asciiTheme="minorEastAsia" w:hAnsiTheme="minorEastAsia" w:eastAsiaTheme="minorEastAsia"/>
          <w:bCs/>
          <w:sz w:val="32"/>
          <w:szCs w:val="32"/>
          <w:lang w:val="en-US" w:eastAsia="zh-CN"/>
        </w:rPr>
        <w:t>10.</w:t>
      </w:r>
      <w:r>
        <w:rPr>
          <w:rFonts w:hint="eastAsia" w:asciiTheme="minorEastAsia" w:hAnsiTheme="minorEastAsia" w:eastAsiaTheme="minorEastAsia"/>
          <w:bCs/>
          <w:sz w:val="32"/>
          <w:szCs w:val="32"/>
        </w:rPr>
        <w:t>指导交通行业的精神文明建设、廉政建设和职工队伍建设；指导交通系统的教育培训。</w:t>
      </w:r>
    </w:p>
    <w:p>
      <w:pPr>
        <w:pStyle w:val="6"/>
        <w:adjustRightInd w:val="0"/>
        <w:snapToGrid w:val="0"/>
        <w:spacing w:before="93" w:line="580" w:lineRule="exact"/>
        <w:ind w:firstLine="672" w:firstLineChars="210"/>
        <w:rPr>
          <w:sz w:val="24"/>
          <w:szCs w:val="24"/>
          <w:shd w:val="clear" w:fill="FFFFFF"/>
        </w:rPr>
      </w:pPr>
      <w:r>
        <w:rPr>
          <w:rFonts w:hint="eastAsia" w:asciiTheme="minorEastAsia" w:hAnsiTheme="minorEastAsia" w:eastAsiaTheme="minorEastAsia"/>
          <w:bCs/>
          <w:sz w:val="32"/>
          <w:szCs w:val="32"/>
          <w:lang w:val="en-US" w:eastAsia="zh-CN"/>
        </w:rPr>
        <w:t>11.</w:t>
      </w:r>
      <w:r>
        <w:rPr>
          <w:rFonts w:hint="eastAsia" w:asciiTheme="minorEastAsia" w:hAnsiTheme="minorEastAsia" w:eastAsiaTheme="minorEastAsia"/>
          <w:bCs/>
          <w:sz w:val="32"/>
          <w:szCs w:val="32"/>
        </w:rPr>
        <w:t>承办县委、县政府和上级主管部门交办的其他事项。</w:t>
      </w:r>
    </w:p>
    <w:p>
      <w:pPr>
        <w:pStyle w:val="12"/>
        <w:keepNext w:val="0"/>
        <w:keepLines w:val="0"/>
        <w:widowControl/>
        <w:suppressLineNumbers w:val="0"/>
        <w:ind w:left="0" w:right="75"/>
        <w:jc w:val="left"/>
        <w:outlineLvl w:val="2"/>
        <w:rPr>
          <w:rFonts w:hint="eastAsia" w:ascii="楷体_GB2312" w:hAnsi="楷体_GB2312" w:eastAsia="楷体_GB2312" w:cs="楷体_GB2312"/>
          <w:b/>
          <w:bCs/>
          <w:sz w:val="32"/>
          <w:szCs w:val="32"/>
          <w:shd w:val="clear" w:fill="FFFFFF"/>
        </w:rPr>
      </w:pPr>
      <w:bookmarkStart w:id="3" w:name="_Toc32659"/>
      <w:r>
        <w:rPr>
          <w:rFonts w:hint="eastAsia" w:ascii="楷体_GB2312" w:hAnsi="楷体_GB2312" w:eastAsia="楷体_GB2312" w:cs="楷体_GB2312"/>
          <w:b/>
          <w:bCs/>
          <w:sz w:val="32"/>
          <w:szCs w:val="32"/>
          <w:shd w:val="clear" w:fill="FFFFFF"/>
        </w:rPr>
        <w:t>（二）2020年重点工作完成情况。</w:t>
      </w:r>
      <w:bookmarkEnd w:id="3"/>
    </w:p>
    <w:p>
      <w:pPr>
        <w:keepNext w:val="0"/>
        <w:keepLines w:val="0"/>
        <w:pageBreakBefore w:val="0"/>
        <w:widowControl/>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1.柯龙路水毁维修工程。</w:t>
      </w:r>
      <w:r>
        <w:rPr>
          <w:rFonts w:hint="eastAsia" w:ascii="仿宋_GB2312" w:hAnsi="仿宋_GB2312" w:eastAsia="仿宋_GB2312" w:cs="仿宋_GB2312"/>
          <w:color w:val="auto"/>
          <w:sz w:val="32"/>
          <w:szCs w:val="32"/>
          <w:lang w:val="en-US" w:eastAsia="zh-CN"/>
        </w:rPr>
        <w:t>投入资金487万元，拆除原桥重建桥梁1座，新建桥梁1座；路基病害处治：坑凼修补、路基垮方清理、边沟清理、改河道、铅丝笼防护、原破损涵洞拆除重建、涵洞进出水口修复、桥梁八字墙维修等。目前主体完工，正进行收尾工程。</w:t>
      </w:r>
    </w:p>
    <w:p>
      <w:pPr>
        <w:keepNext w:val="0"/>
        <w:keepLines w:val="0"/>
        <w:pageBreakBefore w:val="0"/>
        <w:kinsoku/>
        <w:wordWrap/>
        <w:overflowPunct/>
        <w:topLinePunct w:val="0"/>
        <w:autoSpaceDE/>
        <w:autoSpaceDN/>
        <w:bidi w:val="0"/>
        <w:adjustRightInd/>
        <w:snapToGrid/>
        <w:spacing w:line="500" w:lineRule="exact"/>
        <w:ind w:right="0" w:rightChars="0" w:firstLine="643" w:firstLineChars="200"/>
        <w:textAlignment w:val="auto"/>
        <w:outlineLvl w:val="9"/>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b/>
          <w:bCs/>
          <w:color w:val="auto"/>
          <w:sz w:val="32"/>
          <w:szCs w:val="32"/>
          <w:lang w:val="en-US" w:eastAsia="zh-CN"/>
        </w:rPr>
        <w:t>2.S217线安曲镇至马尔康界公路改扩建工程。</w:t>
      </w:r>
      <w:r>
        <w:rPr>
          <w:rFonts w:hint="eastAsia" w:ascii="仿宋_GB2312" w:hAnsi="仿宋_GB2312" w:eastAsia="仿宋_GB2312" w:cs="仿宋_GB2312"/>
          <w:color w:val="auto"/>
          <w:sz w:val="32"/>
          <w:szCs w:val="32"/>
          <w:lang w:val="en-US" w:eastAsia="zh-CN"/>
        </w:rPr>
        <w:t>年度计划投资1000万元，改扩建81.867公里，</w:t>
      </w:r>
      <w:r>
        <w:rPr>
          <w:rFonts w:hint="eastAsia" w:ascii="仿宋_GB2312" w:hAnsi="仿宋_GB2312" w:eastAsia="仿宋_GB2312" w:cs="仿宋_GB2312"/>
          <w:b w:val="0"/>
          <w:bCs w:val="0"/>
          <w:color w:val="auto"/>
          <w:kern w:val="2"/>
          <w:sz w:val="32"/>
          <w:szCs w:val="32"/>
          <w:lang w:val="en-US" w:eastAsia="zh-CN" w:bidi="ar-SA"/>
        </w:rPr>
        <w:t>目前已完成路基填筑25公里左右，</w:t>
      </w:r>
      <w:r>
        <w:rPr>
          <w:rFonts w:hint="eastAsia" w:ascii="仿宋_GB2312" w:hAnsi="仿宋_GB2312" w:eastAsia="仿宋_GB2312" w:cs="仿宋_GB2312"/>
          <w:color w:val="auto"/>
          <w:sz w:val="32"/>
          <w:szCs w:val="32"/>
          <w:lang w:val="en-US" w:eastAsia="zh-CN"/>
        </w:rPr>
        <w:t>正进行路基桥涵施工</w:t>
      </w:r>
      <w:r>
        <w:rPr>
          <w:rFonts w:hint="eastAsia" w:ascii="仿宋" w:hAnsi="仿宋" w:eastAsia="仿宋"/>
          <w:color w:val="auto"/>
          <w:sz w:val="32"/>
          <w:szCs w:val="32"/>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spacing w:line="500" w:lineRule="exact"/>
        <w:ind w:right="0" w:rightChars="0" w:firstLine="643" w:firstLineChars="200"/>
        <w:textAlignment w:val="auto"/>
        <w:outlineLvl w:val="9"/>
        <w:rPr>
          <w:rFonts w:hint="eastAsia" w:ascii="仿宋_GB2312" w:hAnsi="仿宋_GB2312" w:eastAsia="仿宋_GB2312" w:cs="仿宋_GB2312"/>
          <w:color w:val="000000"/>
          <w:sz w:val="32"/>
          <w:szCs w:val="32"/>
          <w:highlight w:val="none"/>
          <w:shd w:val="clear" w:color="auto" w:fill="auto"/>
          <w:lang w:val="en-US" w:eastAsia="zh-CN"/>
        </w:rPr>
      </w:pPr>
      <w:r>
        <w:rPr>
          <w:rFonts w:hint="eastAsia" w:ascii="仿宋_GB2312" w:hAnsi="仿宋_GB2312" w:eastAsia="仿宋_GB2312" w:cs="仿宋_GB2312"/>
          <w:b/>
          <w:bCs/>
          <w:sz w:val="32"/>
          <w:szCs w:val="32"/>
          <w:lang w:val="en-US" w:eastAsia="zh-CN"/>
        </w:rPr>
        <w:t>3.红原县龙日镇壤噶夺玛桥建设项目。</w:t>
      </w:r>
      <w:r>
        <w:rPr>
          <w:rFonts w:hint="eastAsia" w:ascii="仿宋_GB2312" w:hAnsi="仿宋_GB2312" w:eastAsia="仿宋_GB2312" w:cs="仿宋_GB2312"/>
          <w:sz w:val="32"/>
          <w:szCs w:val="32"/>
          <w:lang w:val="en-US" w:eastAsia="zh-CN"/>
        </w:rPr>
        <w:t>投入资金365.4万元，新建桥梁一座2-16，引道437.171米，长39.54米。目前主体完工，正在进工程扫尾。</w:t>
      </w:r>
    </w:p>
    <w:p>
      <w:pPr>
        <w:keepNext w:val="0"/>
        <w:keepLines w:val="0"/>
        <w:pageBreakBefore w:val="0"/>
        <w:kinsoku/>
        <w:wordWrap/>
        <w:overflowPunct/>
        <w:topLinePunct w:val="0"/>
        <w:autoSpaceDE/>
        <w:autoSpaceDN/>
        <w:bidi w:val="0"/>
        <w:adjustRightInd/>
        <w:snapToGrid/>
        <w:spacing w:line="500" w:lineRule="exact"/>
        <w:ind w:right="0" w:rightChars="0" w:firstLine="643" w:firstLineChars="200"/>
        <w:textAlignment w:val="auto"/>
        <w:outlineLvl w:val="9"/>
        <w:rPr>
          <w:rFonts w:hint="eastAsia" w:ascii="仿宋" w:hAnsi="仿宋" w:eastAsia="仿宋"/>
          <w:color w:val="000000"/>
          <w:sz w:val="32"/>
          <w:szCs w:val="32"/>
          <w:highlight w:val="none"/>
          <w:shd w:val="clear" w:color="auto" w:fill="auto"/>
          <w:lang w:val="en-US" w:eastAsia="zh-CN"/>
        </w:rPr>
      </w:pPr>
      <w:r>
        <w:rPr>
          <w:rFonts w:hint="eastAsia" w:ascii="仿宋_GB2312" w:hAnsi="仿宋_GB2312" w:eastAsia="仿宋_GB2312" w:cs="仿宋_GB2312"/>
          <w:b/>
          <w:bCs/>
          <w:sz w:val="32"/>
          <w:szCs w:val="32"/>
          <w:lang w:val="en-US" w:eastAsia="zh-CN"/>
        </w:rPr>
        <w:t>4.红原县龙日镇壤噶夺玛村村内道路提升改造工程。</w:t>
      </w:r>
      <w:r>
        <w:rPr>
          <w:rFonts w:hint="eastAsia" w:ascii="仿宋_GB2312" w:hAnsi="仿宋_GB2312" w:eastAsia="仿宋_GB2312" w:cs="仿宋_GB2312"/>
          <w:sz w:val="32"/>
          <w:szCs w:val="32"/>
          <w:lang w:val="en-US" w:eastAsia="zh-CN"/>
        </w:rPr>
        <w:t>投入资金93.2万元，对壤噶夺玛村柯龙路原有2公里道路的改造，项目已完工。</w:t>
      </w:r>
    </w:p>
    <w:p>
      <w:pPr>
        <w:keepNext w:val="0"/>
        <w:keepLines w:val="0"/>
        <w:pageBreakBefore w:val="0"/>
        <w:kinsoku/>
        <w:wordWrap/>
        <w:overflowPunct/>
        <w:topLinePunct w:val="0"/>
        <w:autoSpaceDE/>
        <w:autoSpaceDN/>
        <w:bidi w:val="0"/>
        <w:adjustRightInd/>
        <w:snapToGrid/>
        <w:spacing w:line="500" w:lineRule="exact"/>
        <w:ind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5.红原县邛溪镇热多村村内道路提升改造工程。</w:t>
      </w:r>
      <w:r>
        <w:rPr>
          <w:rFonts w:hint="eastAsia" w:ascii="仿宋_GB2312" w:hAnsi="仿宋_GB2312" w:eastAsia="仿宋_GB2312" w:cs="仿宋_GB2312"/>
          <w:sz w:val="32"/>
          <w:szCs w:val="32"/>
          <w:lang w:val="en-US" w:eastAsia="zh-CN"/>
        </w:rPr>
        <w:t>投入资金410.2万元，对5条村内道路黑化提升改造共计2.581公里；停车场黑化改造1处782平方米；路灯维修20座；新增路灯40座；已建种畜场大桥的桥头增加波形梁护栏及混凝土护栏。项目已完工。</w:t>
      </w:r>
    </w:p>
    <w:p>
      <w:pPr>
        <w:numPr>
          <w:ilvl w:val="0"/>
          <w:numId w:val="0"/>
        </w:numPr>
        <w:spacing w:line="576" w:lineRule="exact"/>
        <w:ind w:firstLine="643" w:firstLineChars="200"/>
        <w:jc w:val="both"/>
        <w:rPr>
          <w:rFonts w:hint="eastAsia" w:ascii="仿宋_GB2312" w:hAnsi="仿宋_GB2312" w:eastAsia="仿宋_GB2312"/>
          <w:sz w:val="32"/>
          <w:szCs w:val="22"/>
        </w:rPr>
      </w:pPr>
      <w:r>
        <w:rPr>
          <w:rFonts w:hint="eastAsia" w:ascii="仿宋_GB2312" w:hAnsi="仿宋_GB2312" w:eastAsia="仿宋_GB2312"/>
          <w:b/>
          <w:bCs/>
          <w:sz w:val="32"/>
          <w:szCs w:val="22"/>
          <w:lang w:val="en-US" w:eastAsia="zh-CN"/>
        </w:rPr>
        <w:t>6</w:t>
      </w:r>
      <w:r>
        <w:rPr>
          <w:rFonts w:hint="eastAsia" w:ascii="仿宋_GB2312" w:hAnsi="仿宋_GB2312" w:eastAsia="仿宋_GB2312"/>
          <w:b/>
          <w:bCs/>
          <w:sz w:val="32"/>
          <w:szCs w:val="22"/>
        </w:rPr>
        <w:t>.红原县安曲镇下哈拉玛村、夺龙村、哈拉玛村、邛溪镇热坤村道路基础设施建设项目。</w:t>
      </w:r>
      <w:r>
        <w:rPr>
          <w:rFonts w:hint="eastAsia" w:ascii="仿宋_GB2312" w:hAnsi="仿宋_GB2312" w:eastAsia="仿宋_GB2312" w:cs="仿宋_GB2312"/>
          <w:sz w:val="32"/>
          <w:szCs w:val="32"/>
          <w:lang w:val="en-US" w:eastAsia="zh-CN"/>
        </w:rPr>
        <w:t>投入资金1416.9万元，对</w:t>
      </w:r>
      <w:r>
        <w:rPr>
          <w:rFonts w:hint="eastAsia" w:ascii="仿宋_GB2312" w:hAnsi="仿宋" w:eastAsia="仿宋_GB2312"/>
          <w:sz w:val="32"/>
          <w:szCs w:val="32"/>
          <w:lang w:eastAsia="zh-CN"/>
        </w:rPr>
        <w:t>热坤村新建及提升改造村内道路4.73公里；哈拉玛村新建及提升改造村内道路7.88公里；夺龙村新建及提升改造村内道路5公里；下哈拉玛村新建及提升改造村内道路4.66公里。项目已完工。</w:t>
      </w:r>
    </w:p>
    <w:p>
      <w:pPr>
        <w:keepNext w:val="0"/>
        <w:keepLines w:val="0"/>
        <w:pageBreakBefore w:val="0"/>
        <w:kinsoku/>
        <w:wordWrap/>
        <w:overflowPunct/>
        <w:topLinePunct w:val="0"/>
        <w:autoSpaceDE/>
        <w:autoSpaceDN/>
        <w:bidi w:val="0"/>
        <w:spacing w:line="540" w:lineRule="exact"/>
        <w:ind w:firstLine="643"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宋体-18030"/>
          <w:b/>
          <w:bCs/>
          <w:sz w:val="32"/>
          <w:szCs w:val="32"/>
          <w:lang w:val="en-US" w:eastAsia="zh-CN"/>
        </w:rPr>
        <w:t>7.红原县邛溪镇热坤村人居环境综合整治及人行道建设项目。</w:t>
      </w:r>
      <w:r>
        <w:rPr>
          <w:rFonts w:hint="eastAsia" w:ascii="仿宋_GB2312" w:hAnsi="仿宋_GB2312" w:eastAsia="仿宋_GB2312" w:cs="仿宋_GB2312"/>
          <w:b w:val="0"/>
          <w:bCs/>
          <w:color w:val="auto"/>
          <w:sz w:val="32"/>
          <w:szCs w:val="32"/>
          <w:highlight w:val="none"/>
          <w:shd w:val="clear" w:color="auto" w:fill="auto"/>
          <w:lang w:val="en-US" w:eastAsia="zh-CN"/>
        </w:rPr>
        <w:t>投入资金381.2万元，对48条村内道路两侧带状绿化、村内广场及村委会绿化，共计绿化面积41410平方米；入村主干路两侧各增加2米宽人行道铺装及路面排水系统，长1.01公里；入口设标志石1座。项目</w:t>
      </w:r>
      <w:r>
        <w:rPr>
          <w:rFonts w:hint="eastAsia" w:ascii="仿宋_GB2312" w:hAnsi="仿宋_GB2312" w:eastAsia="仿宋_GB2312" w:cs="仿宋_GB2312"/>
          <w:color w:val="auto"/>
          <w:sz w:val="32"/>
          <w:szCs w:val="32"/>
          <w:lang w:eastAsia="zh-CN"/>
        </w:rPr>
        <w:t>已完工。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8.红原县安曲镇下哈拉玛村、夺龙村、哈拉玛村人居环境综合整治项目。</w:t>
      </w:r>
      <w:r>
        <w:rPr>
          <w:rFonts w:hint="eastAsia" w:ascii="仿宋_GB2312" w:hAnsi="仿宋_GB2312" w:eastAsia="仿宋_GB2312" w:cs="仿宋_GB2312"/>
          <w:b w:val="0"/>
          <w:bCs/>
          <w:color w:val="auto"/>
          <w:sz w:val="32"/>
          <w:szCs w:val="32"/>
          <w:highlight w:val="none"/>
          <w:shd w:val="clear" w:color="auto" w:fill="auto"/>
          <w:lang w:val="en-US" w:eastAsia="zh-CN"/>
        </w:rPr>
        <w:t>投入资金485.3万元，对下</w:t>
      </w:r>
      <w:r>
        <w:rPr>
          <w:rFonts w:hint="eastAsia" w:ascii="仿宋_GB2312" w:hAnsi="仿宋_GB2312" w:eastAsia="仿宋_GB2312" w:cs="仿宋_GB2312"/>
          <w:color w:val="000000"/>
          <w:sz w:val="32"/>
          <w:szCs w:val="32"/>
          <w:highlight w:val="none"/>
          <w:shd w:val="clear" w:color="auto" w:fill="auto"/>
          <w:lang w:val="en-US" w:eastAsia="zh-CN"/>
        </w:rPr>
        <w:t>哈拉玛村入村主干路两侧带状绿化、村内广场及村委会绿化，共计绿化面积34750平方米，入口设标志石1座；哈拉玛村2条村内道路两侧带状绿化、村内广场及村委会绿化，共计绿化面积22978平方米，排水沟渠化45米；夺龙村6条村内道路两侧带状绿化及村委会绿化，共计绿化面积24662平方米，排水沟渠化195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color w:val="000000"/>
          <w:sz w:val="32"/>
          <w:szCs w:val="32"/>
          <w:highlight w:val="none"/>
          <w:shd w:val="clear" w:color="auto" w:fill="auto"/>
          <w:lang w:val="en-US" w:eastAsia="zh-CN"/>
        </w:rPr>
        <w:t>项目已完工。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9.红原县色地镇茸塔玛村桥梁建设及村内道路提升改造工程。</w:t>
      </w:r>
      <w:r>
        <w:rPr>
          <w:rFonts w:hint="eastAsia" w:ascii="仿宋_GB2312" w:hAnsi="仿宋_GB2312" w:eastAsia="仿宋_GB2312" w:cs="仿宋_GB2312"/>
          <w:b w:val="0"/>
          <w:bCs w:val="0"/>
          <w:color w:val="000000"/>
          <w:sz w:val="32"/>
          <w:szCs w:val="32"/>
          <w:highlight w:val="none"/>
          <w:shd w:val="clear" w:color="auto" w:fill="auto"/>
          <w:lang w:val="en-US" w:eastAsia="zh-CN"/>
        </w:rPr>
        <w:t>投入资金440.5万元，新建桥梁1座,一座长18米、宽5.5米；道路基础设施改（扩）新建1-13米板桥及桥头引道、桥梁全长22米、桥头引道长12.193米，建设全长34.193米；6条村内道路提升改造共计2.285公里。项目已完工。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10.红原县拉木咯尔桥改建工程。</w:t>
      </w:r>
      <w:r>
        <w:rPr>
          <w:rFonts w:hint="eastAsia" w:ascii="仿宋_GB2312" w:hAnsi="仿宋_GB2312" w:eastAsia="仿宋_GB2312" w:cs="仿宋_GB2312"/>
          <w:b w:val="0"/>
          <w:bCs w:val="0"/>
          <w:color w:val="000000"/>
          <w:sz w:val="32"/>
          <w:szCs w:val="32"/>
          <w:highlight w:val="none"/>
          <w:shd w:val="clear" w:color="auto" w:fill="auto"/>
          <w:lang w:val="en-US" w:eastAsia="zh-CN"/>
        </w:rPr>
        <w:t>投入资金494.5万元，新建3-20米中桥一座，桥梁全长70.04米，桥头引道长35米。目前正进行桥面铺装施工。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11.红原县查江路达格则寺至江茸乡段改建工程。</w:t>
      </w:r>
      <w:r>
        <w:rPr>
          <w:rFonts w:hint="eastAsia" w:ascii="仿宋_GB2312" w:hAnsi="仿宋_GB2312" w:eastAsia="仿宋_GB2312" w:cs="仿宋_GB2312"/>
          <w:b w:val="0"/>
          <w:bCs w:val="0"/>
          <w:color w:val="000000"/>
          <w:sz w:val="32"/>
          <w:szCs w:val="32"/>
          <w:highlight w:val="none"/>
          <w:shd w:val="clear" w:color="auto" w:fill="auto"/>
          <w:lang w:val="en-US" w:eastAsia="zh-CN"/>
        </w:rPr>
        <w:t>投入资金2020万元，改建32.676公里四级公路沥青路，路基宽6.5米，路面宽6.0米。目前主体完工，正在进行项目收尾工作。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3" w:firstLineChars="200"/>
        <w:jc w:val="both"/>
        <w:textAlignment w:val="auto"/>
        <w:outlineLvl w:val="9"/>
        <w:rPr>
          <w:rFonts w:hint="default" w:ascii="仿宋_GB2312" w:hAnsi="仿宋_GB2312" w:eastAsia="仿宋_GB2312" w:cs="仿宋_GB2312"/>
          <w:b w:val="0"/>
          <w:bCs w:val="0"/>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12.红原县龙日种畜场桥梁建设项目。</w:t>
      </w:r>
      <w:r>
        <w:rPr>
          <w:rFonts w:hint="eastAsia" w:ascii="仿宋_GB2312" w:hAnsi="仿宋_GB2312" w:eastAsia="仿宋_GB2312" w:cs="仿宋_GB2312"/>
          <w:b w:val="0"/>
          <w:bCs w:val="0"/>
          <w:color w:val="000000"/>
          <w:sz w:val="32"/>
          <w:szCs w:val="32"/>
          <w:highlight w:val="none"/>
          <w:shd w:val="clear" w:color="auto" w:fill="auto"/>
          <w:lang w:val="en-US" w:eastAsia="zh-CN"/>
        </w:rPr>
        <w:t>投入资金519.66万元，新建2-13米预应力钢筋砼简支空心板桥及桥头引道，桥梁全宽7.5米，长31.04米，路线全长300米。目前全部梁板已吊装完工。</w:t>
      </w:r>
    </w:p>
    <w:p>
      <w:pPr>
        <w:pStyle w:val="12"/>
        <w:keepNext w:val="0"/>
        <w:keepLines w:val="0"/>
        <w:widowControl/>
        <w:suppressLineNumbers w:val="0"/>
        <w:ind w:left="0" w:right="75"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13.久马高速。</w:t>
      </w:r>
      <w:r>
        <w:rPr>
          <w:rFonts w:hint="eastAsia" w:ascii="仿宋_GB2312" w:hAnsi="仿宋_GB2312" w:eastAsia="仿宋_GB2312" w:cs="仿宋_GB2312"/>
          <w:sz w:val="32"/>
          <w:szCs w:val="32"/>
          <w:lang w:val="en-US" w:eastAsia="zh-CN"/>
        </w:rPr>
        <w:t>久马高速县内从海子山南侧到刷马路共86公里，总投资约104.07亿元，涉及刷经寺、龙日、安曲3个乡镇，设有刷经寺、中壤口、龙日坝3个互通和开放式服务区，涉及永久占用红线用地7504.39亩，临时占用土地2922.45亩。</w:t>
      </w:r>
      <w:r>
        <w:rPr>
          <w:rFonts w:hint="eastAsia" w:ascii="仿宋_GB2312" w:hAnsi="仿宋_GB2312" w:eastAsia="仿宋_GB2312" w:cs="仿宋_GB2312"/>
          <w:b/>
          <w:bCs/>
          <w:sz w:val="32"/>
          <w:szCs w:val="32"/>
          <w:lang w:eastAsia="zh-CN"/>
        </w:rPr>
        <w:t>征地拆迁</w:t>
      </w:r>
      <w:r>
        <w:rPr>
          <w:rFonts w:hint="eastAsia" w:ascii="仿宋_GB2312" w:hAnsi="仿宋_GB2312" w:eastAsia="仿宋_GB2312" w:cs="仿宋_GB2312"/>
          <w:b/>
          <w:bCs/>
          <w:sz w:val="32"/>
          <w:szCs w:val="32"/>
          <w:lang w:val="en-US" w:eastAsia="zh-CN"/>
        </w:rPr>
        <w:t>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val="en-US" w:eastAsia="zh-CN"/>
        </w:rPr>
        <w:t>至目前，累计交付临时用地2520.38亩，交付率86%；红线用地7376.89亩，交付率98.3%。</w:t>
      </w:r>
      <w:r>
        <w:rPr>
          <w:rFonts w:hint="eastAsia" w:ascii="仿宋_GB2312" w:hAnsi="仿宋_GB2312" w:eastAsia="仿宋_GB2312" w:cs="仿宋_GB2312"/>
          <w:b/>
          <w:bCs/>
          <w:sz w:val="32"/>
          <w:szCs w:val="32"/>
          <w:lang w:eastAsia="zh-CN"/>
        </w:rPr>
        <w:t>运输保障</w:t>
      </w:r>
      <w:r>
        <w:rPr>
          <w:rFonts w:hint="eastAsia" w:ascii="仿宋_GB2312" w:hAnsi="仿宋_GB2312" w:eastAsia="仿宋_GB2312" w:cs="仿宋_GB2312"/>
          <w:b/>
          <w:bCs/>
          <w:sz w:val="32"/>
          <w:szCs w:val="32"/>
          <w:lang w:val="en-US" w:eastAsia="zh-CN"/>
        </w:rPr>
        <w:t>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坚持公开、公平、公正原则，坚持安全第一、运输有序、文明服务原则，制定运输管理办法，落实运输保障方案，多部门联动配合项目单位抓好运输日常监管，确保久马高速公路建设安全有序。</w:t>
      </w:r>
      <w:r>
        <w:rPr>
          <w:rFonts w:hint="eastAsia" w:ascii="仿宋_GB2312" w:hAnsi="仿宋_GB2312" w:eastAsia="仿宋_GB2312" w:cs="仿宋_GB2312"/>
          <w:b/>
          <w:bCs/>
          <w:sz w:val="32"/>
          <w:szCs w:val="32"/>
          <w:lang w:eastAsia="zh-CN"/>
        </w:rPr>
        <w:t>地材供应</w:t>
      </w:r>
      <w:r>
        <w:rPr>
          <w:rFonts w:hint="eastAsia" w:ascii="仿宋_GB2312" w:hAnsi="仿宋_GB2312" w:eastAsia="仿宋_GB2312" w:cs="仿宋_GB2312"/>
          <w:b/>
          <w:bCs/>
          <w:sz w:val="32"/>
          <w:szCs w:val="32"/>
          <w:lang w:val="en-US" w:eastAsia="zh-CN"/>
        </w:rPr>
        <w:t>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一是选定刷经寺镇加当沟1处采料场作为久马高速（红原段）项目建设地材配置点，二是采取梭磨河流域疏浚（消除国省干道汛期安全隐患）的方式为久马高速项目建设提供砂石材料，并确定由县国投公司作为地材保障供应主体与久马高速公司合作。</w:t>
      </w:r>
    </w:p>
    <w:p>
      <w:pPr>
        <w:snapToGrid w:val="0"/>
        <w:spacing w:line="576" w:lineRule="exact"/>
        <w:ind w:firstLine="643" w:firstLineChars="200"/>
        <w:rPr>
          <w:rFonts w:hint="eastAsia" w:ascii="仿宋_GB2312" w:hAnsi="宋体" w:eastAsia="仿宋_GB2312" w:cs="宋体"/>
          <w:sz w:val="32"/>
          <w:szCs w:val="32"/>
          <w:shd w:val="clear" w:color="auto" w:fill="FFFFFF"/>
        </w:rPr>
      </w:pPr>
      <w:r>
        <w:rPr>
          <w:rFonts w:hint="eastAsia" w:ascii="仿宋_GB2312" w:hAnsi="仿宋" w:eastAsia="仿宋_GB2312"/>
          <w:b/>
          <w:bCs/>
          <w:color w:val="000000"/>
          <w:sz w:val="32"/>
          <w:szCs w:val="32"/>
          <w:lang w:val="en-US" w:eastAsia="zh-CN"/>
        </w:rPr>
        <w:t>14.</w:t>
      </w:r>
      <w:r>
        <w:rPr>
          <w:rFonts w:hint="eastAsia" w:ascii="仿宋_GB2312" w:hAnsi="仿宋" w:eastAsia="仿宋_GB2312"/>
          <w:b/>
          <w:bCs/>
          <w:sz w:val="32"/>
          <w:szCs w:val="32"/>
        </w:rPr>
        <w:t>加强党的建设工作。</w:t>
      </w:r>
      <w:r>
        <w:rPr>
          <w:rFonts w:hint="eastAsia" w:ascii="仿宋_GB2312" w:eastAsia="仿宋_GB2312"/>
          <w:sz w:val="32"/>
          <w:szCs w:val="32"/>
        </w:rPr>
        <w:t>认真做好机关党建工作，积极抓好党员发展工作。</w:t>
      </w:r>
      <w:r>
        <w:rPr>
          <w:rFonts w:hint="eastAsia" w:ascii="仿宋_GB2312" w:hAnsi="方正仿宋简体" w:eastAsia="仿宋_GB2312" w:cs="方正仿宋简体"/>
          <w:sz w:val="32"/>
          <w:szCs w:val="32"/>
        </w:rPr>
        <w:t>按时召开党员组织生活会，</w:t>
      </w:r>
      <w:r>
        <w:rPr>
          <w:rFonts w:hint="eastAsia" w:ascii="仿宋_GB2312" w:hAnsi="仿宋" w:eastAsia="仿宋_GB2312"/>
          <w:sz w:val="32"/>
          <w:szCs w:val="32"/>
        </w:rPr>
        <w:t>严格落实各项规章制度，队伍建设进一步加强。</w:t>
      </w:r>
      <w:r>
        <w:rPr>
          <w:rFonts w:hint="eastAsia" w:ascii="仿宋_GB2312" w:hAnsi="宋体" w:eastAsia="仿宋_GB2312" w:cs="宋体"/>
          <w:sz w:val="32"/>
          <w:szCs w:val="32"/>
          <w:shd w:val="clear" w:color="auto" w:fill="FFFFFF"/>
        </w:rPr>
        <w:t>紧密结合交通运输工作，扎实开展“大学习、大讨论、大调研”工作</w:t>
      </w:r>
      <w:r>
        <w:rPr>
          <w:rFonts w:hint="eastAsia" w:ascii="仿宋_GB2312" w:hAnsi="宋体" w:eastAsia="仿宋_GB2312" w:cs="宋体"/>
          <w:sz w:val="32"/>
          <w:szCs w:val="32"/>
          <w:shd w:val="clear" w:color="auto" w:fill="FFFFFF"/>
          <w:lang w:eastAsia="zh-CN"/>
        </w:rPr>
        <w:t>，</w:t>
      </w:r>
      <w:r>
        <w:rPr>
          <w:rFonts w:hint="eastAsia" w:ascii="仿宋_GB2312" w:hAnsi="仿宋_GB2312" w:eastAsia="仿宋_GB2312" w:cs="仿宋_GB2312"/>
          <w:sz w:val="32"/>
          <w:szCs w:val="32"/>
        </w:rPr>
        <w:t>继续</w:t>
      </w:r>
      <w:r>
        <w:rPr>
          <w:rFonts w:hint="eastAsia" w:ascii="仿宋_GB2312" w:hAnsi="方正仿宋简体" w:eastAsia="仿宋_GB2312" w:cs="方正仿宋简体"/>
          <w:sz w:val="32"/>
          <w:szCs w:val="32"/>
        </w:rPr>
        <w:t>开展深化</w:t>
      </w:r>
      <w:r>
        <w:rPr>
          <w:rFonts w:hint="eastAsia" w:ascii="仿宋_GB2312" w:hAnsi="方正仿宋简体" w:eastAsia="仿宋_GB2312" w:cs="方正仿宋简体"/>
          <w:bCs/>
          <w:sz w:val="32"/>
          <w:szCs w:val="32"/>
        </w:rPr>
        <w:t>“两学一做”学习教育</w:t>
      </w:r>
      <w:r>
        <w:rPr>
          <w:rFonts w:hint="eastAsia" w:ascii="仿宋_GB2312" w:eastAsia="仿宋_GB2312"/>
          <w:bCs/>
          <w:sz w:val="32"/>
          <w:szCs w:val="32"/>
        </w:rPr>
        <w:t>，</w:t>
      </w:r>
      <w:r>
        <w:rPr>
          <w:rFonts w:hint="eastAsia" w:ascii="仿宋_GB2312" w:hAnsi="方正仿宋简体" w:eastAsia="仿宋_GB2312" w:cs="方正仿宋简体"/>
          <w:spacing w:val="-8"/>
          <w:sz w:val="32"/>
          <w:szCs w:val="32"/>
        </w:rPr>
        <w:t>坚持“三会一课”</w:t>
      </w:r>
      <w:r>
        <w:rPr>
          <w:rFonts w:hint="eastAsia" w:ascii="仿宋_GB2312" w:hAnsi="方正仿宋简体" w:eastAsia="仿宋_GB2312" w:cs="方正仿宋简体"/>
          <w:sz w:val="32"/>
          <w:szCs w:val="32"/>
        </w:rPr>
        <w:t>制度</w:t>
      </w:r>
      <w:r>
        <w:rPr>
          <w:rFonts w:hint="eastAsia" w:ascii="仿宋_GB2312" w:hAnsi="宋体" w:eastAsia="仿宋_GB2312" w:cs="宋体"/>
          <w:sz w:val="32"/>
          <w:szCs w:val="32"/>
          <w:shd w:val="clear" w:color="auto" w:fill="FFFFFF"/>
        </w:rPr>
        <w:t>，突出学习重点</w:t>
      </w:r>
      <w:r>
        <w:rPr>
          <w:rFonts w:hint="eastAsia" w:ascii="仿宋_GB2312" w:hAnsi="宋体" w:eastAsia="仿宋_GB2312" w:cs="宋体"/>
          <w:sz w:val="32"/>
          <w:szCs w:val="32"/>
          <w:shd w:val="clear" w:color="auto" w:fill="FFFFFF"/>
          <w:lang w:eastAsia="zh-CN"/>
        </w:rPr>
        <w:t>，</w:t>
      </w:r>
      <w:r>
        <w:rPr>
          <w:rFonts w:hint="eastAsia" w:ascii="仿宋_GB2312" w:hAnsi="方正仿宋简体" w:eastAsia="仿宋_GB2312" w:cs="方正仿宋简体"/>
          <w:spacing w:val="-8"/>
          <w:sz w:val="32"/>
          <w:szCs w:val="32"/>
        </w:rPr>
        <w:t>加强党务政务公开工作</w:t>
      </w:r>
      <w:r>
        <w:rPr>
          <w:rFonts w:hint="eastAsia" w:ascii="仿宋_GB2312" w:hAnsi="宋体" w:eastAsia="仿宋_GB2312" w:cs="宋体"/>
          <w:sz w:val="32"/>
          <w:szCs w:val="32"/>
          <w:shd w:val="clear" w:color="auto" w:fill="FFFFFF"/>
        </w:rPr>
        <w:t>，</w:t>
      </w:r>
      <w:r>
        <w:rPr>
          <w:rFonts w:hint="eastAsia" w:ascii="仿宋_GB2312" w:hAnsi="方正仿宋简体" w:eastAsia="仿宋_GB2312" w:cs="方正仿宋简体"/>
          <w:color w:val="000000"/>
          <w:kern w:val="0"/>
          <w:sz w:val="32"/>
          <w:szCs w:val="32"/>
        </w:rPr>
        <w:t>开展</w:t>
      </w:r>
      <w:r>
        <w:rPr>
          <w:rFonts w:hint="eastAsia" w:ascii="仿宋_GB2312" w:hAnsi="方正仿宋简体" w:eastAsia="仿宋_GB2312" w:cs="方正仿宋简体"/>
          <w:spacing w:val="-2"/>
          <w:sz w:val="32"/>
          <w:szCs w:val="32"/>
        </w:rPr>
        <w:t>老党员老干部慰问活动，</w:t>
      </w:r>
      <w:r>
        <w:rPr>
          <w:rFonts w:hint="eastAsia" w:ascii="仿宋_GB2312" w:hAnsi="仿宋_GB2312" w:eastAsia="仿宋_GB2312" w:cs="仿宋_GB2312"/>
          <w:bCs/>
          <w:color w:val="000000"/>
          <w:sz w:val="32"/>
          <w:szCs w:val="32"/>
          <w:shd w:val="clear" w:color="auto" w:fill="auto"/>
        </w:rPr>
        <w:t>组织党员志愿者参加社区</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双报到</w:t>
      </w:r>
      <w:r>
        <w:rPr>
          <w:rFonts w:hint="eastAsia" w:ascii="仿宋_GB2312" w:hAnsi="仿宋_GB2312" w:eastAsia="仿宋_GB2312" w:cs="仿宋_GB2312"/>
          <w:color w:val="000000"/>
          <w:sz w:val="32"/>
          <w:szCs w:val="32"/>
          <w:shd w:val="clear" w:color="auto" w:fill="auto"/>
        </w:rPr>
        <w:t>”等</w:t>
      </w:r>
      <w:r>
        <w:rPr>
          <w:rFonts w:hint="eastAsia" w:ascii="仿宋_GB2312" w:hAnsi="仿宋_GB2312" w:eastAsia="仿宋_GB2312" w:cs="仿宋_GB2312"/>
          <w:bCs/>
          <w:color w:val="000000"/>
          <w:sz w:val="32"/>
          <w:szCs w:val="32"/>
          <w:shd w:val="clear" w:color="auto" w:fill="auto"/>
        </w:rPr>
        <w:t>活动，深入联系村查尔玛乡什布龙村</w:t>
      </w:r>
      <w:r>
        <w:rPr>
          <w:rFonts w:hint="eastAsia" w:ascii="仿宋_GB2312" w:hAnsi="仿宋_GB2312" w:eastAsia="仿宋_GB2312" w:cs="仿宋_GB2312"/>
          <w:color w:val="000000"/>
          <w:sz w:val="32"/>
          <w:szCs w:val="32"/>
          <w:shd w:val="clear" w:color="auto" w:fill="auto"/>
        </w:rPr>
        <w:t>持续开展帮扶活动，</w:t>
      </w:r>
      <w:r>
        <w:rPr>
          <w:rFonts w:hint="eastAsia" w:ascii="仿宋_GB2312" w:hAnsi="仿宋_GB2312" w:eastAsia="仿宋_GB2312" w:cs="仿宋_GB2312"/>
          <w:color w:val="000000"/>
          <w:sz w:val="32"/>
          <w:szCs w:val="32"/>
          <w:u w:val="none" w:color="auto"/>
          <w:shd w:val="clear" w:color="auto" w:fill="auto"/>
        </w:rPr>
        <w:t>做好富民惠民政策，</w:t>
      </w:r>
      <w:r>
        <w:rPr>
          <w:rFonts w:hint="eastAsia" w:ascii="仿宋_GB2312" w:hAnsi="仿宋_GB2312" w:eastAsia="仿宋_GB2312" w:cs="仿宋_GB2312"/>
          <w:bCs/>
          <w:color w:val="000000"/>
          <w:sz w:val="32"/>
          <w:szCs w:val="32"/>
          <w:shd w:val="clear" w:color="auto" w:fill="auto"/>
        </w:rPr>
        <w:t>真心真意为群众办好事、办实事，</w:t>
      </w:r>
      <w:r>
        <w:rPr>
          <w:rFonts w:hint="eastAsia" w:ascii="仿宋_GB2312" w:hAnsi="仿宋_GB2312" w:eastAsia="仿宋_GB2312" w:cs="仿宋_GB2312"/>
          <w:color w:val="000000"/>
          <w:sz w:val="32"/>
          <w:szCs w:val="32"/>
          <w:shd w:val="clear" w:color="auto" w:fill="auto"/>
        </w:rPr>
        <w:t>积极做好干部一对一帮扶工作，努力帮助联系村群众实现“三好两富”目标</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宋体" w:eastAsia="仿宋_GB2312" w:cs="宋体"/>
          <w:sz w:val="32"/>
          <w:szCs w:val="32"/>
          <w:shd w:val="clear" w:color="auto" w:fill="FFFFFF"/>
        </w:rPr>
        <w:t>做到了两手抓、两促进。</w:t>
      </w:r>
    </w:p>
    <w:p>
      <w:pPr>
        <w:spacing w:line="576" w:lineRule="exact"/>
        <w:ind w:firstLine="643" w:firstLineChars="200"/>
        <w:rPr>
          <w:rFonts w:ascii="仿宋_GB2312" w:hAnsi="方正仿宋简体" w:eastAsia="仿宋_GB2312" w:cs="方正仿宋简体"/>
          <w:sz w:val="32"/>
          <w:szCs w:val="32"/>
        </w:rPr>
      </w:pPr>
      <w:r>
        <w:rPr>
          <w:rFonts w:hint="eastAsia" w:ascii="仿宋_GB2312" w:hAnsi="仿宋" w:eastAsia="仿宋_GB2312"/>
          <w:b/>
          <w:bCs/>
          <w:sz w:val="32"/>
          <w:szCs w:val="32"/>
          <w:lang w:val="en-US" w:eastAsia="zh-CN"/>
        </w:rPr>
        <w:t>15.</w:t>
      </w:r>
      <w:r>
        <w:rPr>
          <w:rFonts w:hint="eastAsia" w:ascii="仿宋_GB2312" w:hAnsi="宋体" w:eastAsia="仿宋_GB2312" w:cs="宋体"/>
          <w:b/>
          <w:sz w:val="32"/>
          <w:szCs w:val="32"/>
        </w:rPr>
        <w:t>加强党风廉政建设。</w:t>
      </w:r>
      <w:r>
        <w:rPr>
          <w:rFonts w:hint="eastAsia" w:ascii="仿宋_GB2312" w:hAnsi="宋体" w:eastAsia="仿宋_GB2312" w:cs="宋体"/>
          <w:sz w:val="32"/>
          <w:szCs w:val="32"/>
        </w:rPr>
        <w:t>扎实抓好党风廉政建设责任制的落实，坚持把党风廉政建设与业务工作同研究、同部署、同考核、同落实。深入</w:t>
      </w:r>
      <w:r>
        <w:rPr>
          <w:rFonts w:hint="eastAsia" w:ascii="仿宋_GB2312" w:hAnsi="仿宋_GB2312" w:eastAsia="仿宋_GB2312" w:cs="仿宋_GB2312"/>
          <w:color w:val="000000"/>
          <w:sz w:val="32"/>
          <w:szCs w:val="32"/>
        </w:rPr>
        <w:t>推进廉政文化进机关活动，</w:t>
      </w:r>
      <w:r>
        <w:rPr>
          <w:rFonts w:hint="eastAsia" w:ascii="仿宋_GB2312" w:hAnsi="仿宋_GB2312" w:eastAsia="仿宋_GB2312" w:cs="仿宋_GB2312"/>
          <w:color w:val="000000"/>
          <w:kern w:val="0"/>
          <w:sz w:val="32"/>
          <w:szCs w:val="32"/>
        </w:rPr>
        <w:t>加强廉洁自律警示教育，</w:t>
      </w:r>
      <w:r>
        <w:rPr>
          <w:rFonts w:hint="eastAsia" w:ascii="仿宋_GB2312" w:hAnsi="仿宋_GB2312" w:eastAsia="仿宋_GB2312" w:cs="仿宋_GB2312"/>
          <w:color w:val="000000"/>
          <w:sz w:val="32"/>
          <w:szCs w:val="32"/>
        </w:rPr>
        <w:t>严格执行财经制度，规范财务工作流程，严格预算管理、专款专用，合理有效的使用建设资金，确保了交通建设资金的安全。</w:t>
      </w:r>
      <w:r>
        <w:rPr>
          <w:rFonts w:hint="eastAsia" w:ascii="仿宋_GB2312" w:eastAsia="仿宋_GB2312"/>
          <w:sz w:val="32"/>
          <w:szCs w:val="32"/>
        </w:rPr>
        <w:t>认真开展“正风肃纪专项整治”、“廉政谈话”等</w:t>
      </w:r>
      <w:r>
        <w:rPr>
          <w:rFonts w:hint="eastAsia" w:ascii="仿宋_GB2312" w:hAnsi="方正仿宋简体" w:eastAsia="仿宋_GB2312" w:cs="方正仿宋简体"/>
          <w:sz w:val="32"/>
          <w:szCs w:val="32"/>
        </w:rPr>
        <w:t>工作，同时积极配合县委脱贫攻坚专项巡察组开展巡察工作。</w:t>
      </w:r>
    </w:p>
    <w:p>
      <w:pPr>
        <w:keepNext w:val="0"/>
        <w:keepLines w:val="0"/>
        <w:pageBreakBefore w:val="0"/>
        <w:numPr>
          <w:ilvl w:val="0"/>
          <w:numId w:val="0"/>
        </w:numPr>
        <w:kinsoku/>
        <w:wordWrap/>
        <w:overflowPunct/>
        <w:topLinePunct w:val="0"/>
        <w:autoSpaceDE/>
        <w:autoSpaceDN/>
        <w:bidi w:val="0"/>
        <w:spacing w:line="540" w:lineRule="exact"/>
        <w:ind w:right="0" w:rightChars="0" w:firstLine="643" w:firstLineChars="200"/>
        <w:rPr>
          <w:rFonts w:hint="eastAsia" w:ascii="仿宋_GB2312" w:hAnsi="仿宋_GB2312" w:eastAsia="仿宋_GB2312" w:cs="仿宋_GB2312"/>
          <w:sz w:val="32"/>
          <w:szCs w:val="32"/>
        </w:rPr>
      </w:pPr>
      <w:r>
        <w:rPr>
          <w:rFonts w:hint="eastAsia" w:ascii="仿宋_GB2312" w:hAnsi="仿宋" w:eastAsia="仿宋_GB2312"/>
          <w:b/>
          <w:bCs/>
          <w:color w:val="000000"/>
          <w:sz w:val="32"/>
          <w:szCs w:val="32"/>
          <w:lang w:val="en-US" w:eastAsia="zh-CN"/>
        </w:rPr>
        <w:t>16.</w:t>
      </w:r>
      <w:r>
        <w:rPr>
          <w:rFonts w:hint="eastAsia" w:ascii="仿宋_GB2312" w:hAnsi="仿宋" w:eastAsia="仿宋_GB2312"/>
          <w:b/>
          <w:bCs/>
          <w:sz w:val="32"/>
          <w:szCs w:val="32"/>
        </w:rPr>
        <w:t>深入推进机关工作。</w:t>
      </w:r>
      <w:r>
        <w:rPr>
          <w:rFonts w:hint="eastAsia" w:ascii="仿宋_GB2312" w:eastAsia="仿宋_GB2312"/>
          <w:sz w:val="32"/>
          <w:szCs w:val="32"/>
        </w:rPr>
        <w:t>积积开展工、青、妇工作，严格落实各项规章制度，</w:t>
      </w:r>
      <w:r>
        <w:rPr>
          <w:rFonts w:hint="eastAsia" w:ascii="仿宋_GB2312" w:hAnsi="仿宋_GB2312" w:eastAsia="仿宋_GB2312" w:cs="仿宋_GB2312"/>
          <w:color w:val="000000"/>
          <w:sz w:val="32"/>
          <w:szCs w:val="32"/>
          <w:shd w:val="clear" w:color="auto" w:fill="auto"/>
        </w:rPr>
        <w:t>自觉服从和支持国防建设，积极支持邛溪镇应急民兵连建设</w:t>
      </w:r>
      <w:r>
        <w:rPr>
          <w:rFonts w:hint="eastAsia" w:ascii="仿宋_GB2312" w:hAnsi="仿宋_GB2312" w:eastAsia="仿宋_GB2312" w:cs="仿宋_GB2312"/>
          <w:color w:val="000000"/>
          <w:sz w:val="32"/>
          <w:szCs w:val="32"/>
          <w:shd w:val="clear" w:color="auto" w:fill="auto"/>
          <w:lang w:eastAsia="zh-CN"/>
        </w:rPr>
        <w:t>，</w:t>
      </w:r>
      <w:r>
        <w:rPr>
          <w:rFonts w:hint="eastAsia" w:ascii="仿宋_GB2312" w:eastAsia="仿宋_GB2312"/>
          <w:sz w:val="32"/>
          <w:szCs w:val="32"/>
        </w:rPr>
        <w:t>队伍建设进一步加强</w:t>
      </w:r>
      <w:r>
        <w:rPr>
          <w:rFonts w:hint="eastAsia" w:ascii="仿宋_GB2312" w:eastAsia="仿宋_GB2312"/>
          <w:sz w:val="32"/>
          <w:szCs w:val="32"/>
          <w:lang w:eastAsia="zh-CN"/>
        </w:rPr>
        <w:t>；</w:t>
      </w:r>
      <w:r>
        <w:rPr>
          <w:rFonts w:hint="eastAsia" w:ascii="仿宋_GB2312" w:eastAsia="仿宋_GB2312"/>
          <w:sz w:val="32"/>
          <w:szCs w:val="32"/>
        </w:rPr>
        <w:t>加大</w:t>
      </w:r>
      <w:r>
        <w:rPr>
          <w:rFonts w:hint="eastAsia" w:ascii="仿宋_GB2312" w:hAnsi="仿宋" w:eastAsia="仿宋_GB2312"/>
          <w:sz w:val="32"/>
          <w:szCs w:val="32"/>
        </w:rPr>
        <w:t>“</w:t>
      </w:r>
      <w:r>
        <w:rPr>
          <w:rFonts w:hint="eastAsia" w:ascii="仿宋_GB2312" w:hAnsi="仿宋" w:eastAsia="仿宋_GB2312"/>
          <w:sz w:val="32"/>
          <w:szCs w:val="32"/>
          <w:lang w:eastAsia="zh-CN"/>
        </w:rPr>
        <w:t>两联一进</w:t>
      </w:r>
      <w:r>
        <w:rPr>
          <w:rFonts w:hint="eastAsia" w:ascii="仿宋_GB2312" w:hAnsi="仿宋" w:eastAsia="仿宋_GB2312"/>
          <w:sz w:val="32"/>
          <w:szCs w:val="32"/>
        </w:rPr>
        <w:t>”工作力度,认真</w:t>
      </w:r>
      <w:r>
        <w:rPr>
          <w:rFonts w:hint="eastAsia" w:ascii="仿宋_GB2312" w:hAnsi="仿宋_GB2312" w:eastAsia="仿宋_GB2312" w:cs="仿宋_GB2312"/>
          <w:sz w:val="32"/>
          <w:szCs w:val="32"/>
        </w:rPr>
        <w:t>落实“交通精准扶贫”工作</w:t>
      </w:r>
      <w:r>
        <w:rPr>
          <w:rFonts w:hint="eastAsia" w:ascii="仿宋_GB2312" w:hAnsi="仿宋" w:eastAsia="仿宋_GB2312"/>
          <w:sz w:val="32"/>
          <w:szCs w:val="32"/>
        </w:rPr>
        <w:t>，</w:t>
      </w:r>
      <w:r>
        <w:rPr>
          <w:rFonts w:hint="eastAsia" w:ascii="仿宋_GB2312" w:hAnsi="仿宋_GB2312" w:eastAsia="仿宋_GB2312" w:cs="仿宋_GB2312"/>
          <w:color w:val="000000"/>
          <w:sz w:val="32"/>
          <w:szCs w:val="32"/>
          <w:shd w:val="clear" w:color="auto" w:fill="auto"/>
        </w:rPr>
        <w:t>规范公文办理流程，做好印鉴、</w:t>
      </w:r>
      <w:r>
        <w:rPr>
          <w:rFonts w:hint="eastAsia" w:ascii="仿宋_GB2312" w:hAnsi="仿宋_GB2312" w:eastAsia="仿宋_GB2312" w:cs="仿宋_GB2312"/>
          <w:color w:val="000000"/>
          <w:sz w:val="32"/>
          <w:szCs w:val="32"/>
          <w:shd w:val="clear" w:color="auto" w:fill="auto"/>
        </w:rPr>
        <w:fldChar w:fldCharType="begin"/>
      </w:r>
      <w:r>
        <w:rPr>
          <w:rFonts w:hint="eastAsia" w:ascii="仿宋_GB2312" w:hAnsi="仿宋_GB2312" w:eastAsia="仿宋_GB2312" w:cs="仿宋_GB2312"/>
          <w:color w:val="000000"/>
          <w:sz w:val="32"/>
          <w:szCs w:val="32"/>
          <w:shd w:val="clear" w:color="auto" w:fill="auto"/>
        </w:rPr>
        <w:instrText xml:space="preserve"> HYPERLINK "http://www.liuxue86.com/wenshuxiezuo/" \t "http://www.liuxue86.com/a/_blank" </w:instrText>
      </w:r>
      <w:r>
        <w:rPr>
          <w:rFonts w:hint="eastAsia" w:ascii="仿宋_GB2312" w:hAnsi="仿宋_GB2312" w:eastAsia="仿宋_GB2312" w:cs="仿宋_GB2312"/>
          <w:color w:val="000000"/>
          <w:sz w:val="32"/>
          <w:szCs w:val="32"/>
          <w:shd w:val="clear" w:color="auto" w:fill="auto"/>
        </w:rPr>
        <w:fldChar w:fldCharType="separate"/>
      </w:r>
      <w:r>
        <w:rPr>
          <w:rStyle w:val="20"/>
          <w:rFonts w:hint="eastAsia" w:ascii="仿宋_GB2312" w:hAnsi="仿宋_GB2312" w:eastAsia="仿宋_GB2312" w:cs="仿宋_GB2312"/>
          <w:color w:val="000000"/>
          <w:sz w:val="32"/>
          <w:szCs w:val="32"/>
          <w:u w:val="none"/>
          <w:shd w:val="clear" w:color="auto" w:fill="auto"/>
        </w:rPr>
        <w:t>文书</w:t>
      </w:r>
      <w:r>
        <w:rPr>
          <w:rFonts w:hint="eastAsia" w:ascii="仿宋_GB2312" w:hAnsi="仿宋_GB2312" w:eastAsia="仿宋_GB2312" w:cs="仿宋_GB2312"/>
          <w:color w:val="000000"/>
          <w:sz w:val="32"/>
          <w:szCs w:val="32"/>
          <w:shd w:val="clear" w:color="auto" w:fill="auto"/>
        </w:rPr>
        <w:fldChar w:fldCharType="end"/>
      </w:r>
      <w:r>
        <w:rPr>
          <w:rFonts w:hint="eastAsia" w:ascii="仿宋_GB2312" w:hAnsi="仿宋_GB2312" w:eastAsia="仿宋_GB2312" w:cs="仿宋_GB2312"/>
          <w:color w:val="000000"/>
          <w:sz w:val="32"/>
          <w:szCs w:val="32"/>
          <w:shd w:val="clear" w:color="auto" w:fill="auto"/>
        </w:rPr>
        <w:t>档案管理工作，无泄密事件发生，档案管理规范，未发生群体上访事件</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sz w:val="32"/>
          <w:szCs w:val="32"/>
        </w:rPr>
        <w:t>扎实推进机关作风和效能建设。</w:t>
      </w:r>
    </w:p>
    <w:p>
      <w:pPr>
        <w:keepNext w:val="0"/>
        <w:keepLines w:val="0"/>
        <w:pageBreakBefore w:val="0"/>
        <w:numPr>
          <w:ilvl w:val="0"/>
          <w:numId w:val="0"/>
        </w:numPr>
        <w:kinsoku/>
        <w:wordWrap/>
        <w:overflowPunct/>
        <w:topLinePunct w:val="0"/>
        <w:autoSpaceDE/>
        <w:autoSpaceDN/>
        <w:bidi w:val="0"/>
        <w:spacing w:line="540" w:lineRule="exact"/>
        <w:ind w:right="0" w:righ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000000"/>
          <w:sz w:val="32"/>
          <w:szCs w:val="32"/>
          <w:shd w:val="clear" w:color="auto" w:fill="auto"/>
          <w:lang w:val="en-US" w:eastAsia="zh-CN"/>
        </w:rPr>
        <w:t>17严格把控疫情防控工作。</w:t>
      </w:r>
      <w:r>
        <w:rPr>
          <w:rFonts w:hint="eastAsia" w:ascii="仿宋_GB2312" w:hAnsi="仿宋_GB2312" w:eastAsia="仿宋_GB2312" w:cs="仿宋_GB2312"/>
          <w:sz w:val="32"/>
          <w:szCs w:val="32"/>
          <w:lang w:val="en-US" w:eastAsia="zh-CN"/>
        </w:rPr>
        <w:t>为坚决贯彻落实中央、省委、州委和县委关于新型冠状病毒感染肺炎疫情防控工作决策部署，严格把控交通运输关口，做好群众正常出行车辆运输保障，疫情防控应急车辆运输保障等防控工作。</w:t>
      </w:r>
    </w:p>
    <w:p>
      <w:pPr>
        <w:spacing w:line="560" w:lineRule="exact"/>
        <w:ind w:firstLine="643" w:firstLineChars="200"/>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b/>
          <w:bCs/>
          <w:color w:val="000000"/>
          <w:sz w:val="32"/>
          <w:szCs w:val="32"/>
          <w:shd w:val="clear" w:color="auto" w:fill="auto"/>
          <w:lang w:val="en-US" w:eastAsia="zh-CN"/>
        </w:rPr>
        <w:t>18.源头管理，扎实开展交通安全管理。</w:t>
      </w:r>
      <w:r>
        <w:rPr>
          <w:rFonts w:hint="eastAsia" w:ascii="仿宋_GB2312" w:hAnsi="仿宋_GB2312" w:eastAsia="仿宋_GB2312" w:cs="仿宋_GB2312"/>
          <w:color w:val="000000"/>
          <w:sz w:val="32"/>
          <w:szCs w:val="32"/>
          <w:shd w:val="clear" w:color="auto" w:fill="auto"/>
        </w:rPr>
        <w:t>全面落实“一岗双责”，调整补充安全生产领导小组成员，逐级签订《交通安全管理目标责任书》，及时召开安全工作会议，传达学习上级文件精神，安排交通安全生产工作，形成各司其职、齐抓共管的工作格局</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强化源头监管，落实企业的安全主体责任，履行道路交通运输安全“三关一监督”职责，强化GPS的动态监控，大力开展“打非治违”活动，全面整顿道路客运市场秩序，杜绝“三超”等违章违规行为，加强对货运车辆的安全监管</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加强重点时段、重点区域和重点环节的安全监管，加大安全隐患排查整治力度，推进应急管理体系建设，组织开展辖区危险路段、桥梁安全隐患排查，积极排查整治安全隐患路段，完善安保设施，确保“</w:t>
      </w:r>
      <w:r>
        <w:rPr>
          <w:rFonts w:hint="eastAsia" w:ascii="仿宋_GB2312" w:hAnsi="仿宋_GB2312" w:eastAsia="仿宋_GB2312" w:cs="仿宋_GB2312"/>
          <w:color w:val="000000"/>
          <w:sz w:val="32"/>
          <w:szCs w:val="32"/>
          <w:shd w:val="clear" w:color="auto" w:fill="auto"/>
          <w:lang w:eastAsia="zh-CN"/>
        </w:rPr>
        <w:t>五一</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国庆</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等</w:t>
      </w:r>
      <w:r>
        <w:rPr>
          <w:rFonts w:hint="eastAsia" w:ascii="仿宋_GB2312" w:hAnsi="仿宋_GB2312" w:eastAsia="仿宋_GB2312" w:cs="仿宋_GB2312"/>
          <w:color w:val="000000"/>
          <w:sz w:val="32"/>
          <w:szCs w:val="32"/>
          <w:shd w:val="clear" w:color="auto" w:fill="auto"/>
        </w:rPr>
        <w:t>重大节日活动、汛期等的道路安全工作顺利进行</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rPr>
        <w:t>每</w:t>
      </w:r>
      <w:r>
        <w:rPr>
          <w:rFonts w:hint="eastAsia" w:ascii="仿宋_GB2312" w:hAnsi="仿宋_GB2312" w:eastAsia="仿宋_GB2312" w:cs="仿宋_GB2312"/>
          <w:color w:val="000000"/>
          <w:sz w:val="32"/>
          <w:szCs w:val="32"/>
          <w:lang w:eastAsia="zh-CN"/>
        </w:rPr>
        <w:t>季度</w:t>
      </w:r>
      <w:r>
        <w:rPr>
          <w:rFonts w:hint="eastAsia" w:ascii="仿宋_GB2312" w:hAnsi="仿宋_GB2312" w:eastAsia="仿宋_GB2312" w:cs="仿宋_GB2312"/>
          <w:color w:val="000000"/>
          <w:sz w:val="32"/>
          <w:szCs w:val="32"/>
        </w:rPr>
        <w:t>定期不定期联合县公安、安监、工商食药监等部门开展境内邮政寄递物流企业安全监管工作，确保各寄递物流企业作到</w:t>
      </w:r>
      <w:r>
        <w:rPr>
          <w:rFonts w:hint="eastAsia" w:ascii="仿宋_GB2312" w:hAnsi="仿宋" w:eastAsia="仿宋_GB2312"/>
          <w:sz w:val="32"/>
          <w:szCs w:val="32"/>
        </w:rPr>
        <w:t>100%实名登记、100%开箱验视、100%过X光机安检</w:t>
      </w:r>
      <w:r>
        <w:rPr>
          <w:rFonts w:hint="eastAsia" w:ascii="仿宋_GB2312" w:hAnsi="仿宋" w:eastAsia="仿宋_GB2312"/>
          <w:sz w:val="32"/>
          <w:szCs w:val="32"/>
          <w:lang w:eastAsia="zh-CN"/>
        </w:rPr>
        <w:t>；</w:t>
      </w:r>
      <w:r>
        <w:rPr>
          <w:rFonts w:hint="eastAsia" w:ascii="仿宋_GB2312" w:hAnsi="仿宋_GB2312" w:eastAsia="仿宋_GB2312" w:cs="仿宋_GB2312"/>
          <w:color w:val="000000"/>
          <w:sz w:val="32"/>
          <w:szCs w:val="32"/>
          <w:shd w:val="clear" w:color="auto" w:fill="auto"/>
        </w:rPr>
        <w:t>按照“安全优质、平稳有序、客货兼顾”的总体要求，加强领导、落实责任、严明纪律，使交通运输工作优质有序</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做好地质灾害及汛期安全</w:t>
      </w:r>
      <w:r>
        <w:rPr>
          <w:rFonts w:hint="eastAsia" w:ascii="仿宋_GB2312" w:hAnsi="仿宋_GB2312" w:eastAsia="仿宋_GB2312" w:cs="仿宋_GB2312"/>
          <w:bCs/>
          <w:color w:val="000000"/>
          <w:sz w:val="32"/>
          <w:szCs w:val="32"/>
          <w:shd w:val="clear" w:color="auto" w:fill="auto"/>
        </w:rPr>
        <w:t>工作，</w:t>
      </w:r>
      <w:r>
        <w:rPr>
          <w:rFonts w:hint="eastAsia" w:ascii="仿宋_GB2312" w:hAnsi="仿宋_GB2312" w:eastAsia="仿宋_GB2312" w:cs="仿宋_GB2312"/>
          <w:color w:val="000000"/>
          <w:sz w:val="32"/>
          <w:szCs w:val="32"/>
          <w:shd w:val="clear" w:color="auto" w:fill="auto"/>
        </w:rPr>
        <w:t xml:space="preserve">严格执行24小时值班和领导带班制度，了解天气动态及时向系统各单位和在建工地传达,以便妥善安排。 </w:t>
      </w:r>
    </w:p>
    <w:p>
      <w:pPr>
        <w:spacing w:line="560" w:lineRule="exact"/>
        <w:ind w:firstLine="643" w:firstLineChars="200"/>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b/>
          <w:bCs/>
          <w:color w:val="000000"/>
          <w:sz w:val="32"/>
          <w:szCs w:val="32"/>
          <w:shd w:val="clear" w:color="auto" w:fill="auto"/>
          <w:lang w:val="en-US" w:eastAsia="zh-CN"/>
        </w:rPr>
        <w:t>19.加强农村公路交通基础设施建设管理。</w:t>
      </w:r>
      <w:r>
        <w:rPr>
          <w:rFonts w:hint="eastAsia" w:ascii="仿宋_GB2312" w:hAnsi="仿宋_GB2312" w:eastAsia="仿宋_GB2312" w:cs="仿宋_GB2312"/>
          <w:color w:val="000000"/>
          <w:sz w:val="32"/>
          <w:szCs w:val="32"/>
          <w:shd w:val="clear" w:color="auto" w:fill="auto"/>
        </w:rPr>
        <w:t>成立由局主要负责人为组长负总责，分管领导为副组长，相关股室人员为成员的领导小组,由副组长统筹监管督查所有项目进度和质量，逐一签订公路建设管理责任书，严格执行农村公路建设操作规范确保每个项目有人协调、有人监管、有人督查。一是积极做好项目前期准备工作；抓好质量监管，</w:t>
      </w:r>
      <w:r>
        <w:rPr>
          <w:rFonts w:hint="eastAsia" w:ascii="仿宋_GB2312" w:hAnsi="仿宋_GB2312" w:eastAsia="仿宋_GB2312" w:cs="仿宋_GB2312"/>
          <w:color w:val="000000"/>
          <w:sz w:val="32"/>
          <w:szCs w:val="32"/>
          <w:shd w:val="clear" w:color="auto" w:fill="auto"/>
          <w:lang w:eastAsia="zh-CN"/>
        </w:rPr>
        <w:t>首先是</w:t>
      </w:r>
      <w:r>
        <w:rPr>
          <w:rFonts w:hint="eastAsia" w:ascii="仿宋_GB2312" w:hAnsi="仿宋_GB2312" w:eastAsia="仿宋_GB2312" w:cs="仿宋_GB2312"/>
          <w:b w:val="0"/>
          <w:bCs w:val="0"/>
          <w:color w:val="000000"/>
          <w:sz w:val="32"/>
          <w:szCs w:val="32"/>
          <w:shd w:val="clear" w:color="auto" w:fill="auto"/>
          <w:lang w:val="en-US" w:eastAsia="zh-CN"/>
        </w:rPr>
        <w:t>对所有项目进行动态管理，建立了参建单位（业主、监理、施工、交通运输局）的微信群，对项目情况及时通报，其次是</w:t>
      </w:r>
      <w:r>
        <w:rPr>
          <w:rFonts w:hint="eastAsia" w:ascii="仿宋_GB2312" w:hAnsi="仿宋_GB2312" w:eastAsia="仿宋_GB2312" w:cs="仿宋_GB2312"/>
          <w:color w:val="000000"/>
          <w:sz w:val="32"/>
          <w:szCs w:val="32"/>
          <w:shd w:val="clear" w:color="auto" w:fill="auto"/>
        </w:rPr>
        <w:t>坚持关口前移、重心下沉，组织人员常态化、多频率检查施工现场，把好进场材料、路基成型、桥涵施工等关口，确保项目始终处于可控状态、可视范围内，确保在预期完成建设任务。</w:t>
      </w:r>
    </w:p>
    <w:p>
      <w:pPr>
        <w:spacing w:line="560" w:lineRule="exact"/>
        <w:ind w:firstLine="643" w:firstLineChars="200"/>
        <w:rPr>
          <w:rFonts w:hint="eastAsia" w:ascii="仿宋_GB2312" w:hAnsi="仿宋_GB2312" w:eastAsia="仿宋_GB2312" w:cs="仿宋_GB2312"/>
          <w:color w:val="000000"/>
          <w:sz w:val="32"/>
          <w:szCs w:val="32"/>
          <w:shd w:val="clear" w:color="auto" w:fill="auto"/>
        </w:rPr>
      </w:pPr>
      <w:r>
        <w:rPr>
          <w:rFonts w:hint="eastAsia" w:ascii="仿宋_GB2312" w:hAnsi="仿宋_GB2312" w:eastAsia="仿宋_GB2312" w:cs="仿宋_GB2312"/>
          <w:b/>
          <w:bCs/>
          <w:color w:val="000000"/>
          <w:sz w:val="32"/>
          <w:szCs w:val="32"/>
          <w:shd w:val="clear" w:color="auto" w:fill="auto"/>
          <w:lang w:val="en-US" w:eastAsia="zh-CN"/>
        </w:rPr>
        <w:t>20.强化公路管养工作。</w:t>
      </w:r>
      <w:r>
        <w:rPr>
          <w:rFonts w:hint="eastAsia" w:ascii="仿宋_GB2312" w:hAnsi="仿宋_GB2312" w:eastAsia="仿宋_GB2312" w:cs="仿宋_GB2312"/>
          <w:color w:val="000000"/>
          <w:sz w:val="32"/>
          <w:szCs w:val="32"/>
          <w:shd w:val="clear" w:color="auto" w:fill="auto"/>
        </w:rPr>
        <w:t>坚持“建养并重，强化管理；深入改革，调整结构；依靠科技，提高质量；依法治路，确保畅通</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36字工作方针，强化“以人为本”管理理念和“以车为本”服务理念，以抢通保畅为己任，加强公路养护与管理。加大路检路查力度，规范路政执法行为，切实提高路政执法人员的执法水平和办案效率，维护路产路权，严查各种违章占用、侵占、挖掘、损坏公路和公路安保设施行为。</w:t>
      </w:r>
    </w:p>
    <w:p>
      <w:pPr>
        <w:spacing w:line="560" w:lineRule="exact"/>
        <w:ind w:firstLine="643" w:firstLineChars="200"/>
        <w:rPr>
          <w:rFonts w:hint="eastAsia" w:ascii="仿宋_GB2312" w:hAnsi="仿宋_GB2312" w:eastAsia="仿宋_GB2312" w:cs="仿宋_GB2312"/>
          <w:b/>
          <w:bCs/>
          <w:color w:val="000000"/>
          <w:sz w:val="32"/>
          <w:szCs w:val="32"/>
          <w:shd w:val="clear" w:color="auto" w:fill="auto"/>
        </w:rPr>
      </w:pPr>
      <w:r>
        <w:rPr>
          <w:rFonts w:hint="eastAsia" w:ascii="仿宋_GB2312" w:hAnsi="仿宋_GB2312" w:eastAsia="仿宋_GB2312" w:cs="仿宋_GB2312"/>
          <w:b/>
          <w:bCs/>
          <w:color w:val="000000"/>
          <w:sz w:val="32"/>
          <w:szCs w:val="32"/>
          <w:shd w:val="clear" w:color="auto" w:fill="auto"/>
          <w:lang w:val="en-US" w:eastAsia="zh-CN"/>
        </w:rPr>
        <w:t>21.持续开展依法行政，推进依法治县工作的开展。</w:t>
      </w:r>
      <w:r>
        <w:rPr>
          <w:rFonts w:hint="eastAsia" w:ascii="仿宋_GB2312" w:hAnsi="仿宋_GB2312" w:eastAsia="仿宋_GB2312" w:cs="仿宋_GB2312"/>
          <w:bCs/>
          <w:color w:val="000000"/>
          <w:sz w:val="32"/>
          <w:szCs w:val="32"/>
          <w:shd w:val="clear" w:color="auto" w:fill="auto"/>
        </w:rPr>
        <w:t>以加大法律法规宣传教育为切入点，强化依法行政意识，</w:t>
      </w:r>
      <w:r>
        <w:rPr>
          <w:rFonts w:hint="eastAsia" w:ascii="仿宋_GB2312" w:hAnsi="仿宋_GB2312" w:eastAsia="仿宋_GB2312" w:cs="仿宋_GB2312"/>
          <w:color w:val="000000"/>
          <w:sz w:val="32"/>
          <w:szCs w:val="32"/>
          <w:shd w:val="clear" w:color="auto" w:fill="auto"/>
        </w:rPr>
        <w:t xml:space="preserve">加强对行政执法人员的教育和培训，提高行政执法人员的素质，进一步规范行政执法人员的执法行为和执法风纪，不断提升交通运输行政执法队伍的良好形象。    </w:t>
      </w:r>
    </w:p>
    <w:p>
      <w:pPr>
        <w:spacing w:line="560" w:lineRule="exact"/>
        <w:ind w:firstLine="643" w:firstLineChars="200"/>
        <w:rPr>
          <w:rFonts w:hint="eastAsia" w:ascii="黑体" w:hAnsi="黑体" w:eastAsia="黑体" w:cs="黑体"/>
          <w:b/>
          <w:bCs/>
          <w:sz w:val="32"/>
          <w:szCs w:val="32"/>
          <w:lang w:val="en-US" w:eastAsia="zh-CN"/>
        </w:rPr>
      </w:pPr>
      <w:r>
        <w:rPr>
          <w:rFonts w:hint="eastAsia" w:ascii="仿宋_GB2312" w:hAnsi="仿宋_GB2312" w:eastAsia="仿宋_GB2312" w:cs="仿宋_GB2312"/>
          <w:b/>
          <w:bCs/>
          <w:color w:val="000000"/>
          <w:sz w:val="32"/>
          <w:szCs w:val="32"/>
          <w:shd w:val="clear" w:color="auto" w:fill="auto"/>
          <w:lang w:val="en-US" w:eastAsia="zh-CN"/>
        </w:rPr>
        <w:t>22.开展城乡环境综合整治。</w:t>
      </w:r>
      <w:r>
        <w:rPr>
          <w:rFonts w:hint="eastAsia" w:ascii="仿宋_GB2312" w:hAnsi="仿宋_GB2312" w:eastAsia="仿宋_GB2312" w:cs="仿宋_GB2312"/>
          <w:color w:val="000000"/>
          <w:sz w:val="32"/>
          <w:szCs w:val="32"/>
          <w:shd w:val="clear" w:color="auto" w:fill="auto"/>
        </w:rPr>
        <w:t>把城乡环境专项整治工作与局其他重要工作同安排、同部署、同落实，结合实际成立领导小组、制定实施方案，</w:t>
      </w:r>
      <w:r>
        <w:rPr>
          <w:rFonts w:hint="eastAsia" w:ascii="仿宋_GB2312" w:hAnsi="仿宋_GB2312" w:eastAsia="仿宋_GB2312" w:cs="仿宋_GB2312"/>
          <w:color w:val="000000"/>
          <w:kern w:val="2"/>
          <w:sz w:val="32"/>
          <w:szCs w:val="32"/>
          <w:shd w:val="clear" w:color="auto" w:fill="auto"/>
        </w:rPr>
        <w:t>组织干部职工定期对公共责任区和办公区域进行全面清洁，规范院内车辆、设施摆放，努力美化院内环境</w:t>
      </w:r>
      <w:r>
        <w:rPr>
          <w:rFonts w:hint="eastAsia" w:ascii="仿宋_GB2312" w:hAnsi="仿宋_GB2312" w:eastAsia="仿宋_GB2312" w:cs="仿宋_GB2312"/>
          <w:color w:val="000000"/>
          <w:kern w:val="2"/>
          <w:sz w:val="32"/>
          <w:szCs w:val="32"/>
          <w:shd w:val="clear" w:color="auto" w:fill="auto"/>
          <w:lang w:eastAsia="zh-CN"/>
        </w:rPr>
        <w:t>，</w:t>
      </w:r>
      <w:r>
        <w:rPr>
          <w:rFonts w:hint="eastAsia" w:ascii="仿宋_GB2312" w:hAnsi="仿宋_GB2312" w:eastAsia="仿宋_GB2312" w:cs="仿宋_GB2312"/>
          <w:sz w:val="32"/>
          <w:szCs w:val="32"/>
          <w:lang w:eastAsia="zh-CN"/>
        </w:rPr>
        <w:t>突出整治非公路标识标牌及附属设施（店招店牌）、公路沿线垃圾、清理违规搭建、乱停乱放行为、规范牧家乐和零散摊点，改善辖区路域环境。重点整治各村牧户房前屋后、交通干道沿线、河道沟渠、田间地头等处各类垃圾。治理各村农户房前屋后、施工单位、公路沿线乱堆乱放、乱搭乱建、车辆乱停等杂乱现象。全面清理“一店多招”“非法广告”“违规设立”和具有安全隐患的标识标牌。推进县域内企业、学校、各村等环境卫生整治工作，开展主题党日活动和学雷锋志愿服务月活动，在各乡镇公共区域、沿河沿路卫生死角开展环境卫生整治工作。</w:t>
      </w:r>
    </w:p>
    <w:p>
      <w:pPr>
        <w:pStyle w:val="12"/>
        <w:keepNext w:val="0"/>
        <w:keepLines w:val="0"/>
        <w:widowControl/>
        <w:suppressLineNumbers w:val="0"/>
        <w:ind w:left="0" w:right="75"/>
        <w:jc w:val="left"/>
        <w:outlineLvl w:val="1"/>
        <w:rPr>
          <w:rFonts w:hint="eastAsia" w:ascii="黑体" w:hAnsi="黑体" w:eastAsia="黑体" w:cs="黑体"/>
          <w:b/>
          <w:bCs/>
          <w:sz w:val="32"/>
          <w:szCs w:val="32"/>
        </w:rPr>
      </w:pPr>
      <w:bookmarkStart w:id="4" w:name="_Toc21119"/>
      <w:r>
        <w:rPr>
          <w:rStyle w:val="16"/>
          <w:rFonts w:hint="eastAsia" w:ascii="黑体" w:hAnsi="黑体" w:eastAsia="黑体" w:cs="黑体"/>
          <w:b/>
          <w:bCs/>
          <w:sz w:val="32"/>
          <w:szCs w:val="32"/>
          <w:shd w:val="clear" w:fill="FFFFFF"/>
        </w:rPr>
        <w:t>二、机构设置</w:t>
      </w:r>
      <w:bookmarkEnd w:id="4"/>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阿坝州红原县交通运输局（汇总）下属二级单位</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rPr>
        <w:t>个，其中行政单位</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w:t>
      </w:r>
      <w:r>
        <w:rPr>
          <w:rFonts w:hint="eastAsia" w:ascii="仿宋_GB2312" w:hAnsi="仿宋_GB2312" w:eastAsia="仿宋_GB2312" w:cs="仿宋_GB2312"/>
          <w:sz w:val="32"/>
          <w:szCs w:val="32"/>
          <w:shd w:val="clear" w:fill="FFFFFF"/>
          <w:lang w:eastAsia="zh-CN"/>
        </w:rPr>
        <w:t>（交通局本级）</w:t>
      </w:r>
      <w:r>
        <w:rPr>
          <w:rFonts w:hint="eastAsia" w:ascii="仿宋_GB2312" w:hAnsi="仿宋_GB2312" w:eastAsia="仿宋_GB2312" w:cs="仿宋_GB2312"/>
          <w:sz w:val="32"/>
          <w:szCs w:val="32"/>
          <w:shd w:val="clear" w:fill="FFFFFF"/>
        </w:rPr>
        <w:t>，其他事业单位</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w:t>
      </w:r>
      <w:r>
        <w:rPr>
          <w:rFonts w:hint="eastAsia" w:ascii="仿宋_GB2312" w:hAnsi="仿宋_GB2312" w:eastAsia="仿宋_GB2312" w:cs="仿宋_GB2312"/>
          <w:sz w:val="32"/>
          <w:szCs w:val="32"/>
          <w:shd w:val="clear" w:fill="FFFFFF"/>
          <w:lang w:eastAsia="zh-CN"/>
        </w:rPr>
        <w:t>（交通工程质量监督站）</w:t>
      </w:r>
      <w:r>
        <w:rPr>
          <w:rFonts w:hint="eastAsia" w:ascii="仿宋_GB2312" w:hAnsi="仿宋_GB2312" w:eastAsia="仿宋_GB2312" w:cs="仿宋_GB2312"/>
          <w:sz w:val="32"/>
          <w:szCs w:val="32"/>
          <w:shd w:val="clear" w:fill="FFFFFF"/>
        </w:rPr>
        <w:t>。</w:t>
      </w:r>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纳入阿坝州红原县交通运输局（汇总）2020年度部门决算编制范围的二级预算单位包括：</w:t>
      </w:r>
    </w:p>
    <w:p>
      <w:pPr>
        <w:pStyle w:val="12"/>
        <w:keepNext w:val="0"/>
        <w:keepLines w:val="0"/>
        <w:widowControl/>
        <w:numPr>
          <w:ilvl w:val="0"/>
          <w:numId w:val="1"/>
        </w:numPr>
        <w:suppressLineNumbers w:val="0"/>
        <w:ind w:left="1152" w:right="75"/>
        <w:jc w:val="lef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交通局本级</w:t>
      </w:r>
    </w:p>
    <w:p>
      <w:pPr>
        <w:pStyle w:val="12"/>
        <w:keepNext w:val="0"/>
        <w:keepLines w:val="0"/>
        <w:widowControl/>
        <w:numPr>
          <w:ilvl w:val="0"/>
          <w:numId w:val="1"/>
        </w:numPr>
        <w:suppressLineNumbers w:val="0"/>
        <w:ind w:left="1152" w:leftChars="0" w:right="75" w:rightChars="0" w:firstLine="0" w:firstLineChars="0"/>
        <w:jc w:val="lef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交通工程质量监督站</w:t>
      </w:r>
    </w:p>
    <w:p>
      <w:pPr>
        <w:spacing w:line="560" w:lineRule="exact"/>
        <w:ind w:firstLine="640" w:firstLineChars="200"/>
        <w:jc w:val="left"/>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eastAsia="zh-CN"/>
        </w:rPr>
        <w:t>截止</w:t>
      </w:r>
      <w:r>
        <w:rPr>
          <w:rFonts w:hint="eastAsia" w:ascii="仿宋_GB2312" w:hAnsi="仿宋_GB2312" w:eastAsia="仿宋_GB2312" w:cs="仿宋_GB2312"/>
          <w:sz w:val="32"/>
          <w:szCs w:val="32"/>
          <w:shd w:val="clear" w:fill="FFFFFF"/>
          <w:lang w:val="en-US" w:eastAsia="zh-CN"/>
        </w:rPr>
        <w:t>2020年底</w:t>
      </w:r>
      <w:r>
        <w:rPr>
          <w:rFonts w:hint="eastAsia" w:ascii="仿宋_GB2312" w:hAnsi="仿宋_GB2312" w:eastAsia="仿宋_GB2312" w:cs="仿宋_GB2312"/>
          <w:bCs/>
          <w:sz w:val="32"/>
          <w:szCs w:val="32"/>
        </w:rPr>
        <w:t>我单位共有编制17个，其中公务员编制9个，行政工勤编制1个，事业编制7个，在职</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rPr>
        <w:t>人，公务员</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，比上年增加</w:t>
      </w:r>
      <w:r>
        <w:rPr>
          <w:rFonts w:hint="eastAsia" w:ascii="仿宋_GB2312" w:hAnsi="仿宋_GB2312" w:eastAsia="仿宋_GB2312" w:cs="仿宋_GB2312"/>
          <w:bCs/>
          <w:sz w:val="32"/>
          <w:szCs w:val="32"/>
          <w:lang w:val="en-US" w:eastAsia="zh-CN"/>
        </w:rPr>
        <w:t>1人。</w:t>
      </w:r>
    </w:p>
    <w:p>
      <w:pPr>
        <w:pStyle w:val="12"/>
        <w:keepNext w:val="0"/>
        <w:keepLines w:val="0"/>
        <w:widowControl/>
        <w:suppressLineNumbers w:val="0"/>
        <w:ind w:left="0" w:right="75"/>
        <w:jc w:val="center"/>
        <w:outlineLvl w:val="0"/>
        <w:rPr>
          <w:rFonts w:hint="eastAsia" w:ascii="黑体" w:hAnsi="黑体" w:eastAsia="黑体" w:cs="黑体"/>
          <w:sz w:val="32"/>
          <w:szCs w:val="32"/>
        </w:rPr>
      </w:pPr>
      <w:bookmarkStart w:id="5" w:name="_Toc13026"/>
      <w:r>
        <w:rPr>
          <w:rStyle w:val="16"/>
          <w:rFonts w:hint="eastAsia" w:ascii="黑体" w:hAnsi="黑体" w:eastAsia="黑体" w:cs="黑体"/>
          <w:sz w:val="32"/>
          <w:szCs w:val="32"/>
          <w:shd w:val="clear" w:fill="FFFFFF"/>
        </w:rPr>
        <w:t>第二部分 2020年度部门决算情况说明</w:t>
      </w:r>
      <w:bookmarkEnd w:id="5"/>
    </w:p>
    <w:p>
      <w:pPr>
        <w:pStyle w:val="12"/>
        <w:keepNext w:val="0"/>
        <w:keepLines w:val="0"/>
        <w:widowControl/>
        <w:suppressLineNumbers w:val="0"/>
        <w:ind w:left="0" w:right="75"/>
        <w:jc w:val="left"/>
        <w:outlineLvl w:val="1"/>
        <w:rPr>
          <w:rFonts w:hint="eastAsia" w:ascii="楷体_GB2312" w:hAnsi="楷体_GB2312" w:eastAsia="楷体_GB2312" w:cs="楷体_GB2312"/>
          <w:b/>
          <w:bCs w:val="0"/>
          <w:sz w:val="32"/>
          <w:szCs w:val="32"/>
        </w:rPr>
      </w:pPr>
      <w:bookmarkStart w:id="6" w:name="_Toc29815"/>
      <w:r>
        <w:rPr>
          <w:rStyle w:val="16"/>
          <w:rFonts w:hint="eastAsia" w:ascii="楷体_GB2312" w:hAnsi="楷体_GB2312" w:eastAsia="楷体_GB2312" w:cs="楷体_GB2312"/>
          <w:b/>
          <w:bCs w:val="0"/>
          <w:sz w:val="32"/>
          <w:szCs w:val="32"/>
          <w:shd w:val="clear" w:fill="FFFFFF"/>
        </w:rPr>
        <w:t>一、 收入支出决算总体情况说明</w:t>
      </w:r>
      <w:bookmarkEnd w:id="6"/>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本年度收入</w:t>
      </w:r>
      <w:r>
        <w:rPr>
          <w:rFonts w:hint="eastAsia" w:ascii="仿宋_GB2312" w:hAnsi="仿宋_GB2312" w:eastAsia="仿宋_GB2312" w:cs="仿宋_GB2312"/>
          <w:sz w:val="32"/>
          <w:szCs w:val="32"/>
          <w:lang w:val="en-US" w:eastAsia="zh-CN"/>
        </w:rPr>
        <w:t>3608.64</w:t>
      </w:r>
      <w:r>
        <w:rPr>
          <w:rFonts w:hint="eastAsia" w:ascii="仿宋_GB2312" w:hAnsi="仿宋_GB2312" w:eastAsia="仿宋_GB2312" w:cs="仿宋_GB2312"/>
          <w:sz w:val="32"/>
          <w:szCs w:val="32"/>
        </w:rPr>
        <w:t>万元，上年度收入</w:t>
      </w:r>
      <w:r>
        <w:rPr>
          <w:rFonts w:hint="eastAsia" w:ascii="仿宋_GB2312" w:hAnsi="仿宋_GB2312" w:eastAsia="仿宋_GB2312" w:cs="仿宋_GB2312"/>
          <w:sz w:val="32"/>
          <w:szCs w:val="32"/>
          <w:lang w:val="en-US" w:eastAsia="zh-CN"/>
        </w:rPr>
        <w:t>1360.16</w:t>
      </w:r>
      <w:r>
        <w:rPr>
          <w:rFonts w:hint="eastAsia" w:ascii="仿宋_GB2312" w:hAnsi="仿宋_GB2312" w:eastAsia="仿宋_GB2312" w:cs="仿宋_GB2312"/>
          <w:sz w:val="32"/>
          <w:szCs w:val="32"/>
        </w:rPr>
        <w:t>万元，本年收入比上年收入</w:t>
      </w:r>
      <w:r>
        <w:rPr>
          <w:rFonts w:hint="eastAsia" w:ascii="仿宋_GB2312" w:hAnsi="仿宋_GB2312" w:eastAsia="仿宋_GB2312" w:cs="仿宋_GB2312"/>
          <w:sz w:val="32"/>
          <w:szCs w:val="32"/>
          <w:lang w:val="en-US" w:eastAsia="zh-CN"/>
        </w:rPr>
        <w:t>增加2248.48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上升165.31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上升主要原因是2020年新增1734.38万元查江路工程收入及农村人居环境改造等项目,2019年无该批项目支出。</w:t>
      </w:r>
      <w:r>
        <w:rPr>
          <w:rFonts w:hint="eastAsia" w:ascii="仿宋_GB2312" w:hAnsi="仿宋_GB2312" w:eastAsia="仿宋_GB2312" w:cs="仿宋_GB2312"/>
          <w:sz w:val="32"/>
          <w:szCs w:val="32"/>
        </w:rPr>
        <w:t>本年度支出</w:t>
      </w:r>
      <w:r>
        <w:rPr>
          <w:rFonts w:hint="eastAsia" w:ascii="仿宋_GB2312" w:hAnsi="仿宋_GB2312" w:eastAsia="仿宋_GB2312" w:cs="仿宋_GB2312"/>
          <w:sz w:val="32"/>
          <w:szCs w:val="32"/>
          <w:lang w:val="en-US" w:eastAsia="zh-CN"/>
        </w:rPr>
        <w:t>4630.17</w:t>
      </w:r>
      <w:r>
        <w:rPr>
          <w:rFonts w:hint="eastAsia" w:ascii="仿宋_GB2312" w:hAnsi="仿宋_GB2312" w:eastAsia="仿宋_GB2312" w:cs="仿宋_GB2312"/>
          <w:sz w:val="32"/>
          <w:szCs w:val="32"/>
        </w:rPr>
        <w:t>万元，上年度支出</w:t>
      </w:r>
      <w:r>
        <w:rPr>
          <w:rFonts w:hint="eastAsia" w:ascii="仿宋_GB2312" w:hAnsi="仿宋_GB2312" w:eastAsia="仿宋_GB2312" w:cs="仿宋_GB2312"/>
          <w:sz w:val="32"/>
          <w:szCs w:val="32"/>
          <w:lang w:val="en-US" w:eastAsia="zh-CN"/>
        </w:rPr>
        <w:t>3596.16</w:t>
      </w:r>
      <w:r>
        <w:rPr>
          <w:rFonts w:hint="eastAsia" w:ascii="仿宋_GB2312" w:hAnsi="仿宋_GB2312" w:eastAsia="仿宋_GB2312" w:cs="仿宋_GB2312"/>
          <w:sz w:val="32"/>
          <w:szCs w:val="32"/>
        </w:rPr>
        <w:t>万元，本年支出比上年支出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1034.01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lang w:val="en-US" w:eastAsia="zh-CN"/>
        </w:rPr>
        <w:t>28.75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上升主要</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val="en-US" w:eastAsia="zh-CN"/>
        </w:rPr>
        <w:t>2020年新增1734.38万元查江路工程支出，扣除该因素影响整体支出略有下降</w:t>
      </w:r>
      <w:r>
        <w:rPr>
          <w:rFonts w:hint="eastAsia" w:ascii="仿宋_GB2312" w:hAnsi="仿宋_GB2312" w:eastAsia="仿宋_GB2312" w:cs="仿宋_GB2312"/>
          <w:sz w:val="32"/>
          <w:szCs w:val="32"/>
        </w:rPr>
        <w:t>；本年度项目结转结余</w:t>
      </w:r>
      <w:r>
        <w:rPr>
          <w:rFonts w:hint="eastAsia" w:ascii="仿宋_GB2312" w:hAnsi="仿宋_GB2312" w:eastAsia="仿宋_GB2312" w:cs="仿宋_GB2312"/>
          <w:sz w:val="32"/>
          <w:szCs w:val="32"/>
          <w:lang w:val="en-US" w:eastAsia="zh-CN"/>
        </w:rPr>
        <w:t>118.02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，主要是代管农村道路建设资金</w:t>
      </w:r>
      <w:r>
        <w:rPr>
          <w:rFonts w:hint="eastAsia" w:ascii="仿宋_GB2312" w:hAnsi="仿宋_GB2312" w:eastAsia="仿宋_GB2312" w:cs="仿宋_GB2312"/>
          <w:sz w:val="32"/>
          <w:szCs w:val="32"/>
          <w:lang w:val="en-US" w:eastAsia="zh-CN"/>
        </w:rPr>
        <w:t>11.07万元</w:t>
      </w:r>
      <w:r>
        <w:rPr>
          <w:rFonts w:hint="eastAsia" w:ascii="仿宋_GB2312" w:hAnsi="仿宋_GB2312" w:eastAsia="仿宋_GB2312" w:cs="仿宋_GB2312"/>
          <w:sz w:val="32"/>
          <w:szCs w:val="32"/>
          <w:lang w:eastAsia="zh-CN"/>
        </w:rPr>
        <w:t>，省级道路交通补助资金</w:t>
      </w:r>
      <w:r>
        <w:rPr>
          <w:rFonts w:hint="eastAsia" w:ascii="仿宋_GB2312" w:hAnsi="仿宋_GB2312" w:eastAsia="仿宋_GB2312" w:cs="仿宋_GB2312"/>
          <w:sz w:val="32"/>
          <w:szCs w:val="32"/>
          <w:lang w:val="en-US" w:eastAsia="zh-CN"/>
        </w:rPr>
        <w:t>70.2万元，公路养护工程款36.75万元</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基本支出结转。</w:t>
      </w:r>
    </w:p>
    <w:p>
      <w:pPr>
        <w:pStyle w:val="12"/>
        <w:keepNext w:val="0"/>
        <w:keepLines w:val="0"/>
        <w:widowControl/>
        <w:suppressLineNumbers w:val="0"/>
        <w:ind w:left="0" w:right="75"/>
        <w:jc w:val="center"/>
        <w:rPr>
          <w:sz w:val="24"/>
          <w:szCs w:val="24"/>
          <w:shd w:val="clear" w:fill="FFFFFF"/>
        </w:rPr>
      </w:pPr>
      <w:r>
        <w:rPr>
          <w:sz w:val="24"/>
          <w:szCs w:val="24"/>
          <w:shd w:val="clear" w:fill="FFFFFF"/>
        </w:rPr>
        <w:t>（图1：收、支决算总计变动情况图）（柱状图）</w:t>
      </w:r>
    </w:p>
    <w:p>
      <w:pPr>
        <w:pStyle w:val="12"/>
        <w:keepNext w:val="0"/>
        <w:keepLines w:val="0"/>
        <w:widowControl/>
        <w:suppressLineNumbers w:val="0"/>
        <w:ind w:left="0" w:right="75"/>
        <w:jc w:val="both"/>
        <w:rPr>
          <w:sz w:val="24"/>
          <w:szCs w:val="24"/>
          <w:shd w:val="clear" w:fill="FFFFFF"/>
        </w:rPr>
      </w:pPr>
    </w:p>
    <w:p>
      <w:pPr>
        <w:pStyle w:val="12"/>
        <w:keepNext w:val="0"/>
        <w:keepLines w:val="0"/>
        <w:widowControl/>
        <w:suppressLineNumbers w:val="0"/>
        <w:ind w:left="0" w:right="75"/>
        <w:jc w:val="center"/>
        <w:rPr>
          <w:rFonts w:hint="eastAsia" w:ascii="楷体_GB2312" w:hAnsi="楷体_GB2312" w:eastAsia="楷体_GB2312" w:cs="楷体_GB2312"/>
          <w:sz w:val="32"/>
          <w:szCs w:val="32"/>
          <w:shd w:val="clear" w:fill="FFFFFF"/>
          <w:lang w:eastAsia="zh-CN"/>
        </w:rPr>
      </w:pPr>
      <w:r>
        <w:rPr>
          <w:rFonts w:hint="eastAsia" w:ascii="楷体_GB2312" w:hAnsi="楷体_GB2312" w:eastAsia="楷体_GB2312" w:cs="楷体_GB2312"/>
          <w:sz w:val="32"/>
          <w:szCs w:val="32"/>
          <w:shd w:val="clear" w:fill="FFFFFF"/>
          <w:lang w:eastAsia="zh-CN"/>
        </w:rPr>
        <w:drawing>
          <wp:inline distT="0" distB="0" distL="114300" distR="114300">
            <wp:extent cx="5080000" cy="2410460"/>
            <wp:effectExtent l="5080" t="4445" r="2032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2"/>
        <w:keepNext w:val="0"/>
        <w:keepLines w:val="0"/>
        <w:widowControl/>
        <w:suppressLineNumbers w:val="0"/>
        <w:ind w:left="0" w:right="75"/>
        <w:jc w:val="left"/>
        <w:outlineLvl w:val="1"/>
        <w:rPr>
          <w:rFonts w:hint="eastAsia" w:ascii="楷体_GB2312" w:hAnsi="楷体_GB2312" w:eastAsia="楷体_GB2312" w:cs="楷体_GB2312"/>
          <w:sz w:val="32"/>
          <w:szCs w:val="32"/>
        </w:rPr>
      </w:pPr>
      <w:bookmarkStart w:id="7" w:name="_Toc31979"/>
      <w:r>
        <w:rPr>
          <w:rStyle w:val="16"/>
          <w:rFonts w:hint="eastAsia" w:ascii="楷体_GB2312" w:hAnsi="楷体_GB2312" w:eastAsia="楷体_GB2312" w:cs="楷体_GB2312"/>
          <w:sz w:val="32"/>
          <w:szCs w:val="32"/>
          <w:shd w:val="clear" w:fill="FFFFFF"/>
        </w:rPr>
        <w:t>二、收入决算情况说明</w:t>
      </w:r>
      <w:bookmarkEnd w:id="7"/>
    </w:p>
    <w:p>
      <w:pPr>
        <w:spacing w:line="600" w:lineRule="exact"/>
        <w:ind w:firstLine="640" w:firstLineChars="200"/>
        <w:outlineLvl w:val="9"/>
        <w:rPr>
          <w:rFonts w:hint="eastAsia" w:asciiTheme="minorEastAsia" w:hAnsiTheme="minorEastAsia" w:eastAsiaTheme="minorEastAsia"/>
          <w:color w:val="000000"/>
          <w:sz w:val="32"/>
          <w:szCs w:val="32"/>
          <w:lang w:eastAsia="zh-CN"/>
        </w:rPr>
      </w:pPr>
      <w:bookmarkStart w:id="8" w:name="_Toc20659"/>
      <w:r>
        <w:rPr>
          <w:rFonts w:hint="eastAsia" w:asciiTheme="minorEastAsia" w:hAnsiTheme="minorEastAsia"/>
          <w:color w:val="000000"/>
          <w:sz w:val="32"/>
          <w:szCs w:val="32"/>
          <w:lang w:val="en-US" w:eastAsia="zh-CN"/>
        </w:rPr>
        <w:t>2020</w:t>
      </w:r>
      <w:r>
        <w:rPr>
          <w:rFonts w:hint="eastAsia" w:asciiTheme="minorEastAsia" w:hAnsiTheme="minorEastAsia" w:eastAsiaTheme="minorEastAsia"/>
          <w:color w:val="000000"/>
          <w:sz w:val="32"/>
          <w:szCs w:val="32"/>
        </w:rPr>
        <w:t>年本年收入合计</w:t>
      </w:r>
      <w:r>
        <w:rPr>
          <w:rFonts w:hint="eastAsia" w:asciiTheme="minorEastAsia" w:hAnsiTheme="minorEastAsia"/>
          <w:sz w:val="32"/>
          <w:szCs w:val="32"/>
          <w:lang w:val="en-US" w:eastAsia="zh-CN"/>
        </w:rPr>
        <w:t>3608.64</w:t>
      </w:r>
      <w:r>
        <w:rPr>
          <w:rFonts w:hint="eastAsia" w:asciiTheme="minorEastAsia" w:hAnsiTheme="minorEastAsia" w:eastAsiaTheme="minorEastAsia"/>
          <w:color w:val="000000"/>
          <w:sz w:val="32"/>
          <w:szCs w:val="32"/>
        </w:rPr>
        <w:t>万元，其中：一般公共预算财政拨款收入</w:t>
      </w:r>
      <w:r>
        <w:rPr>
          <w:rFonts w:hint="eastAsia" w:asciiTheme="minorEastAsia" w:hAnsiTheme="minorEastAsia"/>
          <w:color w:val="000000"/>
          <w:sz w:val="32"/>
          <w:szCs w:val="32"/>
          <w:lang w:val="en-US" w:eastAsia="zh-CN"/>
        </w:rPr>
        <w:t>3464.64</w:t>
      </w:r>
      <w:r>
        <w:rPr>
          <w:rFonts w:hint="eastAsia" w:asciiTheme="minorEastAsia" w:hAnsiTheme="minorEastAsia" w:eastAsiaTheme="minorEastAsia"/>
          <w:color w:val="000000"/>
          <w:sz w:val="32"/>
          <w:szCs w:val="32"/>
        </w:rPr>
        <w:t>万元，占</w:t>
      </w:r>
      <w:r>
        <w:rPr>
          <w:rFonts w:hint="eastAsia" w:asciiTheme="minorEastAsia" w:hAnsiTheme="minorEastAsia"/>
          <w:color w:val="000000"/>
          <w:sz w:val="32"/>
          <w:szCs w:val="32"/>
          <w:lang w:val="en-US" w:eastAsia="zh-CN"/>
        </w:rPr>
        <w:t>96.01</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；政府性基金预算财政拨款收入0万元，占0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；国有资本经营预算财政拨款收入0万元，占0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；事业收入0万元，占0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；经营收入0万元，占0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；附属单位上缴收入0万元，占0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；其他收入</w:t>
      </w:r>
      <w:r>
        <w:rPr>
          <w:rFonts w:hint="eastAsia" w:asciiTheme="minorEastAsia" w:hAnsiTheme="minorEastAsia"/>
          <w:color w:val="000000"/>
          <w:sz w:val="32"/>
          <w:szCs w:val="32"/>
          <w:lang w:val="en-US" w:eastAsia="zh-CN"/>
        </w:rPr>
        <w:t>144</w:t>
      </w:r>
      <w:r>
        <w:rPr>
          <w:rFonts w:hint="eastAsia" w:asciiTheme="minorEastAsia" w:hAnsiTheme="minorEastAsia" w:eastAsiaTheme="minorEastAsia"/>
          <w:color w:val="000000"/>
          <w:sz w:val="32"/>
          <w:szCs w:val="32"/>
        </w:rPr>
        <w:t>万元，占</w:t>
      </w:r>
      <w:r>
        <w:rPr>
          <w:rFonts w:hint="eastAsia" w:asciiTheme="minorEastAsia" w:hAnsiTheme="minorEastAsia"/>
          <w:color w:val="000000"/>
          <w:sz w:val="32"/>
          <w:szCs w:val="32"/>
          <w:lang w:val="en-US" w:eastAsia="zh-CN"/>
        </w:rPr>
        <w:t>3.99</w:t>
      </w:r>
      <w:r>
        <w:rPr>
          <w:rFonts w:asciiTheme="minorEastAsia" w:hAnsiTheme="minorEastAsia" w:eastAsiaTheme="minorEastAsia"/>
          <w:color w:val="000000"/>
          <w:sz w:val="32"/>
          <w:szCs w:val="32"/>
        </w:rPr>
        <w:t>%</w:t>
      </w:r>
      <w:bookmarkEnd w:id="8"/>
      <w:r>
        <w:rPr>
          <w:rFonts w:hint="eastAsia" w:asciiTheme="minorEastAsia" w:hAnsiTheme="minorEastAsia"/>
          <w:color w:val="000000"/>
          <w:sz w:val="32"/>
          <w:szCs w:val="32"/>
          <w:lang w:eastAsia="zh-CN"/>
        </w:rPr>
        <w:t>。</w:t>
      </w:r>
    </w:p>
    <w:p>
      <w:pPr>
        <w:spacing w:line="600" w:lineRule="exact"/>
        <w:ind w:firstLine="640" w:firstLineChars="200"/>
        <w:outlineLvl w:val="9"/>
        <w:rPr>
          <w:rFonts w:hint="eastAsia" w:asciiTheme="minorEastAsia" w:hAnsiTheme="minorEastAsia" w:eastAsiaTheme="minorEastAsia"/>
          <w:color w:val="000000"/>
          <w:sz w:val="32"/>
          <w:szCs w:val="32"/>
          <w:lang w:val="en-US" w:eastAsia="zh-CN"/>
        </w:rPr>
      </w:pPr>
      <w:bookmarkStart w:id="9" w:name="_Toc7536"/>
      <w:r>
        <w:rPr>
          <w:rFonts w:hint="eastAsia" w:asciiTheme="minorEastAsia" w:hAnsiTheme="minorEastAsia" w:eastAsiaTheme="minorEastAsia"/>
          <w:color w:val="000000"/>
          <w:sz w:val="32"/>
          <w:szCs w:val="32"/>
          <w:lang w:eastAsia="zh-CN"/>
        </w:rPr>
        <w:t>上年结转结余</w:t>
      </w:r>
      <w:r>
        <w:rPr>
          <w:rFonts w:hint="eastAsia" w:asciiTheme="minorEastAsia" w:hAnsiTheme="minorEastAsia"/>
          <w:color w:val="000000"/>
          <w:sz w:val="32"/>
          <w:szCs w:val="32"/>
          <w:lang w:val="en-US" w:eastAsia="zh-CN"/>
        </w:rPr>
        <w:t>1139.54</w:t>
      </w:r>
      <w:r>
        <w:rPr>
          <w:rFonts w:hint="eastAsia" w:asciiTheme="minorEastAsia" w:hAnsiTheme="minorEastAsia" w:eastAsiaTheme="minorEastAsia"/>
          <w:color w:val="000000"/>
          <w:sz w:val="32"/>
          <w:szCs w:val="32"/>
          <w:lang w:val="en-US" w:eastAsia="zh-CN"/>
        </w:rPr>
        <w:t>万元</w:t>
      </w:r>
      <w:r>
        <w:rPr>
          <w:rFonts w:hint="eastAsia" w:asciiTheme="minorEastAsia" w:hAnsiTheme="minorEastAsia" w:eastAsiaTheme="minorEastAsia"/>
          <w:color w:val="000000"/>
          <w:sz w:val="32"/>
          <w:szCs w:val="32"/>
          <w:lang w:eastAsia="zh-CN"/>
        </w:rPr>
        <w:t>。</w:t>
      </w:r>
      <w:bookmarkEnd w:id="9"/>
    </w:p>
    <w:p>
      <w:pPr>
        <w:spacing w:line="600" w:lineRule="exact"/>
        <w:ind w:firstLine="640" w:firstLineChars="200"/>
        <w:outlineLvl w:val="9"/>
        <w:rPr>
          <w:rFonts w:asciiTheme="minorEastAsia" w:hAnsiTheme="minorEastAsia" w:eastAsiaTheme="minorEastAsia"/>
          <w:color w:val="000000" w:themeColor="text1"/>
          <w:sz w:val="32"/>
          <w:szCs w:val="32"/>
          <w14:textFill>
            <w14:solidFill>
              <w14:schemeClr w14:val="tx1"/>
            </w14:solidFill>
          </w14:textFill>
        </w:rPr>
      </w:pPr>
      <w:bookmarkStart w:id="10" w:name="_Toc4937"/>
      <w:r>
        <w:rPr>
          <w:rFonts w:hint="eastAsia" w:asciiTheme="minorEastAsia" w:hAnsiTheme="minorEastAsia" w:eastAsiaTheme="minorEastAsia"/>
          <w:color w:val="000000"/>
          <w:sz w:val="32"/>
          <w:szCs w:val="32"/>
          <w:lang w:eastAsia="zh-CN"/>
        </w:rPr>
        <w:t>（图</w:t>
      </w:r>
      <w:r>
        <w:rPr>
          <w:rFonts w:hint="eastAsia" w:asciiTheme="minorEastAsia" w:hAnsiTheme="minorEastAsia" w:eastAsiaTheme="minorEastAsia"/>
          <w:color w:val="000000"/>
          <w:sz w:val="32"/>
          <w:szCs w:val="32"/>
          <w:lang w:val="en-US" w:eastAsia="zh-CN"/>
        </w:rPr>
        <w:t>2：收入决算结构图</w:t>
      </w:r>
      <w:r>
        <w:rPr>
          <w:rFonts w:hint="eastAsia" w:asciiTheme="minorEastAsia" w:hAnsiTheme="minorEastAsia" w:eastAsiaTheme="minorEastAsia"/>
          <w:color w:val="000000"/>
          <w:sz w:val="32"/>
          <w:szCs w:val="32"/>
          <w:lang w:eastAsia="zh-CN"/>
        </w:rPr>
        <w:t>）（饼状图）</w:t>
      </w:r>
      <w:bookmarkEnd w:id="10"/>
    </w:p>
    <w:p>
      <w:pPr>
        <w:spacing w:line="600" w:lineRule="exact"/>
        <w:ind w:firstLine="640" w:firstLineChars="200"/>
        <w:rPr>
          <w:rFonts w:hint="eastAsia" w:asciiTheme="minorEastAsia" w:hAnsiTheme="minorEastAsia" w:eastAsiaTheme="minorEastAsia"/>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drawing>
          <wp:anchor distT="0" distB="0" distL="114300" distR="114300" simplePos="0" relativeHeight="251658240" behindDoc="1" locked="0" layoutInCell="1" allowOverlap="1">
            <wp:simplePos x="0" y="0"/>
            <wp:positionH relativeFrom="column">
              <wp:posOffset>315595</wp:posOffset>
            </wp:positionH>
            <wp:positionV relativeFrom="paragraph">
              <wp:posOffset>80010</wp:posOffset>
            </wp:positionV>
            <wp:extent cx="5080000" cy="2219960"/>
            <wp:effectExtent l="4445" t="4445" r="20955" b="2349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Theme="minorEastAsia" w:hAnsiTheme="minorEastAsia" w:eastAsiaTheme="minorEastAsia"/>
          <w:color w:val="000000" w:themeColor="text1"/>
          <w:sz w:val="32"/>
          <w:szCs w:val="32"/>
          <w:lang w:eastAsia="zh-CN"/>
          <w14:textFill>
            <w14:solidFill>
              <w14:schemeClr w14:val="tx1"/>
            </w14:solidFill>
          </w14:textFill>
        </w:rPr>
      </w:pPr>
    </w:p>
    <w:p>
      <w:pPr>
        <w:spacing w:line="600" w:lineRule="exact"/>
        <w:ind w:firstLine="640" w:firstLineChars="200"/>
        <w:rPr>
          <w:rFonts w:hint="eastAsia" w:asciiTheme="minorEastAsia" w:hAnsiTheme="minorEastAsia" w:eastAsiaTheme="minorEastAsia"/>
          <w:color w:val="000000" w:themeColor="text1"/>
          <w:sz w:val="32"/>
          <w:szCs w:val="32"/>
          <w:lang w:eastAsia="zh-CN"/>
          <w14:textFill>
            <w14:solidFill>
              <w14:schemeClr w14:val="tx1"/>
            </w14:solidFill>
          </w14:textFill>
        </w:rPr>
      </w:pPr>
    </w:p>
    <w:p>
      <w:pPr>
        <w:spacing w:line="600" w:lineRule="exact"/>
        <w:ind w:firstLine="640" w:firstLineChars="200"/>
        <w:rPr>
          <w:rFonts w:hint="eastAsia" w:asciiTheme="minorEastAsia" w:hAnsiTheme="minorEastAsia" w:eastAsiaTheme="minorEastAsia"/>
          <w:color w:val="000000" w:themeColor="text1"/>
          <w:sz w:val="32"/>
          <w:szCs w:val="32"/>
          <w:lang w:eastAsia="zh-CN"/>
          <w14:textFill>
            <w14:solidFill>
              <w14:schemeClr w14:val="tx1"/>
            </w14:solidFill>
          </w14:textFill>
        </w:rPr>
      </w:pPr>
    </w:p>
    <w:p>
      <w:pPr>
        <w:spacing w:line="600" w:lineRule="exact"/>
        <w:ind w:firstLine="640" w:firstLineChars="200"/>
        <w:rPr>
          <w:rFonts w:hint="eastAsia" w:asciiTheme="minorEastAsia" w:hAnsiTheme="minorEastAsia" w:eastAsiaTheme="minorEastAsia"/>
          <w:color w:val="000000" w:themeColor="text1"/>
          <w:sz w:val="32"/>
          <w:szCs w:val="32"/>
          <w:lang w:eastAsia="zh-CN"/>
          <w14:textFill>
            <w14:solidFill>
              <w14:schemeClr w14:val="tx1"/>
            </w14:solidFill>
          </w14:textFill>
        </w:rPr>
      </w:pPr>
    </w:p>
    <w:p>
      <w:pPr>
        <w:spacing w:line="600" w:lineRule="exact"/>
        <w:rPr>
          <w:rFonts w:hint="eastAsia" w:asciiTheme="minorEastAsia" w:hAnsiTheme="minorEastAsia" w:eastAsiaTheme="minorEastAsia"/>
          <w:color w:val="000000" w:themeColor="text1"/>
          <w:sz w:val="32"/>
          <w:szCs w:val="32"/>
          <w:lang w:eastAsia="zh-CN"/>
          <w14:textFill>
            <w14:solidFill>
              <w14:schemeClr w14:val="tx1"/>
            </w14:solidFill>
          </w14:textFill>
        </w:rPr>
      </w:pPr>
    </w:p>
    <w:p>
      <w:pPr>
        <w:pStyle w:val="47"/>
        <w:numPr>
          <w:ilvl w:val="0"/>
          <w:numId w:val="0"/>
        </w:numPr>
        <w:spacing w:line="600" w:lineRule="exact"/>
        <w:ind w:left="640" w:leftChars="0"/>
        <w:outlineLvl w:val="1"/>
        <w:rPr>
          <w:rStyle w:val="48"/>
          <w:rFonts w:hint="eastAsia" w:ascii="宋体" w:hAnsi="宋体" w:eastAsia="宋体" w:cs="宋体"/>
          <w:b/>
          <w:bCs/>
          <w:sz w:val="32"/>
          <w:szCs w:val="32"/>
        </w:rPr>
      </w:pPr>
      <w:bookmarkStart w:id="11" w:name="_Toc15396605"/>
      <w:bookmarkStart w:id="12" w:name="_Toc23292"/>
      <w:bookmarkStart w:id="13" w:name="_Toc15377207"/>
      <w:bookmarkStart w:id="14" w:name="_Toc23460"/>
      <w:r>
        <w:rPr>
          <w:rFonts w:hint="eastAsia" w:ascii="宋体" w:hAnsi="宋体" w:eastAsia="宋体" w:cs="宋体"/>
          <w:b/>
          <w:bCs/>
          <w:color w:val="000000"/>
          <w:sz w:val="32"/>
          <w:szCs w:val="32"/>
          <w:lang w:eastAsia="zh-CN"/>
        </w:rPr>
        <w:t>三、</w:t>
      </w:r>
      <w:r>
        <w:rPr>
          <w:rFonts w:hint="eastAsia" w:ascii="宋体" w:hAnsi="宋体" w:eastAsia="宋体" w:cs="宋体"/>
          <w:b/>
          <w:bCs/>
          <w:color w:val="000000"/>
          <w:sz w:val="32"/>
          <w:szCs w:val="32"/>
        </w:rPr>
        <w:t>支</w:t>
      </w:r>
      <w:r>
        <w:rPr>
          <w:rStyle w:val="48"/>
          <w:rFonts w:hint="eastAsia" w:ascii="宋体" w:hAnsi="宋体" w:eastAsia="宋体" w:cs="宋体"/>
          <w:b/>
          <w:bCs/>
          <w:sz w:val="32"/>
          <w:szCs w:val="32"/>
        </w:rPr>
        <w:t>出决算情况说明</w:t>
      </w:r>
      <w:bookmarkEnd w:id="11"/>
      <w:bookmarkEnd w:id="12"/>
      <w:bookmarkEnd w:id="13"/>
      <w:bookmarkEnd w:id="14"/>
    </w:p>
    <w:p>
      <w:pPr>
        <w:spacing w:line="600" w:lineRule="exact"/>
        <w:ind w:firstLine="640"/>
        <w:rPr>
          <w:rFonts w:hint="eastAsia" w:asciiTheme="minorEastAsia" w:hAnsiTheme="minorEastAsia" w:eastAsiaTheme="minorEastAsia"/>
          <w:color w:val="000000"/>
          <w:sz w:val="32"/>
          <w:szCs w:val="32"/>
        </w:rPr>
      </w:pPr>
      <w:r>
        <w:rPr>
          <w:rFonts w:hint="eastAsia" w:asciiTheme="minorEastAsia" w:hAnsiTheme="minorEastAsia"/>
          <w:color w:val="000000"/>
          <w:sz w:val="32"/>
          <w:szCs w:val="32"/>
          <w:lang w:val="en-US" w:eastAsia="zh-CN"/>
        </w:rPr>
        <w:t>2020</w:t>
      </w:r>
      <w:r>
        <w:rPr>
          <w:rFonts w:hint="eastAsia" w:asciiTheme="minorEastAsia" w:hAnsiTheme="minorEastAsia" w:eastAsiaTheme="minorEastAsia"/>
          <w:color w:val="000000"/>
          <w:sz w:val="32"/>
          <w:szCs w:val="32"/>
        </w:rPr>
        <w:t>年本年支出合计</w:t>
      </w:r>
      <w:r>
        <w:rPr>
          <w:rFonts w:hint="eastAsia" w:asciiTheme="minorEastAsia" w:hAnsiTheme="minorEastAsia"/>
          <w:color w:val="000000"/>
          <w:sz w:val="32"/>
          <w:szCs w:val="32"/>
          <w:lang w:val="en-US" w:eastAsia="zh-CN"/>
        </w:rPr>
        <w:t>4630.17</w:t>
      </w:r>
      <w:r>
        <w:rPr>
          <w:rFonts w:hint="eastAsia" w:asciiTheme="minorEastAsia" w:hAnsiTheme="minorEastAsia" w:eastAsiaTheme="minorEastAsia"/>
          <w:color w:val="000000"/>
          <w:sz w:val="32"/>
          <w:szCs w:val="32"/>
        </w:rPr>
        <w:t>万元，其中：基本支出</w:t>
      </w:r>
      <w:r>
        <w:rPr>
          <w:rFonts w:hint="eastAsia" w:asciiTheme="minorEastAsia" w:hAnsiTheme="minorEastAsia"/>
          <w:color w:val="000000"/>
          <w:sz w:val="32"/>
          <w:szCs w:val="32"/>
          <w:lang w:val="en-US" w:eastAsia="zh-CN"/>
        </w:rPr>
        <w:t>299.47</w:t>
      </w:r>
      <w:r>
        <w:rPr>
          <w:rFonts w:hint="eastAsia" w:asciiTheme="minorEastAsia" w:hAnsiTheme="minorEastAsia" w:eastAsiaTheme="minorEastAsia"/>
          <w:color w:val="000000"/>
          <w:sz w:val="32"/>
          <w:szCs w:val="32"/>
        </w:rPr>
        <w:t>万元，占</w:t>
      </w:r>
      <w:r>
        <w:rPr>
          <w:rFonts w:hint="eastAsia" w:asciiTheme="minorEastAsia" w:hAnsiTheme="minorEastAsia"/>
          <w:color w:val="000000"/>
          <w:sz w:val="32"/>
          <w:szCs w:val="32"/>
          <w:lang w:val="en-US" w:eastAsia="zh-CN"/>
        </w:rPr>
        <w:t>6.47</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；项目支出</w:t>
      </w:r>
      <w:r>
        <w:rPr>
          <w:rFonts w:hint="eastAsia" w:asciiTheme="minorEastAsia" w:hAnsiTheme="minorEastAsia"/>
          <w:color w:val="000000"/>
          <w:sz w:val="32"/>
          <w:szCs w:val="32"/>
          <w:lang w:val="en-US" w:eastAsia="zh-CN"/>
        </w:rPr>
        <w:t>4330.7</w:t>
      </w:r>
      <w:r>
        <w:rPr>
          <w:rFonts w:hint="eastAsia" w:asciiTheme="minorEastAsia" w:hAnsiTheme="minorEastAsia" w:eastAsiaTheme="minorEastAsia"/>
          <w:color w:val="000000"/>
          <w:sz w:val="32"/>
          <w:szCs w:val="32"/>
        </w:rPr>
        <w:t>万元，占</w:t>
      </w:r>
      <w:r>
        <w:rPr>
          <w:rFonts w:hint="eastAsia" w:asciiTheme="minorEastAsia" w:hAnsiTheme="minorEastAsia"/>
          <w:color w:val="000000"/>
          <w:sz w:val="32"/>
          <w:szCs w:val="32"/>
          <w:lang w:val="en-US" w:eastAsia="zh-CN"/>
        </w:rPr>
        <w:t>93.53</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；上缴上级支出0万元，占0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；经营支出0万元，占0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；对附属单位补助支出0万元，占0</w:t>
      </w:r>
      <w:r>
        <w:rPr>
          <w:rFonts w:asciiTheme="minorEastAsia" w:hAnsiTheme="minorEastAsia" w:eastAsiaTheme="minorEastAsia"/>
          <w:color w:val="000000"/>
          <w:sz w:val="32"/>
          <w:szCs w:val="32"/>
        </w:rPr>
        <w:t>%</w:t>
      </w:r>
      <w:r>
        <w:rPr>
          <w:rFonts w:hint="eastAsia" w:asciiTheme="minorEastAsia" w:hAnsiTheme="minorEastAsia" w:eastAsiaTheme="minorEastAsia"/>
          <w:color w:val="000000"/>
          <w:sz w:val="32"/>
          <w:szCs w:val="32"/>
        </w:rPr>
        <w:t>。</w:t>
      </w:r>
    </w:p>
    <w:p>
      <w:pPr>
        <w:pStyle w:val="2"/>
        <w:rPr>
          <w:rFonts w:hint="default" w:eastAsiaTheme="minorEastAsia"/>
          <w:lang w:val="en-US" w:eastAsia="zh-CN"/>
        </w:rPr>
      </w:pPr>
      <w:r>
        <w:rPr>
          <w:rFonts w:hint="eastAsia" w:asciiTheme="minorEastAsia" w:hAnsiTheme="minorEastAsia" w:eastAsiaTheme="minorEastAsia"/>
          <w:color w:val="000000"/>
          <w:sz w:val="32"/>
          <w:szCs w:val="32"/>
          <w:lang w:val="en-US" w:eastAsia="zh-CN"/>
        </w:rPr>
        <w:t>结转下年</w:t>
      </w:r>
      <w:r>
        <w:rPr>
          <w:rFonts w:hint="eastAsia" w:asciiTheme="minorEastAsia" w:hAnsiTheme="minorEastAsia"/>
          <w:color w:val="000000"/>
          <w:sz w:val="32"/>
          <w:szCs w:val="32"/>
          <w:lang w:val="en-US" w:eastAsia="zh-CN"/>
        </w:rPr>
        <w:t>118.02</w:t>
      </w:r>
      <w:r>
        <w:rPr>
          <w:rFonts w:hint="eastAsia" w:asciiTheme="minorEastAsia" w:hAnsiTheme="minorEastAsia" w:eastAsiaTheme="minorEastAsia"/>
          <w:color w:val="000000"/>
          <w:sz w:val="32"/>
          <w:szCs w:val="32"/>
          <w:lang w:val="en-US" w:eastAsia="zh-CN"/>
        </w:rPr>
        <w:t>万元</w:t>
      </w:r>
    </w:p>
    <w:p>
      <w:pPr>
        <w:pStyle w:val="12"/>
        <w:keepNext w:val="0"/>
        <w:keepLines w:val="0"/>
        <w:widowControl/>
        <w:suppressLineNumbers w:val="0"/>
        <w:ind w:left="0" w:right="75"/>
        <w:jc w:val="center"/>
        <w:rPr>
          <w:sz w:val="24"/>
          <w:szCs w:val="24"/>
          <w:shd w:val="clear" w:fill="FFFFFF"/>
        </w:rPr>
      </w:pPr>
      <w:r>
        <w:rPr>
          <w:sz w:val="24"/>
          <w:szCs w:val="24"/>
          <w:shd w:val="clear" w:fill="FFFFFF"/>
        </w:rPr>
        <w:t>（图</w:t>
      </w:r>
      <w:r>
        <w:rPr>
          <w:rFonts w:hint="eastAsia"/>
          <w:sz w:val="24"/>
          <w:szCs w:val="24"/>
          <w:shd w:val="clear" w:fill="FFFFFF"/>
          <w:lang w:val="en-US" w:eastAsia="zh-CN"/>
        </w:rPr>
        <w:t>3</w:t>
      </w:r>
      <w:r>
        <w:rPr>
          <w:sz w:val="24"/>
          <w:szCs w:val="24"/>
          <w:shd w:val="clear" w:fill="FFFFFF"/>
        </w:rPr>
        <w:t>：</w:t>
      </w:r>
      <w:r>
        <w:rPr>
          <w:rFonts w:hint="eastAsia"/>
          <w:sz w:val="24"/>
          <w:szCs w:val="24"/>
          <w:shd w:val="clear" w:fill="FFFFFF"/>
          <w:lang w:eastAsia="zh-CN"/>
        </w:rPr>
        <w:t>支出</w:t>
      </w:r>
      <w:r>
        <w:rPr>
          <w:sz w:val="24"/>
          <w:szCs w:val="24"/>
          <w:shd w:val="clear" w:fill="FFFFFF"/>
        </w:rPr>
        <w:t>决算结构图）（饼状图）</w:t>
      </w:r>
    </w:p>
    <w:p>
      <w:pPr>
        <w:pStyle w:val="12"/>
        <w:keepNext w:val="0"/>
        <w:keepLines w:val="0"/>
        <w:widowControl/>
        <w:suppressLineNumbers w:val="0"/>
        <w:ind w:left="0" w:right="75"/>
        <w:jc w:val="center"/>
        <w:rPr>
          <w:sz w:val="24"/>
          <w:szCs w:val="24"/>
          <w:shd w:val="clear" w:fill="FFFFFF"/>
        </w:rPr>
      </w:pPr>
      <w:r>
        <w:rPr>
          <w:rFonts w:hint="eastAsia" w:eastAsiaTheme="minorEastAsia"/>
          <w:sz w:val="24"/>
          <w:szCs w:val="24"/>
          <w:shd w:val="clear" w:fill="FFFFFF"/>
          <w:lang w:eastAsia="zh-CN"/>
        </w:rPr>
        <w:drawing>
          <wp:inline distT="0" distB="0" distL="114300" distR="114300">
            <wp:extent cx="5080000" cy="2790825"/>
            <wp:effectExtent l="4445" t="4445" r="2095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2"/>
        <w:keepNext w:val="0"/>
        <w:keepLines w:val="0"/>
        <w:widowControl/>
        <w:suppressLineNumbers w:val="0"/>
        <w:ind w:left="0" w:right="75"/>
        <w:jc w:val="left"/>
        <w:outlineLvl w:val="1"/>
        <w:rPr>
          <w:rFonts w:hint="eastAsia" w:ascii="楷体_GB2312" w:hAnsi="楷体_GB2312" w:eastAsia="楷体_GB2312" w:cs="楷体_GB2312"/>
          <w:b/>
          <w:bCs w:val="0"/>
          <w:sz w:val="32"/>
          <w:szCs w:val="32"/>
        </w:rPr>
      </w:pPr>
      <w:bookmarkStart w:id="15" w:name="_Toc30767"/>
      <w:r>
        <w:rPr>
          <w:rStyle w:val="16"/>
          <w:rFonts w:hint="eastAsia" w:ascii="楷体_GB2312" w:hAnsi="楷体_GB2312" w:eastAsia="楷体_GB2312" w:cs="楷体_GB2312"/>
          <w:b/>
          <w:bCs w:val="0"/>
          <w:sz w:val="32"/>
          <w:szCs w:val="32"/>
          <w:shd w:val="clear" w:fill="FFFFFF"/>
        </w:rPr>
        <w:t>四、财政拨款收入支出决算总体情况说明</w:t>
      </w:r>
      <w:bookmarkEnd w:id="15"/>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年度财政拨款收入</w:t>
      </w:r>
      <w:r>
        <w:rPr>
          <w:rFonts w:hint="eastAsia" w:ascii="仿宋_GB2312" w:hAnsi="仿宋_GB2312" w:eastAsia="仿宋_GB2312" w:cs="仿宋_GB2312"/>
          <w:sz w:val="32"/>
          <w:szCs w:val="32"/>
          <w:lang w:val="en-US" w:eastAsia="zh-CN"/>
        </w:rPr>
        <w:t>3464.64</w:t>
      </w:r>
      <w:r>
        <w:rPr>
          <w:rFonts w:hint="eastAsia" w:ascii="仿宋_GB2312" w:hAnsi="仿宋_GB2312" w:eastAsia="仿宋_GB2312" w:cs="仿宋_GB2312"/>
          <w:sz w:val="32"/>
          <w:szCs w:val="32"/>
        </w:rPr>
        <w:t>万元，上年度收入</w:t>
      </w:r>
      <w:r>
        <w:rPr>
          <w:rFonts w:hint="eastAsia" w:ascii="仿宋_GB2312" w:hAnsi="仿宋_GB2312" w:eastAsia="仿宋_GB2312" w:cs="仿宋_GB2312"/>
          <w:sz w:val="32"/>
          <w:szCs w:val="32"/>
          <w:lang w:val="en-US" w:eastAsia="zh-CN"/>
        </w:rPr>
        <w:t>1360.16</w:t>
      </w:r>
      <w:r>
        <w:rPr>
          <w:rFonts w:hint="eastAsia" w:ascii="仿宋_GB2312" w:hAnsi="仿宋_GB2312" w:eastAsia="仿宋_GB2312" w:cs="仿宋_GB2312"/>
          <w:sz w:val="32"/>
          <w:szCs w:val="32"/>
        </w:rPr>
        <w:t>万元，本年收入比上年收入</w:t>
      </w:r>
      <w:r>
        <w:rPr>
          <w:rFonts w:hint="eastAsia" w:ascii="仿宋_GB2312" w:hAnsi="仿宋_GB2312" w:eastAsia="仿宋_GB2312" w:cs="仿宋_GB2312"/>
          <w:sz w:val="32"/>
          <w:szCs w:val="32"/>
          <w:lang w:val="en-US" w:eastAsia="zh-CN"/>
        </w:rPr>
        <w:t>增加2104.48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上升154.72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上升主要原因是</w:t>
      </w:r>
      <w:r>
        <w:rPr>
          <w:rFonts w:hint="eastAsia" w:ascii="仿宋_GB2312" w:hAnsi="仿宋_GB2312" w:eastAsia="仿宋_GB2312" w:cs="仿宋_GB2312"/>
          <w:sz w:val="32"/>
          <w:szCs w:val="32"/>
          <w:lang w:eastAsia="zh-CN"/>
        </w:rPr>
        <w:t>上升主要</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val="en-US" w:eastAsia="zh-CN"/>
        </w:rPr>
        <w:t>2020年新增1734.38万元查江路工程收入，2019年无该项目收入。</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年度支出</w:t>
      </w:r>
      <w:r>
        <w:rPr>
          <w:rFonts w:hint="eastAsia" w:ascii="仿宋_GB2312" w:hAnsi="仿宋_GB2312" w:eastAsia="仿宋_GB2312" w:cs="仿宋_GB2312"/>
          <w:sz w:val="32"/>
          <w:szCs w:val="32"/>
          <w:lang w:val="en-US" w:eastAsia="zh-CN"/>
        </w:rPr>
        <w:t>4497.24</w:t>
      </w:r>
      <w:r>
        <w:rPr>
          <w:rFonts w:hint="eastAsia" w:ascii="仿宋_GB2312" w:hAnsi="仿宋_GB2312" w:eastAsia="仿宋_GB2312" w:cs="仿宋_GB2312"/>
          <w:sz w:val="32"/>
          <w:szCs w:val="32"/>
        </w:rPr>
        <w:t>万元，上年度支出</w:t>
      </w:r>
      <w:r>
        <w:rPr>
          <w:rFonts w:hint="eastAsia" w:ascii="仿宋_GB2312" w:hAnsi="仿宋_GB2312" w:eastAsia="仿宋_GB2312" w:cs="仿宋_GB2312"/>
          <w:sz w:val="32"/>
          <w:szCs w:val="32"/>
          <w:lang w:val="en-US" w:eastAsia="zh-CN"/>
        </w:rPr>
        <w:t>3596.56</w:t>
      </w:r>
      <w:r>
        <w:rPr>
          <w:rFonts w:hint="eastAsia" w:ascii="仿宋_GB2312" w:hAnsi="仿宋_GB2312" w:eastAsia="仿宋_GB2312" w:cs="仿宋_GB2312"/>
          <w:sz w:val="32"/>
          <w:szCs w:val="32"/>
        </w:rPr>
        <w:t>万元，本年支出比上年支出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900.68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上升25.04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上升主要原因是</w:t>
      </w:r>
      <w:r>
        <w:rPr>
          <w:rFonts w:hint="eastAsia" w:ascii="仿宋_GB2312" w:hAnsi="仿宋_GB2312" w:eastAsia="仿宋_GB2312" w:cs="仿宋_GB2312"/>
          <w:sz w:val="32"/>
          <w:szCs w:val="32"/>
          <w:lang w:eastAsia="zh-CN"/>
        </w:rPr>
        <w:t>上升主要</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val="en-US" w:eastAsia="zh-CN"/>
        </w:rPr>
        <w:t>2020年新增1734.38万元查江路工程支出，2019年无该项目支出。</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16" w:name="_Toc21916"/>
      <w:r>
        <w:rPr>
          <w:rStyle w:val="16"/>
          <w:rFonts w:hint="eastAsia" w:ascii="黑体" w:hAnsi="黑体" w:eastAsia="黑体" w:cs="黑体"/>
          <w:sz w:val="32"/>
          <w:szCs w:val="32"/>
          <w:shd w:val="clear" w:fill="FFFFFF"/>
        </w:rPr>
        <w:t>五、一般公共预算财政拨款支出决算情况说明</w:t>
      </w:r>
      <w:bookmarkEnd w:id="16"/>
    </w:p>
    <w:p>
      <w:pPr>
        <w:pStyle w:val="12"/>
        <w:keepNext w:val="0"/>
        <w:keepLines w:val="0"/>
        <w:widowControl/>
        <w:suppressLineNumbers w:val="0"/>
        <w:ind w:left="0" w:right="75"/>
        <w:jc w:val="left"/>
        <w:outlineLvl w:val="2"/>
        <w:rPr>
          <w:rFonts w:hint="eastAsia" w:ascii="楷体_GB2312" w:hAnsi="楷体_GB2312" w:eastAsia="楷体_GB2312" w:cs="楷体_GB2312"/>
          <w:sz w:val="32"/>
          <w:szCs w:val="32"/>
        </w:rPr>
      </w:pPr>
      <w:bookmarkStart w:id="17" w:name="_Toc19607"/>
      <w:r>
        <w:rPr>
          <w:rStyle w:val="16"/>
          <w:rFonts w:hint="eastAsia" w:ascii="楷体_GB2312" w:hAnsi="楷体_GB2312" w:eastAsia="楷体_GB2312" w:cs="楷体_GB2312"/>
          <w:sz w:val="32"/>
          <w:szCs w:val="32"/>
          <w:shd w:val="clear" w:fill="FFFFFF"/>
        </w:rPr>
        <w:t>（一）一般公共预算财政拨款支出决算总体情况</w:t>
      </w:r>
      <w:bookmarkEnd w:id="17"/>
    </w:p>
    <w:p>
      <w:pPr>
        <w:spacing w:line="600" w:lineRule="exact"/>
        <w:ind w:firstLine="640" w:firstLineChars="200"/>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年度支出</w:t>
      </w:r>
      <w:r>
        <w:rPr>
          <w:rFonts w:hint="eastAsia" w:ascii="仿宋_GB2312" w:hAnsi="仿宋_GB2312" w:eastAsia="仿宋_GB2312" w:cs="仿宋_GB2312"/>
          <w:sz w:val="32"/>
          <w:szCs w:val="32"/>
          <w:lang w:val="en-US" w:eastAsia="zh-CN"/>
        </w:rPr>
        <w:t>4497.24</w:t>
      </w:r>
      <w:r>
        <w:rPr>
          <w:rFonts w:hint="eastAsia" w:ascii="仿宋_GB2312" w:hAnsi="仿宋_GB2312" w:eastAsia="仿宋_GB2312" w:cs="仿宋_GB2312"/>
          <w:sz w:val="32"/>
          <w:szCs w:val="32"/>
        </w:rPr>
        <w:t>万元</w:t>
      </w:r>
      <w:r>
        <w:rPr>
          <w:sz w:val="24"/>
          <w:szCs w:val="24"/>
          <w:shd w:val="clear" w:fill="FFFFFF"/>
        </w:rPr>
        <w:t xml:space="preserve">，占本年支出合计的 </w:t>
      </w:r>
      <w:r>
        <w:rPr>
          <w:rFonts w:hint="eastAsia"/>
          <w:sz w:val="24"/>
          <w:szCs w:val="24"/>
          <w:shd w:val="clear" w:fill="FFFFFF"/>
          <w:lang w:val="en-US" w:eastAsia="zh-CN"/>
        </w:rPr>
        <w:t>97.13</w:t>
      </w:r>
      <w:r>
        <w:rPr>
          <w:sz w:val="24"/>
          <w:szCs w:val="24"/>
          <w:shd w:val="clear" w:fill="FFFFFF"/>
        </w:rPr>
        <w:t>%。</w:t>
      </w:r>
      <w:r>
        <w:rPr>
          <w:rFonts w:hint="eastAsia" w:ascii="仿宋_GB2312" w:hAnsi="仿宋_GB2312" w:eastAsia="仿宋_GB2312" w:cs="仿宋_GB2312"/>
          <w:sz w:val="32"/>
          <w:szCs w:val="32"/>
        </w:rPr>
        <w:t>本年支出比上年支出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900.68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上升25.04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上升主要原因是</w:t>
      </w:r>
      <w:r>
        <w:rPr>
          <w:rFonts w:hint="eastAsia" w:ascii="仿宋_GB2312" w:hAnsi="仿宋_GB2312" w:eastAsia="仿宋_GB2312" w:cs="仿宋_GB2312"/>
          <w:sz w:val="32"/>
          <w:szCs w:val="32"/>
          <w:lang w:eastAsia="zh-CN"/>
        </w:rPr>
        <w:t>上升主要</w:t>
      </w:r>
      <w:r>
        <w:rPr>
          <w:rFonts w:hint="eastAsia" w:ascii="仿宋_GB2312" w:hAnsi="仿宋_GB2312" w:eastAsia="仿宋_GB2312" w:cs="仿宋_GB2312"/>
          <w:sz w:val="32"/>
          <w:szCs w:val="32"/>
        </w:rPr>
        <w:t>原因是</w:t>
      </w:r>
      <w:r>
        <w:rPr>
          <w:rFonts w:hint="eastAsia" w:ascii="仿宋_GB2312" w:hAnsi="仿宋_GB2312" w:eastAsia="仿宋_GB2312" w:cs="仿宋_GB2312"/>
          <w:sz w:val="32"/>
          <w:szCs w:val="32"/>
          <w:lang w:val="en-US" w:eastAsia="zh-CN"/>
        </w:rPr>
        <w:t>2020年新增1734.38万元查江路工程支出，2019年无该项目支出。</w:t>
      </w:r>
    </w:p>
    <w:p>
      <w:pPr>
        <w:pStyle w:val="12"/>
        <w:keepNext w:val="0"/>
        <w:keepLines w:val="0"/>
        <w:widowControl/>
        <w:suppressLineNumbers w:val="0"/>
        <w:ind w:left="0" w:right="75"/>
        <w:jc w:val="center"/>
        <w:rPr>
          <w:sz w:val="24"/>
          <w:szCs w:val="24"/>
          <w:shd w:val="clear" w:fill="FFFFFF"/>
        </w:rPr>
      </w:pPr>
      <w:r>
        <w:rPr>
          <w:sz w:val="24"/>
          <w:szCs w:val="24"/>
          <w:shd w:val="clear" w:fill="FFFFFF"/>
        </w:rPr>
        <w:t>（图</w:t>
      </w:r>
      <w:r>
        <w:rPr>
          <w:rFonts w:hint="eastAsia"/>
          <w:sz w:val="24"/>
          <w:szCs w:val="24"/>
          <w:shd w:val="clear" w:fill="FFFFFF"/>
          <w:lang w:val="en-US" w:eastAsia="zh-CN"/>
        </w:rPr>
        <w:t>4</w:t>
      </w:r>
      <w:r>
        <w:rPr>
          <w:sz w:val="24"/>
          <w:szCs w:val="24"/>
          <w:shd w:val="clear" w:fill="FFFFFF"/>
        </w:rPr>
        <w:t>：一般公共预算财政拨款支出决算变动情况）（柱状图）</w:t>
      </w:r>
    </w:p>
    <w:p>
      <w:pPr>
        <w:pStyle w:val="12"/>
        <w:keepNext w:val="0"/>
        <w:keepLines w:val="0"/>
        <w:widowControl/>
        <w:suppressLineNumbers w:val="0"/>
        <w:ind w:left="0" w:right="75"/>
        <w:jc w:val="center"/>
        <w:rPr>
          <w:sz w:val="24"/>
          <w:szCs w:val="24"/>
          <w:shd w:val="clear" w:fill="FFFFFF"/>
        </w:rPr>
      </w:pPr>
      <w:r>
        <w:rPr>
          <w:rFonts w:hint="eastAsia" w:eastAsiaTheme="minorEastAsia"/>
          <w:sz w:val="24"/>
          <w:szCs w:val="24"/>
          <w:shd w:val="clear" w:fill="FFFFFF"/>
          <w:lang w:eastAsia="zh-CN"/>
        </w:rPr>
        <w:drawing>
          <wp:inline distT="0" distB="0" distL="114300" distR="114300">
            <wp:extent cx="5080000" cy="2239010"/>
            <wp:effectExtent l="4445" t="4445" r="20955" b="234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18" w:name="_Toc146"/>
      <w:r>
        <w:rPr>
          <w:rStyle w:val="16"/>
          <w:rFonts w:hint="eastAsia" w:ascii="楷体_GB2312" w:hAnsi="楷体_GB2312" w:eastAsia="楷体_GB2312" w:cs="楷体_GB2312"/>
          <w:sz w:val="32"/>
          <w:szCs w:val="32"/>
          <w:shd w:val="clear" w:fill="FFFFFF"/>
        </w:rPr>
        <w:t>（二）一般公共预算财政拨款支出决算结构情况</w:t>
      </w:r>
      <w:bookmarkEnd w:id="18"/>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2020年一般公共预算财政拨款支出4,497.24万元，主要用于以下方面:</w:t>
      </w:r>
      <w:r>
        <w:rPr>
          <w:rStyle w:val="16"/>
          <w:rFonts w:hint="eastAsia" w:ascii="仿宋_GB2312" w:hAnsi="仿宋_GB2312" w:eastAsia="仿宋_GB2312" w:cs="仿宋_GB2312"/>
          <w:sz w:val="32"/>
          <w:szCs w:val="32"/>
          <w:shd w:val="clear" w:fill="FFFFFF"/>
        </w:rPr>
        <w:t>社会保障和就业（类）</w:t>
      </w:r>
      <w:r>
        <w:rPr>
          <w:rFonts w:hint="eastAsia" w:ascii="仿宋_GB2312" w:hAnsi="仿宋_GB2312" w:eastAsia="仿宋_GB2312" w:cs="仿宋_GB2312"/>
          <w:sz w:val="32"/>
          <w:szCs w:val="32"/>
          <w:shd w:val="clear" w:fill="FFFFFF"/>
        </w:rPr>
        <w:t>支出36.95万元，占0.82%；</w:t>
      </w:r>
      <w:r>
        <w:rPr>
          <w:rStyle w:val="16"/>
          <w:rFonts w:hint="eastAsia" w:ascii="仿宋_GB2312" w:hAnsi="仿宋_GB2312" w:eastAsia="仿宋_GB2312" w:cs="仿宋_GB2312"/>
          <w:sz w:val="32"/>
          <w:szCs w:val="32"/>
          <w:shd w:val="clear" w:fill="FFFFFF"/>
        </w:rPr>
        <w:t>卫生健康支出（类）</w:t>
      </w:r>
      <w:r>
        <w:rPr>
          <w:rFonts w:hint="eastAsia" w:ascii="仿宋_GB2312" w:hAnsi="仿宋_GB2312" w:eastAsia="仿宋_GB2312" w:cs="仿宋_GB2312"/>
          <w:sz w:val="32"/>
          <w:szCs w:val="32"/>
          <w:shd w:val="clear" w:fill="FFFFFF"/>
        </w:rPr>
        <w:t>17.15万元，占0.38%%；</w:t>
      </w:r>
      <w:r>
        <w:rPr>
          <w:rStyle w:val="16"/>
          <w:rFonts w:hint="eastAsia" w:ascii="仿宋_GB2312" w:hAnsi="仿宋_GB2312" w:eastAsia="仿宋_GB2312" w:cs="仿宋_GB2312"/>
          <w:sz w:val="32"/>
          <w:szCs w:val="32"/>
          <w:shd w:val="clear" w:fill="FFFFFF"/>
        </w:rPr>
        <w:t>农林水支出（类）</w:t>
      </w:r>
      <w:r>
        <w:rPr>
          <w:rFonts w:hint="eastAsia" w:ascii="仿宋_GB2312" w:hAnsi="仿宋_GB2312" w:eastAsia="仿宋_GB2312" w:cs="仿宋_GB2312"/>
          <w:sz w:val="32"/>
          <w:szCs w:val="32"/>
          <w:shd w:val="clear" w:fill="FFFFFF"/>
        </w:rPr>
        <w:t>3,341.91万元，占74.31%；</w:t>
      </w:r>
      <w:r>
        <w:rPr>
          <w:rStyle w:val="16"/>
          <w:rFonts w:hint="eastAsia" w:ascii="仿宋_GB2312" w:hAnsi="仿宋_GB2312" w:eastAsia="仿宋_GB2312" w:cs="仿宋_GB2312"/>
          <w:sz w:val="32"/>
          <w:szCs w:val="32"/>
          <w:shd w:val="clear" w:fill="FFFFFF"/>
        </w:rPr>
        <w:t>交通运输支出（类）</w:t>
      </w:r>
      <w:r>
        <w:rPr>
          <w:rFonts w:hint="eastAsia" w:ascii="仿宋_GB2312" w:hAnsi="仿宋_GB2312" w:eastAsia="仿宋_GB2312" w:cs="仿宋_GB2312"/>
          <w:sz w:val="32"/>
          <w:szCs w:val="32"/>
          <w:shd w:val="clear" w:fill="FFFFFF"/>
        </w:rPr>
        <w:t>860.29万元，占19.13%；</w:t>
      </w:r>
      <w:r>
        <w:rPr>
          <w:rStyle w:val="16"/>
          <w:rFonts w:hint="eastAsia" w:ascii="仿宋_GB2312" w:hAnsi="仿宋_GB2312" w:eastAsia="仿宋_GB2312" w:cs="仿宋_GB2312"/>
          <w:sz w:val="32"/>
          <w:szCs w:val="32"/>
          <w:shd w:val="clear" w:fill="FFFFFF"/>
        </w:rPr>
        <w:t>住房保障支出（类）</w:t>
      </w:r>
      <w:r>
        <w:rPr>
          <w:rFonts w:hint="eastAsia" w:ascii="仿宋_GB2312" w:hAnsi="仿宋_GB2312" w:eastAsia="仿宋_GB2312" w:cs="仿宋_GB2312"/>
          <w:sz w:val="32"/>
          <w:szCs w:val="32"/>
          <w:shd w:val="clear" w:fill="FFFFFF"/>
        </w:rPr>
        <w:t>22.33万元，占0.50%</w:t>
      </w:r>
      <w:r>
        <w:rPr>
          <w:rFonts w:hint="eastAsia" w:ascii="仿宋_GB2312" w:hAnsi="仿宋_GB2312" w:eastAsia="仿宋_GB2312" w:cs="仿宋_GB2312"/>
          <w:sz w:val="32"/>
          <w:szCs w:val="32"/>
          <w:shd w:val="clear" w:fill="FFFFFF"/>
          <w:lang w:eastAsia="zh-CN"/>
        </w:rPr>
        <w:t>，</w:t>
      </w:r>
      <w:r>
        <w:rPr>
          <w:rStyle w:val="16"/>
          <w:rFonts w:hint="eastAsia" w:ascii="仿宋_GB2312" w:hAnsi="仿宋_GB2312" w:eastAsia="仿宋_GB2312" w:cs="仿宋_GB2312"/>
          <w:sz w:val="32"/>
          <w:szCs w:val="32"/>
          <w:shd w:val="clear" w:fill="FFFFFF"/>
        </w:rPr>
        <w:t>其他支出（类）</w:t>
      </w:r>
      <w:r>
        <w:rPr>
          <w:rFonts w:hint="eastAsia" w:ascii="仿宋_GB2312" w:hAnsi="仿宋_GB2312" w:eastAsia="仿宋_GB2312" w:cs="仿宋_GB2312"/>
          <w:sz w:val="32"/>
          <w:szCs w:val="32"/>
          <w:shd w:val="clear" w:fill="FFFFFF"/>
        </w:rPr>
        <w:t>218.61万元，占4.86%</w:t>
      </w:r>
      <w:r>
        <w:rPr>
          <w:rFonts w:hint="eastAsia" w:ascii="仿宋_GB2312" w:hAnsi="仿宋_GB2312" w:eastAsia="仿宋_GB2312" w:cs="仿宋_GB2312"/>
          <w:sz w:val="32"/>
          <w:szCs w:val="32"/>
          <w:shd w:val="clear" w:fill="FFFFFF"/>
          <w:lang w:eastAsia="zh-CN"/>
        </w:rPr>
        <w:t>。</w:t>
      </w:r>
    </w:p>
    <w:p>
      <w:pPr>
        <w:pStyle w:val="12"/>
        <w:keepNext w:val="0"/>
        <w:keepLines w:val="0"/>
        <w:widowControl/>
        <w:suppressLineNumbers w:val="0"/>
        <w:ind w:left="0" w:right="75"/>
        <w:jc w:val="center"/>
        <w:rPr>
          <w:sz w:val="24"/>
          <w:szCs w:val="24"/>
          <w:shd w:val="clear" w:fill="FFFFFF"/>
        </w:rPr>
      </w:pPr>
      <w:r>
        <w:rPr>
          <w:sz w:val="24"/>
          <w:szCs w:val="24"/>
          <w:shd w:val="clear" w:fill="FFFFFF"/>
        </w:rPr>
        <w:t>（图</w:t>
      </w:r>
      <w:r>
        <w:rPr>
          <w:rFonts w:hint="eastAsia"/>
          <w:sz w:val="24"/>
          <w:szCs w:val="24"/>
          <w:shd w:val="clear" w:fill="FFFFFF"/>
          <w:lang w:val="en-US" w:eastAsia="zh-CN"/>
        </w:rPr>
        <w:t>5</w:t>
      </w:r>
      <w:r>
        <w:rPr>
          <w:sz w:val="24"/>
          <w:szCs w:val="24"/>
          <w:shd w:val="clear" w:fill="FFFFFF"/>
        </w:rPr>
        <w:t>：一般公共预算财政拨款支出决算结构）（饼状图）</w:t>
      </w:r>
    </w:p>
    <w:p>
      <w:pPr>
        <w:pStyle w:val="12"/>
        <w:keepNext w:val="0"/>
        <w:keepLines w:val="0"/>
        <w:widowControl/>
        <w:suppressLineNumbers w:val="0"/>
        <w:ind w:left="0" w:right="75"/>
        <w:jc w:val="center"/>
        <w:rPr>
          <w:sz w:val="24"/>
          <w:szCs w:val="24"/>
          <w:shd w:val="clear" w:fill="FFFFFF"/>
        </w:rPr>
      </w:pPr>
      <w:r>
        <w:rPr>
          <w:rFonts w:hint="eastAsia" w:eastAsiaTheme="minorEastAsia"/>
          <w:sz w:val="24"/>
          <w:szCs w:val="24"/>
          <w:shd w:val="clear" w:fill="FFFFFF"/>
          <w:lang w:eastAsia="zh-CN"/>
        </w:rPr>
        <w:drawing>
          <wp:inline distT="0" distB="0" distL="114300" distR="114300">
            <wp:extent cx="5080000" cy="23812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19" w:name="_Toc1490"/>
      <w:r>
        <w:rPr>
          <w:rStyle w:val="16"/>
          <w:rFonts w:hint="eastAsia" w:ascii="楷体_GB2312" w:hAnsi="楷体_GB2312" w:eastAsia="楷体_GB2312" w:cs="楷体_GB2312"/>
          <w:sz w:val="32"/>
          <w:szCs w:val="32"/>
          <w:shd w:val="clear" w:fill="FFFFFF"/>
        </w:rPr>
        <w:t>（三）一般公共预算财政拨款支出决算具体情况</w:t>
      </w:r>
      <w:bookmarkEnd w:id="19"/>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2020年一般公共预算支出决算数为4,497.24，完成预算97.68%。其中：</w:t>
      </w:r>
    </w:p>
    <w:p>
      <w:pPr>
        <w:spacing w:line="600" w:lineRule="exact"/>
        <w:ind w:firstLine="643" w:firstLineChars="200"/>
        <w:rPr>
          <w:rStyle w:val="16"/>
          <w:rFonts w:hint="eastAsia" w:asciiTheme="minorEastAsia" w:hAnsiTheme="minorEastAsia" w:eastAsiaTheme="minorEastAsia"/>
          <w:b w:val="0"/>
          <w:bCs/>
          <w:color w:val="000000"/>
          <w:sz w:val="32"/>
          <w:szCs w:val="32"/>
          <w:lang w:eastAsia="zh-CN"/>
        </w:rPr>
      </w:pPr>
      <w:r>
        <w:rPr>
          <w:rStyle w:val="16"/>
          <w:rFonts w:asciiTheme="minorEastAsia" w:hAnsiTheme="minorEastAsia" w:eastAsiaTheme="minorEastAsia"/>
          <w:bCs/>
          <w:color w:val="000000"/>
          <w:sz w:val="32"/>
          <w:szCs w:val="32"/>
        </w:rPr>
        <w:t>1.</w:t>
      </w:r>
      <w:r>
        <w:rPr>
          <w:rStyle w:val="16"/>
          <w:rFonts w:hint="eastAsia" w:asciiTheme="minorEastAsia" w:hAnsiTheme="minorEastAsia" w:eastAsiaTheme="minorEastAsia"/>
          <w:bCs/>
          <w:color w:val="000000"/>
          <w:sz w:val="32"/>
          <w:szCs w:val="32"/>
        </w:rPr>
        <w:t>社会保障和就业支出208</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 w:val="0"/>
          <w:bCs/>
          <w:color w:val="000000"/>
          <w:sz w:val="32"/>
          <w:szCs w:val="32"/>
        </w:rPr>
        <w:t>支出决算为</w:t>
      </w:r>
      <w:r>
        <w:rPr>
          <w:rStyle w:val="16"/>
          <w:rFonts w:hint="eastAsia" w:asciiTheme="minorEastAsia" w:hAnsiTheme="minorEastAsia"/>
          <w:b w:val="0"/>
          <w:bCs/>
          <w:color w:val="000000"/>
          <w:sz w:val="32"/>
          <w:szCs w:val="32"/>
          <w:lang w:val="en-US" w:eastAsia="zh-CN"/>
        </w:rPr>
        <w:t>36.95</w:t>
      </w:r>
      <w:r>
        <w:rPr>
          <w:rStyle w:val="16"/>
          <w:rFonts w:hint="eastAsia" w:asciiTheme="minorEastAsia" w:hAnsiTheme="minorEastAsia" w:eastAsiaTheme="minorEastAsia"/>
          <w:b w:val="0"/>
          <w:bCs/>
          <w:color w:val="000000"/>
          <w:sz w:val="32"/>
          <w:szCs w:val="32"/>
        </w:rPr>
        <w:t>万元，完成预算100</w:t>
      </w:r>
      <w:r>
        <w:rPr>
          <w:rStyle w:val="16"/>
          <w:rFonts w:asciiTheme="minorEastAsia" w:hAnsiTheme="minorEastAsia" w:eastAsiaTheme="minorEastAsia"/>
          <w:b w:val="0"/>
          <w:bCs/>
          <w:color w:val="000000"/>
          <w:sz w:val="32"/>
          <w:szCs w:val="32"/>
        </w:rPr>
        <w:t>%</w:t>
      </w:r>
      <w:r>
        <w:rPr>
          <w:rStyle w:val="16"/>
          <w:rFonts w:hint="eastAsia" w:asciiTheme="minorEastAsia" w:hAnsiTheme="minorEastAsia" w:eastAsiaTheme="minorEastAsia"/>
          <w:b w:val="0"/>
          <w:bCs/>
          <w:color w:val="000000"/>
          <w:sz w:val="32"/>
          <w:szCs w:val="32"/>
        </w:rPr>
        <w:t>，决算数等于预算数。</w:t>
      </w:r>
      <w:r>
        <w:rPr>
          <w:rStyle w:val="16"/>
          <w:rFonts w:hint="eastAsia" w:asciiTheme="minorEastAsia" w:hAnsiTheme="minorEastAsia"/>
          <w:b w:val="0"/>
          <w:bCs/>
          <w:color w:val="000000"/>
          <w:sz w:val="32"/>
          <w:szCs w:val="32"/>
          <w:lang w:eastAsia="zh-CN"/>
        </w:rPr>
        <w:t>主要用于职工养老保险及职业年金。</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color w:val="000000"/>
          <w:sz w:val="32"/>
          <w:szCs w:val="32"/>
        </w:rPr>
        <w:t>（1）机关事业单位基本养老保险缴费支出2080505：</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24.62</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全部用于在职职工养老保险单位部分缴纳；</w:t>
      </w:r>
    </w:p>
    <w:p>
      <w:pPr>
        <w:spacing w:line="600" w:lineRule="exact"/>
        <w:ind w:firstLine="643" w:firstLineChars="200"/>
        <w:rPr>
          <w:rFonts w:hint="eastAsia" w:asciiTheme="minorEastAsia" w:hAnsiTheme="minorEastAsia" w:eastAsiaTheme="minorEastAsia"/>
          <w:b/>
          <w:color w:val="000000"/>
          <w:sz w:val="32"/>
          <w:szCs w:val="32"/>
          <w:lang w:eastAsia="zh-CN"/>
        </w:rPr>
      </w:pPr>
      <w:r>
        <w:rPr>
          <w:rFonts w:hint="eastAsia" w:asciiTheme="minorEastAsia" w:hAnsiTheme="minorEastAsia" w:eastAsiaTheme="minorEastAsia"/>
          <w:b/>
          <w:color w:val="000000"/>
          <w:sz w:val="32"/>
          <w:szCs w:val="32"/>
        </w:rPr>
        <w:t>（2）机关事业单位职业年金缴费支出2080506：</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12.32</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，全部用于在职职工职业年金单位部分缴纳；</w:t>
      </w:r>
    </w:p>
    <w:p>
      <w:pPr>
        <w:spacing w:line="600" w:lineRule="exact"/>
        <w:ind w:firstLine="643" w:firstLineChars="200"/>
        <w:rPr>
          <w:rStyle w:val="16"/>
          <w:rFonts w:hint="eastAsia" w:asciiTheme="minorEastAsia" w:hAnsiTheme="minorEastAsia" w:eastAsiaTheme="minorEastAsia"/>
          <w:b w:val="0"/>
          <w:bCs/>
          <w:color w:val="000000"/>
          <w:sz w:val="32"/>
          <w:szCs w:val="32"/>
          <w:lang w:eastAsia="zh-CN"/>
        </w:rPr>
      </w:pPr>
      <w:r>
        <w:rPr>
          <w:rStyle w:val="16"/>
          <w:rFonts w:asciiTheme="minorEastAsia" w:hAnsiTheme="minorEastAsia" w:eastAsiaTheme="minorEastAsia"/>
          <w:bCs/>
          <w:color w:val="000000"/>
          <w:sz w:val="32"/>
          <w:szCs w:val="32"/>
        </w:rPr>
        <w:t>2.</w:t>
      </w:r>
      <w:r>
        <w:rPr>
          <w:rStyle w:val="16"/>
          <w:rFonts w:hint="eastAsia" w:asciiTheme="minorEastAsia" w:hAnsiTheme="minorEastAsia" w:eastAsiaTheme="minorEastAsia"/>
          <w:bCs/>
          <w:color w:val="000000"/>
          <w:sz w:val="32"/>
          <w:szCs w:val="32"/>
        </w:rPr>
        <w:t>医疗卫生与计划生育支出210</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 w:val="0"/>
          <w:bCs/>
          <w:color w:val="000000"/>
          <w:sz w:val="32"/>
          <w:szCs w:val="32"/>
        </w:rPr>
        <w:t>支出决算为</w:t>
      </w:r>
      <w:r>
        <w:rPr>
          <w:rStyle w:val="16"/>
          <w:rFonts w:hint="eastAsia" w:asciiTheme="minorEastAsia" w:hAnsiTheme="minorEastAsia"/>
          <w:b w:val="0"/>
          <w:bCs/>
          <w:color w:val="000000"/>
          <w:sz w:val="32"/>
          <w:szCs w:val="32"/>
          <w:lang w:val="en-US" w:eastAsia="zh-CN"/>
        </w:rPr>
        <w:t>17.16</w:t>
      </w:r>
      <w:r>
        <w:rPr>
          <w:rStyle w:val="16"/>
          <w:rFonts w:hint="eastAsia" w:asciiTheme="minorEastAsia" w:hAnsiTheme="minorEastAsia" w:eastAsiaTheme="minorEastAsia"/>
          <w:b w:val="0"/>
          <w:bCs/>
          <w:color w:val="000000"/>
          <w:sz w:val="32"/>
          <w:szCs w:val="32"/>
        </w:rPr>
        <w:t>万元，完成预算100</w:t>
      </w:r>
      <w:r>
        <w:rPr>
          <w:rStyle w:val="16"/>
          <w:rFonts w:asciiTheme="minorEastAsia" w:hAnsiTheme="minorEastAsia" w:eastAsiaTheme="minorEastAsia"/>
          <w:b w:val="0"/>
          <w:bCs/>
          <w:color w:val="000000"/>
          <w:sz w:val="32"/>
          <w:szCs w:val="32"/>
        </w:rPr>
        <w:t>%</w:t>
      </w:r>
      <w:r>
        <w:rPr>
          <w:rStyle w:val="16"/>
          <w:rFonts w:hint="eastAsia" w:asciiTheme="minorEastAsia" w:hAnsiTheme="minorEastAsia" w:eastAsiaTheme="minorEastAsia"/>
          <w:b w:val="0"/>
          <w:bCs/>
          <w:color w:val="000000"/>
          <w:sz w:val="32"/>
          <w:szCs w:val="32"/>
        </w:rPr>
        <w:t>，决算数等于预算数。</w:t>
      </w:r>
      <w:r>
        <w:rPr>
          <w:rStyle w:val="16"/>
          <w:rFonts w:hint="eastAsia" w:asciiTheme="minorEastAsia" w:hAnsiTheme="minorEastAsia"/>
          <w:b w:val="0"/>
          <w:bCs/>
          <w:color w:val="000000"/>
          <w:sz w:val="32"/>
          <w:szCs w:val="32"/>
          <w:lang w:eastAsia="zh-CN"/>
        </w:rPr>
        <w:t>全部用于缴纳职工保险。</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Style w:val="16"/>
          <w:rFonts w:hint="eastAsia" w:asciiTheme="minorEastAsia" w:hAnsiTheme="minorEastAsia" w:eastAsiaTheme="minorEastAsia"/>
          <w:color w:val="000000"/>
          <w:sz w:val="32"/>
          <w:szCs w:val="32"/>
        </w:rPr>
        <w:t>（1）行政单位医疗2101101:</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8.15</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，全部用于行政在职职工单位部分医保；</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color w:val="000000"/>
          <w:sz w:val="32"/>
          <w:szCs w:val="32"/>
        </w:rPr>
        <w:t>（2）</w:t>
      </w:r>
      <w:r>
        <w:rPr>
          <w:rStyle w:val="16"/>
          <w:rFonts w:hint="eastAsia" w:asciiTheme="minorEastAsia" w:hAnsiTheme="minorEastAsia" w:eastAsiaTheme="minorEastAsia"/>
          <w:bCs/>
          <w:color w:val="000000"/>
          <w:sz w:val="32"/>
          <w:szCs w:val="32"/>
        </w:rPr>
        <w:t>事业单位医疗2101102:</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4.62</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，全部用于事业在职职工单位部分医保；</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bCs/>
          <w:color w:val="000000"/>
          <w:sz w:val="32"/>
          <w:szCs w:val="32"/>
        </w:rPr>
        <w:t>（3）公务员医疗补助2101103：</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3.25</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，全部用于行政职工公务员医疗补助单位部分；</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color w:val="000000"/>
          <w:sz w:val="32"/>
          <w:szCs w:val="32"/>
        </w:rPr>
        <w:t>（4）其他行政事业单位医疗支出2101199：</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1.14</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，全部用于事业在职职工公务员医疗补助单位部分；</w:t>
      </w:r>
    </w:p>
    <w:p>
      <w:pPr>
        <w:spacing w:line="600" w:lineRule="exact"/>
        <w:ind w:firstLine="643" w:firstLineChars="200"/>
        <w:rPr>
          <w:rStyle w:val="16"/>
          <w:rFonts w:hint="eastAsia" w:asciiTheme="minorEastAsia" w:hAnsiTheme="minorEastAsia" w:eastAsiaTheme="minorEastAsia"/>
          <w:b w:val="0"/>
          <w:bCs/>
          <w:color w:val="000000"/>
          <w:sz w:val="32"/>
          <w:szCs w:val="32"/>
          <w:lang w:eastAsia="zh-CN"/>
        </w:rPr>
      </w:pPr>
      <w:r>
        <w:rPr>
          <w:rStyle w:val="16"/>
          <w:rFonts w:hint="eastAsia" w:asciiTheme="minorEastAsia" w:hAnsiTheme="minorEastAsia"/>
          <w:bCs/>
          <w:color w:val="000000"/>
          <w:sz w:val="32"/>
          <w:szCs w:val="32"/>
          <w:lang w:val="en-US" w:eastAsia="zh-CN"/>
        </w:rPr>
        <w:t>3</w:t>
      </w:r>
      <w:r>
        <w:rPr>
          <w:rStyle w:val="16"/>
          <w:rFonts w:hint="eastAsia" w:asciiTheme="minorEastAsia" w:hAnsiTheme="minorEastAsia" w:eastAsiaTheme="minorEastAsia"/>
          <w:bCs/>
          <w:color w:val="000000"/>
          <w:sz w:val="32"/>
          <w:szCs w:val="32"/>
          <w:lang w:val="en-US" w:eastAsia="zh-CN"/>
        </w:rPr>
        <w:t>.</w:t>
      </w:r>
      <w:r>
        <w:rPr>
          <w:rStyle w:val="16"/>
          <w:rFonts w:hint="eastAsia" w:asciiTheme="minorEastAsia" w:hAnsiTheme="minorEastAsia" w:eastAsiaTheme="minorEastAsia"/>
          <w:bCs/>
          <w:color w:val="000000"/>
          <w:sz w:val="32"/>
          <w:szCs w:val="32"/>
        </w:rPr>
        <w:t>农林水支出213</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 w:val="0"/>
          <w:bCs/>
          <w:color w:val="000000"/>
          <w:sz w:val="32"/>
          <w:szCs w:val="32"/>
        </w:rPr>
        <w:t>支出决算为</w:t>
      </w:r>
      <w:r>
        <w:rPr>
          <w:rStyle w:val="16"/>
          <w:rFonts w:hint="eastAsia" w:asciiTheme="minorEastAsia" w:hAnsiTheme="minorEastAsia"/>
          <w:b w:val="0"/>
          <w:bCs/>
          <w:color w:val="000000"/>
          <w:sz w:val="32"/>
          <w:szCs w:val="32"/>
          <w:lang w:val="en-US" w:eastAsia="zh-CN"/>
        </w:rPr>
        <w:t>3341.91</w:t>
      </w:r>
      <w:r>
        <w:rPr>
          <w:rStyle w:val="16"/>
          <w:rFonts w:hint="eastAsia" w:asciiTheme="minorEastAsia" w:hAnsiTheme="minorEastAsia" w:eastAsiaTheme="minorEastAsia"/>
          <w:b w:val="0"/>
          <w:bCs/>
          <w:color w:val="000000"/>
          <w:sz w:val="32"/>
          <w:szCs w:val="32"/>
        </w:rPr>
        <w:t>万元，完成预算100</w:t>
      </w:r>
      <w:r>
        <w:rPr>
          <w:rStyle w:val="16"/>
          <w:rFonts w:asciiTheme="minorEastAsia" w:hAnsiTheme="minorEastAsia" w:eastAsiaTheme="minorEastAsia"/>
          <w:b w:val="0"/>
          <w:bCs/>
          <w:color w:val="000000"/>
          <w:sz w:val="32"/>
          <w:szCs w:val="32"/>
        </w:rPr>
        <w:t>%</w:t>
      </w:r>
      <w:r>
        <w:rPr>
          <w:rStyle w:val="16"/>
          <w:rFonts w:hint="eastAsia" w:asciiTheme="minorEastAsia" w:hAnsiTheme="minorEastAsia" w:eastAsiaTheme="minorEastAsia"/>
          <w:b w:val="0"/>
          <w:bCs/>
          <w:color w:val="000000"/>
          <w:sz w:val="32"/>
          <w:szCs w:val="32"/>
        </w:rPr>
        <w:t>，决算数等于预算数</w:t>
      </w:r>
      <w:r>
        <w:rPr>
          <w:rStyle w:val="16"/>
          <w:rFonts w:hint="eastAsia" w:asciiTheme="minorEastAsia" w:hAnsiTheme="minorEastAsia"/>
          <w:b w:val="0"/>
          <w:bCs/>
          <w:color w:val="000000"/>
          <w:sz w:val="32"/>
          <w:szCs w:val="32"/>
          <w:lang w:eastAsia="zh-CN"/>
        </w:rPr>
        <w:t>，主要用于农村道路等基础设施建设。</w:t>
      </w:r>
    </w:p>
    <w:p>
      <w:pPr>
        <w:spacing w:line="600" w:lineRule="exact"/>
        <w:ind w:firstLine="643" w:firstLineChars="200"/>
        <w:rPr>
          <w:rFonts w:hint="eastAsia" w:asciiTheme="minorEastAsia" w:hAnsiTheme="minorEastAsia"/>
          <w:bCs/>
          <w:color w:val="000000"/>
          <w:sz w:val="32"/>
          <w:szCs w:val="32"/>
          <w:lang w:eastAsia="zh-CN"/>
        </w:rPr>
      </w:pPr>
      <w:r>
        <w:rPr>
          <w:rFonts w:hint="eastAsia" w:asciiTheme="minorEastAsia" w:hAnsiTheme="minorEastAsia" w:eastAsiaTheme="minorEastAsia"/>
          <w:b/>
          <w:color w:val="000000"/>
          <w:sz w:val="32"/>
          <w:szCs w:val="32"/>
        </w:rPr>
        <w:t>（</w:t>
      </w:r>
      <w:r>
        <w:rPr>
          <w:rFonts w:hint="eastAsia" w:asciiTheme="minorEastAsia" w:hAnsiTheme="minorEastAsia" w:eastAsiaTheme="minorEastAsia"/>
          <w:b/>
          <w:color w:val="000000"/>
          <w:sz w:val="32"/>
          <w:szCs w:val="32"/>
          <w:lang w:val="en-US" w:eastAsia="zh-CN"/>
        </w:rPr>
        <w:t>1</w:t>
      </w:r>
      <w:r>
        <w:rPr>
          <w:rFonts w:hint="eastAsia" w:asciiTheme="minorEastAsia" w:hAnsiTheme="minorEastAsia" w:eastAsiaTheme="minorEastAsia"/>
          <w:b/>
          <w:color w:val="000000"/>
          <w:sz w:val="32"/>
          <w:szCs w:val="32"/>
        </w:rPr>
        <w:t>）</w:t>
      </w:r>
      <w:r>
        <w:rPr>
          <w:rStyle w:val="16"/>
          <w:rFonts w:hint="eastAsia" w:asciiTheme="minorEastAsia" w:hAnsiTheme="minorEastAsia" w:eastAsiaTheme="minorEastAsia"/>
          <w:bCs/>
          <w:color w:val="000000"/>
          <w:sz w:val="32"/>
          <w:szCs w:val="32"/>
        </w:rPr>
        <w:t>农村</w:t>
      </w:r>
      <w:r>
        <w:rPr>
          <w:rStyle w:val="16"/>
          <w:rFonts w:hint="eastAsia" w:asciiTheme="minorEastAsia" w:hAnsiTheme="minorEastAsia"/>
          <w:bCs/>
          <w:color w:val="000000"/>
          <w:sz w:val="32"/>
          <w:szCs w:val="32"/>
          <w:lang w:eastAsia="zh-CN"/>
        </w:rPr>
        <w:t>道路</w:t>
      </w:r>
      <w:r>
        <w:rPr>
          <w:rStyle w:val="16"/>
          <w:rFonts w:hint="eastAsia" w:asciiTheme="minorEastAsia" w:hAnsiTheme="minorEastAsia" w:eastAsiaTheme="minorEastAsia"/>
          <w:bCs/>
          <w:color w:val="000000"/>
          <w:sz w:val="32"/>
          <w:szCs w:val="32"/>
        </w:rPr>
        <w:t>建设</w:t>
      </w:r>
      <w:r>
        <w:rPr>
          <w:rStyle w:val="16"/>
          <w:rFonts w:hint="eastAsia" w:asciiTheme="minorEastAsia" w:hAnsiTheme="minorEastAsia"/>
          <w:bCs/>
          <w:color w:val="000000"/>
          <w:sz w:val="32"/>
          <w:szCs w:val="32"/>
          <w:lang w:val="en-US" w:eastAsia="zh-CN"/>
        </w:rPr>
        <w:t>2130142</w:t>
      </w:r>
      <w:r>
        <w:rPr>
          <w:rStyle w:val="16"/>
          <w:rFonts w:hint="eastAsia" w:asciiTheme="minorEastAsia" w:hAnsiTheme="minorEastAsia" w:eastAsiaTheme="minorEastAsia"/>
          <w:bCs/>
          <w:color w:val="000000"/>
          <w:sz w:val="32"/>
          <w:szCs w:val="32"/>
        </w:rPr>
        <w:t>:</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71</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，全部用于刷经寺康玛寺公路维修；</w:t>
      </w:r>
    </w:p>
    <w:p>
      <w:pPr>
        <w:spacing w:line="600" w:lineRule="exact"/>
        <w:ind w:firstLine="640" w:firstLineChars="200"/>
        <w:rPr>
          <w:rFonts w:hint="eastAsia" w:asciiTheme="minorEastAsia" w:hAnsiTheme="minorEastAsia"/>
          <w:bCs/>
          <w:color w:val="000000"/>
          <w:sz w:val="32"/>
          <w:szCs w:val="32"/>
          <w:lang w:eastAsia="zh-CN"/>
        </w:rPr>
      </w:pPr>
      <w:r>
        <w:rPr>
          <w:rFonts w:hint="eastAsia" w:asciiTheme="minorEastAsia" w:hAnsiTheme="minorEastAsia"/>
          <w:bCs/>
          <w:color w:val="000000"/>
          <w:sz w:val="32"/>
          <w:szCs w:val="32"/>
          <w:lang w:eastAsia="zh-CN"/>
        </w:rPr>
        <w:t>（</w:t>
      </w:r>
      <w:r>
        <w:rPr>
          <w:rFonts w:hint="eastAsia" w:asciiTheme="minorEastAsia" w:hAnsiTheme="minorEastAsia"/>
          <w:bCs/>
          <w:color w:val="000000"/>
          <w:sz w:val="32"/>
          <w:szCs w:val="32"/>
          <w:lang w:val="en-US" w:eastAsia="zh-CN"/>
        </w:rPr>
        <w:t>2</w:t>
      </w:r>
      <w:r>
        <w:rPr>
          <w:rFonts w:hint="eastAsia" w:asciiTheme="minorEastAsia" w:hAnsiTheme="minorEastAsia"/>
          <w:bCs/>
          <w:color w:val="000000"/>
          <w:sz w:val="32"/>
          <w:szCs w:val="32"/>
          <w:lang w:eastAsia="zh-CN"/>
        </w:rPr>
        <w:t>）</w:t>
      </w:r>
      <w:r>
        <w:rPr>
          <w:rStyle w:val="16"/>
          <w:rFonts w:hint="eastAsia" w:asciiTheme="minorEastAsia" w:hAnsiTheme="minorEastAsia" w:eastAsiaTheme="minorEastAsia" w:cstheme="minorBidi"/>
          <w:bCs/>
          <w:color w:val="000000"/>
          <w:kern w:val="2"/>
          <w:sz w:val="32"/>
          <w:szCs w:val="32"/>
          <w:lang w:val="en-US" w:eastAsia="zh-CN" w:bidi="ar-SA"/>
        </w:rPr>
        <w:t>其他林业和草原支出2130299</w:t>
      </w:r>
      <w:r>
        <w:rPr>
          <w:rStyle w:val="16"/>
          <w:rFonts w:hint="eastAsia" w:asciiTheme="minorEastAsia" w:hAnsiTheme="minorEastAsia" w:cstheme="minorBidi"/>
          <w:bCs/>
          <w:color w:val="000000"/>
          <w:kern w:val="2"/>
          <w:sz w:val="32"/>
          <w:szCs w:val="32"/>
          <w:lang w:val="en-US" w:eastAsia="zh-CN" w:bidi="ar-SA"/>
        </w:rPr>
        <w:t>：</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3.93</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，全部用于缴纳音乐季道路工程草原植被恢复经费</w:t>
      </w:r>
    </w:p>
    <w:p>
      <w:pPr>
        <w:spacing w:line="600" w:lineRule="exact"/>
        <w:ind w:firstLine="640" w:firstLineChars="200"/>
        <w:rPr>
          <w:rFonts w:hint="eastAsia" w:asciiTheme="minorEastAsia" w:hAnsiTheme="minorEastAsia"/>
          <w:bCs/>
          <w:color w:val="000000"/>
          <w:sz w:val="32"/>
          <w:szCs w:val="32"/>
          <w:lang w:eastAsia="zh-CN"/>
        </w:rPr>
      </w:pPr>
      <w:r>
        <w:rPr>
          <w:rFonts w:hint="eastAsia" w:asciiTheme="minorEastAsia" w:hAnsiTheme="minorEastAsia"/>
          <w:bCs/>
          <w:color w:val="000000"/>
          <w:sz w:val="32"/>
          <w:szCs w:val="32"/>
          <w:lang w:eastAsia="zh-CN"/>
        </w:rPr>
        <w:t>（</w:t>
      </w:r>
      <w:r>
        <w:rPr>
          <w:rFonts w:hint="eastAsia" w:asciiTheme="minorEastAsia" w:hAnsiTheme="minorEastAsia"/>
          <w:bCs/>
          <w:color w:val="000000"/>
          <w:sz w:val="32"/>
          <w:szCs w:val="32"/>
          <w:lang w:val="en-US" w:eastAsia="zh-CN"/>
        </w:rPr>
        <w:t>3</w:t>
      </w:r>
      <w:r>
        <w:rPr>
          <w:rFonts w:hint="eastAsia" w:asciiTheme="minorEastAsia" w:hAnsiTheme="minorEastAsia"/>
          <w:bCs/>
          <w:color w:val="000000"/>
          <w:sz w:val="32"/>
          <w:szCs w:val="32"/>
          <w:lang w:eastAsia="zh-CN"/>
        </w:rPr>
        <w:t>）</w:t>
      </w:r>
      <w:r>
        <w:rPr>
          <w:rStyle w:val="16"/>
          <w:rFonts w:hint="eastAsia" w:asciiTheme="minorEastAsia" w:hAnsiTheme="minorEastAsia" w:eastAsiaTheme="minorEastAsia" w:cstheme="minorBidi"/>
          <w:bCs/>
          <w:color w:val="000000"/>
          <w:kern w:val="2"/>
          <w:sz w:val="32"/>
          <w:szCs w:val="32"/>
          <w:lang w:val="en-US" w:eastAsia="zh-CN" w:bidi="ar-SA"/>
        </w:rPr>
        <w:t>农村基础设施建设213</w:t>
      </w:r>
      <w:r>
        <w:rPr>
          <w:rStyle w:val="16"/>
          <w:rFonts w:hint="eastAsia" w:asciiTheme="minorEastAsia" w:hAnsiTheme="minorEastAsia" w:cstheme="minorBidi"/>
          <w:bCs/>
          <w:color w:val="000000"/>
          <w:kern w:val="2"/>
          <w:sz w:val="32"/>
          <w:szCs w:val="32"/>
          <w:lang w:val="en-US" w:eastAsia="zh-CN" w:bidi="ar-SA"/>
        </w:rPr>
        <w:t>0504：</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2832.08</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，主要用于查江路建设；</w:t>
      </w:r>
    </w:p>
    <w:p>
      <w:pPr>
        <w:spacing w:line="600" w:lineRule="exact"/>
        <w:ind w:firstLine="640" w:firstLineChars="200"/>
        <w:rPr>
          <w:rFonts w:hint="eastAsia" w:asciiTheme="minorEastAsia" w:hAnsiTheme="minorEastAsia"/>
          <w:bCs/>
          <w:color w:val="000000"/>
          <w:sz w:val="32"/>
          <w:szCs w:val="32"/>
          <w:lang w:eastAsia="zh-CN"/>
        </w:rPr>
      </w:pPr>
      <w:r>
        <w:rPr>
          <w:rFonts w:hint="eastAsia" w:asciiTheme="minorEastAsia" w:hAnsiTheme="minorEastAsia"/>
          <w:bCs/>
          <w:color w:val="000000"/>
          <w:sz w:val="32"/>
          <w:szCs w:val="32"/>
          <w:lang w:eastAsia="zh-CN"/>
        </w:rPr>
        <w:t>（</w:t>
      </w:r>
      <w:r>
        <w:rPr>
          <w:rFonts w:hint="eastAsia" w:asciiTheme="minorEastAsia" w:hAnsiTheme="minorEastAsia"/>
          <w:bCs/>
          <w:color w:val="000000"/>
          <w:sz w:val="32"/>
          <w:szCs w:val="32"/>
          <w:lang w:val="en-US" w:eastAsia="zh-CN"/>
        </w:rPr>
        <w:t>4</w:t>
      </w:r>
      <w:r>
        <w:rPr>
          <w:rFonts w:hint="eastAsia" w:asciiTheme="minorEastAsia" w:hAnsiTheme="minorEastAsia"/>
          <w:bCs/>
          <w:color w:val="000000"/>
          <w:sz w:val="32"/>
          <w:szCs w:val="32"/>
          <w:lang w:eastAsia="zh-CN"/>
        </w:rPr>
        <w:t>）</w:t>
      </w:r>
      <w:r>
        <w:rPr>
          <w:rStyle w:val="16"/>
          <w:rFonts w:hint="eastAsia" w:asciiTheme="minorEastAsia" w:hAnsiTheme="minorEastAsia" w:eastAsiaTheme="minorEastAsia" w:cstheme="minorBidi"/>
          <w:bCs/>
          <w:color w:val="000000"/>
          <w:kern w:val="2"/>
          <w:sz w:val="32"/>
          <w:szCs w:val="32"/>
          <w:lang w:val="en-US" w:eastAsia="zh-CN" w:bidi="ar-SA"/>
        </w:rPr>
        <w:t xml:space="preserve"> 生产发展213</w:t>
      </w:r>
      <w:r>
        <w:rPr>
          <w:rStyle w:val="16"/>
          <w:rFonts w:hint="eastAsia" w:asciiTheme="minorEastAsia" w:hAnsiTheme="minorEastAsia" w:cstheme="minorBidi"/>
          <w:bCs/>
          <w:color w:val="000000"/>
          <w:kern w:val="2"/>
          <w:sz w:val="32"/>
          <w:szCs w:val="32"/>
          <w:lang w:val="en-US" w:eastAsia="zh-CN" w:bidi="ar-SA"/>
        </w:rPr>
        <w:t>0505：</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166.9</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，主要用于查江路建设；</w:t>
      </w:r>
    </w:p>
    <w:p>
      <w:pPr>
        <w:spacing w:line="600" w:lineRule="exact"/>
        <w:ind w:firstLine="640" w:firstLineChars="200"/>
        <w:rPr>
          <w:rFonts w:hint="default"/>
          <w:lang w:val="en-US" w:eastAsia="zh-CN"/>
        </w:rPr>
      </w:pPr>
      <w:r>
        <w:rPr>
          <w:rFonts w:hint="eastAsia" w:asciiTheme="minorEastAsia" w:hAnsiTheme="minorEastAsia"/>
          <w:bCs/>
          <w:color w:val="000000"/>
          <w:sz w:val="32"/>
          <w:szCs w:val="32"/>
          <w:lang w:eastAsia="zh-CN"/>
        </w:rPr>
        <w:t>（</w:t>
      </w:r>
      <w:r>
        <w:rPr>
          <w:rFonts w:hint="eastAsia" w:asciiTheme="minorEastAsia" w:hAnsiTheme="minorEastAsia"/>
          <w:bCs/>
          <w:color w:val="000000"/>
          <w:sz w:val="32"/>
          <w:szCs w:val="32"/>
          <w:lang w:val="en-US" w:eastAsia="zh-CN"/>
        </w:rPr>
        <w:t>5</w:t>
      </w:r>
      <w:r>
        <w:rPr>
          <w:rFonts w:hint="eastAsia" w:asciiTheme="minorEastAsia" w:hAnsiTheme="minorEastAsia"/>
          <w:bCs/>
          <w:color w:val="000000"/>
          <w:sz w:val="32"/>
          <w:szCs w:val="32"/>
          <w:lang w:eastAsia="zh-CN"/>
        </w:rPr>
        <w:t>）</w:t>
      </w:r>
      <w:r>
        <w:rPr>
          <w:rStyle w:val="16"/>
          <w:rFonts w:hint="eastAsia" w:asciiTheme="minorEastAsia" w:hAnsiTheme="minorEastAsia" w:eastAsiaTheme="minorEastAsia" w:cstheme="minorBidi"/>
          <w:bCs/>
          <w:color w:val="000000"/>
          <w:kern w:val="2"/>
          <w:sz w:val="32"/>
          <w:szCs w:val="32"/>
          <w:lang w:val="en-US" w:eastAsia="zh-CN" w:bidi="ar-SA"/>
        </w:rPr>
        <w:t xml:space="preserve"> 其他扶贫支出213</w:t>
      </w:r>
      <w:r>
        <w:rPr>
          <w:rStyle w:val="16"/>
          <w:rFonts w:hint="eastAsia" w:asciiTheme="minorEastAsia" w:hAnsiTheme="minorEastAsia" w:cstheme="minorBidi"/>
          <w:bCs/>
          <w:color w:val="000000"/>
          <w:kern w:val="2"/>
          <w:sz w:val="32"/>
          <w:szCs w:val="32"/>
          <w:lang w:val="en-US" w:eastAsia="zh-CN" w:bidi="ar-SA"/>
        </w:rPr>
        <w:t>0599：</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268</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，全部用于查江路建设；</w:t>
      </w:r>
    </w:p>
    <w:p>
      <w:pPr>
        <w:spacing w:line="600" w:lineRule="exact"/>
        <w:ind w:firstLine="643" w:firstLineChars="200"/>
        <w:rPr>
          <w:rStyle w:val="16"/>
          <w:rFonts w:hint="eastAsia" w:asciiTheme="minorEastAsia" w:hAnsiTheme="minorEastAsia" w:eastAsiaTheme="minorEastAsia"/>
          <w:b w:val="0"/>
          <w:bCs/>
          <w:color w:val="000000"/>
          <w:sz w:val="32"/>
          <w:szCs w:val="32"/>
          <w:lang w:eastAsia="zh-CN"/>
        </w:rPr>
      </w:pPr>
      <w:r>
        <w:rPr>
          <w:rStyle w:val="16"/>
          <w:rFonts w:hint="eastAsia" w:asciiTheme="minorEastAsia" w:hAnsiTheme="minorEastAsia"/>
          <w:bCs/>
          <w:color w:val="000000"/>
          <w:sz w:val="32"/>
          <w:szCs w:val="32"/>
          <w:lang w:val="en-US" w:eastAsia="zh-CN"/>
        </w:rPr>
        <w:t>4</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Cs/>
          <w:color w:val="000000"/>
          <w:sz w:val="32"/>
          <w:szCs w:val="32"/>
        </w:rPr>
        <w:t>交通运输支出214</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 w:val="0"/>
          <w:bCs/>
          <w:color w:val="000000"/>
          <w:sz w:val="32"/>
          <w:szCs w:val="32"/>
        </w:rPr>
        <w:t>支出决算为</w:t>
      </w:r>
      <w:r>
        <w:rPr>
          <w:rStyle w:val="16"/>
          <w:rFonts w:hint="eastAsia" w:asciiTheme="minorEastAsia" w:hAnsiTheme="minorEastAsia"/>
          <w:b w:val="0"/>
          <w:bCs/>
          <w:color w:val="000000"/>
          <w:sz w:val="32"/>
          <w:szCs w:val="32"/>
          <w:lang w:val="en-US" w:eastAsia="zh-CN"/>
        </w:rPr>
        <w:t>860.29</w:t>
      </w:r>
      <w:r>
        <w:rPr>
          <w:rStyle w:val="16"/>
          <w:rFonts w:hint="eastAsia" w:asciiTheme="minorEastAsia" w:hAnsiTheme="minorEastAsia" w:eastAsiaTheme="minorEastAsia"/>
          <w:b w:val="0"/>
          <w:bCs/>
          <w:color w:val="000000"/>
          <w:sz w:val="32"/>
          <w:szCs w:val="32"/>
        </w:rPr>
        <w:t>万元，完成预算100</w:t>
      </w:r>
      <w:r>
        <w:rPr>
          <w:rStyle w:val="16"/>
          <w:rFonts w:asciiTheme="minorEastAsia" w:hAnsiTheme="minorEastAsia" w:eastAsiaTheme="minorEastAsia"/>
          <w:b w:val="0"/>
          <w:bCs/>
          <w:color w:val="000000"/>
          <w:sz w:val="32"/>
          <w:szCs w:val="32"/>
        </w:rPr>
        <w:t>%</w:t>
      </w:r>
      <w:r>
        <w:rPr>
          <w:rStyle w:val="16"/>
          <w:rFonts w:hint="eastAsia" w:asciiTheme="minorEastAsia" w:hAnsiTheme="minorEastAsia" w:eastAsiaTheme="minorEastAsia"/>
          <w:b w:val="0"/>
          <w:bCs/>
          <w:color w:val="000000"/>
          <w:sz w:val="32"/>
          <w:szCs w:val="32"/>
        </w:rPr>
        <w:t>，决算数等于预算数。</w:t>
      </w:r>
      <w:r>
        <w:rPr>
          <w:rStyle w:val="16"/>
          <w:rFonts w:hint="eastAsia" w:asciiTheme="minorEastAsia" w:hAnsiTheme="minorEastAsia"/>
          <w:b w:val="0"/>
          <w:bCs/>
          <w:color w:val="000000"/>
          <w:sz w:val="32"/>
          <w:szCs w:val="32"/>
          <w:lang w:eastAsia="zh-CN"/>
        </w:rPr>
        <w:t>主要用于保障基本运作及相关交通基础设施项目建设等。</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Style w:val="16"/>
          <w:rFonts w:hint="eastAsia" w:asciiTheme="minorEastAsia" w:hAnsiTheme="minorEastAsia" w:eastAsiaTheme="minorEastAsia"/>
          <w:color w:val="000000"/>
          <w:sz w:val="32"/>
          <w:szCs w:val="32"/>
        </w:rPr>
        <w:t>（1）行政运行支出2140101:</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137.82</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，主要用于行政在职职工工资，工伤失业保险，公用经费；</w:t>
      </w:r>
    </w:p>
    <w:p>
      <w:pPr>
        <w:spacing w:line="600" w:lineRule="exact"/>
        <w:ind w:firstLine="643" w:firstLineChars="200"/>
        <w:rPr>
          <w:rFonts w:hint="eastAsia" w:asciiTheme="minorEastAsia" w:hAnsiTheme="minorEastAsia" w:eastAsiaTheme="minorEastAsia"/>
          <w:b/>
          <w:bCs/>
          <w:color w:val="000000"/>
          <w:sz w:val="32"/>
          <w:szCs w:val="32"/>
        </w:rPr>
      </w:pPr>
      <w:r>
        <w:rPr>
          <w:rStyle w:val="16"/>
          <w:rFonts w:hint="eastAsia" w:asciiTheme="minorEastAsia" w:hAnsiTheme="minorEastAsia" w:eastAsiaTheme="minorEastAsia"/>
          <w:color w:val="000000"/>
          <w:sz w:val="32"/>
          <w:szCs w:val="32"/>
        </w:rPr>
        <w:t>（</w:t>
      </w:r>
      <w:r>
        <w:rPr>
          <w:rStyle w:val="16"/>
          <w:rFonts w:hint="eastAsia" w:asciiTheme="minorEastAsia" w:hAnsiTheme="minorEastAsia"/>
          <w:color w:val="000000"/>
          <w:sz w:val="32"/>
          <w:szCs w:val="32"/>
          <w:lang w:val="en-US" w:eastAsia="zh-CN"/>
        </w:rPr>
        <w:t>2</w:t>
      </w:r>
      <w:r>
        <w:rPr>
          <w:rStyle w:val="16"/>
          <w:rFonts w:hint="eastAsia" w:asciiTheme="minorEastAsia" w:hAnsiTheme="minorEastAsia" w:eastAsiaTheme="minorEastAsia"/>
          <w:color w:val="000000"/>
          <w:sz w:val="32"/>
          <w:szCs w:val="32"/>
        </w:rPr>
        <w:t>）  一般行政管理事务214010</w:t>
      </w:r>
      <w:r>
        <w:rPr>
          <w:rStyle w:val="16"/>
          <w:rFonts w:hint="eastAsia" w:asciiTheme="minorEastAsia" w:hAnsiTheme="minorEastAsia"/>
          <w:color w:val="000000"/>
          <w:sz w:val="32"/>
          <w:szCs w:val="32"/>
          <w:lang w:val="en-US" w:eastAsia="zh-CN"/>
        </w:rPr>
        <w:t>2</w:t>
      </w:r>
      <w:r>
        <w:rPr>
          <w:rStyle w:val="16"/>
          <w:rFonts w:hint="eastAsia" w:asciiTheme="minorEastAsia" w:hAnsiTheme="minorEastAsia" w:eastAsiaTheme="minorEastAsia"/>
          <w:color w:val="000000"/>
          <w:sz w:val="32"/>
          <w:szCs w:val="32"/>
        </w:rPr>
        <w:t>:</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7.83</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，全部用于罗楚珩同志丧葬抚恤费；</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bCs/>
          <w:color w:val="000000"/>
          <w:sz w:val="32"/>
          <w:szCs w:val="32"/>
        </w:rPr>
        <w:t>（</w:t>
      </w:r>
      <w:r>
        <w:rPr>
          <w:rFonts w:hint="eastAsia" w:asciiTheme="minorEastAsia" w:hAnsiTheme="minorEastAsia"/>
          <w:b/>
          <w:bCs/>
          <w:color w:val="000000"/>
          <w:sz w:val="32"/>
          <w:szCs w:val="32"/>
          <w:lang w:val="en-US" w:eastAsia="zh-CN"/>
        </w:rPr>
        <w:t>3</w:t>
      </w:r>
      <w:r>
        <w:rPr>
          <w:rFonts w:hint="eastAsia" w:asciiTheme="minorEastAsia" w:hAnsiTheme="minorEastAsia" w:eastAsiaTheme="minorEastAsia"/>
          <w:b/>
          <w:bCs/>
          <w:color w:val="000000"/>
          <w:sz w:val="32"/>
          <w:szCs w:val="32"/>
        </w:rPr>
        <w:t>）公路建设支出2140104：</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473.48</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 主要用于柯龙路建设及招呼站建设；</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Fonts w:hint="eastAsia" w:asciiTheme="minorEastAsia" w:hAnsiTheme="minorEastAsia" w:eastAsiaTheme="minorEastAsia"/>
          <w:b/>
          <w:color w:val="000000"/>
          <w:sz w:val="32"/>
          <w:szCs w:val="32"/>
        </w:rPr>
        <w:t>（</w:t>
      </w:r>
      <w:r>
        <w:rPr>
          <w:rFonts w:hint="eastAsia" w:asciiTheme="minorEastAsia" w:hAnsiTheme="minorEastAsia"/>
          <w:b/>
          <w:color w:val="000000"/>
          <w:sz w:val="32"/>
          <w:szCs w:val="32"/>
          <w:lang w:val="en-US" w:eastAsia="zh-CN"/>
        </w:rPr>
        <w:t>4</w:t>
      </w:r>
      <w:r>
        <w:rPr>
          <w:rFonts w:hint="eastAsia" w:asciiTheme="minorEastAsia" w:hAnsiTheme="minorEastAsia" w:eastAsiaTheme="minorEastAsia"/>
          <w:b/>
          <w:color w:val="000000"/>
          <w:sz w:val="32"/>
          <w:szCs w:val="32"/>
        </w:rPr>
        <w:t>）公路养护支出2140106：</w:t>
      </w:r>
      <w:r>
        <w:rPr>
          <w:rFonts w:hint="eastAsia" w:asciiTheme="minorEastAsia" w:hAnsiTheme="minorEastAsia" w:eastAsiaTheme="minorEastAsia"/>
          <w:bCs/>
          <w:color w:val="000000"/>
          <w:sz w:val="32"/>
          <w:szCs w:val="32"/>
        </w:rPr>
        <w:t>支出决算为</w:t>
      </w:r>
      <w:r>
        <w:rPr>
          <w:rFonts w:hint="eastAsia" w:asciiTheme="minorEastAsia" w:hAnsiTheme="minorEastAsia"/>
          <w:bCs/>
          <w:color w:val="000000"/>
          <w:sz w:val="32"/>
          <w:szCs w:val="32"/>
          <w:lang w:val="en-US" w:eastAsia="zh-CN"/>
        </w:rPr>
        <w:t>155.94</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主要用于支付公路养护工程款；</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Style w:val="16"/>
          <w:rFonts w:hint="eastAsia" w:asciiTheme="minorEastAsia" w:hAnsiTheme="minorEastAsia" w:eastAsiaTheme="minorEastAsia"/>
          <w:color w:val="000000"/>
          <w:sz w:val="32"/>
          <w:szCs w:val="32"/>
        </w:rPr>
        <w:t>（</w:t>
      </w:r>
      <w:r>
        <w:rPr>
          <w:rStyle w:val="16"/>
          <w:rFonts w:hint="eastAsia" w:asciiTheme="minorEastAsia" w:hAnsiTheme="minorEastAsia" w:eastAsiaTheme="minorEastAsia"/>
          <w:color w:val="000000"/>
          <w:sz w:val="32"/>
          <w:szCs w:val="32"/>
          <w:lang w:val="en-US" w:eastAsia="zh-CN"/>
        </w:rPr>
        <w:t>4</w:t>
      </w:r>
      <w:r>
        <w:rPr>
          <w:rStyle w:val="16"/>
          <w:rFonts w:hint="eastAsia" w:asciiTheme="minorEastAsia" w:hAnsiTheme="minorEastAsia" w:eastAsiaTheme="minorEastAsia"/>
          <w:color w:val="000000"/>
          <w:sz w:val="32"/>
          <w:szCs w:val="32"/>
        </w:rPr>
        <w:t>）其他公路水路运输支出2140199:</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85.22</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，主要用于在职事业职工工资，工伤失业保险及公用经费；</w:t>
      </w:r>
    </w:p>
    <w:p>
      <w:pPr>
        <w:spacing w:line="600" w:lineRule="exact"/>
        <w:ind w:firstLine="643" w:firstLineChars="200"/>
        <w:rPr>
          <w:rStyle w:val="16"/>
          <w:rFonts w:hint="eastAsia" w:asciiTheme="minorEastAsia" w:hAnsiTheme="minorEastAsia" w:eastAsiaTheme="minorEastAsia"/>
          <w:b w:val="0"/>
          <w:bCs/>
          <w:color w:val="000000"/>
          <w:sz w:val="32"/>
          <w:szCs w:val="32"/>
          <w:lang w:eastAsia="zh-CN"/>
        </w:rPr>
      </w:pPr>
      <w:r>
        <w:rPr>
          <w:rStyle w:val="16"/>
          <w:rFonts w:hint="eastAsia" w:asciiTheme="minorEastAsia" w:hAnsiTheme="minorEastAsia"/>
          <w:bCs/>
          <w:color w:val="000000"/>
          <w:sz w:val="32"/>
          <w:szCs w:val="32"/>
          <w:lang w:val="en-US" w:eastAsia="zh-CN"/>
        </w:rPr>
        <w:t>5</w:t>
      </w:r>
      <w:r>
        <w:rPr>
          <w:rStyle w:val="16"/>
          <w:rFonts w:hint="eastAsia" w:asciiTheme="minorEastAsia" w:hAnsiTheme="minorEastAsia" w:eastAsiaTheme="minorEastAsia"/>
          <w:bCs/>
          <w:color w:val="000000"/>
          <w:sz w:val="32"/>
          <w:szCs w:val="32"/>
        </w:rPr>
        <w:t>.住房保障支出221</w:t>
      </w:r>
      <w:r>
        <w:rPr>
          <w:rStyle w:val="16"/>
          <w:rFonts w:asciiTheme="minorEastAsia" w:hAnsiTheme="minorEastAsia" w:eastAsiaTheme="minorEastAsia"/>
          <w:bCs/>
          <w:color w:val="000000"/>
          <w:sz w:val="32"/>
          <w:szCs w:val="32"/>
        </w:rPr>
        <w:t>:</w:t>
      </w:r>
      <w:r>
        <w:rPr>
          <w:rStyle w:val="16"/>
          <w:rFonts w:hint="eastAsia" w:asciiTheme="minorEastAsia" w:hAnsiTheme="minorEastAsia" w:eastAsiaTheme="minorEastAsia"/>
          <w:b w:val="0"/>
          <w:bCs/>
          <w:color w:val="000000"/>
          <w:sz w:val="32"/>
          <w:szCs w:val="32"/>
        </w:rPr>
        <w:t>支出决算为</w:t>
      </w:r>
      <w:r>
        <w:rPr>
          <w:rStyle w:val="16"/>
          <w:rFonts w:hint="eastAsia" w:asciiTheme="minorEastAsia" w:hAnsiTheme="minorEastAsia"/>
          <w:b w:val="0"/>
          <w:bCs/>
          <w:color w:val="000000"/>
          <w:sz w:val="32"/>
          <w:szCs w:val="32"/>
          <w:lang w:val="en-US" w:eastAsia="zh-CN"/>
        </w:rPr>
        <w:t>22.33</w:t>
      </w:r>
      <w:r>
        <w:rPr>
          <w:rStyle w:val="16"/>
          <w:rFonts w:hint="eastAsia" w:asciiTheme="minorEastAsia" w:hAnsiTheme="minorEastAsia" w:eastAsiaTheme="minorEastAsia"/>
          <w:b w:val="0"/>
          <w:bCs/>
          <w:color w:val="000000"/>
          <w:sz w:val="32"/>
          <w:szCs w:val="32"/>
        </w:rPr>
        <w:t>万元，完成预算100</w:t>
      </w:r>
      <w:r>
        <w:rPr>
          <w:rStyle w:val="16"/>
          <w:rFonts w:asciiTheme="minorEastAsia" w:hAnsiTheme="minorEastAsia" w:eastAsiaTheme="minorEastAsia"/>
          <w:b w:val="0"/>
          <w:bCs/>
          <w:color w:val="000000"/>
          <w:sz w:val="32"/>
          <w:szCs w:val="32"/>
        </w:rPr>
        <w:t>%</w:t>
      </w:r>
      <w:r>
        <w:rPr>
          <w:rStyle w:val="16"/>
          <w:rFonts w:hint="eastAsia" w:asciiTheme="minorEastAsia" w:hAnsiTheme="minorEastAsia" w:eastAsiaTheme="minorEastAsia"/>
          <w:b w:val="0"/>
          <w:bCs/>
          <w:color w:val="000000"/>
          <w:sz w:val="32"/>
          <w:szCs w:val="32"/>
        </w:rPr>
        <w:t>，决算数等于预算数</w:t>
      </w:r>
      <w:r>
        <w:rPr>
          <w:rStyle w:val="16"/>
          <w:rFonts w:hint="eastAsia" w:asciiTheme="minorEastAsia" w:hAnsiTheme="minorEastAsia"/>
          <w:b w:val="0"/>
          <w:bCs/>
          <w:color w:val="000000"/>
          <w:sz w:val="32"/>
          <w:szCs w:val="32"/>
          <w:lang w:eastAsia="zh-CN"/>
        </w:rPr>
        <w:t>，全部用于职工公积金单位部分缴纳。</w:t>
      </w:r>
    </w:p>
    <w:p>
      <w:pPr>
        <w:spacing w:line="600" w:lineRule="exact"/>
        <w:ind w:firstLine="643" w:firstLineChars="200"/>
        <w:rPr>
          <w:rFonts w:hint="eastAsia" w:asciiTheme="minorEastAsia" w:hAnsiTheme="minorEastAsia" w:eastAsiaTheme="minorEastAsia"/>
          <w:bCs/>
          <w:color w:val="000000"/>
          <w:sz w:val="32"/>
          <w:szCs w:val="32"/>
          <w:lang w:eastAsia="zh-CN"/>
        </w:rPr>
      </w:pPr>
      <w:r>
        <w:rPr>
          <w:rStyle w:val="16"/>
          <w:rFonts w:hint="eastAsia" w:asciiTheme="minorEastAsia" w:hAnsiTheme="minorEastAsia" w:eastAsiaTheme="minorEastAsia"/>
          <w:color w:val="000000"/>
          <w:sz w:val="32"/>
          <w:szCs w:val="32"/>
        </w:rPr>
        <w:t>（1）住房公积金支出2210201:</w:t>
      </w:r>
      <w:r>
        <w:rPr>
          <w:rFonts w:hint="eastAsia" w:asciiTheme="minorEastAsia" w:hAnsiTheme="minorEastAsia" w:eastAsiaTheme="minorEastAsia"/>
          <w:bCs/>
          <w:color w:val="000000"/>
          <w:sz w:val="32"/>
          <w:szCs w:val="32"/>
        </w:rPr>
        <w:t xml:space="preserve"> 支出决算为</w:t>
      </w:r>
      <w:r>
        <w:rPr>
          <w:rFonts w:hint="eastAsia" w:asciiTheme="minorEastAsia" w:hAnsiTheme="minorEastAsia"/>
          <w:bCs/>
          <w:color w:val="000000"/>
          <w:sz w:val="32"/>
          <w:szCs w:val="32"/>
          <w:lang w:val="en-US" w:eastAsia="zh-CN"/>
        </w:rPr>
        <w:t>22.33</w:t>
      </w:r>
      <w:r>
        <w:rPr>
          <w:rFonts w:hint="eastAsia" w:asciiTheme="minorEastAsia" w:hAnsiTheme="minorEastAsia" w:eastAsiaTheme="minorEastAsia"/>
          <w:bCs/>
          <w:color w:val="000000"/>
          <w:sz w:val="32"/>
          <w:szCs w:val="32"/>
        </w:rPr>
        <w:t>万元，完成预算100%，决算数等于预算数</w:t>
      </w:r>
      <w:r>
        <w:rPr>
          <w:rFonts w:hint="eastAsia" w:asciiTheme="minorEastAsia" w:hAnsiTheme="minorEastAsia"/>
          <w:bCs/>
          <w:color w:val="000000"/>
          <w:sz w:val="32"/>
          <w:szCs w:val="32"/>
          <w:lang w:eastAsia="zh-CN"/>
        </w:rPr>
        <w:t>，</w:t>
      </w:r>
      <w:r>
        <w:rPr>
          <w:rStyle w:val="16"/>
          <w:rFonts w:hint="eastAsia" w:asciiTheme="minorEastAsia" w:hAnsiTheme="minorEastAsia"/>
          <w:b w:val="0"/>
          <w:bCs/>
          <w:color w:val="000000"/>
          <w:sz w:val="32"/>
          <w:szCs w:val="32"/>
          <w:lang w:eastAsia="zh-CN"/>
        </w:rPr>
        <w:t>全部用于职工公积金单位部分缴纳；</w:t>
      </w:r>
    </w:p>
    <w:p>
      <w:pPr>
        <w:spacing w:line="600" w:lineRule="exact"/>
        <w:ind w:firstLine="643" w:firstLineChars="200"/>
        <w:rPr>
          <w:rFonts w:hint="eastAsia" w:eastAsiaTheme="minorEastAsia"/>
          <w:lang w:val="en-US" w:eastAsia="zh-CN"/>
        </w:rPr>
      </w:pPr>
      <w:r>
        <w:rPr>
          <w:rStyle w:val="16"/>
          <w:rFonts w:hint="eastAsia" w:cs="Times New Roman" w:asciiTheme="minorEastAsia" w:hAnsiTheme="minorEastAsia"/>
          <w:bCs/>
          <w:color w:val="000000"/>
          <w:sz w:val="32"/>
          <w:szCs w:val="32"/>
          <w:lang w:val="en-US" w:eastAsia="zh-CN"/>
        </w:rPr>
        <w:t>6</w:t>
      </w:r>
      <w:r>
        <w:rPr>
          <w:rStyle w:val="16"/>
          <w:rFonts w:hint="eastAsia" w:cs="Times New Roman" w:asciiTheme="minorEastAsia" w:hAnsiTheme="minorEastAsia" w:eastAsiaTheme="minorEastAsia"/>
          <w:bCs/>
          <w:color w:val="000000"/>
          <w:sz w:val="32"/>
          <w:szCs w:val="32"/>
          <w:lang w:val="en-US" w:eastAsia="zh-CN"/>
        </w:rPr>
        <w:t>.其他支出229：</w:t>
      </w:r>
      <w:r>
        <w:rPr>
          <w:rFonts w:hint="eastAsia" w:asciiTheme="minorEastAsia" w:hAnsiTheme="minorEastAsia" w:eastAsiaTheme="minorEastAsia"/>
          <w:bCs/>
          <w:color w:val="000000"/>
          <w:sz w:val="32"/>
          <w:szCs w:val="32"/>
          <w:lang w:val="en-US" w:eastAsia="zh-CN"/>
        </w:rPr>
        <w:t>支出决算为</w:t>
      </w:r>
      <w:r>
        <w:rPr>
          <w:rFonts w:hint="eastAsia" w:asciiTheme="minorEastAsia" w:hAnsiTheme="minorEastAsia"/>
          <w:bCs/>
          <w:color w:val="000000"/>
          <w:sz w:val="32"/>
          <w:szCs w:val="32"/>
          <w:lang w:val="en-US" w:eastAsia="zh-CN"/>
        </w:rPr>
        <w:t>218.61</w:t>
      </w:r>
      <w:r>
        <w:rPr>
          <w:rFonts w:hint="eastAsia" w:asciiTheme="minorEastAsia" w:hAnsiTheme="minorEastAsia" w:eastAsiaTheme="minorEastAsia"/>
          <w:bCs/>
          <w:color w:val="000000"/>
          <w:sz w:val="32"/>
          <w:szCs w:val="32"/>
          <w:lang w:val="en-US" w:eastAsia="zh-CN"/>
        </w:rPr>
        <w:t>万元，</w:t>
      </w:r>
      <w:r>
        <w:rPr>
          <w:rFonts w:hint="eastAsia" w:asciiTheme="minorEastAsia" w:hAnsiTheme="minorEastAsia" w:eastAsiaTheme="minorEastAsia"/>
          <w:bCs/>
          <w:color w:val="000000"/>
          <w:sz w:val="32"/>
          <w:szCs w:val="32"/>
        </w:rPr>
        <w:t>完成预算100%，决算数等于预算数</w:t>
      </w:r>
      <w:r>
        <w:rPr>
          <w:rFonts w:hint="eastAsia" w:asciiTheme="minorEastAsia" w:hAnsiTheme="minorEastAsia"/>
          <w:bCs/>
          <w:color w:val="000000"/>
          <w:sz w:val="32"/>
          <w:szCs w:val="32"/>
          <w:lang w:eastAsia="zh-CN"/>
        </w:rPr>
        <w:t>，全部用于龙日种蓄场桥梁建设。</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20" w:name="_Toc3758"/>
      <w:r>
        <w:rPr>
          <w:rStyle w:val="16"/>
          <w:rFonts w:hint="eastAsia" w:ascii="黑体" w:hAnsi="黑体" w:eastAsia="黑体" w:cs="黑体"/>
          <w:sz w:val="32"/>
          <w:szCs w:val="32"/>
          <w:shd w:val="clear" w:fill="FFFFFF"/>
        </w:rPr>
        <w:t>六、一般公共预算财政拨款基本支出决算情况说明</w:t>
      </w:r>
      <w:bookmarkEnd w:id="20"/>
      <w:r>
        <w:rPr>
          <w:rFonts w:hint="eastAsia" w:ascii="黑体" w:hAnsi="黑体" w:eastAsia="黑体" w:cs="黑体"/>
          <w:sz w:val="32"/>
          <w:szCs w:val="32"/>
          <w:shd w:val="clear" w:fill="FFFFFF"/>
        </w:rPr>
        <w:t xml:space="preserve"> </w:t>
      </w:r>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2020年一般公共预算财政拨款基本支出299.47万元，其中：</w:t>
      </w:r>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人员经费279.67万元，主要包括：基本工资</w:t>
      </w:r>
      <w:r>
        <w:rPr>
          <w:rFonts w:hint="eastAsia" w:ascii="仿宋_GB2312" w:hAnsi="仿宋_GB2312" w:eastAsia="仿宋_GB2312" w:cs="仿宋_GB2312"/>
          <w:sz w:val="32"/>
          <w:szCs w:val="32"/>
          <w:shd w:val="clear" w:fill="FFFFFF"/>
          <w:lang w:val="en-US" w:eastAsia="zh-CN"/>
        </w:rPr>
        <w:t>57.9万元</w:t>
      </w:r>
      <w:r>
        <w:rPr>
          <w:rFonts w:hint="eastAsia" w:ascii="仿宋_GB2312" w:hAnsi="仿宋_GB2312" w:eastAsia="仿宋_GB2312" w:cs="仿宋_GB2312"/>
          <w:sz w:val="32"/>
          <w:szCs w:val="32"/>
          <w:shd w:val="clear" w:fill="FFFFFF"/>
        </w:rPr>
        <w:t>、津贴补贴</w:t>
      </w:r>
      <w:r>
        <w:rPr>
          <w:rFonts w:hint="eastAsia" w:ascii="仿宋_GB2312" w:hAnsi="仿宋_GB2312" w:eastAsia="仿宋_GB2312" w:cs="仿宋_GB2312"/>
          <w:sz w:val="32"/>
          <w:szCs w:val="32"/>
          <w:shd w:val="clear" w:fill="FFFFFF"/>
          <w:lang w:val="en-US" w:eastAsia="zh-CN"/>
        </w:rPr>
        <w:t>107.3万元</w:t>
      </w:r>
      <w:r>
        <w:rPr>
          <w:rFonts w:hint="eastAsia" w:ascii="仿宋_GB2312" w:hAnsi="仿宋_GB2312" w:eastAsia="仿宋_GB2312" w:cs="仿宋_GB2312"/>
          <w:sz w:val="32"/>
          <w:szCs w:val="32"/>
          <w:shd w:val="clear" w:fill="FFFFFF"/>
        </w:rPr>
        <w:t>、奖金</w:t>
      </w:r>
      <w:r>
        <w:rPr>
          <w:rFonts w:hint="eastAsia" w:ascii="仿宋_GB2312" w:hAnsi="仿宋_GB2312" w:eastAsia="仿宋_GB2312" w:cs="仿宋_GB2312"/>
          <w:sz w:val="32"/>
          <w:szCs w:val="32"/>
          <w:shd w:val="clear" w:fill="FFFFFF"/>
          <w:lang w:val="en-US" w:eastAsia="zh-CN"/>
        </w:rPr>
        <w:t>5.14万元</w:t>
      </w:r>
      <w:r>
        <w:rPr>
          <w:rFonts w:hint="eastAsia" w:ascii="仿宋_GB2312" w:hAnsi="仿宋_GB2312" w:eastAsia="仿宋_GB2312" w:cs="仿宋_GB2312"/>
          <w:sz w:val="32"/>
          <w:szCs w:val="32"/>
          <w:shd w:val="clear" w:fill="FFFFFF"/>
        </w:rPr>
        <w:t>、绩效工资</w:t>
      </w:r>
      <w:r>
        <w:rPr>
          <w:rFonts w:hint="eastAsia" w:ascii="仿宋_GB2312" w:hAnsi="仿宋_GB2312" w:eastAsia="仿宋_GB2312" w:cs="仿宋_GB2312"/>
          <w:sz w:val="32"/>
          <w:szCs w:val="32"/>
          <w:shd w:val="clear" w:fill="FFFFFF"/>
          <w:lang w:val="en-US" w:eastAsia="zh-CN"/>
        </w:rPr>
        <w:t>20.49万元</w:t>
      </w:r>
      <w:r>
        <w:rPr>
          <w:rFonts w:hint="eastAsia" w:ascii="仿宋_GB2312" w:hAnsi="仿宋_GB2312" w:eastAsia="仿宋_GB2312" w:cs="仿宋_GB2312"/>
          <w:sz w:val="32"/>
          <w:szCs w:val="32"/>
          <w:shd w:val="clear" w:fill="FFFFFF"/>
        </w:rPr>
        <w:t>、机关事业单位基本养老保险缴费</w:t>
      </w:r>
      <w:r>
        <w:rPr>
          <w:rFonts w:hint="eastAsia" w:ascii="仿宋_GB2312" w:hAnsi="仿宋_GB2312" w:eastAsia="仿宋_GB2312" w:cs="仿宋_GB2312"/>
          <w:sz w:val="32"/>
          <w:szCs w:val="32"/>
          <w:shd w:val="clear" w:fill="FFFFFF"/>
          <w:lang w:val="en-US" w:eastAsia="zh-CN"/>
        </w:rPr>
        <w:t>24.62万元</w:t>
      </w:r>
      <w:r>
        <w:rPr>
          <w:rFonts w:hint="eastAsia" w:ascii="仿宋_GB2312" w:hAnsi="仿宋_GB2312" w:eastAsia="仿宋_GB2312" w:cs="仿宋_GB2312"/>
          <w:sz w:val="32"/>
          <w:szCs w:val="32"/>
          <w:shd w:val="clear" w:fill="FFFFFF"/>
        </w:rPr>
        <w:t>、职业年金缴费</w:t>
      </w:r>
      <w:r>
        <w:rPr>
          <w:rFonts w:hint="eastAsia" w:ascii="仿宋_GB2312" w:hAnsi="仿宋_GB2312" w:eastAsia="仿宋_GB2312" w:cs="仿宋_GB2312"/>
          <w:sz w:val="32"/>
          <w:szCs w:val="32"/>
          <w:shd w:val="clear" w:fill="FFFFFF"/>
          <w:lang w:val="en-US" w:eastAsia="zh-CN"/>
        </w:rPr>
        <w:t>12.32万元</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基本医疗保险</w:t>
      </w:r>
      <w:r>
        <w:rPr>
          <w:rFonts w:hint="eastAsia" w:ascii="仿宋_GB2312" w:hAnsi="仿宋_GB2312" w:eastAsia="仿宋_GB2312" w:cs="仿宋_GB2312"/>
          <w:sz w:val="32"/>
          <w:szCs w:val="32"/>
          <w:shd w:val="clear" w:fill="FFFFFF"/>
          <w:lang w:val="en-US" w:eastAsia="zh-CN"/>
        </w:rPr>
        <w:t>12.77万元、公务员医疗补助4.38万元、</w:t>
      </w:r>
      <w:r>
        <w:rPr>
          <w:rFonts w:hint="eastAsia" w:ascii="仿宋_GB2312" w:hAnsi="仿宋_GB2312" w:eastAsia="仿宋_GB2312" w:cs="仿宋_GB2312"/>
          <w:sz w:val="32"/>
          <w:szCs w:val="32"/>
          <w:shd w:val="clear" w:fill="FFFFFF"/>
        </w:rPr>
        <w:t>其他社会保障缴费</w:t>
      </w:r>
      <w:r>
        <w:rPr>
          <w:rFonts w:hint="eastAsia" w:ascii="仿宋_GB2312" w:hAnsi="仿宋_GB2312" w:eastAsia="仿宋_GB2312" w:cs="仿宋_GB2312"/>
          <w:sz w:val="32"/>
          <w:szCs w:val="32"/>
          <w:shd w:val="clear" w:fill="FFFFFF"/>
          <w:lang w:val="en-US" w:eastAsia="zh-CN"/>
        </w:rPr>
        <w:t>3.45万元</w:t>
      </w:r>
      <w:r>
        <w:rPr>
          <w:rFonts w:hint="eastAsia" w:ascii="仿宋_GB2312" w:hAnsi="仿宋_GB2312" w:eastAsia="仿宋_GB2312" w:cs="仿宋_GB2312"/>
          <w:sz w:val="32"/>
          <w:szCs w:val="32"/>
          <w:shd w:val="clear" w:fill="FFFFFF"/>
        </w:rPr>
        <w:t>、住房公积金</w:t>
      </w:r>
      <w:r>
        <w:rPr>
          <w:rFonts w:hint="eastAsia" w:ascii="仿宋_GB2312" w:hAnsi="仿宋_GB2312" w:eastAsia="仿宋_GB2312" w:cs="仿宋_GB2312"/>
          <w:sz w:val="32"/>
          <w:szCs w:val="32"/>
          <w:shd w:val="clear" w:fill="FFFFFF"/>
          <w:lang w:val="en-US" w:eastAsia="zh-CN"/>
        </w:rPr>
        <w:t>22.33万元</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医疗费</w:t>
      </w:r>
      <w:r>
        <w:rPr>
          <w:rFonts w:hint="eastAsia" w:ascii="仿宋_GB2312" w:hAnsi="仿宋_GB2312" w:eastAsia="仿宋_GB2312" w:cs="仿宋_GB2312"/>
          <w:sz w:val="32"/>
          <w:szCs w:val="32"/>
          <w:shd w:val="clear" w:fill="FFFFFF"/>
          <w:lang w:val="en-US" w:eastAsia="zh-CN"/>
        </w:rPr>
        <w:t>1.73万元、生活补助7.12万元、救济费0.09万元、奖励金0.03万元</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br w:type="textWrapping"/>
      </w:r>
      <w:r>
        <w:rPr>
          <w:rFonts w:hint="eastAsia" w:ascii="仿宋_GB2312" w:hAnsi="仿宋_GB2312" w:eastAsia="仿宋_GB2312" w:cs="仿宋_GB2312"/>
          <w:sz w:val="32"/>
          <w:szCs w:val="32"/>
          <w:shd w:val="clear" w:fill="FFFFFF"/>
        </w:rPr>
        <w:t>　 日常公用经费19.79万元，主要包括：办公费</w:t>
      </w:r>
      <w:r>
        <w:rPr>
          <w:rFonts w:hint="eastAsia" w:ascii="仿宋_GB2312" w:hAnsi="仿宋_GB2312" w:eastAsia="仿宋_GB2312" w:cs="仿宋_GB2312"/>
          <w:sz w:val="32"/>
          <w:szCs w:val="32"/>
          <w:shd w:val="clear" w:fill="FFFFFF"/>
          <w:lang w:val="en-US" w:eastAsia="zh-CN"/>
        </w:rPr>
        <w:t>2.8万元</w:t>
      </w:r>
      <w:r>
        <w:rPr>
          <w:rFonts w:hint="eastAsia" w:ascii="仿宋_GB2312" w:hAnsi="仿宋_GB2312" w:eastAsia="仿宋_GB2312" w:cs="仿宋_GB2312"/>
          <w:sz w:val="32"/>
          <w:szCs w:val="32"/>
          <w:shd w:val="clear" w:fill="FFFFFF"/>
        </w:rPr>
        <w:t>、邮电费</w:t>
      </w:r>
      <w:r>
        <w:rPr>
          <w:rFonts w:hint="eastAsia" w:ascii="仿宋_GB2312" w:hAnsi="仿宋_GB2312" w:eastAsia="仿宋_GB2312" w:cs="仿宋_GB2312"/>
          <w:sz w:val="32"/>
          <w:szCs w:val="32"/>
          <w:shd w:val="clear" w:fill="FFFFFF"/>
          <w:lang w:val="en-US" w:eastAsia="zh-CN"/>
        </w:rPr>
        <w:t>3.76万元</w:t>
      </w:r>
      <w:r>
        <w:rPr>
          <w:rFonts w:hint="eastAsia" w:ascii="仿宋_GB2312" w:hAnsi="仿宋_GB2312" w:eastAsia="仿宋_GB2312" w:cs="仿宋_GB2312"/>
          <w:sz w:val="32"/>
          <w:szCs w:val="32"/>
          <w:shd w:val="clear" w:fill="FFFFFF"/>
        </w:rPr>
        <w:t>、差旅费</w:t>
      </w:r>
      <w:r>
        <w:rPr>
          <w:rFonts w:hint="eastAsia" w:ascii="仿宋_GB2312" w:hAnsi="仿宋_GB2312" w:eastAsia="仿宋_GB2312" w:cs="仿宋_GB2312"/>
          <w:sz w:val="32"/>
          <w:szCs w:val="32"/>
          <w:shd w:val="clear" w:fill="FFFFFF"/>
          <w:lang w:val="en-US" w:eastAsia="zh-CN"/>
        </w:rPr>
        <w:t>10.61万元</w:t>
      </w:r>
      <w:r>
        <w:rPr>
          <w:rFonts w:hint="eastAsia" w:ascii="仿宋_GB2312" w:hAnsi="仿宋_GB2312" w:eastAsia="仿宋_GB2312" w:cs="仿宋_GB2312"/>
          <w:sz w:val="32"/>
          <w:szCs w:val="32"/>
          <w:shd w:val="clear" w:fill="FFFFFF"/>
        </w:rPr>
        <w:t>、公务用车运行维护费</w:t>
      </w:r>
      <w:r>
        <w:rPr>
          <w:rFonts w:hint="eastAsia" w:ascii="仿宋_GB2312" w:hAnsi="仿宋_GB2312" w:eastAsia="仿宋_GB2312" w:cs="仿宋_GB2312"/>
          <w:sz w:val="32"/>
          <w:szCs w:val="32"/>
          <w:shd w:val="clear" w:fill="FFFFFF"/>
          <w:lang w:val="en-US" w:eastAsia="zh-CN"/>
        </w:rPr>
        <w:t>2.62万元</w:t>
      </w:r>
      <w:r>
        <w:rPr>
          <w:rFonts w:hint="eastAsia" w:ascii="仿宋_GB2312" w:hAnsi="仿宋_GB2312" w:eastAsia="仿宋_GB2312" w:cs="仿宋_GB2312"/>
          <w:sz w:val="32"/>
          <w:szCs w:val="32"/>
          <w:shd w:val="clear" w:fill="FFFFFF"/>
        </w:rPr>
        <w:t>。</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21" w:name="_Toc30132"/>
      <w:r>
        <w:rPr>
          <w:rStyle w:val="16"/>
          <w:rFonts w:hint="eastAsia" w:ascii="黑体" w:hAnsi="黑体" w:eastAsia="黑体" w:cs="黑体"/>
          <w:sz w:val="32"/>
          <w:szCs w:val="32"/>
          <w:shd w:val="clear" w:fill="FFFFFF"/>
        </w:rPr>
        <w:t>七、“三公”经费财政拨款支出决算情况说明</w:t>
      </w:r>
      <w:bookmarkEnd w:id="21"/>
    </w:p>
    <w:p>
      <w:pPr>
        <w:pStyle w:val="12"/>
        <w:keepNext w:val="0"/>
        <w:keepLines w:val="0"/>
        <w:widowControl/>
        <w:suppressLineNumbers w:val="0"/>
        <w:ind w:left="0" w:right="75"/>
        <w:jc w:val="left"/>
        <w:outlineLvl w:val="2"/>
        <w:rPr>
          <w:rFonts w:hint="eastAsia" w:ascii="楷体_GB2312" w:hAnsi="楷体_GB2312" w:eastAsia="楷体_GB2312" w:cs="楷体_GB2312"/>
          <w:sz w:val="32"/>
          <w:szCs w:val="32"/>
        </w:rPr>
      </w:pPr>
      <w:bookmarkStart w:id="22" w:name="_Toc6527"/>
      <w:r>
        <w:rPr>
          <w:rStyle w:val="16"/>
          <w:rFonts w:hint="eastAsia" w:ascii="楷体_GB2312" w:hAnsi="楷体_GB2312" w:eastAsia="楷体_GB2312" w:cs="楷体_GB2312"/>
          <w:sz w:val="32"/>
          <w:szCs w:val="32"/>
          <w:shd w:val="clear" w:fill="FFFFFF"/>
        </w:rPr>
        <w:t>（一）“三公”经费财政拨款支出决算总体情况说明</w:t>
      </w:r>
      <w:bookmarkEnd w:id="22"/>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2020年“三公”经费财政拨款支出决算为4.01万元，完成预算100.00%，决算数</w:t>
      </w:r>
      <w:r>
        <w:rPr>
          <w:rFonts w:hint="eastAsia" w:ascii="仿宋_GB2312" w:hAnsi="仿宋_GB2312" w:eastAsia="仿宋_GB2312" w:cs="仿宋_GB2312"/>
          <w:sz w:val="32"/>
          <w:szCs w:val="32"/>
          <w:shd w:val="clear" w:fill="FFFFFF"/>
          <w:lang w:eastAsia="zh-CN"/>
        </w:rPr>
        <w:t>等于</w:t>
      </w:r>
      <w:r>
        <w:rPr>
          <w:rFonts w:hint="eastAsia" w:ascii="仿宋_GB2312" w:hAnsi="仿宋_GB2312" w:eastAsia="仿宋_GB2312" w:cs="仿宋_GB2312"/>
          <w:sz w:val="32"/>
          <w:szCs w:val="32"/>
          <w:shd w:val="clear" w:fill="FFFFFF"/>
        </w:rPr>
        <w:t>预算数。</w:t>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23" w:name="_Toc19065"/>
      <w:r>
        <w:rPr>
          <w:rStyle w:val="16"/>
          <w:rFonts w:hint="eastAsia" w:ascii="楷体_GB2312" w:hAnsi="楷体_GB2312" w:eastAsia="楷体_GB2312" w:cs="楷体_GB2312"/>
          <w:sz w:val="32"/>
          <w:szCs w:val="32"/>
          <w:shd w:val="clear" w:fill="FFFFFF"/>
        </w:rPr>
        <w:t>（二）“三公”经费财政拨款支出决算具体情况说明</w:t>
      </w:r>
      <w:bookmarkEnd w:id="23"/>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2020年“三公”经费财政拨款支出决算中，因公出国（境）费支出决算0.00万元，占 0.00%；公务用车购置及运行维护费支出决算4.01万元，占 1.00%；公务接待费支出决算0.00万元，占 0.00%。具体情况如下：</w:t>
      </w:r>
    </w:p>
    <w:p>
      <w:pPr>
        <w:pStyle w:val="12"/>
        <w:keepNext w:val="0"/>
        <w:keepLines w:val="0"/>
        <w:widowControl/>
        <w:suppressLineNumbers w:val="0"/>
        <w:ind w:left="0" w:right="75" w:firstLine="480" w:firstLineChars="200"/>
        <w:jc w:val="left"/>
        <w:rPr>
          <w:sz w:val="24"/>
          <w:szCs w:val="24"/>
          <w:shd w:val="clear" w:fill="FFFFFF"/>
        </w:rPr>
      </w:pPr>
      <w:r>
        <w:rPr>
          <w:sz w:val="24"/>
          <w:szCs w:val="24"/>
          <w:shd w:val="clear" w:fill="FFFFFF"/>
        </w:rPr>
        <w:t>（图</w:t>
      </w:r>
      <w:r>
        <w:rPr>
          <w:rFonts w:hint="eastAsia"/>
          <w:sz w:val="24"/>
          <w:szCs w:val="24"/>
          <w:shd w:val="clear" w:fill="FFFFFF"/>
          <w:lang w:val="en-US" w:eastAsia="zh-CN"/>
        </w:rPr>
        <w:t>6</w:t>
      </w:r>
      <w:r>
        <w:rPr>
          <w:sz w:val="24"/>
          <w:szCs w:val="24"/>
          <w:shd w:val="clear" w:fill="FFFFFF"/>
        </w:rPr>
        <w:t>：“三公”经费财政拨款支出结构）（饼状图）</w:t>
      </w:r>
    </w:p>
    <w:p>
      <w:pPr>
        <w:pStyle w:val="12"/>
        <w:keepNext w:val="0"/>
        <w:keepLines w:val="0"/>
        <w:widowControl/>
        <w:suppressLineNumbers w:val="0"/>
        <w:ind w:left="0" w:right="75" w:firstLine="480" w:firstLineChars="200"/>
        <w:jc w:val="left"/>
        <w:rPr>
          <w:sz w:val="24"/>
          <w:szCs w:val="24"/>
          <w:shd w:val="clear" w:fill="FFFFFF"/>
        </w:rPr>
      </w:pPr>
      <w:r>
        <w:rPr>
          <w:rFonts w:hint="eastAsia" w:eastAsiaTheme="minorEastAsia"/>
          <w:sz w:val="24"/>
          <w:szCs w:val="24"/>
          <w:shd w:val="clear" w:fill="FFFFFF"/>
          <w:lang w:eastAsia="zh-CN"/>
        </w:rPr>
        <w:drawing>
          <wp:inline distT="0" distB="0" distL="114300" distR="114300">
            <wp:extent cx="5080000" cy="2143125"/>
            <wp:effectExtent l="4445" t="4445" r="20955"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left"/>
        <w:rPr>
          <w:rFonts w:hint="eastAsia" w:ascii="仿宋_GB2312" w:hAnsi="仿宋_GB2312" w:eastAsia="仿宋_GB2312" w:cs="仿宋_GB2312"/>
          <w:sz w:val="32"/>
          <w:szCs w:val="32"/>
          <w:lang w:eastAsia="zh-CN"/>
        </w:rPr>
      </w:pPr>
      <w:r>
        <w:rPr>
          <w:rStyle w:val="16"/>
          <w:rFonts w:hint="eastAsia" w:ascii="仿宋_GB2312" w:hAnsi="仿宋_GB2312" w:eastAsia="仿宋_GB2312" w:cs="仿宋_GB2312"/>
          <w:sz w:val="32"/>
          <w:szCs w:val="32"/>
          <w:shd w:val="clear" w:fill="FFFFFF"/>
        </w:rPr>
        <w:t>1.因公出国（境）经费支出</w:t>
      </w:r>
      <w:r>
        <w:rPr>
          <w:rFonts w:hint="eastAsia" w:ascii="仿宋_GB2312" w:hAnsi="仿宋_GB2312" w:eastAsia="仿宋_GB2312" w:cs="仿宋_GB2312"/>
          <w:sz w:val="32"/>
          <w:szCs w:val="32"/>
          <w:shd w:val="clear" w:fill="FFFFFF"/>
        </w:rPr>
        <w:t>0.00</w:t>
      </w:r>
      <w:r>
        <w:rPr>
          <w:rStyle w:val="16"/>
          <w:rFonts w:hint="eastAsia" w:ascii="仿宋_GB2312" w:hAnsi="仿宋_GB2312" w:eastAsia="仿宋_GB2312" w:cs="仿宋_GB2312"/>
          <w:sz w:val="32"/>
          <w:szCs w:val="32"/>
          <w:shd w:val="clear" w:fill="FFFFFF"/>
        </w:rPr>
        <w:t>万元，完成预算</w:t>
      </w:r>
      <w:r>
        <w:rPr>
          <w:rFonts w:hint="eastAsia" w:ascii="仿宋_GB2312" w:hAnsi="仿宋_GB2312" w:eastAsia="仿宋_GB2312" w:cs="仿宋_GB2312"/>
          <w:sz w:val="32"/>
          <w:szCs w:val="32"/>
          <w:shd w:val="clear" w:fill="FFFFFF"/>
        </w:rPr>
        <w:t>0.00</w:t>
      </w:r>
      <w:r>
        <w:rPr>
          <w:rStyle w:val="16"/>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t>全年安排因公出国（境）团组0个，出国（境）0人。因公出国（境）支出决算</w:t>
      </w:r>
      <w:r>
        <w:rPr>
          <w:rFonts w:hint="eastAsia" w:ascii="仿宋_GB2312" w:hAnsi="仿宋_GB2312" w:eastAsia="仿宋_GB2312" w:cs="仿宋_GB2312"/>
          <w:sz w:val="32"/>
          <w:szCs w:val="32"/>
          <w:shd w:val="clear" w:fill="FFFFFF"/>
          <w:lang w:eastAsia="zh-CN"/>
        </w:rPr>
        <w:t>与上年持平。</w:t>
      </w:r>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2.公务用车购置及运行维护费支出</w:t>
      </w:r>
      <w:r>
        <w:rPr>
          <w:rFonts w:hint="eastAsia" w:ascii="仿宋_GB2312" w:hAnsi="仿宋_GB2312" w:eastAsia="仿宋_GB2312" w:cs="仿宋_GB2312"/>
          <w:sz w:val="32"/>
          <w:szCs w:val="32"/>
          <w:shd w:val="clear" w:fill="FFFFFF"/>
        </w:rPr>
        <w:t>4.01</w:t>
      </w:r>
      <w:r>
        <w:rPr>
          <w:rStyle w:val="16"/>
          <w:rFonts w:hint="eastAsia" w:ascii="仿宋_GB2312" w:hAnsi="仿宋_GB2312" w:eastAsia="仿宋_GB2312" w:cs="仿宋_GB2312"/>
          <w:sz w:val="32"/>
          <w:szCs w:val="32"/>
          <w:shd w:val="clear" w:fill="FFFFFF"/>
        </w:rPr>
        <w:t>万元,完成预算</w:t>
      </w:r>
      <w:r>
        <w:rPr>
          <w:rFonts w:hint="eastAsia" w:ascii="仿宋_GB2312" w:hAnsi="仿宋_GB2312" w:eastAsia="仿宋_GB2312" w:cs="仿宋_GB2312"/>
          <w:sz w:val="32"/>
          <w:szCs w:val="32"/>
          <w:shd w:val="clear" w:fill="FFFFFF"/>
        </w:rPr>
        <w:t>100.00</w:t>
      </w:r>
      <w:r>
        <w:rPr>
          <w:rStyle w:val="16"/>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t>公务用车购置及运行维护费支出决算比2019年增加-0.59万元，增长-12.74%。主要原因是</w:t>
      </w:r>
      <w:r>
        <w:rPr>
          <w:rFonts w:hint="eastAsia" w:ascii="仿宋_GB2312" w:hAnsi="仿宋_GB2312" w:eastAsia="仿宋_GB2312" w:cs="仿宋_GB2312"/>
          <w:sz w:val="32"/>
          <w:szCs w:val="32"/>
          <w:shd w:val="clear" w:fill="FFFFFF"/>
          <w:lang w:eastAsia="zh-CN"/>
        </w:rPr>
        <w:t>厉行节约减少不必要的开支</w:t>
      </w:r>
      <w:r>
        <w:rPr>
          <w:rStyle w:val="16"/>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t>其中：</w:t>
      </w:r>
      <w:r>
        <w:rPr>
          <w:rStyle w:val="16"/>
          <w:rFonts w:hint="eastAsia" w:ascii="仿宋_GB2312" w:hAnsi="仿宋_GB2312" w:eastAsia="仿宋_GB2312" w:cs="仿宋_GB2312"/>
          <w:sz w:val="32"/>
          <w:szCs w:val="32"/>
          <w:shd w:val="clear" w:fill="FFFFFF"/>
        </w:rPr>
        <w:t>公务用车购置支出</w:t>
      </w:r>
      <w:r>
        <w:rPr>
          <w:rFonts w:hint="eastAsia" w:ascii="仿宋_GB2312" w:hAnsi="仿宋_GB2312" w:eastAsia="仿宋_GB2312" w:cs="仿宋_GB2312"/>
          <w:sz w:val="32"/>
          <w:szCs w:val="32"/>
          <w:shd w:val="clear" w:fill="FFFFFF"/>
        </w:rPr>
        <w:t>0.00</w:t>
      </w:r>
      <w:r>
        <w:rPr>
          <w:rStyle w:val="16"/>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rPr>
        <w:t>全年按规定更新购置公务用车0辆，金额0.00万元。截至2020年12月底，单位共有公务用车 1辆，其中：主要领导干部用车0辆、机要通信用车0辆、应 急保障用车1辆、执法执勤用车0辆、特种专业技术用车0 辆、离退休干部用车0辆、其他用车0辆。</w:t>
      </w:r>
    </w:p>
    <w:p>
      <w:pPr>
        <w:pStyle w:val="12"/>
        <w:keepNext w:val="0"/>
        <w:keepLines w:val="0"/>
        <w:widowControl/>
        <w:suppressLineNumbers w:val="0"/>
        <w:ind w:left="0" w:right="75"/>
        <w:jc w:val="left"/>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公务用车运行维护费支出</w:t>
      </w:r>
      <w:r>
        <w:rPr>
          <w:rFonts w:hint="eastAsia" w:ascii="仿宋_GB2312" w:hAnsi="仿宋_GB2312" w:eastAsia="仿宋_GB2312" w:cs="仿宋_GB2312"/>
          <w:sz w:val="32"/>
          <w:szCs w:val="32"/>
          <w:shd w:val="clear" w:fill="FFFFFF"/>
        </w:rPr>
        <w:t>4.01</w:t>
      </w:r>
      <w:r>
        <w:rPr>
          <w:rStyle w:val="16"/>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rPr>
        <w:t>主要用公务用车燃料费、维修费、过路过桥费、保险费等支出。</w:t>
      </w:r>
    </w:p>
    <w:p>
      <w:pPr>
        <w:pStyle w:val="12"/>
        <w:keepNext w:val="0"/>
        <w:keepLines w:val="0"/>
        <w:widowControl/>
        <w:suppressLineNumbers w:val="0"/>
        <w:ind w:left="0" w:right="75"/>
        <w:jc w:val="left"/>
        <w:rPr>
          <w:rFonts w:hint="eastAsia" w:ascii="仿宋_GB2312" w:hAnsi="仿宋_GB2312" w:eastAsia="仿宋_GB2312" w:cs="仿宋_GB2312"/>
          <w:sz w:val="32"/>
          <w:szCs w:val="32"/>
          <w:shd w:val="clear" w:fill="FFFFFF"/>
          <w:lang w:eastAsia="zh-CN"/>
        </w:rPr>
      </w:pPr>
      <w:r>
        <w:rPr>
          <w:rStyle w:val="16"/>
          <w:rFonts w:hint="eastAsia" w:ascii="仿宋_GB2312" w:hAnsi="仿宋_GB2312" w:eastAsia="仿宋_GB2312" w:cs="仿宋_GB2312"/>
          <w:sz w:val="32"/>
          <w:szCs w:val="32"/>
          <w:shd w:val="clear" w:fill="FFFFFF"/>
        </w:rPr>
        <w:t>3.公务接待费支出</w:t>
      </w:r>
      <w:r>
        <w:rPr>
          <w:rFonts w:hint="eastAsia" w:ascii="仿宋_GB2312" w:hAnsi="仿宋_GB2312" w:eastAsia="仿宋_GB2312" w:cs="仿宋_GB2312"/>
          <w:sz w:val="32"/>
          <w:szCs w:val="32"/>
          <w:shd w:val="clear" w:fill="FFFFFF"/>
        </w:rPr>
        <w:t>0.00</w:t>
      </w:r>
      <w:r>
        <w:rPr>
          <w:rStyle w:val="16"/>
          <w:rFonts w:hint="eastAsia" w:ascii="仿宋_GB2312" w:hAnsi="仿宋_GB2312" w:eastAsia="仿宋_GB2312" w:cs="仿宋_GB2312"/>
          <w:sz w:val="32"/>
          <w:szCs w:val="32"/>
          <w:shd w:val="clear" w:fill="FFFFFF"/>
        </w:rPr>
        <w:t>万元，完成预算</w:t>
      </w:r>
      <w:r>
        <w:rPr>
          <w:rFonts w:hint="eastAsia" w:ascii="仿宋_GB2312" w:hAnsi="仿宋_GB2312" w:eastAsia="仿宋_GB2312" w:cs="仿宋_GB2312"/>
          <w:sz w:val="32"/>
          <w:szCs w:val="32"/>
          <w:shd w:val="clear" w:fill="FFFFFF"/>
        </w:rPr>
        <w:t>100</w:t>
      </w:r>
      <w:r>
        <w:rPr>
          <w:rStyle w:val="16"/>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t>公务接待费支出决算</w:t>
      </w:r>
      <w:r>
        <w:rPr>
          <w:rFonts w:hint="eastAsia" w:ascii="仿宋_GB2312" w:hAnsi="仿宋_GB2312" w:eastAsia="仿宋_GB2312" w:cs="仿宋_GB2312"/>
          <w:sz w:val="32"/>
          <w:szCs w:val="32"/>
          <w:shd w:val="clear" w:fill="FFFFFF"/>
          <w:lang w:eastAsia="zh-CN"/>
        </w:rPr>
        <w:t>与</w:t>
      </w:r>
      <w:r>
        <w:rPr>
          <w:rFonts w:hint="eastAsia" w:ascii="仿宋_GB2312" w:hAnsi="仿宋_GB2312" w:eastAsia="仿宋_GB2312" w:cs="仿宋_GB2312"/>
          <w:sz w:val="32"/>
          <w:szCs w:val="32"/>
          <w:shd w:val="clear" w:fill="FFFFFF"/>
        </w:rPr>
        <w:t>2019年</w:t>
      </w:r>
      <w:r>
        <w:rPr>
          <w:rFonts w:hint="eastAsia" w:ascii="仿宋_GB2312" w:hAnsi="仿宋_GB2312" w:eastAsia="仿宋_GB2312" w:cs="仿宋_GB2312"/>
          <w:sz w:val="32"/>
          <w:szCs w:val="32"/>
          <w:shd w:val="clear" w:fill="FFFFFF"/>
          <w:lang w:eastAsia="zh-CN"/>
        </w:rPr>
        <w:t>持平。</w:t>
      </w:r>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国内公务接待支出</w:t>
      </w:r>
      <w:r>
        <w:rPr>
          <w:rFonts w:hint="eastAsia" w:ascii="仿宋_GB2312" w:hAnsi="仿宋_GB2312" w:eastAsia="仿宋_GB2312" w:cs="仿宋_GB2312"/>
          <w:sz w:val="32"/>
          <w:szCs w:val="32"/>
          <w:shd w:val="clear" w:fill="FFFFFF"/>
        </w:rPr>
        <w:t>0.00万元。</w:t>
      </w:r>
    </w:p>
    <w:p>
      <w:pPr>
        <w:pStyle w:val="12"/>
        <w:keepNext w:val="0"/>
        <w:keepLines w:val="0"/>
        <w:widowControl/>
        <w:suppressLineNumbers w:val="0"/>
        <w:ind w:left="0" w:right="75"/>
        <w:jc w:val="left"/>
        <w:rPr>
          <w:rFonts w:hint="eastAsia" w:ascii="仿宋_GB2312" w:hAnsi="仿宋_GB2312" w:eastAsia="仿宋_GB2312" w:cs="仿宋_GB2312"/>
          <w:sz w:val="32"/>
          <w:szCs w:val="32"/>
          <w:lang w:eastAsia="zh-CN"/>
        </w:rPr>
      </w:pPr>
      <w:r>
        <w:rPr>
          <w:rStyle w:val="16"/>
          <w:rFonts w:hint="eastAsia" w:ascii="仿宋_GB2312" w:hAnsi="仿宋_GB2312" w:eastAsia="仿宋_GB2312" w:cs="仿宋_GB2312"/>
          <w:sz w:val="32"/>
          <w:szCs w:val="32"/>
          <w:shd w:val="clear" w:fill="FFFFFF"/>
        </w:rPr>
        <w:t>外事接待支出</w:t>
      </w:r>
      <w:r>
        <w:rPr>
          <w:rFonts w:hint="eastAsia" w:ascii="仿宋_GB2312" w:hAnsi="仿宋_GB2312" w:eastAsia="仿宋_GB2312" w:cs="仿宋_GB2312"/>
          <w:sz w:val="32"/>
          <w:szCs w:val="32"/>
          <w:shd w:val="clear" w:fill="FFFFFF"/>
        </w:rPr>
        <w:t>0.00 万元</w:t>
      </w:r>
      <w:r>
        <w:rPr>
          <w:rFonts w:hint="eastAsia" w:ascii="仿宋_GB2312" w:hAnsi="仿宋_GB2312" w:eastAsia="仿宋_GB2312" w:cs="仿宋_GB2312"/>
          <w:sz w:val="32"/>
          <w:szCs w:val="32"/>
          <w:shd w:val="clear" w:fill="FFFFFF"/>
          <w:lang w:eastAsia="zh-CN"/>
        </w:rPr>
        <w:t>。</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24" w:name="_Toc11695"/>
      <w:r>
        <w:rPr>
          <w:rStyle w:val="16"/>
          <w:rFonts w:hint="eastAsia" w:ascii="黑体" w:hAnsi="黑体" w:eastAsia="黑体" w:cs="黑体"/>
          <w:sz w:val="32"/>
          <w:szCs w:val="32"/>
          <w:shd w:val="clear" w:fill="FFFFFF"/>
        </w:rPr>
        <w:t>八、政府性基金预算支出决算情况说明</w:t>
      </w:r>
      <w:bookmarkEnd w:id="24"/>
    </w:p>
    <w:p>
      <w:pPr>
        <w:pStyle w:val="12"/>
        <w:keepNext w:val="0"/>
        <w:keepLines w:val="0"/>
        <w:widowControl/>
        <w:suppressLineNumbers w:val="0"/>
        <w:ind w:left="0" w:right="7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2020年政府性基金预算拨款支出0.00万元。</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25" w:name="_Toc14"/>
      <w:r>
        <w:rPr>
          <w:rStyle w:val="16"/>
          <w:rFonts w:hint="eastAsia" w:ascii="黑体" w:hAnsi="黑体" w:eastAsia="黑体" w:cs="黑体"/>
          <w:sz w:val="32"/>
          <w:szCs w:val="32"/>
          <w:shd w:val="clear" w:fill="FFFFFF"/>
        </w:rPr>
        <w:t>九、国有资本经营预算支出决算情况说明</w:t>
      </w:r>
      <w:bookmarkEnd w:id="25"/>
    </w:p>
    <w:p>
      <w:pPr>
        <w:pStyle w:val="12"/>
        <w:keepNext w:val="0"/>
        <w:keepLines w:val="0"/>
        <w:widowControl/>
        <w:suppressLineNumbers w:val="0"/>
        <w:ind w:left="0" w:right="75"/>
        <w:jc w:val="left"/>
      </w:pPr>
      <w:r>
        <w:rPr>
          <w:sz w:val="24"/>
          <w:szCs w:val="24"/>
          <w:shd w:val="clear" w:fill="FFFFFF"/>
        </w:rPr>
        <w:t>2020年国有资本经营预算拨款支出0.00万元。</w:t>
      </w:r>
    </w:p>
    <w:p>
      <w:pPr>
        <w:pStyle w:val="12"/>
        <w:keepNext w:val="0"/>
        <w:keepLines w:val="0"/>
        <w:widowControl/>
        <w:suppressLineNumbers w:val="0"/>
        <w:ind w:left="0" w:right="75"/>
        <w:jc w:val="left"/>
        <w:outlineLvl w:val="1"/>
        <w:rPr>
          <w:rFonts w:hint="eastAsia" w:ascii="黑体" w:hAnsi="黑体" w:eastAsia="黑体" w:cs="黑体"/>
          <w:sz w:val="32"/>
          <w:szCs w:val="32"/>
        </w:rPr>
      </w:pPr>
      <w:bookmarkStart w:id="26" w:name="_Toc14750"/>
      <w:r>
        <w:rPr>
          <w:rStyle w:val="16"/>
          <w:rFonts w:hint="eastAsia" w:ascii="黑体" w:hAnsi="黑体" w:eastAsia="黑体" w:cs="黑体"/>
          <w:sz w:val="32"/>
          <w:szCs w:val="32"/>
          <w:shd w:val="clear" w:fill="FFFFFF"/>
        </w:rPr>
        <w:t>十、其他重要事项的情况说明</w:t>
      </w:r>
      <w:bookmarkEnd w:id="26"/>
    </w:p>
    <w:p>
      <w:pPr>
        <w:pStyle w:val="12"/>
        <w:keepNext w:val="0"/>
        <w:keepLines w:val="0"/>
        <w:widowControl/>
        <w:suppressLineNumbers w:val="0"/>
        <w:ind w:left="0" w:right="75"/>
        <w:jc w:val="left"/>
        <w:outlineLvl w:val="2"/>
        <w:rPr>
          <w:rFonts w:hint="eastAsia" w:ascii="楷体_GB2312" w:hAnsi="楷体_GB2312" w:eastAsia="楷体_GB2312" w:cs="楷体_GB2312"/>
          <w:sz w:val="32"/>
          <w:szCs w:val="32"/>
        </w:rPr>
      </w:pPr>
      <w:bookmarkStart w:id="27" w:name="_Toc19673"/>
      <w:r>
        <w:rPr>
          <w:rStyle w:val="16"/>
          <w:rFonts w:hint="eastAsia" w:ascii="楷体_GB2312" w:hAnsi="楷体_GB2312" w:eastAsia="楷体_GB2312" w:cs="楷体_GB2312"/>
          <w:sz w:val="32"/>
          <w:szCs w:val="32"/>
          <w:shd w:val="clear" w:fill="FFFFFF"/>
        </w:rPr>
        <w:t>（一）机关运行经费支出情况</w:t>
      </w:r>
      <w:bookmarkEnd w:id="27"/>
    </w:p>
    <w:p>
      <w:pPr>
        <w:pStyle w:val="12"/>
        <w:keepNext w:val="0"/>
        <w:keepLines w:val="0"/>
        <w:widowControl/>
        <w:suppressLineNumbers w:val="0"/>
        <w:ind w:left="0" w:right="75"/>
        <w:jc w:val="left"/>
        <w:rPr>
          <w:rStyle w:val="16"/>
          <w:rFonts w:hint="eastAsia" w:eastAsia="仿宋_GB2312"/>
          <w:sz w:val="24"/>
          <w:szCs w:val="24"/>
          <w:shd w:val="clear" w:fill="FFFFFF"/>
          <w:lang w:eastAsia="zh-CN"/>
        </w:rPr>
      </w:pPr>
      <w:r>
        <w:rPr>
          <w:rFonts w:hint="eastAsia" w:ascii="仿宋_GB2312" w:hAnsi="仿宋_GB2312" w:eastAsia="仿宋_GB2312" w:cs="仿宋_GB2312"/>
          <w:sz w:val="32"/>
          <w:szCs w:val="32"/>
          <w:shd w:val="clear" w:fill="FFFFFF"/>
        </w:rPr>
        <w:t>2020年，阿坝州红原县交通运输局（汇总）机关运行经费支出12.91万元，比2019年</w:t>
      </w:r>
      <w:r>
        <w:rPr>
          <w:rFonts w:hint="eastAsia" w:ascii="仿宋_GB2312" w:hAnsi="仿宋_GB2312" w:eastAsia="仿宋_GB2312" w:cs="仿宋_GB2312"/>
          <w:sz w:val="32"/>
          <w:szCs w:val="32"/>
          <w:shd w:val="clear" w:fill="FFFFFF"/>
          <w:lang w:eastAsia="zh-CN"/>
        </w:rPr>
        <w:t>减少</w:t>
      </w:r>
      <w:r>
        <w:rPr>
          <w:rFonts w:hint="eastAsia" w:ascii="仿宋_GB2312" w:hAnsi="仿宋_GB2312" w:eastAsia="仿宋_GB2312" w:cs="仿宋_GB2312"/>
          <w:sz w:val="32"/>
          <w:szCs w:val="32"/>
          <w:shd w:val="clear" w:fill="FFFFFF"/>
        </w:rPr>
        <w:t>14.59万元，</w:t>
      </w:r>
      <w:r>
        <w:rPr>
          <w:rFonts w:hint="eastAsia" w:ascii="仿宋_GB2312" w:hAnsi="仿宋_GB2312" w:eastAsia="仿宋_GB2312" w:cs="仿宋_GB2312"/>
          <w:sz w:val="32"/>
          <w:szCs w:val="32"/>
          <w:shd w:val="clear" w:fill="FFFFFF"/>
          <w:lang w:eastAsia="zh-CN"/>
        </w:rPr>
        <w:t>下降</w:t>
      </w:r>
      <w:r>
        <w:rPr>
          <w:rFonts w:hint="eastAsia" w:ascii="仿宋_GB2312" w:hAnsi="仿宋_GB2312" w:eastAsia="仿宋_GB2312" w:cs="仿宋_GB2312"/>
          <w:sz w:val="32"/>
          <w:szCs w:val="32"/>
          <w:shd w:val="clear" w:fill="FFFFFF"/>
        </w:rPr>
        <w:t>53.05%</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主要原因是</w:t>
      </w:r>
      <w:r>
        <w:rPr>
          <w:rFonts w:hint="eastAsia" w:ascii="仿宋_GB2312" w:hAnsi="仿宋_GB2312" w:eastAsia="仿宋_GB2312" w:cs="仿宋_GB2312"/>
          <w:sz w:val="32"/>
          <w:szCs w:val="32"/>
          <w:shd w:val="clear" w:fill="FFFFFF"/>
          <w:lang w:eastAsia="zh-CN"/>
        </w:rPr>
        <w:t>厉行节约减少不必要的开支</w:t>
      </w:r>
      <w:r>
        <w:rPr>
          <w:rStyle w:val="16"/>
          <w:rFonts w:hint="eastAsia" w:eastAsia="仿宋_GB2312"/>
          <w:sz w:val="24"/>
          <w:szCs w:val="24"/>
          <w:shd w:val="clear" w:fill="FFFFFF"/>
          <w:lang w:eastAsia="zh-CN"/>
        </w:rPr>
        <w:t>。</w:t>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28" w:name="_Toc7570"/>
      <w:r>
        <w:rPr>
          <w:rStyle w:val="16"/>
          <w:sz w:val="24"/>
          <w:szCs w:val="24"/>
          <w:shd w:val="clear" w:fill="FFFFFF"/>
        </w:rPr>
        <w:t>（</w:t>
      </w:r>
      <w:r>
        <w:rPr>
          <w:rStyle w:val="16"/>
          <w:rFonts w:hint="eastAsia" w:ascii="楷体_GB2312" w:hAnsi="楷体_GB2312" w:eastAsia="楷体_GB2312" w:cs="楷体_GB2312"/>
          <w:sz w:val="32"/>
          <w:szCs w:val="32"/>
          <w:shd w:val="clear" w:fill="FFFFFF"/>
        </w:rPr>
        <w:t>二）政府采购支出情况</w:t>
      </w:r>
      <w:bookmarkEnd w:id="28"/>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2020年，阿坝州红原县交通运输局（汇总）政府采购支出总额0.00万元，其中：政府采购货物支出 0.00万元、政府采购工程支出0.00万元、政府采购服务支出0.00万元。授予中小企 业合同金额0.00万元，占政府采购支出总额的0.00%，其中：授予小微企业合同金额0.00万元，占政府采购支出总额的0.00%。</w:t>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29" w:name="_Toc28059"/>
      <w:r>
        <w:rPr>
          <w:rStyle w:val="16"/>
          <w:rFonts w:hint="eastAsia" w:ascii="楷体_GB2312" w:hAnsi="楷体_GB2312" w:eastAsia="楷体_GB2312" w:cs="楷体_GB2312"/>
          <w:sz w:val="32"/>
          <w:szCs w:val="32"/>
          <w:shd w:val="clear" w:fill="FFFFFF"/>
        </w:rPr>
        <w:t>（三）国有资产占有使用情况</w:t>
      </w:r>
      <w:bookmarkEnd w:id="29"/>
    </w:p>
    <w:p>
      <w:pPr>
        <w:pStyle w:val="12"/>
        <w:keepNext w:val="0"/>
        <w:keepLines w:val="0"/>
        <w:widowControl/>
        <w:suppressLineNumbers w:val="0"/>
        <w:ind w:left="0" w:right="75" w:firstLine="640" w:firstLineChars="200"/>
        <w:jc w:val="left"/>
      </w:pPr>
      <w:r>
        <w:rPr>
          <w:rFonts w:hint="eastAsia" w:ascii="仿宋_GB2312" w:hAnsi="仿宋_GB2312" w:eastAsia="仿宋_GB2312" w:cs="仿宋_GB2312"/>
          <w:sz w:val="32"/>
          <w:szCs w:val="32"/>
          <w:shd w:val="clear" w:fill="FFFFFF"/>
        </w:rPr>
        <w:t>截至2020年12月31日，阿坝州红原县交通运输局（汇总）共有车辆1辆，其中：主要领导干部用车0 辆、机要通信用车0辆、应急保障用车1辆、执法执勤用车0 辆、特种专业技术用车0辆、离退休干部用车0辆、其他用车 0辆。主要是用于</w:t>
      </w:r>
      <w:r>
        <w:rPr>
          <w:rFonts w:hint="eastAsia" w:ascii="仿宋_GB2312" w:hAnsi="仿宋_GB2312" w:eastAsia="仿宋_GB2312" w:cs="仿宋_GB2312"/>
          <w:sz w:val="32"/>
          <w:szCs w:val="32"/>
          <w:shd w:val="clear" w:fill="FFFFFF"/>
          <w:lang w:eastAsia="zh-CN"/>
        </w:rPr>
        <w:t>开展日常业务使用</w:t>
      </w:r>
      <w:r>
        <w:rPr>
          <w:rFonts w:hint="eastAsia" w:ascii="仿宋_GB2312" w:hAnsi="仿宋_GB2312" w:eastAsia="仿宋_GB2312" w:cs="仿宋_GB2312"/>
          <w:sz w:val="32"/>
          <w:szCs w:val="32"/>
          <w:shd w:val="clear" w:fill="FFFFFF"/>
        </w:rPr>
        <w:t>。单价50万元以上通用设备0台（套），单价100万元以上专用设备0台（套）。</w:t>
      </w:r>
    </w:p>
    <w:p>
      <w:pPr>
        <w:pStyle w:val="12"/>
        <w:keepNext w:val="0"/>
        <w:keepLines w:val="0"/>
        <w:widowControl/>
        <w:suppressLineNumbers w:val="0"/>
        <w:ind w:left="0" w:right="75"/>
        <w:jc w:val="left"/>
        <w:outlineLvl w:val="2"/>
        <w:rPr>
          <w:rStyle w:val="16"/>
          <w:rFonts w:hint="eastAsia" w:ascii="楷体_GB2312" w:hAnsi="楷体_GB2312" w:eastAsia="楷体_GB2312" w:cs="楷体_GB2312"/>
          <w:sz w:val="32"/>
          <w:szCs w:val="32"/>
          <w:shd w:val="clear" w:fill="FFFFFF"/>
        </w:rPr>
      </w:pPr>
      <w:bookmarkStart w:id="30" w:name="_Toc21142"/>
      <w:r>
        <w:rPr>
          <w:rStyle w:val="16"/>
          <w:rFonts w:hint="eastAsia" w:ascii="楷体_GB2312" w:hAnsi="楷体_GB2312" w:eastAsia="楷体_GB2312" w:cs="楷体_GB2312"/>
          <w:sz w:val="32"/>
          <w:szCs w:val="32"/>
          <w:shd w:val="clear" w:fill="FFFFFF"/>
        </w:rPr>
        <w:t>（四）预算绩效管理情况。</w:t>
      </w:r>
      <w:bookmarkEnd w:id="30"/>
    </w:p>
    <w:p>
      <w:pPr>
        <w:pStyle w:val="12"/>
        <w:keepNext w:val="0"/>
        <w:keepLines w:val="0"/>
        <w:widowControl/>
        <w:suppressLineNumbers w:val="0"/>
        <w:ind w:left="0" w:right="75"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根据预算绩效管理要求，本部门（单位）在年初预算编制阶段，组织对</w:t>
      </w:r>
      <w:r>
        <w:rPr>
          <w:rFonts w:hint="eastAsia" w:ascii="仿宋_GB2312" w:hAnsi="仿宋_GB2312" w:eastAsia="仿宋_GB2312" w:cs="仿宋_GB2312"/>
          <w:sz w:val="32"/>
          <w:szCs w:val="32"/>
          <w:shd w:val="clear" w:fill="FFFFFF"/>
          <w:lang w:eastAsia="zh-CN"/>
        </w:rPr>
        <w:t>农村公路管理费</w:t>
      </w:r>
      <w:r>
        <w:rPr>
          <w:rFonts w:hint="eastAsia" w:ascii="仿宋_GB2312" w:hAnsi="仿宋_GB2312" w:eastAsia="仿宋_GB2312" w:cs="仿宋_GB2312"/>
          <w:sz w:val="32"/>
          <w:szCs w:val="32"/>
          <w:shd w:val="clear" w:fill="FFFFFF"/>
        </w:rPr>
        <w:t>项目开展了预算事前绩效评估，对</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个项目编制了绩效目标，预算执行过程中，选取</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rPr>
        <w:t>个项目开展绩效监控，年终执行完毕后，对</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rPr>
        <w:t>个项目开展了绩效目标完成情况自评。</w:t>
      </w:r>
    </w:p>
    <w:p>
      <w:pPr>
        <w:snapToGrid w:val="0"/>
        <w:spacing w:line="520" w:lineRule="exact"/>
        <w:ind w:firstLine="640" w:firstLineChars="200"/>
        <w:rPr>
          <w:rFonts w:ascii="宋体" w:hAnsi="宋体"/>
          <w:sz w:val="32"/>
          <w:szCs w:val="32"/>
        </w:rPr>
      </w:pPr>
      <w:r>
        <w:rPr>
          <w:rFonts w:hint="eastAsia" w:ascii="仿宋_GB2312" w:hAnsi="仿宋_GB2312" w:eastAsia="仿宋_GB2312" w:cs="仿宋_GB2312"/>
          <w:sz w:val="32"/>
          <w:szCs w:val="32"/>
          <w:shd w:val="clear" w:fill="FFFFFF"/>
        </w:rPr>
        <w:t>本部门按要求对2020年部门整体支出开展绩效自评，从评价情况来看</w:t>
      </w:r>
      <w:r>
        <w:rPr>
          <w:rFonts w:hint="eastAsia" w:ascii="仿宋_GB2312" w:hAnsi="仿宋_GB2312" w:eastAsia="仿宋_GB2312" w:cs="仿宋_GB2312"/>
          <w:sz w:val="32"/>
          <w:szCs w:val="32"/>
          <w:shd w:val="clear" w:fill="FFFFFF"/>
          <w:lang w:eastAsia="zh-CN"/>
        </w:rPr>
        <w:t>本单位较好的履行了职务，确保了的单位的正常运转，各项目资金合理有限使用。</w:t>
      </w:r>
      <w:r>
        <w:rPr>
          <w:rFonts w:hint="eastAsia" w:ascii="仿宋_GB2312" w:hAnsi="仿宋_GB2312" w:eastAsia="仿宋_GB2312" w:cs="仿宋_GB2312"/>
          <w:sz w:val="32"/>
          <w:szCs w:val="32"/>
          <w:shd w:val="clear" w:fill="FFFFFF"/>
          <w:lang w:val="zh-CN" w:eastAsia="zh-CN"/>
        </w:rPr>
        <w:t>积极履行职责，强化本单位预算管理，</w:t>
      </w:r>
      <w:r>
        <w:rPr>
          <w:rFonts w:hint="eastAsia" w:ascii="仿宋_GB2312" w:hAnsi="仿宋_GB2312" w:eastAsia="仿宋_GB2312" w:cs="仿宋_GB2312"/>
          <w:sz w:val="32"/>
          <w:szCs w:val="32"/>
          <w:shd w:val="clear" w:fill="FFFFFF"/>
          <w:lang w:eastAsia="zh-CN"/>
        </w:rPr>
        <w:t>在绩效目标编制方面，针对绩效目标设置指向不清、预算和目标匹配不足，数量目标和质量目标量化不细，效益目标编制不完整等方面加以了改善。目前单位绩效评价结果还停留在反映情况、找问题、提建议层面，评价结果和预算安排有机结合的机制尚未真正建立。</w:t>
      </w:r>
    </w:p>
    <w:p>
      <w:pPr>
        <w:numPr>
          <w:ilvl w:val="0"/>
          <w:numId w:val="2"/>
        </w:numPr>
        <w:spacing w:line="580" w:lineRule="exact"/>
        <w:ind w:left="638" w:leftChars="304" w:firstLine="0" w:firstLineChars="0"/>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项目绩效目标完成情况。</w:t>
      </w:r>
    </w:p>
    <w:p>
      <w:pPr>
        <w:numPr>
          <w:ilvl w:val="0"/>
          <w:numId w:val="0"/>
        </w:num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红原县邛溪镇热坤村人居环境综合整治及人行道建设项目</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等5</w:t>
      </w:r>
      <w:r>
        <w:rPr>
          <w:rFonts w:hint="eastAsia" w:ascii="仿宋_GB2312" w:hAnsi="仿宋_GB2312" w:eastAsia="仿宋_GB2312" w:cs="仿宋_GB2312"/>
          <w:b w:val="0"/>
          <w:bCs w:val="0"/>
          <w:sz w:val="32"/>
          <w:szCs w:val="32"/>
        </w:rPr>
        <w:t>个项目绩效目标实际完成情况。</w:t>
      </w:r>
    </w:p>
    <w:p>
      <w:pPr>
        <w:tabs>
          <w:tab w:val="left" w:pos="312"/>
        </w:tabs>
        <w:spacing w:line="580" w:lineRule="exact"/>
        <w:ind w:firstLine="480" w:firstLineChars="150"/>
        <w:rPr>
          <w:rFonts w:cs="仿宋_GB2312" w:asciiTheme="minorEastAsia" w:hAnsiTheme="minorEastAsia" w:eastAsiaTheme="minorEastAsia"/>
          <w:sz w:val="32"/>
          <w:szCs w:val="32"/>
        </w:rPr>
      </w:pPr>
      <w:r>
        <w:rPr>
          <w:rFonts w:hint="eastAsia" w:cs="仿宋_GB2312" w:asciiTheme="minorEastAsia" w:hAnsiTheme="minorEastAsia" w:eastAsiaTheme="minorEastAsia"/>
          <w:sz w:val="32"/>
          <w:szCs w:val="32"/>
        </w:rPr>
        <w:t>（1）</w:t>
      </w:r>
      <w:r>
        <w:rPr>
          <w:rFonts w:hint="eastAsia" w:ascii="仿宋_GB2312" w:hAnsi="仿宋_GB2312" w:eastAsia="仿宋_GB2312" w:cs="仿宋_GB2312"/>
          <w:sz w:val="32"/>
          <w:szCs w:val="32"/>
          <w:lang w:eastAsia="zh-CN"/>
        </w:rPr>
        <w:t>红原县邛溪镇热坤村人居环境综合整治及人行道建设项目绩</w:t>
      </w:r>
      <w:r>
        <w:rPr>
          <w:rFonts w:hint="eastAsia" w:ascii="仿宋_GB2312" w:hAnsi="仿宋_GB2312" w:eastAsia="仿宋_GB2312" w:cs="仿宋_GB2312"/>
          <w:sz w:val="32"/>
          <w:szCs w:val="32"/>
        </w:rPr>
        <w:t>效目标完成情况综述。</w:t>
      </w:r>
    </w:p>
    <w:p>
      <w:pPr>
        <w:numPr>
          <w:ilvl w:val="0"/>
          <w:numId w:val="0"/>
        </w:numPr>
        <w:ind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w:t>
      </w:r>
      <w:r>
        <w:rPr>
          <w:rFonts w:hint="eastAsia" w:ascii="仿宋_GB2312" w:hAnsi="仿宋_GB2312" w:eastAsia="仿宋_GB2312" w:cs="仿宋_GB2312"/>
          <w:sz w:val="32"/>
          <w:szCs w:val="32"/>
          <w:lang w:eastAsia="zh-CN"/>
        </w:rPr>
        <w:t>新建48条村内道路两侧带状绿化、村内广场及村委会绿化，共计绿化面积41410平方米；入村主干路两侧各增加2米宽人行道铺装及路面排水系统，长1.01公里；入口设标志石1座。</w:t>
      </w:r>
      <w:r>
        <w:rPr>
          <w:rFonts w:hint="eastAsia" w:ascii="仿宋_GB2312" w:hAnsi="仿宋_GB2312" w:eastAsia="仿宋_GB2312" w:cs="仿宋_GB2312"/>
          <w:sz w:val="32"/>
          <w:szCs w:val="32"/>
        </w:rPr>
        <w:t>发现的主要问题：无。下一步改进措施：无。</w:t>
      </w:r>
    </w:p>
    <w:p>
      <w:pPr>
        <w:tabs>
          <w:tab w:val="left" w:pos="2220"/>
        </w:tabs>
        <w:rPr>
          <w:rFonts w:asciiTheme="minorEastAsia" w:hAnsiTheme="minorEastAsia" w:eastAsiaTheme="minorEastAsia"/>
        </w:rPr>
      </w:pPr>
      <w:r>
        <w:rPr>
          <w:rFonts w:asciiTheme="minorEastAsia" w:hAnsiTheme="minorEastAsia" w:eastAsiaTheme="minorEastAsia"/>
        </w:rPr>
        <w:tab/>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41"/>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红原县邛溪镇热坤村人居环境综合整治及人行道建设项目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红原县交通运输局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eastAsiaTheme="minorEastAsia"/>
                <w:b/>
                <w:color w:val="000000"/>
                <w:sz w:val="24"/>
              </w:rPr>
            </w:pPr>
            <w:r>
              <w:rPr>
                <w:rFonts w:hint="eastAsia" w:cs="仿宋_GB2312" w:asciiTheme="minorEastAsia" w:hAnsiTheme="minorEastAsia" w:eastAsiaTheme="minorEastAsia"/>
                <w:sz w:val="21"/>
                <w:szCs w:val="21"/>
                <w:lang w:val="en-US" w:eastAsia="zh-CN"/>
              </w:rPr>
              <w:t>新建48条村内道路两侧带状绿化、村内广场及村委会绿化，共计绿化面积41410平方米；入村主干路两侧各增加2米宽人行道铺装及路面排水系统，长1.01公里；入口设标志石1座。</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18"/>
                <w:szCs w:val="18"/>
              </w:rPr>
            </w:pPr>
            <w:r>
              <w:rPr>
                <w:rFonts w:hint="eastAsia" w:cs="仿宋_GB2312" w:asciiTheme="minorEastAsia" w:hAnsiTheme="minorEastAsia" w:eastAsiaTheme="minorEastAsia"/>
                <w:sz w:val="21"/>
                <w:szCs w:val="21"/>
                <w:lang w:val="en-US" w:eastAsia="zh-CN"/>
              </w:rPr>
              <w:t>新建48条村内道路两侧带状绿化、村内广场及村委会绿化，共计绿化面积41410平方米；入村主干路两侧各增加2米宽人行道铺装及路面排水系统，长1.01公里；入口设标志石1座。</w:t>
            </w:r>
          </w:p>
        </w:tc>
      </w:tr>
      <w:tr>
        <w:tblPrEx>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指标评价内容</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实际完成指标值(包含数字及文字描述)</w:t>
            </w: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项目预期提供的产品、服务、效益或其他目标明确,即绩效目标实际明确个数/应当明确个数×100%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bCs/>
                <w:color w:val="000000"/>
                <w:sz w:val="18"/>
                <w:szCs w:val="18"/>
                <w:lang w:val="en-US"/>
              </w:rPr>
            </w:pPr>
            <w:r>
              <w:rPr>
                <w:rFonts w:hint="eastAsia" w:cs="仿宋_GB2312" w:asciiTheme="minorEastAsia" w:hAnsiTheme="minorEastAsia"/>
                <w:sz w:val="21"/>
                <w:szCs w:val="21"/>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21"/>
                <w:szCs w:val="21"/>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项目计划实施进度明确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21"/>
                <w:szCs w:val="21"/>
                <w:lang w:val="en-US" w:eastAsia="zh-CN"/>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21"/>
                <w:szCs w:val="21"/>
                <w:lang w:val="en-US" w:eastAsia="zh-CN"/>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绩效目标设定符合实际需求的抽样项目点个数/抽样项目点总数×100%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sz w:val="21"/>
                <w:szCs w:val="21"/>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sz w:val="21"/>
                <w:szCs w:val="21"/>
                <w:lang w:val="en-US" w:eastAsia="zh-CN"/>
              </w:rPr>
              <w:t>100%</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项目符合党中央、国务院和省委、省政府决策部署；符合当前经济社会发展需要</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r>
              <w:rPr>
                <w:rFonts w:hint="eastAsia" w:cs="仿宋_GB2312" w:asciiTheme="minorEastAsia" w:hAnsiTheme="minorEastAsia" w:eastAsiaTheme="minorEastAsia"/>
                <w:kern w:val="0"/>
                <w:sz w:val="16"/>
                <w:szCs w:val="16"/>
              </w:rPr>
              <w:t>（</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连续性项目根据需要制定中长期实施规划</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仿宋_GB2312" w:asciiTheme="minorEastAsia" w:hAnsiTheme="minorEastAsia" w:eastAsiaTheme="minorEastAsia"/>
                <w:kern w:val="0"/>
                <w:sz w:val="18"/>
                <w:szCs w:val="18"/>
                <w:lang w:val="en-US" w:eastAsia="zh-CN"/>
              </w:rPr>
            </w:pPr>
            <w:r>
              <w:rPr>
                <w:rFonts w:hint="eastAsia" w:cs="仿宋_GB2312" w:asciiTheme="minorEastAsia" w:hAnsiTheme="minorEastAsia"/>
                <w:kern w:val="0"/>
                <w:sz w:val="18"/>
                <w:szCs w:val="18"/>
                <w:lang w:eastAsia="zh-CN"/>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8"/>
                <w:szCs w:val="18"/>
                <w:lang w:val="en-US" w:eastAsia="zh-CN"/>
              </w:rPr>
              <w:t>已完成目标</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制定项目资金管理办法</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color w:val="000000"/>
                <w:sz w:val="20"/>
                <w:szCs w:val="20"/>
                <w:lang w:eastAsia="zh-CN"/>
              </w:rPr>
            </w:pPr>
            <w:r>
              <w:rPr>
                <w:rFonts w:hint="eastAsia" w:cs="宋体" w:asciiTheme="minorEastAsia" w:hAnsiTheme="minorEastAsia" w:eastAsiaTheme="minorEastAsia"/>
                <w:color w:val="000000"/>
                <w:sz w:val="20"/>
                <w:szCs w:val="20"/>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000000"/>
                <w:sz w:val="20"/>
                <w:szCs w:val="20"/>
                <w:lang w:eastAsia="zh-CN"/>
              </w:rPr>
            </w:pPr>
            <w:r>
              <w:rPr>
                <w:rFonts w:hint="eastAsia" w:cs="仿宋_GB2312" w:asciiTheme="minorEastAsia" w:hAnsiTheme="minorEastAsia" w:eastAsiaTheme="minorEastAsia"/>
                <w:kern w:val="0"/>
                <w:sz w:val="16"/>
                <w:szCs w:val="16"/>
                <w:lang w:val="en-US" w:eastAsia="zh-CN"/>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kern w:val="0"/>
                <w:sz w:val="16"/>
                <w:szCs w:val="16"/>
                <w:lang w:val="en-US"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lang w:val="en-US" w:eastAsia="zh-CN"/>
              </w:rPr>
              <w:t>方</w:t>
            </w:r>
            <w:r>
              <w:rPr>
                <w:rFonts w:hint="eastAsia" w:cs="仿宋_GB2312" w:asciiTheme="minorEastAsia" w:hAnsiTheme="minorEastAsia"/>
                <w:kern w:val="0"/>
                <w:sz w:val="16"/>
                <w:szCs w:val="16"/>
                <w:lang w:val="en-US" w:eastAsia="zh-CN"/>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分配过程符合相关规定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16"/>
                <w:szCs w:val="16"/>
              </w:rPr>
              <w:t>按实际分配结果选择客观因素测算验证资金分配方法制定、分配要素设定、基础数据应用、测算依据选取等是否科学合理（2分）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县级主管部门按规定及时分配资金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按规定及时拨付资金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资金使用是否合规</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资金支付依据符合规定，即支付依旧合规资金量/资金总量×100%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资金开支标准符合规定，即开支标准合规资金量/资金总量×100%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财务制度健全，管理规范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项目调整严格履行相关手续</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仿宋_GB2312" w:asciiTheme="minorEastAsia" w:hAnsiTheme="minorEastAsia" w:eastAsiaTheme="minorEastAsia"/>
                <w:kern w:val="0"/>
                <w:sz w:val="16"/>
                <w:szCs w:val="16"/>
                <w:lang w:eastAsia="zh-CN"/>
              </w:rPr>
            </w:pPr>
            <w:r>
              <w:rPr>
                <w:rFonts w:hint="eastAsia" w:cs="仿宋_GB2312" w:asciiTheme="minorEastAsia" w:hAnsiTheme="minorEastAsia" w:eastAsiaTheme="minorEastAsia"/>
                <w:kern w:val="0"/>
                <w:sz w:val="16"/>
                <w:szCs w:val="16"/>
                <w:lang w:val="en-US" w:eastAsia="zh-CN"/>
              </w:rPr>
              <w:t>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lang w:val="en-US" w:eastAsia="zh-CN"/>
              </w:rPr>
              <w:t>无调整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项目投资变更额/项目总投入×100%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严格执行项目有关制度规定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实际完成任务量/绩效目标设定任务量×100%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仿宋_GB2312" w:asciiTheme="minorEastAsia" w:hAnsiTheme="minorEastAsia"/>
                <w:sz w:val="21"/>
                <w:szCs w:val="21"/>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仿宋_GB2312" w:asciiTheme="minorEastAsia" w:hAnsiTheme="minorEastAsia"/>
                <w:sz w:val="21"/>
                <w:szCs w:val="21"/>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符合绩效目标设定的验收标准，达到行业基准水平</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（实际完成时间-绩效目标设定完成时间）/绩效目标设定完成时间×100%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（实际完成成本-预计完成成本）/预计完成成本×100%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反映相关产出对经济社会发展带来的影响和效果，根据项目实际细化具体指标。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反映相关产出对自然环境带来的影响和效果，根据项目实际细化具体指标。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反映相关产出带来影响的可持续期限，根据项目实际细化具体指标。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已完工有效的方便了农牧民群众的出行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反映服务对象或项目受益人对相关产出及其影响的认可程度，根据项目实际细化具体指标。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r>
    </w:tbl>
    <w:p>
      <w:pPr>
        <w:spacing w:line="580" w:lineRule="exact"/>
        <w:rPr>
          <w:rFonts w:cs="仿宋_GB2312" w:asciiTheme="minorEastAsia" w:hAnsiTheme="minorEastAsia" w:eastAsiaTheme="minorEastAsia"/>
          <w:sz w:val="32"/>
          <w:szCs w:val="32"/>
        </w:rPr>
      </w:pPr>
    </w:p>
    <w:p>
      <w:pPr>
        <w:tabs>
          <w:tab w:val="left" w:pos="312"/>
        </w:tabs>
        <w:spacing w:line="580" w:lineRule="exact"/>
        <w:ind w:firstLine="480" w:firstLineChars="150"/>
        <w:rPr>
          <w:rFonts w:hint="eastAsia" w:ascii="仿宋_GB2312" w:hAnsi="仿宋_GB2312" w:eastAsia="仿宋_GB2312" w:cs="仿宋_GB2312"/>
          <w:sz w:val="32"/>
          <w:szCs w:val="32"/>
          <w:lang w:eastAsia="zh-CN"/>
        </w:rPr>
      </w:pPr>
      <w:r>
        <w:rPr>
          <w:rFonts w:hint="eastAsia" w:cs="仿宋_GB2312" w:asciiTheme="minorEastAsia" w:hAnsiTheme="minorEastAsia" w:eastAsiaTheme="minorEastAsia"/>
          <w:sz w:val="32"/>
          <w:szCs w:val="32"/>
        </w:rPr>
        <w:t>（</w:t>
      </w:r>
      <w:r>
        <w:rPr>
          <w:rFonts w:hint="eastAsia" w:cs="仿宋_GB2312" w:asciiTheme="minorEastAsia" w:hAnsiTheme="minorEastAsia" w:eastAsiaTheme="minorEastAsia"/>
          <w:sz w:val="32"/>
          <w:szCs w:val="32"/>
          <w:lang w:val="en-US" w:eastAsia="zh-CN"/>
        </w:rPr>
        <w:t>2</w:t>
      </w:r>
      <w:r>
        <w:rPr>
          <w:rFonts w:hint="eastAsia" w:cs="仿宋_GB2312" w:asciiTheme="minorEastAsia" w:hAnsiTheme="minorEastAsia" w:eastAsiaTheme="minorEastAsia"/>
          <w:sz w:val="32"/>
          <w:szCs w:val="32"/>
        </w:rPr>
        <w:t>）</w:t>
      </w:r>
      <w:r>
        <w:rPr>
          <w:rFonts w:hint="eastAsia" w:ascii="仿宋_GB2312" w:hAnsi="仿宋_GB2312" w:eastAsia="仿宋_GB2312" w:cs="仿宋_GB2312"/>
          <w:sz w:val="32"/>
          <w:szCs w:val="32"/>
          <w:lang w:eastAsia="zh-CN"/>
        </w:rPr>
        <w:t>红原县安曲镇下哈拉玛村、夺龙村、哈拉玛村人居环境综合整治项目</w:t>
      </w:r>
      <w:r>
        <w:rPr>
          <w:rFonts w:hint="eastAsia" w:cs="仿宋_GB2312" w:asciiTheme="minorEastAsia" w:hAnsiTheme="minorEastAsia" w:eastAsiaTheme="minorEastAsia"/>
          <w:sz w:val="32"/>
          <w:szCs w:val="32"/>
        </w:rPr>
        <w:t>绩效</w:t>
      </w:r>
      <w:r>
        <w:rPr>
          <w:rFonts w:hint="eastAsia" w:ascii="仿宋_GB2312" w:hAnsi="仿宋_GB2312" w:eastAsia="仿宋_GB2312" w:cs="仿宋_GB2312"/>
          <w:sz w:val="32"/>
          <w:szCs w:val="32"/>
          <w:lang w:eastAsia="zh-CN"/>
        </w:rPr>
        <w:t>目标完成情况综述。</w:t>
      </w:r>
    </w:p>
    <w:p>
      <w:pPr>
        <w:numPr>
          <w:ilvl w:val="0"/>
          <w:numId w:val="0"/>
        </w:numPr>
        <w:ind w:leftChars="0"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项目全年预算数</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459.19</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91.84</w:t>
      </w:r>
      <w:r>
        <w:rPr>
          <w:rFonts w:hint="eastAsia" w:ascii="仿宋_GB2312" w:hAnsi="仿宋_GB2312" w:eastAsia="仿宋_GB2312" w:cs="仿宋_GB2312"/>
          <w:sz w:val="32"/>
          <w:szCs w:val="32"/>
          <w:lang w:eastAsia="zh-CN"/>
        </w:rPr>
        <w:t>%。通过项目实施新建下哈拉玛村入村主干路两侧带状绿化、村内广场及村委会绿化，共计绿化面积34750平方米，入口设标志石1座；哈拉玛村2条村内道路两侧带状绿化、村内广场及村委会绿化，共计绿化面积22978平方米，排水沟渠化45米；夺龙村6条村内道路两侧带状绿化及村委会绿化，共计绿化面积24662平方米，排水沟渠化195米。发现的主要问题：无。下一步改进措施：无。</w:t>
      </w:r>
    </w:p>
    <w:p>
      <w:pPr>
        <w:tabs>
          <w:tab w:val="left" w:pos="2220"/>
        </w:tabs>
        <w:rPr>
          <w:rFonts w:asciiTheme="minorEastAsia" w:hAnsiTheme="minorEastAsia" w:eastAsiaTheme="minorEastAsia"/>
        </w:rPr>
      </w:pPr>
      <w:r>
        <w:rPr>
          <w:rFonts w:asciiTheme="minorEastAsia" w:hAnsiTheme="minorEastAsia" w:eastAsiaTheme="minorEastAsia"/>
        </w:rPr>
        <w:tab/>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41"/>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ascii="仿宋_GB2312" w:hAnsi="仿宋_GB2312" w:eastAsia="仿宋_GB2312" w:cs="仿宋_GB2312"/>
                <w:sz w:val="24"/>
                <w:szCs w:val="24"/>
                <w:lang w:eastAsia="zh-CN"/>
              </w:rPr>
              <w:t>红原县安曲镇下哈拉玛村、夺龙村、哈拉玛村人居环境综合整治项目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红原县交通运输局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500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459.19</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500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459.19</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Chars="0"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新建下哈拉玛村入村主干路两侧带状绿化、村内广场及村委会绿化，共计绿化面积34750平方米，入口设标志石1座；哈拉玛村2条村内道路两侧带状绿化、村内广场及村委会绿化，共计绿化面积22978平方米，排水沟渠化45米；夺龙村6条村内道路两侧带状绿化及村委会绿化，共计绿化面积24662平方米，排水沟渠化195米。</w:t>
            </w:r>
          </w:p>
          <w:p>
            <w:pPr>
              <w:rPr>
                <w:rFonts w:cs="宋体" w:asciiTheme="minorEastAsia" w:hAnsiTheme="minorEastAsia" w:eastAsiaTheme="minorEastAsia"/>
                <w:b/>
                <w:color w:val="000000"/>
                <w:sz w:val="24"/>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Chars="0"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新建下哈拉玛村入村主干路两侧带状绿化、村内广场及村委会绿化，共计绿化面积34750平方米，入口设标志石1座；哈拉玛村2条村内道路两侧带状绿化、村内广场及村委会绿化，共计绿化面积22978平方米，排水沟渠化45米；夺龙村6条村内道路两侧带状绿化及村委会绿化，共计绿化面积24662平方米，排水沟渠化195米。</w:t>
            </w:r>
          </w:p>
          <w:p>
            <w:pPr>
              <w:jc w:val="center"/>
              <w:rPr>
                <w:rFonts w:cs="宋体" w:asciiTheme="minorEastAsia" w:hAnsiTheme="minorEastAsia" w:eastAsiaTheme="minorEastAsia"/>
                <w:b/>
                <w:color w:val="000000"/>
                <w:sz w:val="18"/>
                <w:szCs w:val="18"/>
              </w:rPr>
            </w:pPr>
          </w:p>
        </w:tc>
      </w:tr>
      <w:tr>
        <w:tblPrEx>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指标评价内容</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实际完成指标值(包含数字及文字描述)</w:t>
            </w: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项目预期提供的产品、服务、效益或其他目标明确,即绩效目标实际明确个数/应当明确个数×100%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bCs/>
                <w:color w:val="000000"/>
                <w:sz w:val="18"/>
                <w:szCs w:val="18"/>
                <w:lang w:val="en-US" w:eastAsia="zh-CN"/>
              </w:rPr>
            </w:pPr>
            <w:r>
              <w:rPr>
                <w:rFonts w:hint="eastAsia"/>
                <w:sz w:val="32"/>
                <w:szCs w:val="32"/>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bCs/>
                <w:color w:val="000000"/>
                <w:sz w:val="18"/>
                <w:szCs w:val="18"/>
                <w:lang w:eastAsia="zh-CN"/>
              </w:rPr>
            </w:pPr>
            <w:r>
              <w:rPr>
                <w:rFonts w:hint="eastAsia"/>
                <w:sz w:val="32"/>
                <w:szCs w:val="32"/>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项目计划实施进度明确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cs="宋体" w:asciiTheme="minorEastAsia" w:hAnsiTheme="minorEastAsia" w:eastAsiaTheme="minorEastAsia"/>
                <w:bCs/>
                <w:color w:val="000000"/>
                <w:sz w:val="18"/>
                <w:szCs w:val="18"/>
              </w:rPr>
            </w:pPr>
            <w:r>
              <w:rPr>
                <w:rFonts w:hint="eastAsia"/>
                <w:sz w:val="32"/>
                <w:szCs w:val="32"/>
                <w:lang w:eastAsia="zh-CN"/>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bCs/>
                <w:color w:val="000000"/>
                <w:sz w:val="18"/>
                <w:szCs w:val="18"/>
                <w:lang w:eastAsia="zh-CN"/>
              </w:rPr>
            </w:pPr>
            <w:r>
              <w:rPr>
                <w:rFonts w:hint="eastAsia"/>
                <w:sz w:val="32"/>
                <w:szCs w:val="32"/>
                <w:lang w:eastAsia="zh-CN"/>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绩效目标设定符合实际需求的抽样项目点个数/抽样项目点总数×100%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仿宋_GB2312" w:asciiTheme="minorEastAsia" w:hAnsiTheme="minorEastAsia" w:eastAsiaTheme="minorEastAsia"/>
                <w:kern w:val="0"/>
                <w:sz w:val="18"/>
                <w:szCs w:val="18"/>
                <w:lang w:val="en-US" w:eastAsia="zh-CN"/>
              </w:rPr>
            </w:pPr>
            <w:r>
              <w:rPr>
                <w:rFonts w:hint="eastAsia"/>
                <w:sz w:val="32"/>
                <w:szCs w:val="32"/>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仿宋_GB2312" w:asciiTheme="minorEastAsia" w:hAnsiTheme="minorEastAsia" w:eastAsiaTheme="minorEastAsia"/>
                <w:kern w:val="0"/>
                <w:sz w:val="18"/>
                <w:szCs w:val="18"/>
                <w:lang w:eastAsia="zh-CN"/>
              </w:rPr>
            </w:pPr>
            <w:r>
              <w:rPr>
                <w:rFonts w:hint="eastAsia"/>
                <w:sz w:val="32"/>
                <w:szCs w:val="32"/>
                <w:lang w:val="en-US" w:eastAsia="zh-CN"/>
              </w:rPr>
              <w:t>100%</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项目符合党中央、国务院和省委、省政府决策部署；符合当前经济社会发展需要</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连续性项目根据需要制定中长期实施规划</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仿宋_GB2312" w:asciiTheme="minorEastAsia" w:hAnsiTheme="minorEastAsia" w:eastAsiaTheme="minorEastAsia"/>
                <w:kern w:val="0"/>
                <w:sz w:val="18"/>
                <w:szCs w:val="18"/>
                <w:lang w:val="en-US" w:eastAsia="zh-CN"/>
              </w:rPr>
            </w:pPr>
            <w:r>
              <w:rPr>
                <w:rFonts w:hint="eastAsia" w:cs="仿宋_GB2312" w:asciiTheme="minorEastAsia" w:hAnsiTheme="minorEastAsia"/>
                <w:kern w:val="0"/>
                <w:sz w:val="18"/>
                <w:szCs w:val="18"/>
                <w:lang w:val="en-US"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8"/>
                <w:szCs w:val="18"/>
                <w:lang w:val="en-US" w:eastAsia="zh-CN"/>
              </w:rPr>
              <w:t>已完成目标</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制定项目资金管理办法</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color w:val="000000"/>
                <w:sz w:val="20"/>
                <w:szCs w:val="20"/>
                <w:lang w:eastAsia="zh-CN"/>
              </w:rPr>
            </w:pPr>
            <w:r>
              <w:rPr>
                <w:rFonts w:hint="eastAsia" w:cs="宋体" w:asciiTheme="minorEastAsia" w:hAnsiTheme="minorEastAsia" w:eastAsiaTheme="minorEastAsia"/>
                <w:color w:val="000000"/>
                <w:sz w:val="20"/>
                <w:szCs w:val="20"/>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000000"/>
                <w:sz w:val="20"/>
                <w:szCs w:val="20"/>
                <w:lang w:eastAsia="zh-CN"/>
              </w:rPr>
            </w:pPr>
            <w:r>
              <w:rPr>
                <w:rFonts w:hint="eastAsia" w:cs="仿宋_GB2312" w:asciiTheme="minorEastAsia" w:hAnsiTheme="minorEastAsia" w:eastAsiaTheme="minorEastAsia"/>
                <w:kern w:val="0"/>
                <w:sz w:val="16"/>
                <w:szCs w:val="16"/>
                <w:lang w:val="en-US" w:eastAsia="zh-CN"/>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kern w:val="0"/>
                <w:sz w:val="16"/>
                <w:szCs w:val="16"/>
                <w:lang w:val="en-US"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kern w:val="0"/>
                <w:sz w:val="16"/>
                <w:szCs w:val="16"/>
                <w:lang w:val="en-US" w:eastAsia="zh-CN"/>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分配过程符合相关规定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16"/>
                <w:szCs w:val="16"/>
              </w:rPr>
              <w:t>按实际分配结果选择客观因素测算验证资金分配方法制定、分配要素设定、基础数据应用、测算依据选取等是否科学合理（2分）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县级主管部门按规定及时分配资金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按规定及时拨付资金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资金使用是否合规</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资金支付依据符合规定，即支付依旧合规资金量/资金总量×100%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资金开支标准符合规定，即开支标准合规资金量/资金总量×100%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财务制度健全，管理规范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项目调整严格履行相关手续</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仿宋_GB2312" w:asciiTheme="minorEastAsia" w:hAnsiTheme="minorEastAsia" w:eastAsiaTheme="minorEastAsia"/>
                <w:kern w:val="0"/>
                <w:sz w:val="16"/>
                <w:szCs w:val="16"/>
                <w:lang w:eastAsia="zh-CN"/>
              </w:rPr>
            </w:pPr>
            <w:r>
              <w:rPr>
                <w:rFonts w:hint="eastAsia" w:cs="仿宋_GB2312" w:asciiTheme="minorEastAsia" w:hAnsiTheme="minorEastAsia" w:eastAsiaTheme="minorEastAsia"/>
                <w:kern w:val="0"/>
                <w:sz w:val="16"/>
                <w:szCs w:val="16"/>
                <w:lang w:val="en-US" w:eastAsia="zh-CN"/>
              </w:rPr>
              <w:t>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lang w:val="en-US" w:eastAsia="zh-CN"/>
              </w:rPr>
              <w:t>无调整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项目投资变更额/项目总投入×100%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严格执行项目有关制度规定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实际完成任务量/绩效目标设定任务量×100%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符合绩效目标设定的验收标准，达到行业基准水平</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（实际完成时间-绩效目标设定完成时间）/绩效目标设定完成时间×100%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（实际完成成本-预计完成成本）/预计完成成本×100%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反映相关产出对经济社会发展带来的影响和效果，根据项目实际细化具体指标。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反映相关产出对自然环境带来的影响和效果，根据项目实际细化具体指标。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反映相关产出带来影响的可持续期限，根据项目实际细化具体指标。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已完工有效的方便了农牧民群众的出行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反映服务对象或项目受益人对相关产出及其影响的认可程度，根据项目实际细化具体指标。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r>
    </w:tbl>
    <w:p>
      <w:pPr>
        <w:tabs>
          <w:tab w:val="left" w:pos="312"/>
        </w:tabs>
        <w:spacing w:line="580" w:lineRule="exact"/>
        <w:ind w:firstLine="480" w:firstLineChars="150"/>
        <w:rPr>
          <w:rFonts w:hint="eastAsia" w:ascii="仿宋_GB2312" w:hAnsi="仿宋_GB2312" w:eastAsia="仿宋_GB2312" w:cs="仿宋_GB2312"/>
          <w:kern w:val="2"/>
          <w:sz w:val="32"/>
          <w:szCs w:val="32"/>
          <w:lang w:val="en-US" w:eastAsia="zh-CN" w:bidi="ar-SA"/>
        </w:rPr>
      </w:pPr>
      <w:r>
        <w:rPr>
          <w:rFonts w:hint="eastAsia" w:cs="仿宋_GB2312" w:asciiTheme="minorEastAsia" w:hAnsiTheme="minorEastAsia" w:eastAsiaTheme="minorEastAsia"/>
          <w:sz w:val="32"/>
          <w:szCs w:val="32"/>
        </w:rPr>
        <w:t>（</w:t>
      </w:r>
      <w:r>
        <w:rPr>
          <w:rFonts w:hint="eastAsia" w:cs="仿宋_GB2312" w:asciiTheme="minorEastAsia" w:hAnsiTheme="minorEastAsia" w:eastAsiaTheme="minorEastAsia"/>
          <w:sz w:val="32"/>
          <w:szCs w:val="32"/>
          <w:lang w:val="en-US" w:eastAsia="zh-CN"/>
        </w:rPr>
        <w:t>3</w:t>
      </w:r>
      <w:r>
        <w:rPr>
          <w:rFonts w:hint="eastAsia" w:cs="仿宋_GB2312" w:asciiTheme="minorEastAsia" w:hAnsiTheme="minorEastAsia" w:eastAsiaTheme="minorEastAsia"/>
          <w:sz w:val="32"/>
          <w:szCs w:val="32"/>
        </w:rPr>
        <w:t>）</w:t>
      </w:r>
      <w:r>
        <w:rPr>
          <w:rFonts w:hint="eastAsia" w:ascii="仿宋_GB2312" w:hAnsi="仿宋_GB2312" w:eastAsia="仿宋_GB2312" w:cs="仿宋_GB2312"/>
          <w:kern w:val="2"/>
          <w:sz w:val="32"/>
          <w:szCs w:val="32"/>
          <w:lang w:val="en-US" w:eastAsia="zh-CN" w:bidi="ar-SA"/>
        </w:rPr>
        <w:t>红原县龙日种畜场桥梁建设项目绩效目标完成情况综述。</w:t>
      </w:r>
    </w:p>
    <w:p>
      <w:pPr>
        <w:pStyle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项目全年预算数360万元，执行数为360万元，完成预算的100%。通过项目实施新建2-13米预应力钢筋砼简支空心板桥及桥头引道，桥梁全宽7.5米，长31.04米，路线全长300米。发现的主要问题：无。下一步改进措施：无。</w:t>
      </w:r>
    </w:p>
    <w:p>
      <w:pPr>
        <w:tabs>
          <w:tab w:val="left" w:pos="2220"/>
        </w:tabs>
        <w:rPr>
          <w:rFonts w:asciiTheme="minorEastAsia" w:hAnsiTheme="minorEastAsia" w:eastAsiaTheme="minorEastAsia"/>
        </w:rPr>
      </w:pPr>
      <w:r>
        <w:rPr>
          <w:rFonts w:asciiTheme="minorEastAsia" w:hAnsiTheme="minorEastAsia" w:eastAsiaTheme="minorEastAsia"/>
        </w:rPr>
        <w:tab/>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733"/>
        <w:gridCol w:w="1739"/>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szCs w:val="24"/>
              </w:rPr>
            </w:pPr>
            <w:r>
              <w:rPr>
                <w:rFonts w:hint="eastAsia" w:ascii="仿宋_GB2312" w:hAnsi="仿宋_GB2312" w:eastAsia="仿宋_GB2312" w:cs="仿宋_GB2312"/>
                <w:kern w:val="2"/>
                <w:sz w:val="24"/>
                <w:szCs w:val="24"/>
                <w:lang w:val="en-US" w:eastAsia="zh-CN" w:bidi="ar-SA"/>
              </w:rPr>
              <w:t>红原县龙日种畜场桥梁建设项目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红原县交通运输局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360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eastAsiaTheme="minorEastAsia"/>
                <w:b/>
                <w:color w:val="000000"/>
                <w:sz w:val="24"/>
              </w:rPr>
            </w:pPr>
            <w:r>
              <w:rPr>
                <w:rFonts w:hint="eastAsia" w:ascii="仿宋_GB2312" w:hAnsi="仿宋_GB2312" w:eastAsia="仿宋_GB2312" w:cs="仿宋_GB2312"/>
                <w:kern w:val="2"/>
                <w:sz w:val="21"/>
                <w:szCs w:val="21"/>
                <w:lang w:val="en-US" w:eastAsia="zh-CN" w:bidi="ar-SA"/>
              </w:rPr>
              <w:t>新建2-13米预应力钢筋砼简支空心板桥及桥头引道，桥梁全宽7.5米，长31.04米，路线全长300米</w:t>
            </w:r>
            <w:r>
              <w:rPr>
                <w:rFonts w:hint="eastAsia"/>
                <w:sz w:val="32"/>
                <w:szCs w:val="32"/>
                <w:lang w:eastAsia="zh-CN"/>
              </w:rPr>
              <w:t>。</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18"/>
                <w:szCs w:val="18"/>
              </w:rPr>
            </w:pPr>
            <w:r>
              <w:rPr>
                <w:rFonts w:hint="eastAsia" w:ascii="仿宋_GB2312" w:hAnsi="仿宋_GB2312" w:eastAsia="仿宋_GB2312" w:cs="仿宋_GB2312"/>
                <w:kern w:val="2"/>
                <w:sz w:val="21"/>
                <w:szCs w:val="21"/>
                <w:lang w:val="en-US" w:eastAsia="zh-CN" w:bidi="ar-SA"/>
              </w:rPr>
              <w:t>新建2-13米预应力钢筋砼简支空心板桥及桥头引道，桥梁全宽7.5米，长31.04米，路线全长300米</w:t>
            </w:r>
            <w:r>
              <w:rPr>
                <w:rFonts w:hint="eastAsia"/>
                <w:sz w:val="32"/>
                <w:szCs w:val="32"/>
                <w:lang w:eastAsia="zh-CN"/>
              </w:rPr>
              <w:t>。</w:t>
            </w:r>
          </w:p>
        </w:tc>
      </w:tr>
      <w:tr>
        <w:tblPrEx>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指标评价内容</w:t>
            </w:r>
          </w:p>
        </w:tc>
        <w:tc>
          <w:tcPr>
            <w:tcW w:w="173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预期指标值(包含数字及文字描述)</w:t>
            </w:r>
          </w:p>
        </w:tc>
        <w:tc>
          <w:tcPr>
            <w:tcW w:w="1739"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实际完成指标值(包含数字及文字描述)</w:t>
            </w: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73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73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项目预期提供的产品、服务、效益或其他目标明确,即绩效目标实际明确个数/应当明确个数×100%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bCs/>
                <w:color w:val="000000"/>
                <w:sz w:val="18"/>
                <w:szCs w:val="18"/>
                <w:lang w:val="en-US"/>
              </w:rPr>
            </w:pPr>
            <w:r>
              <w:rPr>
                <w:rFonts w:hint="eastAsia"/>
                <w:sz w:val="32"/>
                <w:szCs w:val="32"/>
                <w:lang w:val="en-US" w:eastAsia="zh-CN"/>
              </w:rPr>
              <w:t>100%</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sz w:val="32"/>
                <w:szCs w:val="32"/>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项目计划实施进度明确</w:t>
            </w:r>
          </w:p>
        </w:tc>
        <w:tc>
          <w:tcPr>
            <w:tcW w:w="173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32"/>
                <w:szCs w:val="32"/>
                <w:lang w:val="en-US" w:eastAsia="zh-CN"/>
              </w:rPr>
              <w:t>明确</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32"/>
                <w:szCs w:val="32"/>
                <w:lang w:val="en-US" w:eastAsia="zh-CN"/>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绩效目标设定符合实际需求的抽样项目点个数/抽样项目点总数×100%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sz w:val="32"/>
                <w:szCs w:val="32"/>
                <w:lang w:val="en-US" w:eastAsia="zh-CN"/>
              </w:rPr>
              <w:t>1</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sz w:val="32"/>
                <w:szCs w:val="32"/>
                <w:lang w:val="en-US" w:eastAsia="zh-CN"/>
              </w:rPr>
              <w:t>1</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项目符合党中央、国务院和省委、省政府决策部署；符合当前经济社会发展需要</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连续性项目根据需要制定中长期实施规划</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制定项目资金管理办法</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color w:val="000000"/>
                <w:sz w:val="20"/>
                <w:szCs w:val="20"/>
                <w:lang w:eastAsia="zh-CN"/>
              </w:rPr>
            </w:pPr>
            <w:r>
              <w:rPr>
                <w:rFonts w:hint="eastAsia" w:cs="宋体" w:asciiTheme="minorEastAsia" w:hAnsiTheme="minorEastAsia" w:eastAsiaTheme="minorEastAsia"/>
                <w:color w:val="000000"/>
                <w:sz w:val="20"/>
                <w:szCs w:val="20"/>
                <w:lang w:val="en-US" w:eastAsia="zh-CN"/>
              </w:rPr>
              <w:t>无</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000000"/>
                <w:sz w:val="20"/>
                <w:szCs w:val="20"/>
                <w:lang w:eastAsia="zh-CN"/>
              </w:rPr>
            </w:pPr>
            <w:r>
              <w:rPr>
                <w:rFonts w:hint="eastAsia" w:cs="仿宋_GB2312" w:asciiTheme="minorEastAsia" w:hAnsiTheme="minorEastAsia" w:eastAsiaTheme="minorEastAsia"/>
                <w:kern w:val="0"/>
                <w:sz w:val="16"/>
                <w:szCs w:val="16"/>
                <w:lang w:val="en-US" w:eastAsia="zh-CN"/>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分配过程符合相关规定</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16"/>
                <w:szCs w:val="16"/>
              </w:rPr>
              <w:t>按实际分配结果选择客观因素测算验证资金分配方法制定、分配要素设定、基础数据应用、测算依据选取等是否科学合理（2分）</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县级主管部门按规定及时分配资金</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按规定及时拨付资金</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资金使用是否合规</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资金支付依据符合规定，即支付依旧合规资金量/资金总量×100%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资金开支标准符合规定，即开支标准合规资金量/资金总量×100%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财务制度健全，管理规范</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会计核算规范</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项目调整严格履行相关手续</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仿宋_GB2312" w:asciiTheme="minorEastAsia" w:hAnsiTheme="minorEastAsia" w:eastAsiaTheme="minorEastAsia"/>
                <w:kern w:val="0"/>
                <w:sz w:val="16"/>
                <w:szCs w:val="16"/>
                <w:lang w:eastAsia="zh-CN"/>
              </w:rPr>
            </w:pPr>
            <w:r>
              <w:rPr>
                <w:rFonts w:hint="eastAsia" w:cs="仿宋_GB2312" w:asciiTheme="minorEastAsia" w:hAnsiTheme="minorEastAsia" w:eastAsiaTheme="minorEastAsia"/>
                <w:kern w:val="0"/>
                <w:sz w:val="16"/>
                <w:szCs w:val="16"/>
                <w:lang w:val="en-US" w:eastAsia="zh-CN"/>
              </w:rPr>
              <w:t>无调整</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lang w:val="en-US" w:eastAsia="zh-CN"/>
              </w:rPr>
              <w:t>无调整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项目投资变更额/项目总投入×100%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严格执行项目有关制度规定</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实际完成任务量/绩效目标设定任务量×100%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color w:val="000000"/>
                <w:sz w:val="20"/>
                <w:szCs w:val="20"/>
                <w:lang w:val="en-US" w:eastAsia="zh-CN"/>
              </w:rPr>
              <w:t>95%</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color w:val="000000"/>
                <w:sz w:val="20"/>
                <w:szCs w:val="20"/>
                <w:lang w:val="en-US" w:eastAsia="zh-CN"/>
              </w:rPr>
              <w:t>96%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符合绩效目标设定的验收标准，达到行业基准水平</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（实际完成时间-绩效目标设定完成时间）/绩效目标设定完成时间×100%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（实际完成成本-预计完成成本）/预计完成成本×100%</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反映相关产出对经济社会发展带来的影响和效果，根据项目实际细化具体指标。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反映相关产出对社会发展带来的影响和效果，根据项目实际细化具体指标。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lang w:val="en-US" w:eastAsia="zh-CN"/>
              </w:rPr>
              <w:t>方便农牧民群众的出行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反映相关产出对自然环境带来的影响和效果，根据项目实际细化具体指标。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反映相关产出带来影响的可持续期限，根据项目实际细化具体指标。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已完工有效的方便了农牧民群众的出行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反映服务对象或项目受益人对相关产出及其影响的认可程度，根据项目实际细化具体指标。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r>
    </w:tbl>
    <w:p>
      <w:pPr>
        <w:tabs>
          <w:tab w:val="left" w:pos="312"/>
        </w:tabs>
        <w:spacing w:line="580" w:lineRule="exact"/>
        <w:ind w:firstLine="480" w:firstLineChars="150"/>
        <w:rPr>
          <w:rFonts w:hint="eastAsia" w:ascii="仿宋_GB2312" w:hAnsi="仿宋_GB2312" w:eastAsia="仿宋_GB2312" w:cs="仿宋_GB2312"/>
          <w:kern w:val="2"/>
          <w:sz w:val="32"/>
          <w:szCs w:val="32"/>
          <w:lang w:val="en-US" w:eastAsia="zh-CN" w:bidi="ar-SA"/>
        </w:rPr>
      </w:pPr>
      <w:r>
        <w:rPr>
          <w:rFonts w:hint="eastAsia" w:cs="仿宋_GB2312" w:asciiTheme="minorEastAsia" w:hAnsiTheme="minorEastAsia" w:eastAsiaTheme="minorEastAsia"/>
          <w:sz w:val="32"/>
          <w:szCs w:val="32"/>
        </w:rPr>
        <w:t>（</w:t>
      </w:r>
      <w:r>
        <w:rPr>
          <w:rFonts w:hint="eastAsia" w:cs="仿宋_GB2312" w:asciiTheme="minorEastAsia" w:hAnsiTheme="minorEastAsia" w:eastAsiaTheme="minorEastAsia"/>
          <w:sz w:val="32"/>
          <w:szCs w:val="32"/>
          <w:lang w:val="en-US" w:eastAsia="zh-CN"/>
        </w:rPr>
        <w:t>4</w:t>
      </w:r>
      <w:r>
        <w:rPr>
          <w:rFonts w:hint="eastAsia" w:cs="仿宋_GB2312" w:asciiTheme="minorEastAsia" w:hAnsiTheme="minorEastAsia" w:eastAsiaTheme="minorEastAsia"/>
          <w:sz w:val="32"/>
          <w:szCs w:val="32"/>
        </w:rPr>
        <w:t>）</w:t>
      </w:r>
      <w:r>
        <w:rPr>
          <w:rFonts w:hint="eastAsia" w:ascii="仿宋_GB2312" w:hAnsi="仿宋_GB2312" w:eastAsia="仿宋_GB2312" w:cs="仿宋_GB2312"/>
          <w:kern w:val="2"/>
          <w:sz w:val="32"/>
          <w:szCs w:val="32"/>
          <w:lang w:val="en-US" w:eastAsia="zh-CN" w:bidi="ar-SA"/>
        </w:rPr>
        <w:t>红原县柯龙路阿木乡至龙日乡段水毁恢复工程</w:t>
      </w:r>
      <w:r>
        <w:rPr>
          <w:rFonts w:hint="eastAsia" w:cs="仿宋_GB2312" w:asciiTheme="minorEastAsia" w:hAnsiTheme="minorEastAsia" w:eastAsiaTheme="minorEastAsia"/>
          <w:sz w:val="32"/>
          <w:szCs w:val="32"/>
        </w:rPr>
        <w:t>绩效</w:t>
      </w:r>
      <w:r>
        <w:rPr>
          <w:rFonts w:hint="eastAsia" w:ascii="仿宋_GB2312" w:hAnsi="仿宋_GB2312" w:eastAsia="仿宋_GB2312" w:cs="仿宋_GB2312"/>
          <w:kern w:val="2"/>
          <w:sz w:val="32"/>
          <w:szCs w:val="32"/>
          <w:lang w:val="en-US" w:eastAsia="zh-CN" w:bidi="ar-SA"/>
        </w:rPr>
        <w:t>目标完成情况综述。</w:t>
      </w:r>
    </w:p>
    <w:p>
      <w:pPr>
        <w:tabs>
          <w:tab w:val="left" w:pos="312"/>
        </w:tabs>
        <w:spacing w:line="580" w:lineRule="exact"/>
        <w:ind w:firstLine="480" w:firstLineChars="15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项目全年预算数487万元，执行数为387.71万元，完成预算的79.57%。通过项目实施拆除原危桥重建1-10米板桥1座、桥梁全长18米；新建1-10米板桥1座、桥梁全长18米；30处水毁工点处治；全线路面坑凼修补；全线边沟清理。发现的主要问题：资料归档不太规范。下一步改进措施：完善资料归档。</w:t>
      </w:r>
    </w:p>
    <w:p>
      <w:pPr>
        <w:tabs>
          <w:tab w:val="left" w:pos="2220"/>
        </w:tabs>
        <w:rPr>
          <w:rFonts w:asciiTheme="minorEastAsia" w:hAnsiTheme="minorEastAsia" w:eastAsiaTheme="minorEastAsia"/>
        </w:rPr>
      </w:pPr>
      <w:r>
        <w:rPr>
          <w:rFonts w:asciiTheme="minorEastAsia" w:hAnsiTheme="minorEastAsia" w:eastAsiaTheme="minorEastAsia"/>
        </w:rPr>
        <w:tab/>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41"/>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红原县柯龙路阿木乡至龙日乡段水毁恢复工程</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红原县交通运输局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487</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387.71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487</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sz w:val="32"/>
                <w:szCs w:val="32"/>
                <w:lang w:val="en-US" w:eastAsia="zh-CN"/>
              </w:rPr>
              <w:t>387.71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实际完成目标</w:t>
            </w:r>
          </w:p>
        </w:tc>
      </w:tr>
      <w:tr>
        <w:tblPrEx>
          <w:tblCellMar>
            <w:top w:w="15" w:type="dxa"/>
            <w:left w:w="15" w:type="dxa"/>
            <w:bottom w:w="15" w:type="dxa"/>
            <w:right w:w="15" w:type="dxa"/>
          </w:tblCellMar>
        </w:tblPrEx>
        <w:trPr>
          <w:trHeight w:val="176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Chars="0"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拆除原危桥重建1-10米板桥1座、桥梁全长18米；新建1-10米板桥1座、桥梁全长18米；30处水毁工点处治；全线路面坑凼修补；全线边沟清理。</w:t>
            </w:r>
          </w:p>
          <w:p>
            <w:pPr>
              <w:rPr>
                <w:rFonts w:cs="宋体" w:asciiTheme="minorEastAsia" w:hAnsiTheme="minorEastAsia" w:eastAsiaTheme="minorEastAsia"/>
                <w:b/>
                <w:color w:val="000000"/>
                <w:sz w:val="24"/>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Chars="0"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拆除原危桥重建1-10米板桥1座、桥梁全长18米；新建1-10米板桥1座、桥梁全长18米；30处水毁工点处治；全线路面坑凼修补；全线边沟清理。</w:t>
            </w:r>
          </w:p>
          <w:p>
            <w:pPr>
              <w:jc w:val="center"/>
              <w:rPr>
                <w:rFonts w:cs="宋体" w:asciiTheme="minorEastAsia" w:hAnsiTheme="minorEastAsia" w:eastAsiaTheme="minorEastAsia"/>
                <w:b/>
                <w:color w:val="000000"/>
                <w:sz w:val="18"/>
                <w:szCs w:val="18"/>
              </w:rPr>
            </w:pPr>
          </w:p>
        </w:tc>
      </w:tr>
      <w:tr>
        <w:tblPrEx>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指标评价内容</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实际完成指标值(包含数字及文字描述)</w:t>
            </w: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项目预期提供的产品、服务、效益或其他目标明确,即绩效目标实际明确个数/应当明确个数×100%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bCs/>
                <w:color w:val="000000"/>
                <w:sz w:val="21"/>
                <w:szCs w:val="21"/>
                <w:lang w:val="en-US"/>
              </w:rPr>
            </w:pPr>
            <w:r>
              <w:rPr>
                <w:rFonts w:hint="eastAsia" w:ascii="仿宋_GB2312" w:hAnsi="仿宋_GB2312" w:eastAsia="仿宋_GB2312" w:cs="仿宋_GB2312"/>
                <w:sz w:val="21"/>
                <w:szCs w:val="21"/>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numPr>
                <w:ilvl w:val="0"/>
                <w:numId w:val="0"/>
              </w:numPr>
              <w:ind w:leftChars="0"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100%</w:t>
            </w:r>
          </w:p>
          <w:p>
            <w:pPr>
              <w:jc w:val="left"/>
              <w:rPr>
                <w:rFonts w:hint="eastAsia" w:ascii="仿宋_GB2312" w:hAnsi="仿宋_GB2312" w:eastAsia="仿宋_GB2312" w:cs="仿宋_GB2312"/>
                <w:bCs/>
                <w:color w:val="000000"/>
                <w:sz w:val="21"/>
                <w:szCs w:val="21"/>
              </w:rPr>
            </w:pPr>
          </w:p>
        </w:tc>
      </w:tr>
      <w:tr>
        <w:tblPrEx>
          <w:tblCellMar>
            <w:top w:w="15" w:type="dxa"/>
            <w:left w:w="15" w:type="dxa"/>
            <w:bottom w:w="15" w:type="dxa"/>
            <w:right w:w="15" w:type="dxa"/>
          </w:tblCellMar>
        </w:tblPrEx>
        <w:trPr>
          <w:trHeight w:val="80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项目计划实施进度明确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bottom"/>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eastAsiaTheme="minorEastAsia"/>
                <w:color w:val="000000"/>
                <w:kern w:val="0"/>
                <w:sz w:val="18"/>
                <w:szCs w:val="18"/>
                <w:lang w:eastAsia="zh-CN"/>
              </w:rPr>
              <w:t>明确</w:t>
            </w:r>
          </w:p>
          <w:p>
            <w:pPr>
              <w:widowControl/>
              <w:jc w:val="left"/>
              <w:textAlignment w:val="bottom"/>
              <w:rPr>
                <w:rFonts w:hint="eastAsia" w:cs="宋体" w:asciiTheme="minorEastAsia" w:hAnsiTheme="minorEastAsia" w:eastAsiaTheme="minorEastAsia"/>
                <w:color w:val="000000"/>
                <w:kern w:val="0"/>
                <w:sz w:val="18"/>
                <w:szCs w:val="18"/>
                <w:lang w:val="zh-CN"/>
              </w:rPr>
            </w:pPr>
          </w:p>
          <w:p>
            <w:pPr>
              <w:widowControl/>
              <w:jc w:val="left"/>
              <w:textAlignment w:val="bottom"/>
              <w:rPr>
                <w:rFonts w:hint="eastAsia" w:cs="宋体" w:asciiTheme="minorEastAsia" w:hAnsiTheme="minorEastAsia" w:eastAsiaTheme="minorEastAsia"/>
                <w:color w:val="000000"/>
                <w:kern w:val="0"/>
                <w:sz w:val="18"/>
                <w:szCs w:val="18"/>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eastAsiaTheme="minorEastAsia"/>
                <w:color w:val="000000"/>
                <w:kern w:val="0"/>
                <w:sz w:val="18"/>
                <w:szCs w:val="18"/>
                <w:lang w:eastAsia="zh-CN"/>
              </w:rPr>
              <w:t>明确</w:t>
            </w:r>
          </w:p>
          <w:p>
            <w:pPr>
              <w:widowControl/>
              <w:jc w:val="left"/>
              <w:textAlignment w:val="bottom"/>
              <w:rPr>
                <w:rFonts w:hint="eastAsia" w:cs="宋体" w:asciiTheme="minorEastAsia" w:hAnsiTheme="minorEastAsia" w:eastAsiaTheme="minorEastAsia"/>
                <w:color w:val="000000"/>
                <w:kern w:val="0"/>
                <w:sz w:val="18"/>
                <w:szCs w:val="18"/>
              </w:rPr>
            </w:pP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绩效目标设定符合实际需求的抽样项目点个数/抽样项目点总数×100%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sz w:val="24"/>
                <w:szCs w:val="24"/>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100%</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项目符合党中央、国务院和省委、省政府决策部署；符合当前经济社会发展需要</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r>
              <w:rPr>
                <w:rFonts w:hint="eastAsia" w:cs="仿宋_GB2312" w:asciiTheme="minorEastAsia" w:hAnsiTheme="minorEastAsia" w:eastAsiaTheme="minorEastAsia"/>
                <w:kern w:val="0"/>
                <w:sz w:val="16"/>
                <w:szCs w:val="16"/>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连续性项目根据需要制定中长期实施规划</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6"/>
                <w:szCs w:val="16"/>
                <w:lang w:val="en-US" w:eastAsia="zh-CN" w:bidi="ar-SA"/>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6"/>
                <w:szCs w:val="16"/>
                <w:lang w:val="en-US" w:eastAsia="zh-CN" w:bidi="ar-SA"/>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制定项目资金管理办法</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color w:val="000000"/>
                <w:sz w:val="20"/>
                <w:szCs w:val="20"/>
                <w:lang w:eastAsia="zh-CN"/>
              </w:rPr>
            </w:pPr>
            <w:r>
              <w:rPr>
                <w:rFonts w:hint="eastAsia" w:cs="宋体" w:asciiTheme="minorEastAsia" w:hAnsiTheme="minorEastAsia" w:eastAsiaTheme="minorEastAsia"/>
                <w:color w:val="000000"/>
                <w:sz w:val="20"/>
                <w:szCs w:val="20"/>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000000"/>
                <w:sz w:val="20"/>
                <w:szCs w:val="20"/>
                <w:lang w:eastAsia="zh-CN"/>
              </w:rPr>
            </w:pPr>
            <w:r>
              <w:rPr>
                <w:rFonts w:hint="eastAsia" w:cs="仿宋_GB2312" w:asciiTheme="minorEastAsia" w:hAnsiTheme="minorEastAsia" w:eastAsiaTheme="minorEastAsia"/>
                <w:kern w:val="0"/>
                <w:sz w:val="16"/>
                <w:szCs w:val="16"/>
                <w:lang w:val="en-US" w:eastAsia="zh-CN"/>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分配过程符合相关规定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16"/>
                <w:szCs w:val="16"/>
              </w:rPr>
              <w:t>按实际分配结果选择客观因素测算验证资金分配方法制定、分配要素设定、基础数据应用、测算依据选取等是否科学合理（2分）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县级主管部门按规定及时分配资金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按规定及时拨付资金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资金使用是否合规</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资金支付依据符合规定，即支付依旧合规资金量/资金总量×100%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资金开支标准符合规定，即开支标准合规资金量/资金总量×100%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财务制度健全，管理规范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项目调整严格履行相关手续</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仿宋_GB2312" w:asciiTheme="minorEastAsia" w:hAnsiTheme="minorEastAsia" w:eastAsiaTheme="minorEastAsia"/>
                <w:kern w:val="0"/>
                <w:sz w:val="16"/>
                <w:szCs w:val="16"/>
                <w:lang w:eastAsia="zh-CN"/>
              </w:rPr>
            </w:pPr>
            <w:r>
              <w:rPr>
                <w:rFonts w:hint="eastAsia" w:cs="仿宋_GB2312" w:asciiTheme="minorEastAsia" w:hAnsiTheme="minorEastAsia" w:eastAsiaTheme="minorEastAsia"/>
                <w:kern w:val="0"/>
                <w:sz w:val="16"/>
                <w:szCs w:val="16"/>
                <w:lang w:val="en-US" w:eastAsia="zh-CN"/>
              </w:rPr>
              <w:t>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lang w:val="en-US" w:eastAsia="zh-CN"/>
              </w:rPr>
              <w:t>无调整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项目投资变更额/项目总投入×100%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严格执行项目有关制度规定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实际完成任务量/绩效目标设定任务量×100%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仿宋_GB2312" w:asciiTheme="minorEastAsia" w:hAnsiTheme="minorEastAsia"/>
                <w:kern w:val="0"/>
                <w:sz w:val="18"/>
                <w:szCs w:val="18"/>
                <w:lang w:val="en-US" w:eastAsia="zh-CN"/>
              </w:rPr>
              <w:t>95%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仿宋_GB2312" w:asciiTheme="minorEastAsia" w:hAnsiTheme="minorEastAsia"/>
                <w:kern w:val="0"/>
                <w:sz w:val="18"/>
                <w:szCs w:val="18"/>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符合绩效目标设定的验收标准，达到行业基准水平</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（实际完成时间-绩效目标设定完成时间）/绩效目标设定完成时间×100%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（实际完成成本-预计完成成本）/预计完成成本×100%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反映相关产出对经济社会发展带来的影响和效果，根据项目实际细化具体指标。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反映相关产出对自然环境带来的影响和效果，根据项目实际细化具体指标。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反映相关产出带来影响的可持续期限，根据项目实际细化具体指标。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已完工有效的方便了农牧民群众的出行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反映服务对象或项目受益人对相关产出及其影响的认可程度，根据项目实际细化具体指标。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r>
    </w:tbl>
    <w:p>
      <w:pPr>
        <w:tabs>
          <w:tab w:val="left" w:pos="312"/>
        </w:tabs>
        <w:spacing w:line="580" w:lineRule="exact"/>
        <w:ind w:firstLine="480" w:firstLineChars="150"/>
        <w:rPr>
          <w:rFonts w:hint="eastAsia" w:ascii="仿宋_GB2312" w:hAnsi="仿宋_GB2312" w:eastAsia="仿宋_GB2312" w:cs="仿宋_GB2312"/>
          <w:kern w:val="2"/>
          <w:sz w:val="32"/>
          <w:szCs w:val="32"/>
          <w:lang w:val="en-US" w:eastAsia="zh-CN" w:bidi="ar-SA"/>
        </w:rPr>
      </w:pPr>
      <w:r>
        <w:rPr>
          <w:rFonts w:hint="eastAsia" w:cs="仿宋_GB2312" w:asciiTheme="minorEastAsia" w:hAnsiTheme="minorEastAsia" w:eastAsiaTheme="minorEastAsia"/>
          <w:sz w:val="32"/>
          <w:szCs w:val="32"/>
        </w:rPr>
        <w:t>（</w:t>
      </w:r>
      <w:r>
        <w:rPr>
          <w:rFonts w:hint="eastAsia" w:cs="仿宋_GB2312" w:asciiTheme="minorEastAsia" w:hAnsiTheme="minorEastAsia" w:eastAsiaTheme="minorEastAsia"/>
          <w:sz w:val="32"/>
          <w:szCs w:val="32"/>
          <w:lang w:val="en-US" w:eastAsia="zh-CN"/>
        </w:rPr>
        <w:t>5</w:t>
      </w:r>
      <w:r>
        <w:rPr>
          <w:rFonts w:hint="eastAsia" w:cs="仿宋_GB2312" w:asciiTheme="minorEastAsia" w:hAnsiTheme="minorEastAsia" w:eastAsiaTheme="minorEastAsia"/>
          <w:sz w:val="32"/>
          <w:szCs w:val="32"/>
        </w:rPr>
        <w:t>）</w:t>
      </w:r>
      <w:r>
        <w:rPr>
          <w:rFonts w:hint="eastAsia" w:ascii="仿宋_GB2312" w:hAnsi="仿宋_GB2312" w:eastAsia="仿宋_GB2312" w:cs="仿宋_GB2312"/>
          <w:kern w:val="2"/>
          <w:sz w:val="32"/>
          <w:szCs w:val="32"/>
          <w:lang w:val="en-US" w:eastAsia="zh-CN" w:bidi="ar-SA"/>
        </w:rPr>
        <w:t>红原县色地镇茸塔玛村桥梁建设及村内道路提升改造工程绩效目标完成情况综述。</w:t>
      </w:r>
    </w:p>
    <w:p>
      <w:pPr>
        <w:pStyle w:val="2"/>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项目全年预算数550万元，执行数为538.4338万元，完成预算的97.9%。通过项目实施新建1-13米板桥及桥头引道、桥梁全长22米、桥头引道长12.193米，建设全长34.193米；6条村内道路提升改造共计2.285公里。发现的主要问题：无。下一步改进措施：无。</w:t>
      </w:r>
    </w:p>
    <w:p>
      <w:pPr>
        <w:tabs>
          <w:tab w:val="left" w:pos="2220"/>
        </w:tabs>
        <w:rPr>
          <w:rFonts w:asciiTheme="minorEastAsia" w:hAnsiTheme="minorEastAsia" w:eastAsiaTheme="minorEastAsia"/>
        </w:rPr>
      </w:pPr>
      <w:r>
        <w:rPr>
          <w:rFonts w:asciiTheme="minorEastAsia" w:hAnsiTheme="minorEastAsia" w:eastAsiaTheme="minorEastAsia"/>
        </w:rPr>
        <w:tab/>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41"/>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红原县色地镇茸塔玛村桥梁建设及村内道路提升改造工程</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红原县交通运输局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550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538.4338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550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s="宋体" w:asciiTheme="minorEastAsia" w:hAnsiTheme="minorEastAsia" w:eastAsiaTheme="minorEastAsia"/>
                <w:b/>
                <w:color w:val="000000"/>
                <w:sz w:val="24"/>
                <w:lang w:val="en-US"/>
              </w:rPr>
            </w:pPr>
            <w:r>
              <w:rPr>
                <w:rFonts w:hint="eastAsia"/>
                <w:sz w:val="32"/>
                <w:szCs w:val="32"/>
                <w:lang w:val="en-US" w:eastAsia="zh-CN"/>
              </w:rPr>
              <w:t>538.4338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cs="宋体" w:asciiTheme="minorEastAsia" w:hAnsiTheme="minorEastAsia" w:eastAsiaTheme="minorEastAsia"/>
                <w:b/>
                <w:color w:val="000000"/>
                <w:sz w:val="24"/>
              </w:rPr>
            </w:pPr>
            <w:r>
              <w:rPr>
                <w:rFonts w:hint="eastAsia" w:ascii="仿宋_GB2312" w:hAnsi="仿宋_GB2312" w:eastAsia="仿宋_GB2312" w:cs="仿宋_GB2312"/>
                <w:kern w:val="2"/>
                <w:sz w:val="24"/>
                <w:szCs w:val="24"/>
                <w:lang w:val="en-US" w:eastAsia="zh-CN" w:bidi="ar-SA"/>
              </w:rPr>
              <w:t>通过项目实施新建1-13米板桥及桥头引道、桥梁全长22米、桥头引道长12.193米，建设全长34.193米；6条村内道路提升改造共计2.285公里。</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宋体" w:asciiTheme="minorEastAsia" w:hAnsiTheme="minorEastAsia" w:eastAsiaTheme="minorEastAsia"/>
                <w:b/>
                <w:color w:val="000000"/>
                <w:sz w:val="18"/>
                <w:szCs w:val="18"/>
              </w:rPr>
            </w:pPr>
            <w:r>
              <w:rPr>
                <w:rFonts w:hint="eastAsia" w:ascii="仿宋_GB2312" w:hAnsi="仿宋_GB2312" w:eastAsia="仿宋_GB2312" w:cs="仿宋_GB2312"/>
                <w:kern w:val="2"/>
                <w:sz w:val="24"/>
                <w:szCs w:val="24"/>
                <w:lang w:val="en-US" w:eastAsia="zh-CN" w:bidi="ar-SA"/>
              </w:rPr>
              <w:t>通过项目实施新建1-13米板桥及桥头引道、桥梁全长22米、桥头引道长12.193米，建设全长34.193米；6条村内道路提升改造共计2.285公里。</w:t>
            </w:r>
          </w:p>
        </w:tc>
      </w:tr>
      <w:tr>
        <w:tblPrEx>
          <w:tblCellMar>
            <w:top w:w="15" w:type="dxa"/>
            <w:left w:w="15" w:type="dxa"/>
            <w:bottom w:w="15" w:type="dxa"/>
            <w:right w:w="15" w:type="dxa"/>
          </w:tblCellMar>
        </w:tblPrEx>
        <w:trPr>
          <w:trHeight w:val="936"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仿宋_GB2312" w:asciiTheme="minorEastAsia" w:hAnsiTheme="minorEastAsia" w:eastAsiaTheme="minorEastAsia"/>
                <w:color w:val="000000"/>
                <w:sz w:val="24"/>
              </w:rPr>
            </w:pPr>
            <w:r>
              <w:rPr>
                <w:rFonts w:hint="eastAsia" w:cs="仿宋_GB2312" w:asciiTheme="minorEastAsia" w:hAnsiTheme="minorEastAsia" w:eastAsiaTheme="minorEastAsia"/>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指标评价内容</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b/>
                <w:color w:val="000000"/>
                <w:sz w:val="20"/>
                <w:szCs w:val="20"/>
              </w:rPr>
            </w:pPr>
            <w:r>
              <w:rPr>
                <w:rFonts w:hint="eastAsia" w:cs="宋体" w:asciiTheme="minorEastAsia" w:hAnsiTheme="minorEastAsia" w:eastAsiaTheme="minorEastAsia"/>
                <w:b/>
                <w:color w:val="000000"/>
                <w:kern w:val="0"/>
                <w:sz w:val="20"/>
                <w:szCs w:val="20"/>
              </w:rPr>
              <w:t>实际完成指标值(包含数字及文字描述)</w:t>
            </w: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9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项目预期提供的产品、服务、效益或其他目标明确,即绩效目标实际明确个数/应当明确个数×100%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bCs/>
                <w:color w:val="000000"/>
                <w:sz w:val="18"/>
                <w:szCs w:val="18"/>
                <w:lang w:val="en-US"/>
              </w:rPr>
            </w:pPr>
            <w:r>
              <w:rPr>
                <w:rFonts w:hint="eastAsia" w:cs="仿宋_GB2312" w:asciiTheme="minorEastAsia" w:hAnsiTheme="minorEastAsia"/>
                <w:sz w:val="32"/>
                <w:szCs w:val="32"/>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32"/>
                <w:szCs w:val="32"/>
                <w:lang w:val="en-US" w:eastAsia="zh-CN"/>
              </w:rPr>
              <w:t>100%</w:t>
            </w:r>
          </w:p>
        </w:tc>
      </w:tr>
      <w:tr>
        <w:tblPrEx>
          <w:tblCellMar>
            <w:top w:w="15" w:type="dxa"/>
            <w:left w:w="15" w:type="dxa"/>
            <w:bottom w:w="15" w:type="dxa"/>
            <w:right w:w="15" w:type="dxa"/>
          </w:tblCellMar>
        </w:tblPrEx>
        <w:trPr>
          <w:trHeight w:val="657"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项目计划实施进度明确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tcPr>
          <w:p>
            <w:pPr>
              <w:adjustRightInd w:val="0"/>
              <w:snapToGrid w:val="0"/>
              <w:spacing w:line="580" w:lineRule="exact"/>
              <w:jc w:val="left"/>
              <w:rPr>
                <w:rFonts w:asciiTheme="minorEastAsia" w:hAnsiTheme="minorEastAsia" w:eastAsiaTheme="minorEastAsia"/>
                <w:bCs/>
                <w:sz w:val="18"/>
                <w:szCs w:val="18"/>
                <w:lang w:val="zh-CN"/>
              </w:rPr>
            </w:pPr>
            <w:r>
              <w:rPr>
                <w:rFonts w:hint="eastAsia" w:cs="仿宋_GB2312" w:asciiTheme="minorEastAsia" w:hAnsiTheme="minorEastAsia"/>
                <w:sz w:val="32"/>
                <w:szCs w:val="32"/>
                <w:lang w:val="en-US" w:eastAsia="zh-CN"/>
              </w:rPr>
              <w:t>明确</w:t>
            </w:r>
          </w:p>
          <w:p>
            <w:pPr>
              <w:jc w:val="left"/>
              <w:rPr>
                <w:rFonts w:cs="宋体" w:asciiTheme="minorEastAsia" w:hAnsiTheme="minorEastAsia" w:eastAsiaTheme="minorEastAsia"/>
                <w:bCs/>
                <w:color w:val="000000"/>
                <w:sz w:val="18"/>
                <w:szCs w:val="18"/>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bCs/>
                <w:color w:val="000000"/>
                <w:sz w:val="18"/>
                <w:szCs w:val="18"/>
              </w:rPr>
            </w:pPr>
            <w:r>
              <w:rPr>
                <w:rFonts w:hint="eastAsia" w:cs="仿宋_GB2312" w:asciiTheme="minorEastAsia" w:hAnsiTheme="minorEastAsia"/>
                <w:sz w:val="32"/>
                <w:szCs w:val="32"/>
                <w:lang w:val="en-US" w:eastAsia="zh-CN"/>
              </w:rPr>
              <w:t>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绩效目标设定符合实际需求的抽样项目点个数/抽样项目点总数×100%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sz w:val="32"/>
                <w:szCs w:val="32"/>
                <w:lang w:val="en-US" w:eastAsia="zh-CN"/>
              </w:rPr>
              <w:t>98%</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sz w:val="32"/>
                <w:szCs w:val="32"/>
                <w:lang w:val="en-US" w:eastAsia="zh-CN"/>
              </w:rPr>
              <w:t>98%</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项目符合党中央、国务院和省委、省政府决策部署；符合当前经济社会发展需要</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6"/>
                <w:szCs w:val="16"/>
                <w:lang w:val="en-US" w:eastAsia="zh-CN"/>
              </w:rPr>
              <w:t>方便群众出行</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18"/>
                <w:szCs w:val="18"/>
              </w:rPr>
            </w:pPr>
            <w:r>
              <w:rPr>
                <w:rFonts w:hint="eastAsia" w:cs="宋体" w:asciiTheme="minorEastAsia" w:hAnsiTheme="minorEastAsia" w:eastAsiaTheme="minorEastAsia"/>
                <w:color w:val="000000"/>
                <w:kern w:val="0"/>
                <w:sz w:val="18"/>
                <w:szCs w:val="18"/>
              </w:rPr>
              <w:t>连续性项目根据需要制定中长期实施规划</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cs="仿宋_GB2312" w:asciiTheme="minorEastAsia" w:hAnsiTheme="minorEastAsia" w:eastAsiaTheme="minorEastAsia"/>
                <w:kern w:val="0"/>
                <w:sz w:val="18"/>
                <w:szCs w:val="18"/>
                <w:lang w:val="en-US" w:eastAsia="zh-CN"/>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仿宋_GB2312" w:asciiTheme="minorEastAsia" w:hAnsiTheme="minorEastAsia" w:eastAsiaTheme="minorEastAsia"/>
                <w:kern w:val="0"/>
                <w:sz w:val="18"/>
                <w:szCs w:val="18"/>
              </w:rPr>
            </w:pPr>
            <w:r>
              <w:rPr>
                <w:rFonts w:hint="eastAsia" w:cs="仿宋_GB2312" w:asciiTheme="minorEastAsia" w:hAnsiTheme="minorEastAsia" w:eastAsiaTheme="minorEastAsia"/>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制定项目资金管理办法</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cs="宋体" w:asciiTheme="minorEastAsia" w:hAnsiTheme="minorEastAsia" w:eastAsiaTheme="minorEastAsia"/>
                <w:color w:val="000000"/>
                <w:sz w:val="20"/>
                <w:szCs w:val="20"/>
                <w:lang w:eastAsia="zh-CN"/>
              </w:rPr>
            </w:pPr>
            <w:r>
              <w:rPr>
                <w:rFonts w:hint="eastAsia" w:cs="宋体" w:asciiTheme="minorEastAsia" w:hAnsiTheme="minorEastAsia" w:eastAsiaTheme="minorEastAsia"/>
                <w:color w:val="000000"/>
                <w:sz w:val="20"/>
                <w:szCs w:val="20"/>
                <w:lang w:val="en-US"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000000"/>
                <w:sz w:val="20"/>
                <w:szCs w:val="20"/>
                <w:lang w:eastAsia="zh-CN"/>
              </w:rPr>
            </w:pPr>
            <w:r>
              <w:rPr>
                <w:rFonts w:hint="eastAsia" w:cs="仿宋_GB2312" w:asciiTheme="minorEastAsia" w:hAnsiTheme="minorEastAsia" w:eastAsiaTheme="minorEastAsia"/>
                <w:kern w:val="0"/>
                <w:sz w:val="16"/>
                <w:szCs w:val="16"/>
                <w:lang w:val="en-US" w:eastAsia="zh-CN"/>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lang w:val="en-US" w:eastAsia="zh-CN"/>
              </w:rPr>
              <w:t>方便群众出行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仿宋_GB2312" w:asciiTheme="minorEastAsia" w:hAnsiTheme="minorEastAsia" w:eastAsiaTheme="minorEastAsia"/>
                <w:kern w:val="0"/>
                <w:sz w:val="16"/>
                <w:szCs w:val="16"/>
                <w:lang w:val="en-US" w:eastAsia="zh-CN"/>
              </w:rPr>
              <w:t>方便群众出行</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分配过程符合相关规定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宋体" w:asciiTheme="minorEastAsia" w:hAnsiTheme="minorEastAsia" w:eastAsiaTheme="minorEastAsia"/>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16"/>
                <w:szCs w:val="16"/>
              </w:rPr>
              <w:t>按实际分配结果选择客观因素测算验证资金分配方法制定、分配要素设定、基础数据应用、测算依据选取等是否科学合理（2分）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县级主管部门按规定及时分配资金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按规定及时拨付资金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资金使用是否合规</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资金支付依据符合规定，即支付依旧合规资金量/资金总量×100%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资金开支标准符合规定，即开支标准合规资金量/资金总量×100%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财务制度健全，管理规范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会计核算规范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项目调整严格履行相关手续</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仿宋_GB2312" w:asciiTheme="minorEastAsia" w:hAnsiTheme="minorEastAsia" w:eastAsiaTheme="minorEastAsia"/>
                <w:kern w:val="0"/>
                <w:sz w:val="16"/>
                <w:szCs w:val="16"/>
                <w:lang w:eastAsia="zh-CN"/>
              </w:rPr>
            </w:pPr>
            <w:r>
              <w:rPr>
                <w:rFonts w:hint="eastAsia" w:cs="仿宋_GB2312" w:asciiTheme="minorEastAsia" w:hAnsiTheme="minorEastAsia" w:eastAsiaTheme="minorEastAsia"/>
                <w:kern w:val="0"/>
                <w:sz w:val="16"/>
                <w:szCs w:val="16"/>
                <w:lang w:val="en-US" w:eastAsia="zh-CN"/>
              </w:rPr>
              <w:t>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仿宋_GB2312" w:asciiTheme="minorEastAsia" w:hAnsiTheme="minorEastAsia" w:eastAsiaTheme="minorEastAsia"/>
                <w:kern w:val="0"/>
                <w:sz w:val="16"/>
                <w:szCs w:val="16"/>
              </w:rPr>
            </w:pPr>
            <w:r>
              <w:rPr>
                <w:rFonts w:hint="eastAsia" w:cs="仿宋_GB2312" w:asciiTheme="minorEastAsia" w:hAnsiTheme="minorEastAsia" w:eastAsiaTheme="minorEastAsia"/>
                <w:kern w:val="0"/>
                <w:sz w:val="16"/>
                <w:szCs w:val="16"/>
                <w:lang w:val="en-US" w:eastAsia="zh-CN"/>
              </w:rPr>
              <w:t>无调整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项目投资变更额/项目总投入×100%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严格执行项目有关制度规定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实际完成任务量/绩效目标设定任务量×100%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仿宋_GB2312" w:asciiTheme="minorEastAsia" w:hAnsiTheme="minorEastAsia"/>
                <w:kern w:val="0"/>
                <w:sz w:val="18"/>
                <w:szCs w:val="18"/>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cs="宋体" w:asciiTheme="minorEastAsia" w:hAnsiTheme="minorEastAsia" w:eastAsiaTheme="minorEastAsia"/>
                <w:color w:val="000000"/>
                <w:sz w:val="20"/>
                <w:szCs w:val="20"/>
                <w:lang w:val="en-US" w:eastAsia="zh-CN"/>
              </w:rPr>
            </w:pPr>
            <w:r>
              <w:rPr>
                <w:rFonts w:hint="eastAsia" w:cs="仿宋_GB2312" w:asciiTheme="minorEastAsia" w:hAnsiTheme="minorEastAsia"/>
                <w:kern w:val="0"/>
                <w:sz w:val="18"/>
                <w:szCs w:val="18"/>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符合绩效目标设定的验收标准，达到行业基准水平</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（实际完成时间-绩效目标设定完成时间）/绩效目标设定完成时间×100%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color w:val="000000"/>
                <w:sz w:val="20"/>
                <w:szCs w:val="20"/>
                <w:lang w:val="en-US" w:eastAsia="zh-CN"/>
              </w:rPr>
              <w:t>2020</w:t>
            </w:r>
            <w:r>
              <w:rPr>
                <w:rFonts w:hint="eastAsia" w:cs="宋体" w:asciiTheme="minorEastAsia" w:hAnsiTheme="minorEastAsia" w:eastAsiaTheme="minorEastAsia"/>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（实际完成成本-预计完成成本）/预计完成成本×100%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反映相关产出对经济社会发展带来的影响和效果，根据项目实际细化具体指标。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资金拨付完成保障建设资金按时到位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cs="宋体" w:asciiTheme="minorEastAsia" w:hAnsiTheme="minorEastAsia" w:eastAsiaTheme="minorEastAsia"/>
                <w:color w:val="000000"/>
                <w:sz w:val="20"/>
                <w:szCs w:val="20"/>
                <w:lang w:val="en-US" w:eastAsia="zh-CN"/>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反映相关产出对自然环境带来的影响和效果，根据项目实际细化具体指标。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cs="宋体" w:asciiTheme="minorEastAsia" w:hAnsiTheme="minorEastAsia" w:eastAsiaTheme="minorEastAsia"/>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反映相关产出带来影响的可持续期限，根据项目实际细化具体指标。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方便农牧民群众的出行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lang w:val="en-US" w:eastAsia="zh-CN"/>
              </w:rPr>
              <w:t>已完工有效的方便了农牧民群众的出行</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cs="仿宋_GB2312" w:asciiTheme="minorEastAsia" w:hAnsiTheme="minorEastAsia" w:eastAsiaTheme="minorEastAsia"/>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cs="宋体" w:asciiTheme="minorEastAsia" w:hAnsiTheme="minorEastAsia" w:eastAsiaTheme="minorEastAsia"/>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kern w:val="0"/>
                <w:sz w:val="20"/>
                <w:szCs w:val="20"/>
              </w:rPr>
              <w:t>反映服务对象或项目受益人对相关产出及其影响的认可程度，根据项目实际细化具体指标。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cs="宋体" w:asciiTheme="minorEastAsia" w:hAnsiTheme="minorEastAsia" w:eastAsiaTheme="minorEastAsia"/>
                <w:color w:val="000000"/>
                <w:sz w:val="20"/>
                <w:szCs w:val="20"/>
              </w:rPr>
            </w:pPr>
            <w:r>
              <w:rPr>
                <w:rFonts w:hint="eastAsia" w:cs="宋体" w:asciiTheme="minorEastAsia" w:hAnsiTheme="minorEastAsia" w:eastAsiaTheme="minorEastAsia"/>
                <w:color w:val="000000"/>
                <w:sz w:val="20"/>
                <w:szCs w:val="20"/>
              </w:rPr>
              <w:t>对本项目事实满意度好。无异议</w:t>
            </w:r>
          </w:p>
        </w:tc>
      </w:tr>
    </w:tbl>
    <w:p>
      <w:pPr>
        <w:spacing w:line="580" w:lineRule="exact"/>
        <w:rPr>
          <w:rFonts w:cs="仿宋_GB2312" w:asciiTheme="minorEastAsia" w:hAnsiTheme="minorEastAsia" w:eastAsiaTheme="minorEastAsia"/>
          <w:sz w:val="32"/>
          <w:szCs w:val="32"/>
        </w:rPr>
      </w:pPr>
    </w:p>
    <w:p>
      <w:pPr>
        <w:pStyle w:val="12"/>
        <w:keepNext w:val="0"/>
        <w:keepLines w:val="0"/>
        <w:widowControl/>
        <w:suppressLineNumbers w:val="0"/>
        <w:ind w:left="63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红原县交通运输局</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600" w:lineRule="exact"/>
        <w:ind w:firstLine="640" w:firstLineChars="200"/>
        <w:outlineLvl w:val="9"/>
        <w:rPr>
          <w:rFonts w:hint="eastAsia" w:ascii="仿宋_GB2312" w:hAnsi="仿宋_GB2312" w:eastAsia="仿宋_GB2312" w:cs="仿宋_GB2312"/>
          <w:color w:val="0000FF"/>
          <w:sz w:val="32"/>
          <w:szCs w:val="32"/>
        </w:rPr>
      </w:pPr>
      <w:bookmarkStart w:id="31" w:name="_Toc16104"/>
      <w:r>
        <w:rPr>
          <w:rFonts w:hint="eastAsia" w:ascii="仿宋_GB2312" w:hAnsi="仿宋_GB2312" w:eastAsia="仿宋_GB2312" w:cs="仿宋_GB2312"/>
          <w:color w:val="auto"/>
          <w:sz w:val="32"/>
          <w:szCs w:val="32"/>
        </w:rPr>
        <w:t>本部门自行组织对</w:t>
      </w:r>
      <w:r>
        <w:rPr>
          <w:rFonts w:hint="eastAsia" w:ascii="仿宋_GB2312" w:hAnsi="仿宋_GB2312" w:eastAsia="仿宋_GB2312" w:cs="仿宋_GB2312"/>
          <w:color w:val="auto"/>
          <w:sz w:val="32"/>
          <w:szCs w:val="32"/>
          <w:lang w:eastAsia="zh-CN"/>
        </w:rPr>
        <w:t>红原县查江路达格则寺至江茸乡段改建工程</w:t>
      </w:r>
      <w:r>
        <w:rPr>
          <w:rFonts w:hint="eastAsia" w:ascii="仿宋_GB2312" w:hAnsi="仿宋_GB2312" w:eastAsia="仿宋_GB2312" w:cs="仿宋_GB2312"/>
          <w:color w:val="auto"/>
          <w:sz w:val="32"/>
          <w:szCs w:val="32"/>
          <w:lang w:val="en-US" w:eastAsia="zh-CN"/>
        </w:rPr>
        <w:t>等10个</w:t>
      </w:r>
      <w:r>
        <w:rPr>
          <w:rFonts w:hint="eastAsia" w:ascii="仿宋_GB2312" w:hAnsi="仿宋_GB2312" w:eastAsia="仿宋_GB2312" w:cs="仿宋_GB2312"/>
          <w:color w:val="auto"/>
          <w:sz w:val="32"/>
          <w:szCs w:val="32"/>
        </w:rPr>
        <w:t>项目开展了绩效评价，</w:t>
      </w:r>
      <w:r>
        <w:rPr>
          <w:rFonts w:hint="eastAsia" w:ascii="仿宋_GB2312" w:hAnsi="仿宋_GB2312" w:eastAsia="仿宋_GB2312" w:cs="仿宋_GB2312"/>
          <w:color w:val="auto"/>
          <w:sz w:val="32"/>
          <w:szCs w:val="32"/>
          <w:lang w:eastAsia="zh-CN"/>
        </w:rPr>
        <w:t>详见</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红原县交通运输局</w:t>
      </w:r>
      <w:bookmarkEnd w:id="31"/>
      <w:bookmarkStart w:id="32" w:name="_Toc30384"/>
      <w:r>
        <w:rPr>
          <w:rFonts w:hint="eastAsia" w:ascii="仿宋_GB2312" w:hAnsi="仿宋_GB2312" w:eastAsia="仿宋_GB2312" w:cs="仿宋_GB2312"/>
          <w:color w:val="auto"/>
          <w:sz w:val="32"/>
          <w:szCs w:val="32"/>
          <w:lang w:val="en-US" w:eastAsia="zh-CN"/>
        </w:rPr>
        <w:t>2020年项目支出绩效自评报告</w:t>
      </w:r>
      <w:r>
        <w:rPr>
          <w:rFonts w:hint="eastAsia" w:ascii="仿宋_GB2312" w:hAnsi="仿宋_GB2312" w:eastAsia="仿宋_GB2312" w:cs="仿宋_GB2312"/>
          <w:color w:val="auto"/>
          <w:sz w:val="32"/>
          <w:szCs w:val="32"/>
        </w:rPr>
        <w:t>》见附件。</w:t>
      </w:r>
      <w:bookmarkEnd w:id="32"/>
      <w:bookmarkStart w:id="33" w:name="_Toc15377221"/>
      <w:bookmarkStart w:id="34" w:name="_Toc15396612"/>
    </w:p>
    <w:bookmarkEnd w:id="33"/>
    <w:bookmarkEnd w:id="34"/>
    <w:p>
      <w:pPr>
        <w:widowControl/>
        <w:jc w:val="left"/>
        <w:rPr>
          <w:rFonts w:asciiTheme="minorEastAsia" w:hAnsiTheme="minorEastAsia" w:eastAsiaTheme="minorEastAsia"/>
          <w:b/>
          <w:color w:val="000000"/>
          <w:sz w:val="32"/>
          <w:szCs w:val="32"/>
        </w:rPr>
      </w:pPr>
      <w:r>
        <w:rPr>
          <w:rFonts w:asciiTheme="minorEastAsia" w:hAnsiTheme="minorEastAsia" w:eastAsiaTheme="minorEastAsia"/>
          <w:b/>
          <w:color w:val="000000"/>
          <w:sz w:val="32"/>
          <w:szCs w:val="32"/>
        </w:rPr>
        <w:br w:type="page"/>
      </w:r>
    </w:p>
    <w:p>
      <w:pPr>
        <w:pStyle w:val="12"/>
        <w:keepNext w:val="0"/>
        <w:keepLines w:val="0"/>
        <w:widowControl/>
        <w:suppressLineNumbers w:val="0"/>
        <w:ind w:left="0" w:right="75"/>
        <w:jc w:val="center"/>
        <w:outlineLvl w:val="0"/>
        <w:rPr>
          <w:rFonts w:hint="eastAsia" w:ascii="黑体" w:hAnsi="黑体" w:eastAsia="黑体" w:cs="黑体"/>
          <w:sz w:val="32"/>
          <w:szCs w:val="32"/>
        </w:rPr>
      </w:pPr>
      <w:bookmarkStart w:id="35" w:name="_Toc4432"/>
      <w:r>
        <w:rPr>
          <w:rFonts w:hint="eastAsia" w:ascii="黑体" w:hAnsi="黑体" w:eastAsia="黑体" w:cs="黑体"/>
          <w:sz w:val="32"/>
          <w:szCs w:val="32"/>
          <w:shd w:val="clear" w:fill="FFFFFF"/>
        </w:rPr>
        <w:t>第三部分 名词解释</w:t>
      </w:r>
      <w:bookmarkEnd w:id="35"/>
    </w:p>
    <w:p>
      <w:pPr>
        <w:pStyle w:val="49"/>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49"/>
        <w:spacing w:line="560" w:lineRule="exact"/>
        <w:ind w:firstLine="640" w:firstLineChars="200"/>
        <w:rPr>
          <w:rFonts w:hAnsi="仿宋"/>
          <w:sz w:val="32"/>
          <w:szCs w:val="32"/>
        </w:rPr>
      </w:pPr>
      <w:r>
        <w:rPr>
          <w:rFonts w:hint="eastAsia" w:hAnsi="仿宋"/>
          <w:sz w:val="32"/>
          <w:szCs w:val="32"/>
          <w:lang w:val="en-US" w:eastAsia="zh-CN"/>
        </w:rPr>
        <w:t>2</w:t>
      </w:r>
      <w:r>
        <w:rPr>
          <w:rFonts w:hAnsi="仿宋"/>
          <w:sz w:val="32"/>
          <w:szCs w:val="32"/>
        </w:rPr>
        <w:t>.</w:t>
      </w:r>
      <w:r>
        <w:rPr>
          <w:rFonts w:hint="eastAsia" w:hAnsi="仿宋"/>
          <w:sz w:val="32"/>
          <w:szCs w:val="32"/>
        </w:rPr>
        <w:t>其他收入：</w:t>
      </w:r>
      <w:r>
        <w:rPr>
          <w:rFonts w:hint="eastAsia" w:hAnsi="仿宋"/>
          <w:sz w:val="32"/>
          <w:szCs w:val="32"/>
          <w:lang w:val="en-US" w:eastAsia="zh-CN"/>
        </w:rPr>
        <w:t>利息收入</w:t>
      </w:r>
      <w:r>
        <w:rPr>
          <w:rFonts w:hint="eastAsia" w:hAnsi="仿宋"/>
          <w:sz w:val="32"/>
          <w:szCs w:val="32"/>
        </w:rPr>
        <w:t>。</w:t>
      </w:r>
    </w:p>
    <w:p>
      <w:pPr>
        <w:pStyle w:val="49"/>
        <w:spacing w:line="560" w:lineRule="exact"/>
        <w:ind w:firstLine="640" w:firstLineChars="200"/>
        <w:rPr>
          <w:rFonts w:hAnsi="仿宋"/>
          <w:sz w:val="32"/>
          <w:szCs w:val="32"/>
        </w:rPr>
      </w:pPr>
      <w:r>
        <w:rPr>
          <w:rFonts w:hint="eastAsia" w:hAnsi="仿宋"/>
          <w:sz w:val="32"/>
          <w:szCs w:val="32"/>
          <w:lang w:val="en-US" w:eastAsia="zh-CN"/>
        </w:rPr>
        <w:t>3</w:t>
      </w:r>
      <w:r>
        <w:rPr>
          <w:rFonts w:hAnsi="仿宋"/>
          <w:sz w:val="32"/>
          <w:szCs w:val="32"/>
        </w:rPr>
        <w:t>.</w:t>
      </w:r>
      <w:r>
        <w:rPr>
          <w:rFonts w:hint="eastAsia" w:hAnsi="仿宋"/>
          <w:sz w:val="32"/>
          <w:szCs w:val="32"/>
        </w:rPr>
        <w:t>年初结转和结余：指以前年度尚未完成、结转到本年按有关规定继续使用的资金。</w:t>
      </w:r>
    </w:p>
    <w:p>
      <w:pPr>
        <w:pStyle w:val="49"/>
        <w:spacing w:line="560" w:lineRule="exact"/>
        <w:ind w:firstLine="640" w:firstLineChars="200"/>
        <w:rPr>
          <w:rFonts w:hAnsi="仿宋"/>
          <w:sz w:val="32"/>
          <w:szCs w:val="32"/>
        </w:rPr>
      </w:pPr>
      <w:r>
        <w:rPr>
          <w:rFonts w:hint="eastAsia" w:hAnsi="仿宋"/>
          <w:sz w:val="32"/>
          <w:szCs w:val="32"/>
          <w:lang w:val="en-US" w:eastAsia="zh-CN"/>
        </w:rPr>
        <w:t>4</w:t>
      </w:r>
      <w:r>
        <w:rPr>
          <w:rFonts w:hAnsi="仿宋"/>
          <w:sz w:val="32"/>
          <w:szCs w:val="32"/>
        </w:rPr>
        <w:t>.</w:t>
      </w:r>
      <w:r>
        <w:rPr>
          <w:rFonts w:hint="eastAsia" w:hAnsi="仿宋"/>
          <w:sz w:val="32"/>
          <w:szCs w:val="32"/>
        </w:rPr>
        <w:t>结余分配：指事业单位按照事业单位会计制度的规定从非财政补助结余中分配的事业基金和职工福利基金等。</w:t>
      </w:r>
    </w:p>
    <w:p>
      <w:pPr>
        <w:pStyle w:val="49"/>
        <w:spacing w:line="560" w:lineRule="exact"/>
        <w:ind w:firstLine="640" w:firstLineChars="200"/>
        <w:rPr>
          <w:rFonts w:hAnsi="仿宋"/>
          <w:sz w:val="32"/>
          <w:szCs w:val="32"/>
        </w:rPr>
      </w:pPr>
      <w:r>
        <w:rPr>
          <w:rFonts w:hint="eastAsia" w:hAnsi="仿宋"/>
          <w:sz w:val="32"/>
          <w:szCs w:val="32"/>
          <w:lang w:val="en-US" w:eastAsia="zh-CN"/>
        </w:rPr>
        <w:t>5</w:t>
      </w:r>
      <w:r>
        <w:rPr>
          <w:rFonts w:hint="eastAsia" w:hAnsi="仿宋"/>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w:t>
      </w:r>
      <w:r>
        <w:rPr>
          <w:rFonts w:hint="eastAsia" w:ascii="仿宋" w:hAnsi="仿宋" w:eastAsia="仿宋"/>
          <w:color w:val="000000"/>
          <w:sz w:val="32"/>
          <w:szCs w:val="32"/>
        </w:rPr>
        <w:t>社会保障和就业：指</w:t>
      </w:r>
      <w:r>
        <w:rPr>
          <w:rFonts w:hint="eastAsia" w:ascii="仿宋" w:hAnsi="仿宋" w:eastAsia="仿宋"/>
          <w:color w:val="000000"/>
          <w:sz w:val="32"/>
          <w:szCs w:val="32"/>
          <w:lang w:eastAsia="zh-CN"/>
        </w:rPr>
        <w:t>反映政府在社会保障与就业方面的支出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医疗卫生与计划生育：指</w:t>
      </w:r>
      <w:r>
        <w:rPr>
          <w:rFonts w:hint="eastAsia" w:ascii="仿宋" w:hAnsi="仿宋" w:eastAsia="仿宋"/>
          <w:color w:val="000000"/>
          <w:sz w:val="32"/>
          <w:szCs w:val="32"/>
          <w:lang w:eastAsia="zh-CN"/>
        </w:rPr>
        <w:t>反映医疗卫生与计划生育管理方面的支出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节能环保：指</w:t>
      </w:r>
      <w:r>
        <w:rPr>
          <w:rFonts w:hint="eastAsia" w:ascii="仿宋" w:hAnsi="仿宋" w:eastAsia="仿宋"/>
          <w:color w:val="000000"/>
          <w:sz w:val="32"/>
          <w:szCs w:val="32"/>
          <w:lang w:eastAsia="zh-CN"/>
        </w:rPr>
        <w:t>反映政府节能环保支出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城乡社区：指</w:t>
      </w:r>
      <w:r>
        <w:rPr>
          <w:rFonts w:hint="eastAsia" w:ascii="仿宋" w:hAnsi="仿宋" w:eastAsia="仿宋"/>
          <w:color w:val="000000"/>
          <w:sz w:val="32"/>
          <w:szCs w:val="32"/>
          <w:lang w:eastAsia="zh-CN"/>
        </w:rPr>
        <w:t>反映政府城乡社区事务支出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农林水：指</w:t>
      </w:r>
      <w:r>
        <w:rPr>
          <w:rFonts w:hint="eastAsia" w:ascii="仿宋" w:hAnsi="仿宋" w:eastAsia="仿宋"/>
          <w:color w:val="000000"/>
          <w:sz w:val="32"/>
          <w:szCs w:val="32"/>
          <w:lang w:eastAsia="zh-CN"/>
        </w:rPr>
        <w:t>反映正度农林水事务支出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11</w:t>
      </w:r>
      <w:r>
        <w:rPr>
          <w:rFonts w:ascii="仿宋" w:hAnsi="仿宋" w:eastAsia="仿宋"/>
          <w:color w:val="000000"/>
          <w:sz w:val="32"/>
          <w:szCs w:val="32"/>
        </w:rPr>
        <w:t>.</w:t>
      </w:r>
      <w:r>
        <w:rPr>
          <w:rFonts w:hint="eastAsia" w:ascii="仿宋" w:hAnsi="仿宋" w:eastAsia="仿宋"/>
          <w:color w:val="000000"/>
          <w:sz w:val="32"/>
          <w:szCs w:val="32"/>
        </w:rPr>
        <w:t>交通运输：</w:t>
      </w:r>
      <w:r>
        <w:rPr>
          <w:rFonts w:hint="eastAsia" w:ascii="仿宋" w:hAnsi="仿宋" w:eastAsia="仿宋"/>
          <w:color w:val="000000"/>
          <w:sz w:val="32"/>
          <w:szCs w:val="32"/>
          <w:lang w:eastAsia="zh-CN"/>
        </w:rPr>
        <w:t>反映交通运输和邮政业方面的支出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住房保障：指</w:t>
      </w:r>
      <w:r>
        <w:rPr>
          <w:rFonts w:hint="eastAsia" w:ascii="仿宋" w:hAnsi="仿宋" w:eastAsia="仿宋"/>
          <w:color w:val="000000"/>
          <w:sz w:val="32"/>
          <w:szCs w:val="32"/>
          <w:lang w:eastAsia="zh-CN"/>
        </w:rPr>
        <w:t>集中反映政府用于住房方面的支出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49"/>
        <w:spacing w:line="560" w:lineRule="exact"/>
        <w:ind w:firstLine="640" w:firstLineChars="200"/>
        <w:rPr>
          <w:rFonts w:hAnsi="仿宋"/>
          <w:sz w:val="32"/>
          <w:szCs w:val="32"/>
        </w:rPr>
      </w:pPr>
      <w:r>
        <w:rPr>
          <w:rFonts w:hint="eastAsia" w:hAnsi="仿宋"/>
          <w:sz w:val="32"/>
          <w:szCs w:val="32"/>
          <w:lang w:val="en-US" w:eastAsia="zh-CN"/>
        </w:rPr>
        <w:t>15</w:t>
      </w:r>
      <w:r>
        <w:rPr>
          <w:rFonts w:hAnsi="仿宋"/>
          <w:sz w:val="32"/>
          <w:szCs w:val="32"/>
        </w:rPr>
        <w:t>.</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9"/>
        <w:spacing w:line="560" w:lineRule="exact"/>
        <w:ind w:firstLine="640" w:firstLineChars="200"/>
        <w:rPr>
          <w:rFonts w:hAnsi="仿宋"/>
          <w:sz w:val="32"/>
          <w:szCs w:val="32"/>
        </w:rPr>
      </w:pPr>
      <w:r>
        <w:rPr>
          <w:rFonts w:hint="eastAsia" w:hAnsi="仿宋"/>
          <w:sz w:val="32"/>
          <w:szCs w:val="32"/>
          <w:lang w:val="en-US" w:eastAsia="zh-CN"/>
        </w:rPr>
        <w:t>16</w:t>
      </w:r>
      <w:r>
        <w:rPr>
          <w:rFonts w:hAnsi="仿宋"/>
          <w:sz w:val="32"/>
          <w:szCs w:val="32"/>
        </w:rPr>
        <w:t>.</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9"/>
        <w:spacing w:line="560" w:lineRule="exact"/>
        <w:ind w:firstLine="640" w:firstLineChars="200"/>
        <w:rPr>
          <w:rFonts w:hAnsi="仿宋" w:cs="黑体"/>
          <w:sz w:val="32"/>
          <w:szCs w:val="32"/>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rPr>
          <w:sz w:val="24"/>
          <w:szCs w:val="24"/>
          <w:shd w:val="clear" w:fill="FFFFFF"/>
        </w:rPr>
      </w:pPr>
    </w:p>
    <w:p>
      <w:pPr>
        <w:pStyle w:val="12"/>
        <w:keepNext w:val="0"/>
        <w:keepLines w:val="0"/>
        <w:widowControl/>
        <w:suppressLineNumbers w:val="0"/>
        <w:ind w:left="0" w:right="75"/>
        <w:jc w:val="center"/>
        <w:outlineLvl w:val="0"/>
        <w:rPr>
          <w:rFonts w:hint="eastAsia" w:ascii="黑体" w:hAnsi="黑体" w:eastAsia="黑体" w:cs="黑体"/>
          <w:sz w:val="32"/>
          <w:szCs w:val="32"/>
        </w:rPr>
      </w:pPr>
      <w:bookmarkStart w:id="36" w:name="_Toc1357"/>
      <w:r>
        <w:rPr>
          <w:rFonts w:hint="eastAsia" w:ascii="黑体" w:hAnsi="黑体" w:eastAsia="黑体" w:cs="黑体"/>
          <w:sz w:val="32"/>
          <w:szCs w:val="32"/>
          <w:shd w:val="clear" w:fill="FFFFFF"/>
        </w:rPr>
        <w:t>第四部分 附件</w:t>
      </w:r>
      <w:bookmarkEnd w:id="36"/>
    </w:p>
    <w:p>
      <w:pPr>
        <w:pStyle w:val="12"/>
        <w:keepNext w:val="0"/>
        <w:keepLines w:val="0"/>
        <w:widowControl/>
        <w:suppressLineNumbers w:val="0"/>
        <w:ind w:left="0" w:right="75"/>
        <w:jc w:val="left"/>
      </w:pPr>
      <w:r>
        <w:rPr>
          <w:sz w:val="24"/>
          <w:szCs w:val="24"/>
          <w:shd w:val="clear" w:fill="FFFFFF"/>
        </w:rPr>
        <w:t>附件1</w:t>
      </w:r>
    </w:p>
    <w:p>
      <w:pPr>
        <w:keepNext w:val="0"/>
        <w:keepLines w:val="0"/>
        <w:pageBreakBefore w:val="0"/>
        <w:widowControl/>
        <w:kinsoku/>
        <w:wordWrap/>
        <w:overflowPunct/>
        <w:topLinePunct w:val="0"/>
        <w:autoSpaceDE/>
        <w:autoSpaceDN/>
        <w:bidi w:val="0"/>
        <w:spacing w:line="560" w:lineRule="exact"/>
        <w:jc w:val="center"/>
        <w:textAlignment w:val="auto"/>
        <w:outlineLvl w:val="1"/>
        <w:rPr>
          <w:rFonts w:hint="eastAsia" w:ascii="方正小标宋简体" w:hAnsi="宋体" w:eastAsia="方正小标宋简体"/>
          <w:sz w:val="44"/>
          <w:szCs w:val="44"/>
        </w:rPr>
      </w:pPr>
      <w:bookmarkStart w:id="37" w:name="_Toc27976"/>
      <w:r>
        <w:rPr>
          <w:rFonts w:hint="eastAsia" w:ascii="方正小标宋简体" w:hAnsi="宋体" w:eastAsia="方正小标宋简体"/>
          <w:sz w:val="44"/>
          <w:szCs w:val="44"/>
          <w:lang w:eastAsia="zh-CN"/>
        </w:rPr>
        <w:t>红原县交通局</w:t>
      </w:r>
      <w:r>
        <w:rPr>
          <w:rFonts w:ascii="方正小标宋简体" w:hAnsi="宋体" w:eastAsia="方正小标宋简体"/>
          <w:sz w:val="44"/>
          <w:szCs w:val="44"/>
        </w:rPr>
        <w:t>20</w:t>
      </w:r>
      <w:r>
        <w:rPr>
          <w:rFonts w:hint="eastAsia" w:ascii="方正小标宋简体" w:hAnsi="宋体" w:eastAsia="方正小标宋简体"/>
          <w:sz w:val="44"/>
          <w:szCs w:val="44"/>
          <w:lang w:val="en-US" w:eastAsia="zh-CN"/>
        </w:rPr>
        <w:t>20</w:t>
      </w:r>
      <w:r>
        <w:rPr>
          <w:rFonts w:hint="eastAsia" w:ascii="方正小标宋简体" w:hAnsi="宋体" w:eastAsia="方正小标宋简体"/>
          <w:sz w:val="44"/>
          <w:szCs w:val="44"/>
        </w:rPr>
        <w:t>年部门</w:t>
      </w:r>
      <w:r>
        <w:rPr>
          <w:rFonts w:hint="eastAsia" w:ascii="方正小标宋简体" w:hAnsi="宋体" w:eastAsia="方正小标宋简体"/>
          <w:sz w:val="44"/>
          <w:szCs w:val="44"/>
          <w:lang w:eastAsia="zh-CN"/>
        </w:rPr>
        <w:t>整体</w:t>
      </w:r>
      <w:r>
        <w:rPr>
          <w:rFonts w:hint="eastAsia" w:ascii="方正小标宋简体" w:hAnsi="宋体" w:eastAsia="方正小标宋简体"/>
          <w:sz w:val="44"/>
          <w:szCs w:val="44"/>
        </w:rPr>
        <w:t>支出</w:t>
      </w:r>
      <w:bookmarkEnd w:id="37"/>
    </w:p>
    <w:p>
      <w:pPr>
        <w:keepNext w:val="0"/>
        <w:keepLines w:val="0"/>
        <w:pageBreakBefore w:val="0"/>
        <w:widowControl/>
        <w:kinsoku/>
        <w:wordWrap/>
        <w:overflowPunct/>
        <w:topLinePunct w:val="0"/>
        <w:autoSpaceDE/>
        <w:autoSpaceDN/>
        <w:bidi w:val="0"/>
        <w:spacing w:line="560" w:lineRule="exact"/>
        <w:jc w:val="center"/>
        <w:textAlignment w:val="auto"/>
        <w:outlineLvl w:val="9"/>
        <w:rPr>
          <w:rFonts w:ascii="方正小标宋简体" w:hAnsi="宋体" w:eastAsia="方正小标宋简体"/>
          <w:sz w:val="44"/>
          <w:szCs w:val="44"/>
        </w:rPr>
      </w:pPr>
      <w:r>
        <w:rPr>
          <w:rFonts w:hint="eastAsia" w:ascii="方正小标宋简体" w:hAnsi="宋体" w:eastAsia="方正小标宋简体"/>
          <w:sz w:val="44"/>
          <w:szCs w:val="44"/>
        </w:rPr>
        <w:t>绩效报告</w:t>
      </w: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Cs/>
          <w:sz w:val="32"/>
          <w:szCs w:val="32"/>
          <w:lang w:eastAsia="zh-CN"/>
        </w:rPr>
        <w:t>县交通局为</w:t>
      </w:r>
      <w:r>
        <w:rPr>
          <w:rFonts w:hint="eastAsia" w:ascii="仿宋_GB2312" w:hAnsi="仿宋_GB2312" w:eastAsia="仿宋_GB2312" w:cs="仿宋_GB2312"/>
          <w:bCs/>
          <w:sz w:val="32"/>
          <w:szCs w:val="32"/>
        </w:rPr>
        <w:t>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w:t>
      </w:r>
      <w:r>
        <w:rPr>
          <w:rFonts w:hint="eastAsia" w:ascii="仿宋_GB2312" w:hAnsi="仿宋_GB2312" w:eastAsia="仿宋_GB2312" w:cs="仿宋_GB2312"/>
          <w:bCs/>
          <w:sz w:val="32"/>
          <w:szCs w:val="32"/>
          <w:lang w:val="en-US" w:eastAsia="zh-CN"/>
        </w:rPr>
        <w:t>4个内设</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lang w:val="en-US" w:eastAsia="zh-CN"/>
        </w:rPr>
        <w:t>：综合办公室、财务审计股、规划建设股、运输安全监督股。</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贯彻执行国家有关交通运输行业的方针、政策和法律法规。</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负责本系统、本部门依法行政工作，落实行政执法责任制。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承担全县道路，水路交通运输市场监管责任。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承担水上交通安全监管责任。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负责提出公路、水路固定资产投资规模和方向、县财政性资金安排建议，按照规定权限审批、核准省、州、县规划内和年度计划规模内固定资产投资项目。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承担公路、水路建设市场监管责任。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指导公路、水路行业安全生产和应急管理工作。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eastAsia="zh-CN"/>
        </w:rPr>
        <w:t>制定交通运输科技政策并监督实施，组织科技开发。</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eastAsia="zh-CN"/>
        </w:rPr>
        <w:t>负责公路、水路有关涉外工作，开展对经济技术交流与合作，指导全县交通运输行业招商引资和利用外资工作。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lang w:eastAsia="zh-CN"/>
        </w:rPr>
        <w:t>指导交通行业的精神文明建设、廉政建设和职工队伍建设；指导交通系统的教育培训。</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lang w:eastAsia="zh-CN"/>
        </w:rPr>
        <w:t>承办县委、县政府和上级主管部门交办的其他事项。</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本单位截止</w:t>
      </w:r>
      <w:r>
        <w:rPr>
          <w:rFonts w:hint="eastAsia" w:ascii="仿宋_GB2312" w:hAnsi="仿宋_GB2312" w:eastAsia="仿宋_GB2312" w:cs="仿宋_GB2312"/>
          <w:bCs/>
          <w:sz w:val="32"/>
          <w:szCs w:val="32"/>
          <w:lang w:val="en-US" w:eastAsia="zh-CN"/>
        </w:rPr>
        <w:t>2020年底共有</w:t>
      </w:r>
      <w:r>
        <w:rPr>
          <w:rFonts w:hint="eastAsia" w:ascii="仿宋_GB2312" w:hAnsi="仿宋_GB2312" w:eastAsia="仿宋_GB2312" w:cs="仿宋_GB2312"/>
          <w:bCs/>
          <w:sz w:val="32"/>
          <w:szCs w:val="32"/>
          <w:lang w:eastAsia="zh-CN"/>
        </w:rPr>
        <w:t>在职职工</w:t>
      </w:r>
      <w:r>
        <w:rPr>
          <w:rFonts w:hint="eastAsia" w:ascii="仿宋_GB2312" w:hAnsi="仿宋_GB2312" w:eastAsia="仿宋_GB2312" w:cs="仿宋_GB2312"/>
          <w:bCs/>
          <w:sz w:val="32"/>
          <w:szCs w:val="32"/>
          <w:lang w:val="en-US" w:eastAsia="zh-CN"/>
        </w:rPr>
        <w:t>16</w:t>
      </w:r>
      <w:r>
        <w:rPr>
          <w:rFonts w:hint="eastAsia" w:ascii="仿宋_GB2312" w:hAnsi="仿宋_GB2312" w:eastAsia="仿宋_GB2312" w:cs="仿宋_GB2312"/>
          <w:bCs/>
          <w:sz w:val="32"/>
          <w:szCs w:val="32"/>
          <w:lang w:eastAsia="zh-CN"/>
        </w:rPr>
        <w:t>人，其中公务员</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eastAsia="zh-CN"/>
        </w:rPr>
        <w:t>人，事业人员</w:t>
      </w:r>
      <w:r>
        <w:rPr>
          <w:rFonts w:hint="eastAsia" w:ascii="仿宋_GB2312" w:hAnsi="仿宋_GB2312" w:eastAsia="仿宋_GB2312" w:cs="仿宋_GB2312"/>
          <w:bCs/>
          <w:sz w:val="32"/>
          <w:szCs w:val="32"/>
          <w:lang w:val="en-US" w:eastAsia="zh-CN"/>
        </w:rPr>
        <w:t>8人</w:t>
      </w:r>
      <w:r>
        <w:rPr>
          <w:rFonts w:hint="eastAsia" w:ascii="仿宋_GB2312" w:hAnsi="仿宋_GB2312" w:eastAsia="仿宋_GB2312" w:cs="仿宋_GB2312"/>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3464.65万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社会保障和就业支出36.95万元，主要为各项保险；医疗卫生与计划生育支出17.15万元，全部为医疗保险、公务员医疗补助；农林水支出2711.55万元，主要为上级专款农村道路建设资金；交通运输支出458.06万元，主要为人员工资、体检费、工伤失业保险，办公费、差旅费、邮电费、委托业务费、公务用车运维费及道路基础设施建设费等；住房保障支出22.33万元，全部为住房公积金；其他支出218.61万元，全部为龙日种蓄场建设资金）。</w:t>
      </w:r>
      <w:r>
        <w:rPr>
          <w:rFonts w:hint="eastAsia" w:ascii="仿宋_GB2312" w:hAnsi="仿宋_GB2312" w:eastAsia="仿宋_GB2312" w:cs="仿宋_GB2312"/>
          <w:bCs/>
          <w:sz w:val="32"/>
          <w:szCs w:val="32"/>
          <w:lang w:eastAsia="zh-CN"/>
        </w:rPr>
        <w:t>与201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eastAsia="zh-CN"/>
        </w:rPr>
        <w:t>年相比，收入增加了</w:t>
      </w:r>
      <w:r>
        <w:rPr>
          <w:rFonts w:hint="eastAsia" w:ascii="仿宋_GB2312" w:hAnsi="仿宋_GB2312" w:eastAsia="仿宋_GB2312" w:cs="仿宋_GB2312"/>
          <w:bCs/>
          <w:sz w:val="32"/>
          <w:szCs w:val="32"/>
          <w:lang w:val="en-US" w:eastAsia="zh-CN"/>
        </w:rPr>
        <w:t>2104.48</w:t>
      </w:r>
      <w:r>
        <w:rPr>
          <w:rFonts w:hint="eastAsia" w:ascii="仿宋_GB2312" w:hAnsi="仿宋_GB2312" w:eastAsia="仿宋_GB2312" w:cs="仿宋_GB2312"/>
          <w:bCs/>
          <w:sz w:val="32"/>
          <w:szCs w:val="32"/>
          <w:lang w:eastAsia="zh-CN"/>
        </w:rPr>
        <w:t>万元，上升了</w:t>
      </w:r>
      <w:r>
        <w:rPr>
          <w:rFonts w:hint="eastAsia" w:ascii="仿宋_GB2312" w:hAnsi="仿宋_GB2312" w:eastAsia="仿宋_GB2312" w:cs="仿宋_GB2312"/>
          <w:bCs/>
          <w:sz w:val="32"/>
          <w:szCs w:val="32"/>
          <w:lang w:val="en-US" w:eastAsia="zh-CN"/>
        </w:rPr>
        <w:t>154.72</w:t>
      </w:r>
      <w:r>
        <w:rPr>
          <w:rFonts w:hint="eastAsia" w:ascii="仿宋_GB2312" w:hAnsi="仿宋_GB2312" w:eastAsia="仿宋_GB2312" w:cs="仿宋_GB2312"/>
          <w:bCs/>
          <w:sz w:val="32"/>
          <w:szCs w:val="32"/>
          <w:lang w:eastAsia="zh-CN"/>
        </w:rPr>
        <w:t>%，主要变动原因</w:t>
      </w:r>
      <w:r>
        <w:rPr>
          <w:rFonts w:hint="eastAsia" w:ascii="仿宋_GB2312" w:hAnsi="仿宋_GB2312" w:eastAsia="仿宋_GB2312" w:cs="仿宋_GB2312"/>
          <w:bCs/>
          <w:sz w:val="32"/>
          <w:szCs w:val="32"/>
          <w:lang w:val="en-US" w:eastAsia="zh-CN"/>
        </w:rPr>
        <w:t>2020年增加久马高速及安曲到马尔康省道建设相关支出。</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en-US" w:eastAsia="zh-CN"/>
        </w:rPr>
      </w:pPr>
      <w:r>
        <w:rPr>
          <w:rFonts w:hint="eastAsia" w:ascii="楷体_GB2312" w:hAnsi="楷体_GB2312" w:eastAsia="楷体_GB2312" w:cs="楷体_GB2312"/>
          <w:b/>
          <w:bCs/>
          <w:color w:val="000000"/>
          <w:kern w:val="0"/>
          <w:sz w:val="32"/>
          <w:szCs w:val="32"/>
          <w:lang w:val="en-US" w:eastAsia="zh-CN"/>
        </w:rPr>
        <w:t>(二)</w:t>
      </w:r>
      <w:r>
        <w:rPr>
          <w:rFonts w:hint="eastAsia" w:ascii="楷体_GB2312" w:hAnsi="楷体_GB2312" w:eastAsia="楷体_GB2312" w:cs="楷体_GB2312"/>
          <w:b/>
          <w:bCs/>
          <w:color w:val="000000"/>
          <w:kern w:val="0"/>
          <w:sz w:val="32"/>
          <w:szCs w:val="32"/>
          <w:lang w:val="zh-CN"/>
        </w:rPr>
        <w:t>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年度财政拨款支出</w:t>
      </w:r>
      <w:r>
        <w:rPr>
          <w:rFonts w:hint="eastAsia" w:ascii="仿宋_GB2312" w:hAnsi="仿宋_GB2312" w:eastAsia="仿宋_GB2312" w:cs="仿宋_GB2312"/>
          <w:bCs/>
          <w:sz w:val="32"/>
          <w:szCs w:val="32"/>
          <w:lang w:val="en-US" w:eastAsia="zh-CN"/>
        </w:rPr>
        <w:t>4497.24万</w:t>
      </w:r>
      <w:r>
        <w:rPr>
          <w:rFonts w:hint="eastAsia" w:ascii="仿宋_GB2312" w:hAnsi="仿宋_GB2312" w:eastAsia="仿宋_GB2312" w:cs="仿宋_GB2312"/>
          <w:bCs/>
          <w:sz w:val="32"/>
          <w:szCs w:val="32"/>
          <w:lang w:eastAsia="zh-CN"/>
        </w:rPr>
        <w:t>元（含存量安排支出</w:t>
      </w:r>
      <w:r>
        <w:rPr>
          <w:rFonts w:hint="eastAsia" w:ascii="仿宋_GB2312" w:hAnsi="仿宋_GB2312" w:eastAsia="仿宋_GB2312" w:cs="仿宋_GB2312"/>
          <w:bCs/>
          <w:sz w:val="32"/>
          <w:szCs w:val="32"/>
          <w:lang w:val="en-US" w:eastAsia="zh-CN"/>
        </w:rPr>
        <w:t>1139.54万元，</w:t>
      </w:r>
      <w:r>
        <w:rPr>
          <w:rFonts w:hint="eastAsia" w:ascii="仿宋_GB2312" w:hAnsi="仿宋_GB2312" w:eastAsia="仿宋_GB2312" w:cs="仿宋_GB2312"/>
          <w:bCs/>
          <w:sz w:val="32"/>
          <w:szCs w:val="32"/>
          <w:lang w:eastAsia="zh-CN"/>
        </w:rPr>
        <w:t>其中：社会保障和就业支出</w:t>
      </w:r>
      <w:r>
        <w:rPr>
          <w:rFonts w:hint="eastAsia" w:ascii="仿宋_GB2312" w:hAnsi="仿宋_GB2312" w:eastAsia="仿宋_GB2312" w:cs="仿宋_GB2312"/>
          <w:bCs/>
          <w:sz w:val="32"/>
          <w:szCs w:val="32"/>
          <w:lang w:val="en-US" w:eastAsia="zh-CN"/>
        </w:rPr>
        <w:t>36.95万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主要为各项保险；</w:t>
      </w:r>
      <w:r>
        <w:rPr>
          <w:rFonts w:hint="eastAsia" w:ascii="仿宋_GB2312" w:hAnsi="仿宋_GB2312" w:eastAsia="仿宋_GB2312" w:cs="仿宋_GB2312"/>
          <w:bCs/>
          <w:sz w:val="32"/>
          <w:szCs w:val="32"/>
          <w:lang w:eastAsia="zh-CN"/>
        </w:rPr>
        <w:t>医疗卫生支出</w:t>
      </w:r>
      <w:r>
        <w:rPr>
          <w:rFonts w:hint="eastAsia" w:ascii="仿宋_GB2312" w:hAnsi="仿宋_GB2312" w:eastAsia="仿宋_GB2312" w:cs="仿宋_GB2312"/>
          <w:bCs/>
          <w:sz w:val="32"/>
          <w:szCs w:val="32"/>
          <w:lang w:val="en-US" w:eastAsia="zh-CN"/>
        </w:rPr>
        <w:t>17.15万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全部为医疗保险、公务员医疗补助；农林水支出3341.91，主要为上级农村道路及久马高速专款；交通运输支出860.29万元，主要为人员工资、体检费、工伤失业保险，办公费、差旅费、邮电费、委托业务费、公务用车运维费及道路基础设施建设费等；住房保障支出22.33万元，全部为住房公积金；其他支出218.61万元，全部为龙日种蓄场建设资金</w:t>
      </w:r>
      <w:r>
        <w:rPr>
          <w:rFonts w:hint="eastAsia" w:ascii="仿宋_GB2312" w:hAnsi="仿宋_GB2312" w:eastAsia="仿宋_GB2312" w:cs="仿宋_GB2312"/>
          <w:bCs/>
          <w:sz w:val="32"/>
          <w:szCs w:val="32"/>
          <w:lang w:eastAsia="zh-CN"/>
        </w:rPr>
        <w:t>）。与201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eastAsia="zh-CN"/>
        </w:rPr>
        <w:t>年相比，支出增加了</w:t>
      </w:r>
      <w:r>
        <w:rPr>
          <w:rFonts w:hint="eastAsia" w:ascii="仿宋_GB2312" w:hAnsi="仿宋_GB2312" w:eastAsia="仿宋_GB2312" w:cs="仿宋_GB2312"/>
          <w:bCs/>
          <w:sz w:val="32"/>
          <w:szCs w:val="32"/>
          <w:lang w:val="en-US" w:eastAsia="zh-CN"/>
        </w:rPr>
        <w:t>900.68</w:t>
      </w:r>
      <w:r>
        <w:rPr>
          <w:rFonts w:hint="eastAsia" w:ascii="仿宋_GB2312" w:hAnsi="仿宋_GB2312" w:eastAsia="仿宋_GB2312" w:cs="仿宋_GB2312"/>
          <w:bCs/>
          <w:sz w:val="32"/>
          <w:szCs w:val="32"/>
          <w:lang w:eastAsia="zh-CN"/>
        </w:rPr>
        <w:t>万元，上升了</w:t>
      </w:r>
      <w:r>
        <w:rPr>
          <w:rFonts w:hint="eastAsia" w:ascii="仿宋_GB2312" w:hAnsi="仿宋_GB2312" w:eastAsia="仿宋_GB2312" w:cs="仿宋_GB2312"/>
          <w:bCs/>
          <w:sz w:val="32"/>
          <w:szCs w:val="32"/>
          <w:lang w:val="en-US" w:eastAsia="zh-CN"/>
        </w:rPr>
        <w:t>25.04</w:t>
      </w:r>
      <w:r>
        <w:rPr>
          <w:rFonts w:hint="eastAsia" w:ascii="仿宋_GB2312" w:hAnsi="仿宋_GB2312" w:eastAsia="仿宋_GB2312" w:cs="仿宋_GB2312"/>
          <w:bCs/>
          <w:sz w:val="32"/>
          <w:szCs w:val="32"/>
          <w:lang w:eastAsia="zh-CN"/>
        </w:rPr>
        <w:t>%。主要变动原因</w:t>
      </w:r>
      <w:r>
        <w:rPr>
          <w:rFonts w:hint="eastAsia" w:ascii="仿宋_GB2312" w:hAnsi="仿宋_GB2312" w:eastAsia="仿宋_GB2312" w:cs="仿宋_GB2312"/>
          <w:bCs/>
          <w:sz w:val="32"/>
          <w:szCs w:val="32"/>
          <w:lang w:val="en-US" w:eastAsia="zh-CN"/>
        </w:rPr>
        <w:t>2020年新建久马高速及马尔康安曲省道。</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红原县交通局预算编制严格按照《预算法》相关规定，结合全县预算编制口径，结合我单位实际情况，主要用于保障机构正常运转、完成日常工作任务以及红原县交通局相关工作而编制。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基本支出，是用于保障红原县交通局正常运转的日常支出，包括基本工资、津贴补贴等人员经费以及办公费、印刷费、水电费、培训费等日常公用经费。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专项预算项目支出，主要用于农村公路管理相关油费，养护费，差旅费等。</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（二）执行管理情况。</w:t>
      </w:r>
      <w:r>
        <w:rPr>
          <w:rFonts w:hint="eastAsia" w:ascii="楷体_GB2312" w:hAnsi="楷体_GB2312" w:eastAsia="楷体_GB2312" w:cs="楷体_GB2312"/>
          <w:b/>
          <w:bCs/>
          <w:color w:val="000000"/>
          <w:kern w:val="0"/>
          <w:sz w:val="32"/>
          <w:szCs w:val="32"/>
          <w:lang w:val="zh-CN"/>
        </w:rPr>
        <w:tab/>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年因公出国(境)费</w:t>
      </w:r>
      <w:r>
        <w:rPr>
          <w:rFonts w:hint="eastAsia" w:ascii="仿宋_GB2312" w:hAnsi="仿宋_GB2312" w:eastAsia="仿宋_GB2312" w:cs="仿宋_GB2312"/>
          <w:bCs/>
          <w:sz w:val="32"/>
          <w:szCs w:val="32"/>
          <w:lang w:val="en-US" w:eastAsia="zh-CN"/>
        </w:rPr>
        <w:t>0.00</w:t>
      </w:r>
      <w:r>
        <w:rPr>
          <w:rFonts w:hint="eastAsia" w:ascii="仿宋_GB2312" w:hAnsi="仿宋_GB2312" w:eastAsia="仿宋_GB2312" w:cs="仿宋_GB2312"/>
          <w:bCs/>
          <w:sz w:val="32"/>
          <w:szCs w:val="32"/>
          <w:lang w:eastAsia="zh-CN"/>
        </w:rPr>
        <w:t xml:space="preserve">元，因公出国(境) </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人，与上年持平。</w:t>
      </w:r>
    </w:p>
    <w:p>
      <w:pPr>
        <w:keepNext w:val="0"/>
        <w:keepLines w:val="0"/>
        <w:pageBreakBefore w:val="0"/>
        <w:widowControl w:val="0"/>
        <w:kinsoku/>
        <w:wordWrap/>
        <w:overflowPunct/>
        <w:topLinePunct w:val="0"/>
        <w:autoSpaceDE/>
        <w:autoSpaceDN/>
        <w:bidi w:val="0"/>
        <w:spacing w:line="56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年公务接待费</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元。公务接待费支出决算与</w:t>
      </w:r>
      <w:r>
        <w:rPr>
          <w:rFonts w:hint="eastAsia" w:ascii="仿宋_GB2312" w:hAnsi="仿宋_GB2312" w:eastAsia="仿宋_GB2312" w:cs="仿宋_GB2312"/>
          <w:bCs/>
          <w:sz w:val="32"/>
          <w:szCs w:val="32"/>
          <w:lang w:val="en-US" w:eastAsia="zh-CN"/>
        </w:rPr>
        <w:t>2019</w:t>
      </w:r>
      <w:r>
        <w:rPr>
          <w:rFonts w:hint="eastAsia" w:ascii="仿宋_GB2312" w:hAnsi="仿宋_GB2312" w:eastAsia="仿宋_GB2312" w:cs="仿宋_GB2312"/>
          <w:bCs/>
          <w:sz w:val="32"/>
          <w:szCs w:val="32"/>
          <w:lang w:eastAsia="zh-CN"/>
        </w:rPr>
        <w:t>年持平。</w:t>
      </w:r>
      <w:r>
        <w:rPr>
          <w:rFonts w:hint="eastAsia" w:ascii="仿宋_GB2312" w:hAnsi="仿宋_GB2312" w:eastAsia="仿宋_GB2312" w:cs="仿宋_GB2312"/>
          <w:bCs/>
          <w:sz w:val="32"/>
          <w:szCs w:val="32"/>
          <w:lang w:val="en-US" w:eastAsia="zh-CN"/>
        </w:rPr>
        <w:t>本年度我们将严格执行“八项规定、六项禁令”，结合本年度工作需要，减少不必要的开支，严格审批管理接待费。</w:t>
      </w:r>
    </w:p>
    <w:p>
      <w:pPr>
        <w:keepNext w:val="0"/>
        <w:keepLines w:val="0"/>
        <w:pageBreakBefore w:val="0"/>
        <w:widowControl w:val="0"/>
        <w:kinsoku/>
        <w:wordWrap/>
        <w:overflowPunct/>
        <w:topLinePunct w:val="0"/>
        <w:autoSpaceDE/>
        <w:autoSpaceDN/>
        <w:bidi w:val="0"/>
        <w:spacing w:line="56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lang w:eastAsia="zh-CN"/>
        </w:rPr>
        <w:t>年公务用车运行维护费</w:t>
      </w:r>
      <w:r>
        <w:rPr>
          <w:rFonts w:hint="eastAsia" w:ascii="仿宋_GB2312" w:hAnsi="仿宋_GB2312" w:eastAsia="仿宋_GB2312" w:cs="仿宋_GB2312"/>
          <w:bCs/>
          <w:sz w:val="32"/>
          <w:szCs w:val="32"/>
          <w:lang w:val="en-US" w:eastAsia="zh-CN"/>
        </w:rPr>
        <w:t>4.01万</w:t>
      </w:r>
      <w:r>
        <w:rPr>
          <w:rFonts w:hint="eastAsia" w:ascii="仿宋_GB2312" w:hAnsi="仿宋_GB2312" w:eastAsia="仿宋_GB2312" w:cs="仿宋_GB2312"/>
          <w:bCs/>
          <w:sz w:val="32"/>
          <w:szCs w:val="32"/>
          <w:lang w:eastAsia="zh-CN"/>
        </w:rPr>
        <w:t>元。其中：</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公务用车购置支出</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公务用车运行维护费支出</w:t>
      </w:r>
      <w:r>
        <w:rPr>
          <w:rFonts w:hint="eastAsia" w:ascii="仿宋_GB2312" w:hAnsi="仿宋_GB2312" w:eastAsia="仿宋_GB2312" w:cs="仿宋_GB2312"/>
          <w:bCs/>
          <w:sz w:val="32"/>
          <w:szCs w:val="32"/>
          <w:lang w:val="en-US" w:eastAsia="zh-CN"/>
        </w:rPr>
        <w:t>4.01万</w:t>
      </w:r>
      <w:r>
        <w:rPr>
          <w:rFonts w:hint="eastAsia" w:ascii="仿宋_GB2312" w:hAnsi="仿宋_GB2312" w:eastAsia="仿宋_GB2312" w:cs="仿宋_GB2312"/>
          <w:bCs/>
          <w:sz w:val="32"/>
          <w:szCs w:val="32"/>
          <w:lang w:eastAsia="zh-CN"/>
        </w:rPr>
        <w:t>元。主要用于单位因公出差、下乡等所需的公务用车燃料费、维修费、过路过桥费、保险费等支出。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公务用车购置及运行维护费支出</w:t>
      </w:r>
      <w:r>
        <w:rPr>
          <w:rFonts w:hint="eastAsia" w:ascii="仿宋_GB2312" w:hAnsi="仿宋_GB2312" w:eastAsia="仿宋_GB2312" w:cs="仿宋_GB2312"/>
          <w:bCs/>
          <w:sz w:val="32"/>
          <w:szCs w:val="32"/>
          <w:lang w:val="en-US" w:eastAsia="zh-CN"/>
        </w:rPr>
        <w:t>4.01</w:t>
      </w:r>
      <w:r>
        <w:rPr>
          <w:rFonts w:hint="eastAsia" w:ascii="仿宋_GB2312" w:hAnsi="仿宋_GB2312" w:eastAsia="仿宋_GB2312" w:cs="仿宋_GB2312"/>
          <w:bCs/>
          <w:sz w:val="32"/>
          <w:szCs w:val="32"/>
          <w:lang w:eastAsia="zh-CN"/>
        </w:rPr>
        <w:t>万元,完成预算</w:t>
      </w:r>
      <w:r>
        <w:rPr>
          <w:rFonts w:hint="eastAsia" w:ascii="仿宋_GB2312" w:hAnsi="仿宋_GB2312" w:eastAsia="仿宋_GB2312" w:cs="仿宋_GB2312"/>
          <w:bCs/>
          <w:sz w:val="32"/>
          <w:szCs w:val="32"/>
          <w:lang w:val="en-US" w:eastAsia="zh-CN"/>
        </w:rPr>
        <w:t>87.17</w:t>
      </w:r>
      <w:r>
        <w:rPr>
          <w:rFonts w:hint="eastAsia" w:ascii="仿宋_GB2312" w:hAnsi="仿宋_GB2312" w:eastAsia="仿宋_GB2312" w:cs="仿宋_GB2312"/>
          <w:bCs/>
          <w:sz w:val="32"/>
          <w:szCs w:val="32"/>
          <w:lang w:eastAsia="zh-CN"/>
        </w:rPr>
        <w:t>%。公务用车购置及运行维护费支出决算比201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eastAsia="zh-CN"/>
        </w:rPr>
        <w:t>年减少</w:t>
      </w:r>
      <w:r>
        <w:rPr>
          <w:rFonts w:hint="eastAsia" w:ascii="仿宋_GB2312" w:hAnsi="仿宋_GB2312" w:eastAsia="仿宋_GB2312" w:cs="仿宋_GB2312"/>
          <w:bCs/>
          <w:sz w:val="32"/>
          <w:szCs w:val="32"/>
          <w:lang w:val="en-US" w:eastAsia="zh-CN"/>
        </w:rPr>
        <w:t>0.59</w:t>
      </w:r>
      <w:r>
        <w:rPr>
          <w:rFonts w:hint="eastAsia" w:ascii="仿宋_GB2312" w:hAnsi="仿宋_GB2312" w:eastAsia="仿宋_GB2312" w:cs="仿宋_GB2312"/>
          <w:bCs/>
          <w:sz w:val="32"/>
          <w:szCs w:val="32"/>
          <w:lang w:eastAsia="zh-CN"/>
        </w:rPr>
        <w:t>万元，下降</w:t>
      </w:r>
      <w:r>
        <w:rPr>
          <w:rFonts w:hint="eastAsia" w:ascii="仿宋_GB2312" w:hAnsi="仿宋_GB2312" w:eastAsia="仿宋_GB2312" w:cs="仿宋_GB2312"/>
          <w:bCs/>
          <w:sz w:val="32"/>
          <w:szCs w:val="32"/>
          <w:lang w:val="en-US" w:eastAsia="zh-CN"/>
        </w:rPr>
        <w:t>12.83</w:t>
      </w:r>
      <w:r>
        <w:rPr>
          <w:rFonts w:hint="eastAsia" w:ascii="仿宋_GB2312" w:hAnsi="仿宋_GB2312" w:eastAsia="仿宋_GB2312" w:cs="仿宋_GB2312"/>
          <w:bCs/>
          <w:sz w:val="32"/>
          <w:szCs w:val="32"/>
          <w:lang w:eastAsia="zh-CN"/>
        </w:rPr>
        <w:t>%。主要原因是厉行节约，减少不必要的开支。</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（三）综合管理情况。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50"/>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1.</w:t>
      </w:r>
      <w:r>
        <w:rPr>
          <w:rFonts w:hint="eastAsia" w:ascii="仿宋_GB2312" w:hAnsi="宋体" w:cs="宋体"/>
          <w:sz w:val="32"/>
          <w:szCs w:val="32"/>
        </w:rPr>
        <w:t>资产管理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50"/>
        <w:keepNext w:val="0"/>
        <w:keepLines w:val="0"/>
        <w:pageBreakBefore w:val="0"/>
        <w:numPr>
          <w:ilvl w:val="0"/>
          <w:numId w:val="0"/>
        </w:numPr>
        <w:tabs>
          <w:tab w:val="left" w:pos="0"/>
        </w:tabs>
        <w:kinsoku/>
        <w:wordWrap/>
        <w:overflowPunct/>
        <w:topLinePunct w:val="0"/>
        <w:autoSpaceDE/>
        <w:autoSpaceDN/>
        <w:bidi w:val="0"/>
        <w:spacing w:line="560" w:lineRule="exact"/>
        <w:ind w:left="750" w:leftChars="0"/>
        <w:jc w:val="both"/>
        <w:textAlignment w:val="auto"/>
        <w:rPr>
          <w:rFonts w:ascii="仿宋_GB2312" w:hAnsi="宋体" w:cs="宋体"/>
          <w:sz w:val="32"/>
          <w:szCs w:val="32"/>
        </w:rPr>
      </w:pPr>
      <w:r>
        <w:rPr>
          <w:rFonts w:hint="eastAsia" w:ascii="仿宋_GB2312" w:hAnsi="宋体" w:cs="宋体"/>
          <w:sz w:val="32"/>
          <w:szCs w:val="32"/>
          <w:lang w:val="en-US" w:eastAsia="zh-CN"/>
        </w:rPr>
        <w:t>2.</w:t>
      </w:r>
      <w:r>
        <w:rPr>
          <w:rFonts w:hint="eastAsia" w:ascii="仿宋_GB2312" w:hAnsi="宋体" w:cs="宋体"/>
          <w:sz w:val="32"/>
          <w:szCs w:val="32"/>
        </w:rPr>
        <w:t>单位内控管理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2"/>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ascii="仿宋_GB2312" w:eastAsia="仿宋_GB2312"/>
          <w:sz w:val="32"/>
          <w:szCs w:val="32"/>
        </w:rPr>
      </w:pPr>
      <w:r>
        <w:rPr>
          <w:rFonts w:hint="eastAsia" w:ascii="仿宋_GB2312"/>
          <w:sz w:val="32"/>
          <w:szCs w:val="32"/>
          <w:lang w:val="en-US" w:eastAsia="zh-CN"/>
        </w:rPr>
        <w:t>3.</w:t>
      </w:r>
      <w:r>
        <w:rPr>
          <w:rFonts w:hint="eastAsia" w:ascii="仿宋_GB2312" w:eastAsia="仿宋_GB2312"/>
          <w:sz w:val="32"/>
          <w:szCs w:val="32"/>
        </w:rPr>
        <w:t>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en-US" w:eastAsia="zh-CN" w:bidi="ar"/>
        </w:rPr>
        <w:t>4.</w:t>
      </w:r>
      <w:r>
        <w:rPr>
          <w:rFonts w:hint="eastAsia" w:ascii="楷体" w:hAnsi="楷体" w:eastAsia="楷体" w:cs="宋体"/>
          <w:color w:val="000000"/>
          <w:kern w:val="0"/>
          <w:sz w:val="32"/>
          <w:szCs w:val="24"/>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lang w:val="zh-CN"/>
        </w:rPr>
      </w:pPr>
      <w:r>
        <w:rPr>
          <w:rFonts w:hint="eastAsia" w:ascii="仿宋_GB2312" w:hAnsi="仿宋_GB2312" w:eastAsia="仿宋_GB2312" w:cs="仿宋_GB2312"/>
          <w:bCs/>
          <w:sz w:val="32"/>
          <w:szCs w:val="32"/>
          <w:lang w:val="en-US" w:eastAsia="zh-CN"/>
        </w:rPr>
        <w:t>我单位领导高度重视绩效评价工作，成立了绩效评价工作领导小组，采取座谈等方式听取相关情况，检查基本支出、项目支出有关账目，收集整理相关资料，并对资料进行分析，形成评价结论。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Cs/>
          <w:sz w:val="32"/>
          <w:szCs w:val="32"/>
          <w:lang w:val="en-US" w:eastAsia="zh-CN"/>
        </w:rPr>
        <w:t xml:space="preserve"> （1）部门预算严格按照上级部门预算编制通知和有关要求，结合单位具体工作及县级相关规定编制，按时完成基础、项目报送工作，单位预算按时在红原门户网站公开。</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（2）严格执行支出预算，“三公经费”本着节约、高效的原则严格控制支出，严格把握“三公经费”只减不增的原则。</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整体绩效评价及项目绩效评价工作，在项目决策、项目完成、项目管理、项目效果中，绩效评价工作正逐步完善。 </w:t>
      </w:r>
      <w:r>
        <w:rPr>
          <w:rFonts w:hint="eastAsia" w:ascii="仿宋_GB2312" w:hAnsi="仿宋_GB2312" w:eastAsia="仿宋_GB2312" w:cs="仿宋_GB2312"/>
          <w:b w:val="0"/>
          <w:bCs w:val="0"/>
          <w:color w:val="00000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通过整体绩效自评，反映本部门能按照交通运输局管理相关职责要求有效履行职责，圆满完成了各项工作任务，绩效评价结果为优，群众及相关部门等对县交通局的各项工作满意度较高。</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根据《红原县部门整体支出绩效评价指标体系》自查的分93.62分，总体评价较好。</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（二）存在问题。</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2.规范账务处理，提高财务信息质量。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3.做好项目事前、事中、事后绩效管理，规范项目管理。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4"/>
        <w:rPr>
          <w:rFonts w:hint="eastAsia" w:ascii="仿宋_GB2312" w:hAnsi="仿宋_GB2312" w:eastAsia="仿宋_GB2312" w:cs="仿宋_GB2312"/>
          <w:b w:val="0"/>
          <w:bCs w:val="0"/>
          <w:color w:val="000000"/>
          <w:sz w:val="32"/>
          <w:szCs w:val="32"/>
          <w:lang w:val="en-US" w:eastAsia="zh-CN"/>
        </w:rPr>
      </w:pPr>
    </w:p>
    <w:p>
      <w:pPr>
        <w:pStyle w:val="12"/>
        <w:keepNext w:val="0"/>
        <w:keepLines w:val="0"/>
        <w:widowControl/>
        <w:suppressLineNumbers w:val="0"/>
        <w:ind w:left="0" w:right="75"/>
        <w:jc w:val="left"/>
        <w:outlineLvl w:val="9"/>
      </w:pPr>
      <w:r>
        <w:rPr>
          <w:sz w:val="24"/>
          <w:szCs w:val="24"/>
          <w:shd w:val="clear" w:fill="FFFFFF"/>
        </w:rPr>
        <w:t>附件2</w:t>
      </w:r>
    </w:p>
    <w:p>
      <w:pPr>
        <w:adjustRightInd w:val="0"/>
        <w:snapToGrid w:val="0"/>
        <w:spacing w:line="580" w:lineRule="exact"/>
        <w:ind w:firstLine="720"/>
        <w:jc w:val="center"/>
        <w:outlineLvl w:val="1"/>
        <w:rPr>
          <w:rFonts w:hint="eastAsia" w:ascii="方正小标宋简体" w:hAnsi="宋体" w:eastAsia="方正小标宋简体"/>
          <w:sz w:val="44"/>
          <w:szCs w:val="44"/>
        </w:rPr>
      </w:pPr>
      <w:bookmarkStart w:id="38" w:name="_Toc11316"/>
      <w:r>
        <w:rPr>
          <w:rFonts w:hint="eastAsia" w:ascii="方正小标宋简体" w:hAnsi="宋体" w:eastAsia="方正小标宋简体"/>
          <w:sz w:val="44"/>
          <w:szCs w:val="44"/>
          <w:lang w:eastAsia="zh-CN"/>
        </w:rPr>
        <w:t>红原县交通运输局</w:t>
      </w:r>
      <w:r>
        <w:rPr>
          <w:rFonts w:hint="eastAsia" w:ascii="方正小标宋简体" w:hAnsi="宋体" w:eastAsia="方正小标宋简体"/>
          <w:sz w:val="44"/>
          <w:szCs w:val="44"/>
          <w:lang w:val="en-US" w:eastAsia="zh-CN"/>
        </w:rPr>
        <w:t>2020年</w:t>
      </w:r>
      <w:r>
        <w:rPr>
          <w:rFonts w:hint="eastAsia" w:ascii="方正小标宋简体" w:hAnsi="宋体" w:eastAsia="方正小标宋简体"/>
          <w:sz w:val="44"/>
          <w:szCs w:val="44"/>
        </w:rPr>
        <w:t>项目支出绩效自评报告</w:t>
      </w:r>
      <w:bookmarkEnd w:id="38"/>
    </w:p>
    <w:p>
      <w:pPr>
        <w:adjustRightInd w:val="0"/>
        <w:snapToGrid w:val="0"/>
        <w:spacing w:line="580" w:lineRule="exact"/>
        <w:rPr>
          <w:rFonts w:hint="eastAsia" w:ascii="仿宋_GB2312" w:hAnsi="仿宋_GB2312" w:eastAsia="仿宋_GB2312" w:cs="仿宋_GB2312"/>
          <w:sz w:val="32"/>
          <w:szCs w:val="32"/>
        </w:rPr>
      </w:pPr>
    </w:p>
    <w:p>
      <w:pPr>
        <w:adjustRightInd w:val="0"/>
        <w:snapToGrid w:val="0"/>
        <w:spacing w:line="58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numPr>
          <w:ilvl w:val="0"/>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（一）红原县邛溪镇热多村村内道路提升改造工程</w:t>
      </w:r>
      <w:r>
        <w:rPr>
          <w:rFonts w:hint="eastAsia" w:ascii="仿宋_GB2312" w:hAnsi="仿宋_GB2312" w:eastAsia="仿宋_GB2312" w:cs="仿宋_GB2312"/>
          <w:sz w:val="32"/>
          <w:szCs w:val="32"/>
        </w:rPr>
        <w:t>，5条村内道路黑化提升改造共计2.581公里；停车场黑化改造1处782平方米；路灯维修20座；新增路灯40座；已建种畜场大桥的桥头增加波形梁护栏及混凝土护栏</w:t>
      </w:r>
    </w:p>
    <w:p>
      <w:pPr>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红原县邛溪镇热坤村人居环境综合整治及人行道建设项目，48条村内道路两侧带状绿化、村内广场及村委会绿化，共计绿化面积41410平方米；入村主干路两侧各增加2米宽人行道铺装及路面排水系统，长1.01公里；入口设标志石1座。</w:t>
      </w:r>
    </w:p>
    <w:p>
      <w:pPr>
        <w:numPr>
          <w:ilvl w:val="0"/>
          <w:numId w:val="0"/>
        </w:numPr>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红原县安曲镇下哈拉玛村、夺龙村、哈拉玛村人居环境综合整治项目，下哈拉玛村入村主干路两侧带状绿化、村内广场及村委会绿化，共计绿化面积34750平方米，入口设标志石1座；哈拉玛村2条村内道路两侧带状绿化、村内广场及村委会绿化，共计绿化面积22978平方米，排水沟渠化45米；夺龙村6条村内道路两侧带状绿化及村委会绿化，共计绿化面积24662平方米，排水沟渠化195米。</w:t>
      </w:r>
    </w:p>
    <w:p>
      <w:pPr>
        <w:numPr>
          <w:ilvl w:val="0"/>
          <w:numId w:val="0"/>
        </w:numPr>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红原县安曲镇哈拉玛村、夺龙村、下哈拉玛村、邛溪镇热坤村、夺龙村道路基础设施建设项目，哈拉玛村新改建道路7.877公里、夺龙村新改建道路5.067公里；邛溪镇热坤村新改建道路4.727公里、下哈拉玛村新改建道路4.658公里。</w:t>
      </w:r>
    </w:p>
    <w:p>
      <w:pPr>
        <w:numPr>
          <w:ilvl w:val="0"/>
          <w:numId w:val="0"/>
        </w:numPr>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（五）红原县拉木咯尔桥改建工程，新建3-20米中桥一座，桥梁全长72.02米，桥头引道长35米。</w:t>
      </w:r>
    </w:p>
    <w:p>
      <w:pPr>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（六）红原县龙日镇壤噶夺玛桥梁建设项目，新建2-16米，桥梁总长39.54 米桥梁一座，引道长 437.171 米。</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（七）红原县龙日镇壤噶夺玛村村内道路提升改造工程，对柯龙路原有2公里道路进行改造。</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（八）红原县色地镇茸塔玛村桥梁建设及村内道路提升改造工程，新建1-13米板桥及桥头引道、桥梁全长22米、桥头引道长12.193米，建设全长34.193米；6条村内道路提升改造共计2.285公里。</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（九）红原县柯龙路阿木乡至龙日乡段水毁恢复工程，拆除原危桥重建1-10米板桥1座、桥梁全长18米；新建1-10米板桥1座、桥梁全长18米；30处水毁工点处治；全线路面坑凼修补；全线边沟清理。</w:t>
      </w:r>
    </w:p>
    <w:p>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（十）红原县龙日种畜场桥梁建设项目，新建2-13米预应力钢筋砼简支空心板桥及桥头引道，桥梁全宽7.5米，长31.04米，路线全长300米。</w:t>
      </w:r>
    </w:p>
    <w:p>
      <w:pPr>
        <w:pStyle w:val="2"/>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二、资金支付情况</w:t>
      </w:r>
    </w:p>
    <w:p>
      <w:pPr>
        <w:numPr>
          <w:ilvl w:val="0"/>
          <w:numId w:val="3"/>
        </w:num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项目资金申报及批复情况。</w:t>
      </w:r>
      <w:r>
        <w:rPr>
          <w:rFonts w:hint="eastAsia" w:ascii="仿宋_GB2312" w:hAnsi="仿宋_GB2312" w:eastAsia="仿宋_GB2312" w:cs="仿宋_GB2312"/>
          <w:sz w:val="32"/>
          <w:szCs w:val="32"/>
          <w:lang w:val="zh-CN"/>
        </w:rPr>
        <w:t>对</w:t>
      </w:r>
      <w:r>
        <w:rPr>
          <w:rFonts w:hint="eastAsia" w:ascii="仿宋_GB2312" w:hAnsi="仿宋_GB2312" w:eastAsia="仿宋_GB2312" w:cs="仿宋_GB2312"/>
          <w:sz w:val="32"/>
          <w:szCs w:val="32"/>
          <w:lang w:val="zh-CN" w:eastAsia="zh-CN"/>
        </w:rPr>
        <w:t>整合下达的涉农</w:t>
      </w:r>
      <w:r>
        <w:rPr>
          <w:rFonts w:hint="eastAsia" w:ascii="仿宋_GB2312" w:hAnsi="仿宋_GB2312" w:eastAsia="仿宋_GB2312" w:cs="仿宋_GB2312"/>
          <w:sz w:val="32"/>
          <w:szCs w:val="32"/>
          <w:lang w:val="zh-CN"/>
        </w:rPr>
        <w:t>项目资金严格实行红原县财政局报账制相关规定。</w:t>
      </w:r>
    </w:p>
    <w:p>
      <w:pPr>
        <w:numPr>
          <w:ilvl w:val="0"/>
          <w:numId w:val="0"/>
        </w:numPr>
        <w:adjustRightInd w:val="0"/>
        <w:snapToGrid w:val="0"/>
        <w:spacing w:line="580" w:lineRule="exact"/>
        <w:ind w:firstLine="643"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（二）项目绩效目标。</w:t>
      </w:r>
      <w:r>
        <w:rPr>
          <w:rFonts w:hint="eastAsia" w:ascii="仿宋_GB2312" w:hAnsi="仿宋_GB2312" w:eastAsia="仿宋_GB2312" w:cs="仿宋_GB2312"/>
          <w:sz w:val="32"/>
          <w:szCs w:val="32"/>
          <w:lang w:val="zh-CN"/>
        </w:rPr>
        <w:t>依据设计文件及财评金额按招投标法规定进行公开招投标。在合同期限内完成了设计文件及合同约定的所有建设内容，达到预期脱贫攻坚基础设施建设成效，以上项目均进行了交竣工验收达到合格，资金拨付率除个别因审计结论未下达，资金拨付率均达到</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lang w:val="zh-CN"/>
        </w:rPr>
        <w:t>。</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rPr>
        <w:t>所有项目均根据实际建设内容进行勘察设计及预算编制，下达资金量与建设规模相符，申报目标合理可行</w:t>
      </w:r>
      <w:r>
        <w:rPr>
          <w:rFonts w:hint="eastAsia" w:ascii="仿宋_GB2312" w:hAnsi="仿宋_GB2312" w:eastAsia="仿宋_GB2312" w:cs="仿宋_GB2312"/>
          <w:b/>
          <w:sz w:val="32"/>
          <w:szCs w:val="32"/>
          <w:lang w:val="zh-CN"/>
        </w:rPr>
        <w:t>。</w:t>
      </w:r>
    </w:p>
    <w:p>
      <w:pPr>
        <w:adjustRightInd w:val="0"/>
        <w:snapToGrid w:val="0"/>
        <w:spacing w:line="580" w:lineRule="exact"/>
        <w:ind w:firstLine="720"/>
        <w:rPr>
          <w:rFonts w:hint="eastAsia" w:ascii="黑体" w:hAnsi="黑体" w:eastAsia="黑体" w:cs="黑体"/>
          <w:sz w:val="32"/>
          <w:szCs w:val="32"/>
        </w:rPr>
      </w:pPr>
      <w:r>
        <w:rPr>
          <w:rFonts w:hint="eastAsia" w:ascii="黑体" w:hAnsi="黑体" w:eastAsia="黑体" w:cs="黑体"/>
          <w:sz w:val="32"/>
          <w:szCs w:val="32"/>
        </w:rPr>
        <w:t>二、项目实施及管理情况</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adjustRightInd w:val="0"/>
        <w:snapToGrid w:val="0"/>
        <w:spacing w:line="580" w:lineRule="exact"/>
        <w:ind w:firstLine="72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1．资金计划及到位。红原县交通局</w:t>
      </w:r>
      <w:r>
        <w:rPr>
          <w:rFonts w:hint="eastAsia" w:ascii="仿宋_GB2312" w:hAnsi="仿宋_GB2312" w:eastAsia="仿宋_GB2312" w:cs="仿宋_GB2312"/>
          <w:sz w:val="32"/>
          <w:szCs w:val="32"/>
          <w:lang w:val="en-US" w:eastAsia="zh-CN"/>
        </w:rPr>
        <w:t>10个项目资金中</w:t>
      </w:r>
      <w:r>
        <w:rPr>
          <w:rFonts w:hint="eastAsia" w:ascii="仿宋_GB2312" w:hAnsi="仿宋_GB2312" w:eastAsia="仿宋_GB2312" w:cs="仿宋_GB2312"/>
          <w:kern w:val="2"/>
          <w:sz w:val="32"/>
          <w:szCs w:val="32"/>
          <w:lang w:val="en-US" w:eastAsia="zh-CN" w:bidi="ar-SA"/>
        </w:rPr>
        <w:t>红原县龙日种畜场桥梁建设项目为</w:t>
      </w:r>
      <w:r>
        <w:rPr>
          <w:rFonts w:hint="eastAsia" w:ascii="仿宋_GB2312" w:hAnsi="仿宋_GB2312" w:eastAsia="仿宋_GB2312" w:cs="仿宋_GB2312"/>
          <w:sz w:val="32"/>
          <w:szCs w:val="32"/>
          <w:lang w:val="en-US" w:eastAsia="zh-CN"/>
        </w:rPr>
        <w:t>上级补助资金资金下达文号为阿州财建</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161号下达资金360万元。其余项目为2020年涉农整合资金，金额为4480万元。</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spacing w:line="540" w:lineRule="exact"/>
        <w:ind w:firstLine="56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交通扶贫建设项目资金均为涉农资金，按照“渠道不变、充分授权、重点突出、各司其职”的原则，由县财政局对涉农整合资金进行重点监管，在资金使用时由红原县交通运输局提供计量支付单据及拨付资金的请示向财政局申请资金指标，待财政局批准后由红原县财政局支付中心将计量工程款直接拨付到施工单位账户，红原县交通运输局作拨款账务处理，实行财政报账制有效的保障了财政扶贫资金的安全。</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对照项目资金管理办法，评价项目严格执行财务管理制度、财务处理及时、会计核算规范。</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在项目实施过程中实行项目法人制，社会监理制，公开公示。在项目管理过程中建立参建单位的微信群（业主、监理、施工单位、质监站、所在乡镇等单位），各个项目成立由分管副局长为项目办主任，技术员为具体经办人的质量管理体系。严格从原材料把关，控制施工工艺、工序、进度、质量等。</w:t>
      </w:r>
    </w:p>
    <w:p>
      <w:pPr>
        <w:adjustRightInd w:val="0"/>
        <w:snapToGrid w:val="0"/>
        <w:spacing w:line="580" w:lineRule="exact"/>
        <w:ind w:firstLine="720"/>
        <w:rPr>
          <w:rFonts w:hint="eastAsia"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numPr>
          <w:ilvl w:val="0"/>
          <w:numId w:val="0"/>
        </w:num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在合同期限内完成了设计文件及合同约定的所有建设内容，达到预期脱贫攻坚基础设施建设成效，以上项目均进行了交竣工验收达到合格，资金拨付率除个别因审计结论未下达，资金拨付率均达到</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lang w:val="zh-CN"/>
        </w:rPr>
        <w:t>。</w:t>
      </w:r>
    </w:p>
    <w:p>
      <w:pPr>
        <w:numPr>
          <w:ilvl w:val="0"/>
          <w:numId w:val="4"/>
        </w:numPr>
        <w:adjustRightInd w:val="0"/>
        <w:snapToGrid w:val="0"/>
        <w:spacing w:line="580" w:lineRule="exact"/>
        <w:ind w:firstLine="72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b/>
          <w:sz w:val="32"/>
          <w:szCs w:val="32"/>
          <w:lang w:val="zh-CN"/>
        </w:rPr>
        <w:t>项目效益情况。</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项目实施完成后方便了广大农牧民出行及生产效率提高，有效促进农牧民增收，确保脱贫攻坚成果。</w:t>
      </w:r>
    </w:p>
    <w:p>
      <w:pPr>
        <w:pStyle w:val="2"/>
        <w:numPr>
          <w:ilvl w:val="0"/>
          <w:numId w:val="4"/>
        </w:numPr>
        <w:ind w:left="0" w:leftChars="0" w:firstLine="720" w:firstLineChars="0"/>
        <w:rPr>
          <w:rFonts w:hint="eastAsia" w:ascii="仿宋_GB2312" w:hAnsi="仿宋_GB2312" w:eastAsia="仿宋_GB2312" w:cs="仿宋_GB2312"/>
          <w:b/>
          <w:kern w:val="2"/>
          <w:sz w:val="32"/>
          <w:szCs w:val="32"/>
          <w:lang w:val="zh-CN" w:eastAsia="zh-CN" w:bidi="ar-SA"/>
        </w:rPr>
      </w:pPr>
      <w:r>
        <w:rPr>
          <w:rFonts w:hint="eastAsia" w:ascii="仿宋_GB2312" w:hAnsi="仿宋_GB2312" w:eastAsia="仿宋_GB2312" w:cs="仿宋_GB2312"/>
          <w:b/>
          <w:kern w:val="2"/>
          <w:sz w:val="32"/>
          <w:szCs w:val="32"/>
          <w:lang w:val="zh-CN" w:eastAsia="zh-CN" w:bidi="ar-SA"/>
        </w:rPr>
        <w:t>评价结论</w:t>
      </w:r>
    </w:p>
    <w:p>
      <w:pPr>
        <w:pStyle w:val="4"/>
        <w:numPr>
          <w:ilvl w:val="0"/>
          <w:numId w:val="0"/>
        </w:numPr>
        <w:ind w:left="720" w:leftChars="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经我局全面评估，综合衡量，我单位项目绩效得分为</w:t>
      </w:r>
    </w:p>
    <w:p>
      <w:pPr>
        <w:pStyle w:val="4"/>
        <w:numPr>
          <w:ilvl w:val="0"/>
          <w:numId w:val="0"/>
        </w:numPr>
        <w:ind w:right="-512" w:rightChars="-244"/>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93.5分，较好的实现了项目目标，节约了财政资金。</w:t>
      </w:r>
    </w:p>
    <w:p>
      <w:pPr>
        <w:adjustRightInd w:val="0"/>
        <w:snapToGrid w:val="0"/>
        <w:spacing w:line="580" w:lineRule="exact"/>
        <w:ind w:firstLine="720"/>
        <w:rPr>
          <w:rFonts w:hint="eastAsia" w:ascii="黑体" w:hAnsi="黑体" w:eastAsia="黑体" w:cs="黑体"/>
          <w:sz w:val="32"/>
          <w:szCs w:val="32"/>
        </w:rPr>
      </w:pPr>
      <w:r>
        <w:rPr>
          <w:rFonts w:hint="eastAsia" w:ascii="黑体" w:hAnsi="黑体" w:eastAsia="黑体" w:cs="黑体"/>
          <w:sz w:val="32"/>
          <w:szCs w:val="32"/>
        </w:rPr>
        <w:t>五、问题及建议</w:t>
      </w:r>
    </w:p>
    <w:p>
      <w:pPr>
        <w:adjustRightInd w:val="0"/>
        <w:snapToGrid w:val="0"/>
        <w:spacing w:line="58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由于高原气候，有限施工期短，造成项目进度难以达到上级要求。</w:t>
      </w:r>
    </w:p>
    <w:p>
      <w:pPr>
        <w:numPr>
          <w:ilvl w:val="0"/>
          <w:numId w:val="0"/>
        </w:numPr>
        <w:adjustRightInd w:val="0"/>
        <w:snapToGrid w:val="0"/>
        <w:spacing w:line="580" w:lineRule="exact"/>
        <w:ind w:firstLine="643"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（二）相关建议。</w:t>
      </w:r>
    </w:p>
    <w:p>
      <w:pPr>
        <w:adjustRightInd w:val="0"/>
        <w:snapToGrid w:val="0"/>
        <w:spacing w:line="5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根据我县实际，制定确实可行的进度计划，确保工程质量。</w:t>
      </w:r>
    </w:p>
    <w:p>
      <w:pPr>
        <w:pStyle w:val="12"/>
        <w:keepNext w:val="0"/>
        <w:keepLines w:val="0"/>
        <w:widowControl/>
        <w:suppressLineNumbers w:val="0"/>
        <w:ind w:left="0" w:right="75"/>
        <w:jc w:val="center"/>
        <w:outlineLvl w:val="0"/>
        <w:rPr>
          <w:rFonts w:hint="eastAsia" w:ascii="黑体" w:hAnsi="黑体" w:eastAsia="黑体" w:cs="黑体"/>
          <w:sz w:val="32"/>
          <w:szCs w:val="32"/>
        </w:rPr>
      </w:pPr>
      <w:bookmarkStart w:id="39" w:name="_Toc713"/>
      <w:r>
        <w:rPr>
          <w:rFonts w:hint="eastAsia" w:ascii="黑体" w:hAnsi="黑体" w:eastAsia="黑体" w:cs="黑体"/>
          <w:sz w:val="32"/>
          <w:szCs w:val="32"/>
          <w:shd w:val="clear" w:fill="FFFFFF"/>
        </w:rPr>
        <w:t>第五部分 附表</w:t>
      </w:r>
      <w:bookmarkEnd w:id="39"/>
    </w:p>
    <w:p>
      <w:pPr>
        <w:pStyle w:val="5"/>
        <w:keepNext w:val="0"/>
        <w:keepLines w:val="0"/>
        <w:widowControl/>
        <w:suppressLineNumbers w:val="0"/>
        <w:ind w:left="0" w:right="75"/>
        <w:outlineLvl w:val="1"/>
      </w:pPr>
      <w:bookmarkStart w:id="40" w:name="_Toc7471"/>
      <w:r>
        <w:rPr>
          <w:sz w:val="24"/>
          <w:szCs w:val="24"/>
          <w:shd w:val="clear" w:fill="FFFFFF"/>
        </w:rPr>
        <w:t>一、收入支出决算总表</w:t>
      </w:r>
      <w:bookmarkEnd w:id="40"/>
    </w:p>
    <w:p>
      <w:pPr>
        <w:pStyle w:val="5"/>
        <w:keepNext w:val="0"/>
        <w:keepLines w:val="0"/>
        <w:widowControl/>
        <w:suppressLineNumbers w:val="0"/>
        <w:ind w:left="0" w:right="75"/>
        <w:outlineLvl w:val="1"/>
      </w:pPr>
      <w:bookmarkStart w:id="41" w:name="_Toc11000"/>
      <w:r>
        <w:rPr>
          <w:sz w:val="24"/>
          <w:szCs w:val="24"/>
          <w:shd w:val="clear" w:fill="FFFFFF"/>
        </w:rPr>
        <w:t>二、收入决算表</w:t>
      </w:r>
      <w:bookmarkEnd w:id="41"/>
    </w:p>
    <w:p>
      <w:pPr>
        <w:pStyle w:val="5"/>
        <w:keepNext w:val="0"/>
        <w:keepLines w:val="0"/>
        <w:widowControl/>
        <w:suppressLineNumbers w:val="0"/>
        <w:ind w:left="0" w:right="75"/>
        <w:outlineLvl w:val="1"/>
      </w:pPr>
      <w:bookmarkStart w:id="42" w:name="_Toc1116"/>
      <w:r>
        <w:rPr>
          <w:sz w:val="24"/>
          <w:szCs w:val="24"/>
          <w:shd w:val="clear" w:fill="FFFFFF"/>
        </w:rPr>
        <w:t>三、支出决算表</w:t>
      </w:r>
      <w:bookmarkEnd w:id="42"/>
    </w:p>
    <w:p>
      <w:pPr>
        <w:pStyle w:val="5"/>
        <w:keepNext w:val="0"/>
        <w:keepLines w:val="0"/>
        <w:widowControl/>
        <w:suppressLineNumbers w:val="0"/>
        <w:ind w:left="0" w:right="75"/>
        <w:outlineLvl w:val="1"/>
      </w:pPr>
      <w:bookmarkStart w:id="43" w:name="_Toc25313"/>
      <w:r>
        <w:rPr>
          <w:sz w:val="24"/>
          <w:szCs w:val="24"/>
          <w:shd w:val="clear" w:fill="FFFFFF"/>
        </w:rPr>
        <w:t>四、财政拨款收入支出决算总表</w:t>
      </w:r>
      <w:bookmarkEnd w:id="43"/>
    </w:p>
    <w:p>
      <w:pPr>
        <w:pStyle w:val="5"/>
        <w:keepNext w:val="0"/>
        <w:keepLines w:val="0"/>
        <w:widowControl/>
        <w:suppressLineNumbers w:val="0"/>
        <w:ind w:left="0" w:right="75"/>
        <w:outlineLvl w:val="1"/>
      </w:pPr>
      <w:bookmarkStart w:id="44" w:name="_Toc28276"/>
      <w:r>
        <w:rPr>
          <w:sz w:val="24"/>
          <w:szCs w:val="24"/>
          <w:shd w:val="clear" w:fill="FFFFFF"/>
        </w:rPr>
        <w:t>五、财政拨款支出决算明细表</w:t>
      </w:r>
      <w:bookmarkEnd w:id="44"/>
    </w:p>
    <w:p>
      <w:pPr>
        <w:pStyle w:val="5"/>
        <w:keepNext w:val="0"/>
        <w:keepLines w:val="0"/>
        <w:widowControl/>
        <w:suppressLineNumbers w:val="0"/>
        <w:ind w:left="0" w:right="75"/>
        <w:outlineLvl w:val="1"/>
      </w:pPr>
      <w:bookmarkStart w:id="45" w:name="_Toc24778"/>
      <w:r>
        <w:rPr>
          <w:sz w:val="24"/>
          <w:szCs w:val="24"/>
          <w:shd w:val="clear" w:fill="FFFFFF"/>
        </w:rPr>
        <w:t>六、一般公共预算财政拨款支出决算表</w:t>
      </w:r>
      <w:bookmarkEnd w:id="45"/>
    </w:p>
    <w:p>
      <w:pPr>
        <w:pStyle w:val="5"/>
        <w:keepNext w:val="0"/>
        <w:keepLines w:val="0"/>
        <w:widowControl/>
        <w:suppressLineNumbers w:val="0"/>
        <w:ind w:left="0" w:right="75"/>
        <w:outlineLvl w:val="1"/>
      </w:pPr>
      <w:bookmarkStart w:id="46" w:name="_Toc27462"/>
      <w:r>
        <w:rPr>
          <w:sz w:val="24"/>
          <w:szCs w:val="24"/>
          <w:shd w:val="clear" w:fill="FFFFFF"/>
        </w:rPr>
        <w:t>七、一般公共预算财政拨款支出决算明细表</w:t>
      </w:r>
      <w:bookmarkEnd w:id="46"/>
    </w:p>
    <w:p>
      <w:pPr>
        <w:pStyle w:val="5"/>
        <w:keepNext w:val="0"/>
        <w:keepLines w:val="0"/>
        <w:widowControl/>
        <w:suppressLineNumbers w:val="0"/>
        <w:ind w:left="0" w:right="75"/>
        <w:outlineLvl w:val="1"/>
      </w:pPr>
      <w:bookmarkStart w:id="47" w:name="_Toc1352"/>
      <w:r>
        <w:rPr>
          <w:sz w:val="24"/>
          <w:szCs w:val="24"/>
          <w:shd w:val="clear" w:fill="FFFFFF"/>
        </w:rPr>
        <w:t>八、一般公共预算财政拨款基本支出决算表</w:t>
      </w:r>
      <w:bookmarkEnd w:id="47"/>
    </w:p>
    <w:p>
      <w:pPr>
        <w:pStyle w:val="5"/>
        <w:keepNext w:val="0"/>
        <w:keepLines w:val="0"/>
        <w:widowControl/>
        <w:suppressLineNumbers w:val="0"/>
        <w:ind w:left="0" w:right="75"/>
        <w:outlineLvl w:val="1"/>
      </w:pPr>
      <w:bookmarkStart w:id="48" w:name="_Toc12567"/>
      <w:r>
        <w:rPr>
          <w:sz w:val="24"/>
          <w:szCs w:val="24"/>
          <w:shd w:val="clear" w:fill="FFFFFF"/>
        </w:rPr>
        <w:t>九、一般公共预算财政拨款项目支出决算表</w:t>
      </w:r>
      <w:bookmarkEnd w:id="48"/>
    </w:p>
    <w:p>
      <w:pPr>
        <w:pStyle w:val="5"/>
        <w:keepNext w:val="0"/>
        <w:keepLines w:val="0"/>
        <w:widowControl/>
        <w:suppressLineNumbers w:val="0"/>
        <w:ind w:left="0" w:right="75"/>
        <w:outlineLvl w:val="1"/>
      </w:pPr>
      <w:bookmarkStart w:id="49" w:name="_Toc3483"/>
      <w:r>
        <w:rPr>
          <w:sz w:val="24"/>
          <w:szCs w:val="24"/>
          <w:shd w:val="clear" w:fill="FFFFFF"/>
        </w:rPr>
        <w:t>十、一般公共预算财政拨款“三公”经费支出决算表</w:t>
      </w:r>
      <w:bookmarkEnd w:id="49"/>
    </w:p>
    <w:p>
      <w:pPr>
        <w:pStyle w:val="5"/>
        <w:keepNext w:val="0"/>
        <w:keepLines w:val="0"/>
        <w:widowControl/>
        <w:suppressLineNumbers w:val="0"/>
        <w:ind w:left="0" w:right="75"/>
        <w:outlineLvl w:val="1"/>
      </w:pPr>
      <w:bookmarkStart w:id="50" w:name="_Toc12263"/>
      <w:r>
        <w:rPr>
          <w:sz w:val="24"/>
          <w:szCs w:val="24"/>
          <w:shd w:val="clear" w:fill="FFFFFF"/>
        </w:rPr>
        <w:t>十一、政府性基金预算财政拨款收入支出决算表</w:t>
      </w:r>
      <w:bookmarkEnd w:id="50"/>
    </w:p>
    <w:p>
      <w:pPr>
        <w:pStyle w:val="5"/>
        <w:keepNext w:val="0"/>
        <w:keepLines w:val="0"/>
        <w:widowControl/>
        <w:suppressLineNumbers w:val="0"/>
        <w:ind w:left="0" w:right="75"/>
        <w:outlineLvl w:val="1"/>
      </w:pPr>
      <w:bookmarkStart w:id="51" w:name="_Toc23145"/>
      <w:r>
        <w:rPr>
          <w:sz w:val="24"/>
          <w:szCs w:val="24"/>
          <w:shd w:val="clear" w:fill="FFFFFF"/>
        </w:rPr>
        <w:t>十二、政府性基金预算财政拨款“三公”经费支出决算表</w:t>
      </w:r>
      <w:bookmarkEnd w:id="51"/>
    </w:p>
    <w:p>
      <w:pPr>
        <w:pStyle w:val="5"/>
        <w:keepNext w:val="0"/>
        <w:keepLines w:val="0"/>
        <w:widowControl/>
        <w:suppressLineNumbers w:val="0"/>
        <w:ind w:left="0" w:right="75"/>
        <w:outlineLvl w:val="1"/>
      </w:pPr>
      <w:bookmarkStart w:id="52" w:name="_Toc15335"/>
      <w:r>
        <w:rPr>
          <w:sz w:val="24"/>
          <w:szCs w:val="24"/>
          <w:shd w:val="clear" w:fill="FFFFFF"/>
        </w:rPr>
        <w:t>十三、国有资本经营预算财政拨款收入支出决算表</w:t>
      </w:r>
      <w:bookmarkEnd w:id="52"/>
    </w:p>
    <w:p>
      <w:pPr>
        <w:pStyle w:val="5"/>
        <w:keepNext w:val="0"/>
        <w:keepLines w:val="0"/>
        <w:widowControl/>
        <w:suppressLineNumbers w:val="0"/>
        <w:ind w:left="0" w:right="75"/>
        <w:outlineLvl w:val="1"/>
      </w:pPr>
      <w:bookmarkStart w:id="53" w:name="_Toc29901"/>
      <w:r>
        <w:rPr>
          <w:sz w:val="24"/>
          <w:szCs w:val="24"/>
          <w:shd w:val="clear" w:fill="FFFFFF"/>
        </w:rPr>
        <w:t>十四、国有资本经营预算财政拨款支出决算表</w:t>
      </w:r>
      <w:bookmarkEnd w:id="53"/>
    </w:p>
    <w:p>
      <w:pPr>
        <w:outlineLvl w:val="1"/>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RzrBAgAA1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GY0c6wQIAANYFAAAOAAAAAAAA&#10;AAEAIAAAAB8BAABkcnMvZTJvRG9jLnhtbFBLBQYAAAAABgAGAFkBAABSBg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D8E74"/>
    <w:multiLevelType w:val="singleLevel"/>
    <w:tmpl w:val="9DFD8E74"/>
    <w:lvl w:ilvl="0" w:tentative="0">
      <w:start w:val="1"/>
      <w:numFmt w:val="decimal"/>
      <w:suff w:val="space"/>
      <w:lvlText w:val="%1."/>
      <w:lvlJc w:val="left"/>
    </w:lvl>
  </w:abstractNum>
  <w:abstractNum w:abstractNumId="1">
    <w:nsid w:val="A0343051"/>
    <w:multiLevelType w:val="singleLevel"/>
    <w:tmpl w:val="A0343051"/>
    <w:lvl w:ilvl="0" w:tentative="0">
      <w:start w:val="2"/>
      <w:numFmt w:val="chineseCounting"/>
      <w:suff w:val="nothing"/>
      <w:lvlText w:val="（%1）"/>
      <w:lvlJc w:val="left"/>
      <w:rPr>
        <w:rFonts w:hint="eastAsia"/>
      </w:rPr>
    </w:lvl>
  </w:abstractNum>
  <w:abstractNum w:abstractNumId="2">
    <w:nsid w:val="1E441072"/>
    <w:multiLevelType w:val="singleLevel"/>
    <w:tmpl w:val="1E441072"/>
    <w:lvl w:ilvl="0" w:tentative="0">
      <w:start w:val="1"/>
      <w:numFmt w:val="chineseCounting"/>
      <w:suff w:val="nothing"/>
      <w:lvlText w:val="（%1）"/>
      <w:lvlJc w:val="left"/>
      <w:rPr>
        <w:rFonts w:hint="eastAsia"/>
      </w:rPr>
    </w:lvl>
  </w:abstractNum>
  <w:abstractNum w:abstractNumId="3">
    <w:nsid w:val="36222CAA"/>
    <w:multiLevelType w:val="singleLevel"/>
    <w:tmpl w:val="36222CAA"/>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02D7E"/>
    <w:rsid w:val="058D1929"/>
    <w:rsid w:val="05C46961"/>
    <w:rsid w:val="09DC2CC2"/>
    <w:rsid w:val="0AF55C15"/>
    <w:rsid w:val="0DF83015"/>
    <w:rsid w:val="0FE46F71"/>
    <w:rsid w:val="10F259CB"/>
    <w:rsid w:val="11C50AF1"/>
    <w:rsid w:val="12A230AB"/>
    <w:rsid w:val="136721BF"/>
    <w:rsid w:val="14665404"/>
    <w:rsid w:val="15406CD8"/>
    <w:rsid w:val="15FB249C"/>
    <w:rsid w:val="16000FAE"/>
    <w:rsid w:val="16221893"/>
    <w:rsid w:val="19010C88"/>
    <w:rsid w:val="1C1B3F91"/>
    <w:rsid w:val="1D6310A4"/>
    <w:rsid w:val="21430228"/>
    <w:rsid w:val="245B0BA4"/>
    <w:rsid w:val="2544189D"/>
    <w:rsid w:val="267F3F1E"/>
    <w:rsid w:val="27E15E8C"/>
    <w:rsid w:val="297616F2"/>
    <w:rsid w:val="2D3915FB"/>
    <w:rsid w:val="2D673078"/>
    <w:rsid w:val="2F757DF5"/>
    <w:rsid w:val="31775070"/>
    <w:rsid w:val="31E20070"/>
    <w:rsid w:val="32C8688D"/>
    <w:rsid w:val="35223B78"/>
    <w:rsid w:val="3616654B"/>
    <w:rsid w:val="36C15452"/>
    <w:rsid w:val="36F627CF"/>
    <w:rsid w:val="37F658AD"/>
    <w:rsid w:val="38713A95"/>
    <w:rsid w:val="3AD96070"/>
    <w:rsid w:val="3B623BB1"/>
    <w:rsid w:val="3C496529"/>
    <w:rsid w:val="3D25672C"/>
    <w:rsid w:val="3E2C4DCD"/>
    <w:rsid w:val="3E9B5D89"/>
    <w:rsid w:val="3EB24C2A"/>
    <w:rsid w:val="404505FA"/>
    <w:rsid w:val="435A07B9"/>
    <w:rsid w:val="47484C91"/>
    <w:rsid w:val="488B0652"/>
    <w:rsid w:val="49B621E3"/>
    <w:rsid w:val="4A2E2DD0"/>
    <w:rsid w:val="4B083790"/>
    <w:rsid w:val="4C3A6A97"/>
    <w:rsid w:val="4D317F9E"/>
    <w:rsid w:val="50F653A2"/>
    <w:rsid w:val="51B64124"/>
    <w:rsid w:val="555038A5"/>
    <w:rsid w:val="57CA2975"/>
    <w:rsid w:val="57F748EA"/>
    <w:rsid w:val="5ACB2977"/>
    <w:rsid w:val="5BCA10E8"/>
    <w:rsid w:val="60986C4E"/>
    <w:rsid w:val="61C275E0"/>
    <w:rsid w:val="61FF30E2"/>
    <w:rsid w:val="633064E8"/>
    <w:rsid w:val="63E733E5"/>
    <w:rsid w:val="63F51A34"/>
    <w:rsid w:val="65F579E7"/>
    <w:rsid w:val="69F42360"/>
    <w:rsid w:val="6DF2525B"/>
    <w:rsid w:val="738D6724"/>
    <w:rsid w:val="73A47E6D"/>
    <w:rsid w:val="74702B84"/>
    <w:rsid w:val="7561438C"/>
    <w:rsid w:val="77C56673"/>
    <w:rsid w:val="77FB70C4"/>
    <w:rsid w:val="78681D5F"/>
    <w:rsid w:val="7A89730D"/>
    <w:rsid w:val="7AE06BB7"/>
    <w:rsid w:val="7D372F22"/>
    <w:rsid w:val="7DC62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48"/>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link w:val="15"/>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qFormat/>
    <w:uiPriority w:val="0"/>
    <w:rPr>
      <w:rFonts w:ascii="宋体" w:cs="Courier New"/>
      <w:szCs w:val="21"/>
      <w:lang w:bidi="ar-SA"/>
    </w:rPr>
  </w:style>
  <w:style w:type="paragraph" w:styleId="6">
    <w:name w:val="Body Text"/>
    <w:basedOn w:val="1"/>
    <w:qFormat/>
    <w:uiPriority w:val="99"/>
    <w:pPr>
      <w:spacing w:beforeLines="30"/>
    </w:pPr>
    <w:rPr>
      <w:rFonts w:ascii="仿宋_GB2312" w:eastAsia="仿宋_GB2312"/>
      <w:kern w:val="0"/>
      <w:sz w:val="30"/>
    </w:rPr>
  </w:style>
  <w:style w:type="paragraph" w:styleId="7">
    <w:name w:val="toc 3"/>
    <w:basedOn w:val="1"/>
    <w:next w:val="1"/>
    <w:qFormat/>
    <w:uiPriority w:val="0"/>
    <w:pPr>
      <w:ind w:left="840" w:leftChars="400"/>
    </w:p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iPriority w:val="0"/>
  </w:style>
  <w:style w:type="paragraph" w:styleId="11">
    <w:name w:val="toc 2"/>
    <w:basedOn w:val="1"/>
    <w:next w:val="1"/>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5">
    <w:name w:val=" Char1"/>
    <w:basedOn w:val="1"/>
    <w:link w:val="14"/>
    <w:qFormat/>
    <w:uiPriority w:val="0"/>
    <w:pPr>
      <w:widowControl/>
      <w:spacing w:after="160" w:afterLines="0" w:afterAutospacing="0" w:line="240" w:lineRule="exact"/>
      <w:jc w:val="left"/>
      <w:textAlignment w:val="baseline"/>
    </w:pPr>
  </w:style>
  <w:style w:type="character" w:styleId="16">
    <w:name w:val="Strong"/>
    <w:basedOn w:val="14"/>
    <w:qFormat/>
    <w:uiPriority w:val="0"/>
    <w:rPr>
      <w:b/>
    </w:rPr>
  </w:style>
  <w:style w:type="character" w:styleId="17">
    <w:name w:val="FollowedHyperlink"/>
    <w:basedOn w:val="14"/>
    <w:qFormat/>
    <w:uiPriority w:val="0"/>
    <w:rPr>
      <w:color w:val="800080"/>
      <w:u w:val="none"/>
    </w:rPr>
  </w:style>
  <w:style w:type="character" w:styleId="18">
    <w:name w:val="HTML Definition"/>
    <w:basedOn w:val="14"/>
    <w:qFormat/>
    <w:uiPriority w:val="0"/>
  </w:style>
  <w:style w:type="character" w:styleId="19">
    <w:name w:val="HTML Variable"/>
    <w:basedOn w:val="14"/>
    <w:qFormat/>
    <w:uiPriority w:val="0"/>
  </w:style>
  <w:style w:type="character" w:styleId="20">
    <w:name w:val="Hyperlink"/>
    <w:basedOn w:val="14"/>
    <w:qFormat/>
    <w:uiPriority w:val="0"/>
    <w:rPr>
      <w:color w:val="0000FF"/>
      <w:u w:val="none"/>
    </w:rPr>
  </w:style>
  <w:style w:type="character" w:styleId="21">
    <w:name w:val="HTML Code"/>
    <w:basedOn w:val="14"/>
    <w:qFormat/>
    <w:uiPriority w:val="0"/>
    <w:rPr>
      <w:rFonts w:ascii="Courier New" w:hAnsi="Courier New"/>
      <w:sz w:val="20"/>
    </w:rPr>
  </w:style>
  <w:style w:type="character" w:styleId="22">
    <w:name w:val="HTML Cite"/>
    <w:basedOn w:val="14"/>
    <w:qFormat/>
    <w:uiPriority w:val="0"/>
  </w:style>
  <w:style w:type="character" w:customStyle="1" w:styleId="23">
    <w:name w:val="imgspan"/>
    <w:basedOn w:val="14"/>
    <w:qFormat/>
    <w:uiPriority w:val="0"/>
  </w:style>
  <w:style w:type="character" w:customStyle="1" w:styleId="24">
    <w:name w:val="image7"/>
    <w:basedOn w:val="14"/>
    <w:qFormat/>
    <w:uiPriority w:val="0"/>
  </w:style>
  <w:style w:type="character" w:customStyle="1" w:styleId="25">
    <w:name w:val="image8"/>
    <w:basedOn w:val="14"/>
    <w:qFormat/>
    <w:uiPriority w:val="0"/>
  </w:style>
  <w:style w:type="character" w:customStyle="1" w:styleId="26">
    <w:name w:val="image9"/>
    <w:basedOn w:val="14"/>
    <w:uiPriority w:val="0"/>
  </w:style>
  <w:style w:type="character" w:customStyle="1" w:styleId="27">
    <w:name w:val="newstitle"/>
    <w:basedOn w:val="14"/>
    <w:uiPriority w:val="0"/>
    <w:rPr>
      <w:b/>
      <w:color w:val="000000"/>
      <w:sz w:val="24"/>
      <w:szCs w:val="24"/>
    </w:rPr>
  </w:style>
  <w:style w:type="character" w:customStyle="1" w:styleId="28">
    <w:name w:val="ui-icon34"/>
    <w:basedOn w:val="14"/>
    <w:uiPriority w:val="0"/>
  </w:style>
  <w:style w:type="character" w:customStyle="1" w:styleId="29">
    <w:name w:val="clicked1"/>
    <w:basedOn w:val="14"/>
    <w:uiPriority w:val="0"/>
  </w:style>
  <w:style w:type="character" w:customStyle="1" w:styleId="30">
    <w:name w:val="clicked2"/>
    <w:basedOn w:val="14"/>
    <w:qFormat/>
    <w:uiPriority w:val="0"/>
    <w:rPr>
      <w:color w:val="000000"/>
    </w:rPr>
  </w:style>
  <w:style w:type="character" w:customStyle="1" w:styleId="31">
    <w:name w:val="clicked3"/>
    <w:basedOn w:val="14"/>
    <w:qFormat/>
    <w:uiPriority w:val="0"/>
  </w:style>
  <w:style w:type="character" w:customStyle="1" w:styleId="32">
    <w:name w:val="group"/>
    <w:basedOn w:val="14"/>
    <w:qFormat/>
    <w:uiPriority w:val="0"/>
  </w:style>
  <w:style w:type="character" w:customStyle="1" w:styleId="33">
    <w:name w:val="ui-state-hover"/>
    <w:basedOn w:val="14"/>
    <w:uiPriority w:val="0"/>
  </w:style>
  <w:style w:type="character" w:customStyle="1" w:styleId="34">
    <w:name w:val="ui-state-default12"/>
    <w:basedOn w:val="14"/>
    <w:qFormat/>
    <w:uiPriority w:val="0"/>
  </w:style>
  <w:style w:type="character" w:customStyle="1" w:styleId="35">
    <w:name w:val="ui-state-default13"/>
    <w:basedOn w:val="14"/>
    <w:qFormat/>
    <w:uiPriority w:val="0"/>
  </w:style>
  <w:style w:type="character" w:customStyle="1" w:styleId="36">
    <w:name w:val="button-hover"/>
    <w:basedOn w:val="14"/>
    <w:qFormat/>
    <w:uiPriority w:val="0"/>
  </w:style>
  <w:style w:type="character" w:customStyle="1" w:styleId="37">
    <w:name w:val="button-hover1"/>
    <w:basedOn w:val="14"/>
    <w:qFormat/>
    <w:uiPriority w:val="0"/>
  </w:style>
  <w:style w:type="character" w:customStyle="1" w:styleId="38">
    <w:name w:val="directchildrenspan"/>
    <w:basedOn w:val="14"/>
    <w:qFormat/>
    <w:uiPriority w:val="0"/>
  </w:style>
  <w:style w:type="character" w:customStyle="1" w:styleId="39">
    <w:name w:val="item-middle"/>
    <w:basedOn w:val="14"/>
    <w:qFormat/>
    <w:uiPriority w:val="0"/>
  </w:style>
  <w:style w:type="character" w:customStyle="1" w:styleId="40">
    <w:name w:val="ui-state-active6"/>
    <w:basedOn w:val="14"/>
    <w:qFormat/>
    <w:uiPriority w:val="0"/>
  </w:style>
  <w:style w:type="character" w:customStyle="1" w:styleId="41">
    <w:name w:val="ui-state-default7"/>
    <w:basedOn w:val="14"/>
    <w:qFormat/>
    <w:uiPriority w:val="0"/>
  </w:style>
  <w:style w:type="character" w:customStyle="1" w:styleId="42">
    <w:name w:val="image"/>
    <w:basedOn w:val="14"/>
    <w:qFormat/>
    <w:uiPriority w:val="0"/>
  </w:style>
  <w:style w:type="character" w:customStyle="1" w:styleId="43">
    <w:name w:val="image1"/>
    <w:basedOn w:val="14"/>
    <w:qFormat/>
    <w:uiPriority w:val="0"/>
  </w:style>
  <w:style w:type="character" w:customStyle="1" w:styleId="44">
    <w:name w:val="image2"/>
    <w:basedOn w:val="14"/>
    <w:qFormat/>
    <w:uiPriority w:val="0"/>
  </w:style>
  <w:style w:type="character" w:customStyle="1" w:styleId="45">
    <w:name w:val="ui-state-hover21"/>
    <w:basedOn w:val="14"/>
    <w:qFormat/>
    <w:uiPriority w:val="0"/>
  </w:style>
  <w:style w:type="character" w:customStyle="1" w:styleId="46">
    <w:name w:val="ui-icon33"/>
    <w:basedOn w:val="14"/>
    <w:qFormat/>
    <w:uiPriority w:val="0"/>
  </w:style>
  <w:style w:type="paragraph" w:styleId="47">
    <w:name w:val="List Paragraph"/>
    <w:basedOn w:val="1"/>
    <w:qFormat/>
    <w:uiPriority w:val="34"/>
    <w:pPr>
      <w:ind w:firstLine="420" w:firstLineChars="200"/>
    </w:pPr>
  </w:style>
  <w:style w:type="character" w:customStyle="1" w:styleId="48">
    <w:name w:val="标题 2 Char"/>
    <w:basedOn w:val="14"/>
    <w:link w:val="5"/>
    <w:qFormat/>
    <w:uiPriority w:val="9"/>
    <w:rPr>
      <w:rFonts w:hint="eastAsia" w:ascii="宋体" w:hAnsi="宋体" w:eastAsia="宋体" w:cs="宋体"/>
      <w:b/>
      <w:kern w:val="0"/>
      <w:sz w:val="36"/>
      <w:szCs w:val="36"/>
      <w:lang w:val="en-US" w:eastAsia="zh-CN" w:bidi="ar"/>
    </w:rPr>
  </w:style>
  <w:style w:type="paragraph" w:customStyle="1" w:styleId="4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50">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收支总体变动情况表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1360.16</c:v>
                </c:pt>
                <c:pt idx="1">
                  <c:v>3596.16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3608.64</c:v>
                </c:pt>
                <c:pt idx="1">
                  <c:v>4630.17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79201440"/>
        <c:axId val="614613394"/>
      </c:barChart>
      <c:catAx>
        <c:axId val="8792014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613394"/>
        <c:crosses val="autoZero"/>
        <c:auto val="1"/>
        <c:lblAlgn val="ctr"/>
        <c:lblOffset val="100"/>
        <c:noMultiLvlLbl val="0"/>
      </c:catAx>
      <c:valAx>
        <c:axId val="6146133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920144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一般公共财政拨款收入</c:v>
                </c:pt>
                <c:pt idx="1">
                  <c:v>其他收入</c:v>
                </c:pt>
              </c:strCache>
            </c:strRef>
          </c:cat>
          <c:val>
            <c:numRef>
              <c:f>Sheet1!$B$2:$B$3</c:f>
              <c:numCache>
                <c:formatCode>General</c:formatCode>
                <c:ptCount val="2"/>
                <c:pt idx="0">
                  <c:v>3464.64</c:v>
                </c:pt>
                <c:pt idx="1">
                  <c:v>144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299.47</c:v>
                </c:pt>
                <c:pt idx="1">
                  <c:v>4330.7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一般公共财政拨款支出决算变动图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3596.56</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4497.24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87420874"/>
        <c:axId val="698044241"/>
      </c:barChart>
      <c:catAx>
        <c:axId val="4874208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8044241"/>
        <c:crosses val="autoZero"/>
        <c:auto val="1"/>
        <c:lblAlgn val="ctr"/>
        <c:lblOffset val="100"/>
        <c:noMultiLvlLbl val="0"/>
      </c:catAx>
      <c:valAx>
        <c:axId val="6980442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742087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numRef>
              <c:f>Sheet1!$A$2:$A$7</c:f>
              <c:numCache>
                <c:formatCode>General</c:formatCode>
                <c:ptCount val="6"/>
                <c:pt idx="0">
                  <c:v>208</c:v>
                </c:pt>
                <c:pt idx="1">
                  <c:v>210</c:v>
                </c:pt>
                <c:pt idx="2">
                  <c:v>213</c:v>
                </c:pt>
                <c:pt idx="3">
                  <c:v>214</c:v>
                </c:pt>
                <c:pt idx="4">
                  <c:v>221</c:v>
                </c:pt>
                <c:pt idx="5">
                  <c:v>229</c:v>
                </c:pt>
              </c:numCache>
            </c:numRef>
          </c:cat>
          <c:val>
            <c:numRef>
              <c:f>Sheet1!$B$2:$B$7</c:f>
              <c:numCache>
                <c:formatCode>General</c:formatCode>
                <c:ptCount val="6"/>
                <c:pt idx="0">
                  <c:v>36.95</c:v>
                </c:pt>
                <c:pt idx="1">
                  <c:v>17.15</c:v>
                </c:pt>
                <c:pt idx="2">
                  <c:v>3341.91</c:v>
                </c:pt>
                <c:pt idx="3">
                  <c:v>860.29</c:v>
                </c:pt>
                <c:pt idx="4">
                  <c:v>22.33</c:v>
                </c:pt>
                <c:pt idx="5">
                  <c:v>218.61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公务用车运行维护费</c:v>
                </c:pt>
              </c:strCache>
            </c:strRef>
          </c:cat>
          <c:val>
            <c:numRef>
              <c:f>Sheet1!$B$2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2021-12-03T05:53:18Z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