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pacing w:line="600" w:lineRule="exact"/>
        <w:jc w:val="center"/>
        <w:outlineLvl w:val="0"/>
        <w:rPr>
          <w:rFonts w:ascii="方正小标宋简体" w:hAnsi="宋体" w:eastAsia="方正小标宋简体"/>
          <w:color w:val="000000"/>
          <w:sz w:val="72"/>
          <w:szCs w:val="72"/>
        </w:rPr>
      </w:pPr>
      <w:bookmarkStart w:id="1" w:name="_Toc15396599"/>
      <w:bookmarkStart w:id="2" w:name="_Toc15377196"/>
    </w:p>
    <w:p>
      <w:pPr>
        <w:adjustRightInd w:val="0"/>
        <w:snapToGrid w:val="0"/>
        <w:spacing w:line="360" w:lineRule="auto"/>
        <w:jc w:val="center"/>
        <w:outlineLvl w:val="0"/>
        <w:rPr>
          <w:rFonts w:ascii="方正小标宋简体" w:hAnsi="宋体" w:eastAsia="方正小标宋简体"/>
          <w:color w:val="000000"/>
          <w:sz w:val="72"/>
          <w:szCs w:val="72"/>
        </w:rPr>
      </w:pPr>
      <w:bookmarkStart w:id="3" w:name="_Toc15396597"/>
      <w:bookmarkStart w:id="4" w:name="_Toc15396475"/>
      <w:bookmarkStart w:id="5" w:name="_Toc15377425"/>
      <w:bookmarkStart w:id="6" w:name="_Toc15378441"/>
      <w:bookmarkStart w:id="7" w:name="_Toc15377193"/>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426"/>
      <w:bookmarkStart w:id="10" w:name="_Toc15377194"/>
      <w:bookmarkStart w:id="11" w:name="_Toc15378442"/>
      <w:bookmarkStart w:id="12" w:name="_Toc15396598"/>
      <w:r>
        <w:rPr>
          <w:rFonts w:hint="eastAsia" w:ascii="方正小标宋简体" w:hAnsi="宋体" w:eastAsia="方正小标宋简体"/>
          <w:color w:val="000000"/>
          <w:sz w:val="72"/>
          <w:szCs w:val="72"/>
        </w:rPr>
        <w:t>四川省阿坝州红原县</w:t>
      </w:r>
      <w:bookmarkStart w:id="13" w:name="_Toc15306268"/>
      <w:r>
        <w:rPr>
          <w:rFonts w:hint="eastAsia" w:ascii="方正小标宋简体" w:hAnsi="宋体" w:eastAsia="方正小标宋简体"/>
          <w:color w:val="000000"/>
          <w:sz w:val="72"/>
          <w:szCs w:val="72"/>
        </w:rPr>
        <w:t>林业和草原局决算</w:t>
      </w:r>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3"/>
        <w:rPr>
          <w:rFonts w:cstheme="minorBidi"/>
        </w:rPr>
      </w:pPr>
      <w:r>
        <w:fldChar w:fldCharType="begin"/>
      </w:r>
      <w:r>
        <w:instrText xml:space="preserve"> HYPERLINK \l "_Toc15396599" </w:instrText>
      </w:r>
      <w:r>
        <w:fldChar w:fldCharType="separate"/>
      </w:r>
      <w:r>
        <w:rPr>
          <w:rStyle w:val="19"/>
          <w:rFonts w:hint="eastAsia"/>
        </w:rPr>
        <w:t>第一部分部门概况</w:t>
      </w:r>
      <w:r>
        <w:rPr>
          <w:rStyle w:val="19"/>
          <w:rFonts w:hint="eastAsia"/>
        </w:rPr>
        <w:fldChar w:fldCharType="end"/>
      </w:r>
    </w:p>
    <w:p>
      <w:pPr>
        <w:pStyle w:val="14"/>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Style w:val="19"/>
          <w:rFonts w:hint="eastAsia" w:ascii="仿宋" w:hAnsi="仿宋" w:eastAsia="仿宋"/>
          <w:sz w:val="28"/>
          <w:szCs w:val="28"/>
        </w:rPr>
        <w:fldChar w:fldCharType="end"/>
      </w:r>
      <w:r>
        <w:rPr>
          <w:rFonts w:hint="eastAsia" w:ascii="仿宋" w:hAnsi="仿宋" w:eastAsia="仿宋"/>
          <w:sz w:val="28"/>
          <w:szCs w:val="28"/>
        </w:rPr>
        <w:t>..................................4</w:t>
      </w:r>
    </w:p>
    <w:p>
      <w:pPr>
        <w:pStyle w:val="14"/>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Style w:val="19"/>
          <w:rFonts w:hint="eastAsia" w:ascii="仿宋" w:hAnsi="仿宋" w:eastAsia="仿宋"/>
          <w:sz w:val="28"/>
          <w:szCs w:val="28"/>
        </w:rPr>
        <w:fldChar w:fldCharType="end"/>
      </w:r>
      <w:r>
        <w:rPr>
          <w:rFonts w:hint="eastAsia" w:ascii="仿宋" w:hAnsi="仿宋" w:eastAsia="仿宋"/>
          <w:sz w:val="28"/>
          <w:szCs w:val="28"/>
        </w:rPr>
        <w:t>............................................9</w:t>
      </w:r>
    </w:p>
    <w:p>
      <w:pPr>
        <w:pStyle w:val="13"/>
      </w:pPr>
      <w:r>
        <w:fldChar w:fldCharType="begin"/>
      </w:r>
      <w:r>
        <w:instrText xml:space="preserve"> HYPERLINK \l "_Toc15396602" </w:instrText>
      </w:r>
      <w:r>
        <w:fldChar w:fldCharType="separate"/>
      </w:r>
      <w:r>
        <w:rPr>
          <w:rStyle w:val="19"/>
          <w:rFonts w:hint="eastAsia"/>
        </w:rPr>
        <w:t>第二部分</w:t>
      </w:r>
      <w:r>
        <w:rPr>
          <w:rStyle w:val="19"/>
        </w:rPr>
        <w:t xml:space="preserve"> 20</w:t>
      </w:r>
      <w:r>
        <w:rPr>
          <w:rStyle w:val="19"/>
          <w:rFonts w:hint="eastAsia"/>
        </w:rPr>
        <w:t>20年度部门决算情况说明</w:t>
      </w:r>
      <w:r>
        <w:rPr>
          <w:rStyle w:val="19"/>
          <w:rFonts w:hint="eastAsia"/>
        </w:rPr>
        <w:fldChar w:fldCharType="end"/>
      </w:r>
    </w:p>
    <w:p>
      <w:pPr>
        <w:pStyle w:val="14"/>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...........................10</w:t>
      </w:r>
    </w:p>
    <w:p>
      <w:pPr>
        <w:pStyle w:val="14"/>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...................................10</w:t>
      </w:r>
    </w:p>
    <w:p>
      <w:pPr>
        <w:pStyle w:val="14"/>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...................................11</w:t>
      </w:r>
    </w:p>
    <w:p>
      <w:pPr>
        <w:pStyle w:val="14"/>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...................12</w:t>
      </w:r>
    </w:p>
    <w:p>
      <w:pPr>
        <w:pStyle w:val="14"/>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...............12</w:t>
      </w:r>
    </w:p>
    <w:p>
      <w:pPr>
        <w:pStyle w:val="14"/>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...........16</w:t>
      </w:r>
    </w:p>
    <w:p>
      <w:pPr>
        <w:pStyle w:val="14"/>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...............17</w:t>
      </w:r>
    </w:p>
    <w:p>
      <w:pPr>
        <w:pStyle w:val="14"/>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.....................18</w:t>
      </w:r>
    </w:p>
    <w:p>
      <w:pPr>
        <w:pStyle w:val="14"/>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..................19</w:t>
      </w:r>
    </w:p>
    <w:p>
      <w:pPr>
        <w:pStyle w:val="14"/>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、其他重要事项的情况说明</w:t>
      </w:r>
      <w:r>
        <w:rPr>
          <w:rStyle w:val="19"/>
          <w:rFonts w:hint="eastAsia" w:ascii="仿宋" w:hAnsi="仿宋" w:eastAsia="仿宋" w:cstheme="majorBidi"/>
          <w:bCs/>
          <w:sz w:val="28"/>
          <w:szCs w:val="28"/>
        </w:rPr>
        <w:fldChar w:fldCharType="end"/>
      </w:r>
      <w:r>
        <w:rPr>
          <w:rFonts w:hint="eastAsia" w:ascii="仿宋" w:hAnsi="仿宋" w:eastAsia="仿宋"/>
          <w:sz w:val="28"/>
          <w:szCs w:val="28"/>
        </w:rPr>
        <w:t>.............................19</w:t>
      </w:r>
    </w:p>
    <w:p>
      <w:pPr>
        <w:pStyle w:val="13"/>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rPr>
          <w:rStyle w:val="19"/>
          <w:rFonts w:hint="eastAsia"/>
          <w:bCs/>
          <w:kern w:val="44"/>
        </w:rPr>
        <w:fldChar w:fldCharType="end"/>
      </w:r>
    </w:p>
    <w:p>
      <w:pPr>
        <w:pStyle w:val="13"/>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四部分附件</w:t>
      </w:r>
      <w:r>
        <w:rPr>
          <w:rStyle w:val="19"/>
          <w:rFonts w:hint="eastAsia"/>
          <w:bCs/>
          <w:kern w:val="44"/>
        </w:rPr>
        <w:fldChar w:fldCharType="end"/>
      </w:r>
    </w:p>
    <w:p>
      <w:pPr>
        <w:pStyle w:val="14"/>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Style w:val="19"/>
          <w:rFonts w:ascii="仿宋" w:hAnsi="仿宋" w:eastAsia="仿宋"/>
          <w:kern w:val="44"/>
          <w:sz w:val="28"/>
          <w:szCs w:val="28"/>
        </w:rPr>
        <w:fldChar w:fldCharType="end"/>
      </w:r>
      <w:r>
        <w:rPr>
          <w:rFonts w:hint="eastAsia" w:ascii="仿宋" w:hAnsi="仿宋" w:eastAsia="仿宋"/>
          <w:sz w:val="28"/>
          <w:szCs w:val="28"/>
        </w:rPr>
        <w:t>.................................................46</w:t>
      </w:r>
    </w:p>
    <w:p>
      <w:pPr>
        <w:pStyle w:val="14"/>
        <w:rPr>
          <w:rFonts w:ascii="仿宋" w:hAnsi="仿宋" w:eastAsia="仿宋" w:cstheme="minorBidi"/>
          <w:sz w:val="28"/>
          <w:szCs w:val="28"/>
        </w:rPr>
      </w:pPr>
      <w:r>
        <w:fldChar w:fldCharType="begin"/>
      </w:r>
      <w:r>
        <w:instrText xml:space="preserve"> HYPERLINK \l "_Toc15396617"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2</w:t>
      </w:r>
      <w:r>
        <w:rPr>
          <w:rStyle w:val="19"/>
          <w:rFonts w:ascii="仿宋" w:hAnsi="仿宋" w:eastAsia="仿宋"/>
          <w:kern w:val="44"/>
          <w:sz w:val="28"/>
          <w:szCs w:val="28"/>
        </w:rPr>
        <w:fldChar w:fldCharType="end"/>
      </w:r>
      <w:r>
        <w:rPr>
          <w:rFonts w:hint="eastAsia" w:ascii="仿宋" w:hAnsi="仿宋" w:eastAsia="仿宋"/>
          <w:sz w:val="28"/>
          <w:szCs w:val="28"/>
        </w:rPr>
        <w:t>.................................................56</w:t>
      </w:r>
    </w:p>
    <w:p>
      <w:pPr>
        <w:pStyle w:val="13"/>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五部分附表</w:t>
      </w:r>
      <w:r>
        <w:rPr>
          <w:rStyle w:val="19"/>
          <w:rFonts w:hint="eastAsia"/>
          <w:bCs/>
          <w:kern w:val="44"/>
        </w:rPr>
        <w:fldChar w:fldCharType="end"/>
      </w:r>
    </w:p>
    <w:p>
      <w:pPr>
        <w:pStyle w:val="14"/>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14"/>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Style w:val="19"/>
          <w:rFonts w:hint="eastAsia" w:ascii="仿宋" w:hAnsi="仿宋" w:eastAsia="仿宋"/>
          <w:sz w:val="28"/>
          <w:szCs w:val="28"/>
        </w:rPr>
        <w:fldChar w:fldCharType="end"/>
      </w:r>
      <w:r>
        <w:rPr>
          <w:rFonts w:hint="eastAsia" w:ascii="仿宋" w:hAnsi="仿宋" w:eastAsia="仿宋"/>
          <w:sz w:val="28"/>
          <w:szCs w:val="28"/>
        </w:rPr>
        <w:t>.......................77</w:t>
      </w:r>
    </w:p>
    <w:p>
      <w:pPr>
        <w:pStyle w:val="4"/>
        <w:jc w:val="center"/>
        <w:rPr>
          <w:rFonts w:ascii="仿宋" w:hAnsi="仿宋" w:eastAsia="仿宋"/>
          <w:color w:val="000000"/>
          <w:sz w:val="24"/>
        </w:rPr>
      </w:pPr>
      <w:r>
        <w:rPr>
          <w:rFonts w:ascii="仿宋" w:hAnsi="仿宋" w:eastAsia="仿宋"/>
          <w:color w:val="000000"/>
          <w:sz w:val="24"/>
        </w:rPr>
        <w:fldChar w:fldCharType="end"/>
      </w:r>
    </w:p>
    <w:p>
      <w:pPr>
        <w:pStyle w:val="4"/>
        <w:jc w:val="center"/>
        <w:rPr>
          <w:rFonts w:ascii="仿宋" w:hAnsi="仿宋" w:eastAsia="仿宋"/>
          <w:color w:val="000000"/>
          <w:sz w:val="24"/>
        </w:rPr>
      </w:pPr>
    </w:p>
    <w:p>
      <w:pPr>
        <w:pStyle w:val="4"/>
        <w:jc w:val="center"/>
        <w:rPr>
          <w:rFonts w:ascii="仿宋" w:hAnsi="仿宋" w:eastAsia="仿宋"/>
          <w:color w:val="000000"/>
          <w:sz w:val="24"/>
        </w:rPr>
      </w:pPr>
    </w:p>
    <w:p>
      <w:pPr>
        <w:pStyle w:val="4"/>
        <w:jc w:val="center"/>
        <w:rPr>
          <w:rFonts w:ascii="仿宋" w:hAnsi="仿宋" w:eastAsia="仿宋"/>
          <w:color w:val="000000"/>
          <w:sz w:val="24"/>
        </w:rPr>
      </w:pP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
      <w:bookmarkEnd w:id="2"/>
    </w:p>
    <w:p>
      <w:pPr>
        <w:widowControl/>
        <w:jc w:val="left"/>
        <w:rPr>
          <w:rFonts w:ascii="黑体" w:eastAsia="黑体"/>
          <w:color w:val="000000"/>
          <w:sz w:val="32"/>
          <w:szCs w:val="32"/>
        </w:rPr>
      </w:pPr>
    </w:p>
    <w:p>
      <w:pPr>
        <w:pStyle w:val="5"/>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1.贯彻执行林业及生态建设的法律、法规、规章和方针政策；负责林业及其生态建设的监督管理;负责拟订林业发展战略、中长期规划；承担林业生态文明建设的有关工作。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4.组织、协调、指导和监督湿地保护工作。拟订湿地保护规划，组织实施湿地保护小区、湿地公园等保护管理工作，监督湿地的合理利用。</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5.组织、协调、指导和监督石漠化治理工作。组织拟订并实施石漠化治理保护区建设规划。</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6.承担全县草原保护建设工作，负责承担草原建设与保护规划的编制和组织实施；组织编制全县草原资源与动态监测规划，组织、协调、指导全县草原面积、生产能力、生态环境状况及草原保护与建设效益的监测、测报；负责全县草原鼠虫害预测预报、“两化三害”(沙化、退化、鼠害、虫害、毒杂草害)草地的综合防治工作；负责全县的优良牧草种子繁育基地建设，草种质量检验，优良牧草品种的培育、引种和筛选工作：组织全县开展草原建设与保护，种草养畜、鼠虫害等先进技术的推广服务工作；负责全县草原野生植物资源的保护和合理开发利用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（二）2020年重点工作完成情况。</w:t>
      </w:r>
      <w:bookmarkEnd w:id="18"/>
      <w:bookmarkEnd w:id="19"/>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lang w:val="zh-CN"/>
        </w:rPr>
      </w:pPr>
      <w:r>
        <w:rPr>
          <w:rFonts w:hint="eastAsia" w:ascii="仿宋" w:hAnsi="仿宋" w:eastAsia="仿宋"/>
          <w:bCs/>
          <w:color w:val="000000"/>
          <w:sz w:val="32"/>
          <w:szCs w:val="32"/>
        </w:rPr>
        <w:t>退牧还草项目</w:t>
      </w:r>
      <w:r>
        <w:rPr>
          <w:rFonts w:hint="eastAsia" w:ascii="仿宋" w:hAnsi="仿宋" w:eastAsia="仿宋"/>
          <w:bCs/>
          <w:color w:val="000000"/>
          <w:sz w:val="32"/>
          <w:szCs w:val="32"/>
          <w:lang w:val="zh-CN"/>
        </w:rPr>
        <w:t>绩效情况</w:t>
      </w:r>
      <w:r>
        <w:rPr>
          <w:rFonts w:hint="eastAsia" w:ascii="仿宋" w:hAnsi="仿宋" w:eastAsia="仿宋"/>
          <w:bCs/>
          <w:color w:val="000000"/>
          <w:sz w:val="32"/>
          <w:szCs w:val="32"/>
          <w:lang w:val="zh-CN"/>
        </w:rPr>
        <w:tab/>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（1）目标质量完成情况</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完成划区轮牧围栏建设2万亩围栏安装，退化草原改良24万亩天然草地补播，毒害草2万亩治理、人工种草1.4万亩，黑土滩治理1万亩。</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w:t>
      </w:r>
      <w:r>
        <w:rPr>
          <w:rFonts w:hint="eastAsia" w:ascii="仿宋" w:hAnsi="仿宋" w:eastAsia="仿宋"/>
          <w:bCs/>
          <w:color w:val="000000"/>
          <w:sz w:val="32"/>
          <w:szCs w:val="32"/>
        </w:rPr>
        <w:t>2</w:t>
      </w:r>
      <w:r>
        <w:rPr>
          <w:rFonts w:hint="eastAsia" w:ascii="仿宋" w:hAnsi="仿宋" w:eastAsia="仿宋"/>
          <w:bCs/>
          <w:color w:val="000000"/>
          <w:sz w:val="32"/>
          <w:szCs w:val="32"/>
          <w:lang w:val="zh-CN"/>
        </w:rPr>
        <w:t>）项目效益情况</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提高草地生产力，转变传统的畜牧业生产方式，促进畜牧经济发展和农牧民增收。项目的实施，有效地保护了草原，提高了牧草产量，夯实了畜牧业发展的物质基础，缓解了草畜矛盾，转变了传统的畜牧业生产方式,促进畜牧业发展和农牧民增收，为项目区的广大农牧民脱贫致富奔小康，提高生活质量奠定了坚实基础。</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提高牧民抗灾救灾能力，维护民族地区的社会稳定。项目的实施，草地生产力得到大幅度提高，农牧民可在人工饲草地刈割青草，进行冬草贮备，从而增强示范区农牧民抗灾救灾能力，减少牲畜的掉膘和死亡，增加牧业收入，维护民族地区的社会稳定。</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3、提高全民生态环境意识，促进社会进步。该项目属于生态环境保护治理项目。通过项目的实施提高广大干部群众的生态环境保护意识，从而有效保护草原，促进社会文明进步。</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4、直接经济效。项目建成后，草原植被盖度增加，牧草高度增加，产草量得到提高。据测算，本项目实施划区轮牧5万亩，每亩可增产鲜草50公斤，年可曾鲜草2500吨；退化草地改良24万亩，每亩可增产90公斤鲜草，年可增产鲜草21600吨；人工种草1.4万亩，每亩增产鲜草1000公斤，年增加鲜草14000万吨；毒害草治理2万亩，每亩增加鲜草100公斤，年可增鲜草2000吨；黑土滩治理1万亩，每亩增加鲜草200公斤，年增加鲜草2000吨，以上建设内容实施后，共计年可增产鲜草4.21万吨，每吨鲜草按400元计算，折合现金1684万元人民币，经济效益显著</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5、间接经济效。 通过退牧还草工程项目建设，项目区内优质牧草种类增多，比例加大，大大提高了草原饲用价值；草原植被的覆盖度和草层高度得到提高，增强了植物光合作用，提高了草原第一性生产力。客观上增加了土壤中有机质含量，提高了土壤肥力，使草地土壤状况得到改善，从而促进草地生态系统向良性循环方向发展。较好的植被、土壤状况能够有效地抑制鼠虫的危害，减少灾害损失，形成可观的间接经济效益。</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lang w:val="zh-CN"/>
        </w:rPr>
      </w:pPr>
      <w:r>
        <w:rPr>
          <w:rFonts w:hint="eastAsia" w:ascii="仿宋" w:hAnsi="仿宋" w:eastAsia="仿宋"/>
          <w:bCs/>
          <w:color w:val="000000"/>
          <w:sz w:val="32"/>
          <w:szCs w:val="32"/>
        </w:rPr>
        <w:t>湿地补偿</w:t>
      </w:r>
      <w:r>
        <w:rPr>
          <w:rFonts w:hint="eastAsia" w:ascii="仿宋" w:hAnsi="仿宋" w:eastAsia="仿宋"/>
          <w:bCs/>
          <w:color w:val="000000"/>
          <w:sz w:val="32"/>
          <w:szCs w:val="32"/>
          <w:lang w:val="zh-CN"/>
        </w:rPr>
        <w:t>项目绩效情况</w:t>
      </w:r>
      <w:r>
        <w:rPr>
          <w:rFonts w:hint="eastAsia" w:ascii="仿宋" w:hAnsi="仿宋" w:eastAsia="仿宋"/>
          <w:bCs/>
          <w:color w:val="000000"/>
          <w:sz w:val="32"/>
          <w:szCs w:val="32"/>
          <w:lang w:val="zh-CN"/>
        </w:rPr>
        <w:tab/>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w:t>
      </w:r>
      <w:r>
        <w:rPr>
          <w:rFonts w:hint="eastAsia" w:ascii="仿宋" w:hAnsi="仿宋" w:eastAsia="仿宋"/>
          <w:bCs/>
          <w:color w:val="000000"/>
          <w:sz w:val="32"/>
          <w:szCs w:val="32"/>
        </w:rPr>
        <w:t>1</w:t>
      </w:r>
      <w:r>
        <w:rPr>
          <w:rFonts w:hint="eastAsia" w:ascii="仿宋" w:hAnsi="仿宋" w:eastAsia="仿宋"/>
          <w:bCs/>
          <w:color w:val="000000"/>
          <w:sz w:val="32"/>
          <w:szCs w:val="32"/>
          <w:lang w:val="zh-CN"/>
        </w:rPr>
        <w:t>）项目完成情况。</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2020年4月,阿坝州财政局、林草局《下达2020年省级林业草原改革发展专项资金（第一批）预算的通知》（阿州财资环〔2020〕27号），其中湿地生态效益补偿资金1439万元，组织相关人员编制完成《红原县2020年省级湿地生态补偿实施方案》，在征求县财政局、县司法局意见后，于2020年5月获得红原县人民政府的批复，组织各乡镇已开展完成三级目标责任书的签订，审定生态补偿人员并进行公示，由于项目为脱贫攻坚专项项目，按照方案10月底由县财政局、县林草局组成的县级验收小组对各乡镇生态补偿工作开展情况及牧户管护情况进行验收。验收合格公示无异议后11月由金融机构通过“一卡通”的方式兑现补偿资金，共计1438.6万元，享受生态补偿共6282户牧户，目前已完成资金兑现。</w:t>
      </w:r>
    </w:p>
    <w:p>
      <w:pPr>
        <w:pStyle w:val="8"/>
        <w:adjustRightInd w:val="0"/>
        <w:snapToGrid w:val="0"/>
        <w:spacing w:before="93" w:line="600" w:lineRule="exact"/>
        <w:outlineLvl w:val="2"/>
        <w:rPr>
          <w:rFonts w:hint="eastAsia" w:ascii="仿宋" w:hAnsi="仿宋" w:eastAsia="仿宋"/>
          <w:bCs/>
          <w:color w:val="000000"/>
          <w:sz w:val="32"/>
          <w:szCs w:val="32"/>
          <w:lang w:val="zh-CN"/>
        </w:rPr>
      </w:pPr>
      <w:r>
        <w:rPr>
          <w:rFonts w:hint="eastAsia" w:ascii="仿宋" w:hAnsi="仿宋" w:eastAsia="仿宋"/>
          <w:bCs/>
          <w:color w:val="000000"/>
          <w:sz w:val="32"/>
          <w:szCs w:val="32"/>
          <w:lang w:val="zh-CN"/>
        </w:rPr>
        <w:t>（</w:t>
      </w:r>
      <w:r>
        <w:rPr>
          <w:rFonts w:hint="eastAsia" w:ascii="仿宋" w:hAnsi="仿宋" w:eastAsia="仿宋"/>
          <w:bCs/>
          <w:color w:val="000000"/>
          <w:sz w:val="32"/>
          <w:szCs w:val="32"/>
        </w:rPr>
        <w:t>2</w:t>
      </w:r>
      <w:r>
        <w:rPr>
          <w:rFonts w:hint="eastAsia" w:ascii="仿宋" w:hAnsi="仿宋" w:eastAsia="仿宋"/>
          <w:bCs/>
          <w:color w:val="000000"/>
          <w:sz w:val="32"/>
          <w:szCs w:val="32"/>
          <w:lang w:val="zh-CN"/>
        </w:rPr>
        <w:t>）项目效益情况。</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1．生态效益</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2.社会效益</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3.经济效益</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湿地生态补偿工作结合精准扶贫，有效帮扶了一批贫困户，提高了牧户收入，此次补偿工作共计6282户，共兑现资金1438.6万元，平均每户每年增加收入2290.04元。其中贫困户768户，兑现资金约152.09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snapToGrid w:val="0"/>
        <w:spacing w:line="560" w:lineRule="exact"/>
        <w:ind w:firstLine="640" w:firstLineChars="200"/>
        <w:rPr>
          <w:rFonts w:ascii="宋体" w:hAnsi="宋体" w:cs="宋体"/>
          <w:sz w:val="32"/>
          <w:szCs w:val="32"/>
        </w:rPr>
      </w:pPr>
      <w:r>
        <w:rPr>
          <w:rFonts w:hint="eastAsia" w:ascii="宋体" w:hAnsi="宋体" w:cs="宋体"/>
          <w:sz w:val="32"/>
          <w:szCs w:val="32"/>
        </w:rPr>
        <w:t>2.概述本单位整体支出绩效目标实现情况</w:t>
      </w:r>
    </w:p>
    <w:p>
      <w:pPr>
        <w:snapToGrid w:val="0"/>
        <w:spacing w:line="560" w:lineRule="exact"/>
        <w:ind w:firstLine="640" w:firstLineChars="200"/>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我单位严格按照国家的法律法规加强预算管理，大力提倡勤俭节约，坚持把有限的经费用在农牧业发展工作中，坚持财政预算管理制度务，坚持“以收定支”，做好预算支出及执行情况调度，对会计工作的事前、事中、事后的监督，确保了会计的延续性，做到每笔支出有据可查、有法可依，确保了 “三公”经费预算支出在严格控制在预算内，严格财经纪律，严格财务制度严格审批程序，确定支出都符合相关的要求，通过以上这些措施，较好地保证了财务管理工作和资金使用效率。</w:t>
      </w:r>
    </w:p>
    <w:p>
      <w:pPr>
        <w:pStyle w:val="8"/>
        <w:adjustRightInd w:val="0"/>
        <w:snapToGrid w:val="0"/>
        <w:spacing w:before="93" w:line="600" w:lineRule="exact"/>
        <w:ind w:firstLine="672" w:firstLineChars="210"/>
        <w:outlineLvl w:val="2"/>
        <w:rPr>
          <w:rFonts w:ascii="宋体" w:hAnsi="宋体" w:eastAsia="宋体" w:cs="宋体"/>
          <w:bCs/>
          <w:color w:val="000000"/>
          <w:sz w:val="32"/>
          <w:szCs w:val="32"/>
        </w:rPr>
      </w:pPr>
    </w:p>
    <w:p>
      <w:pPr>
        <w:pStyle w:val="5"/>
        <w:rPr>
          <w:rStyle w:val="29"/>
          <w:rFonts w:ascii="宋体" w:hAnsi="宋体" w:eastAsia="宋体" w:cs="宋体"/>
          <w:b w:val="0"/>
          <w:bCs w:val="0"/>
        </w:rPr>
      </w:pPr>
      <w:bookmarkStart w:id="20" w:name="_Toc15377200"/>
      <w:bookmarkStart w:id="21" w:name="_Toc15396601"/>
      <w:r>
        <w:rPr>
          <w:rFonts w:hint="eastAsia" w:ascii="宋体" w:hAnsi="宋体" w:eastAsia="宋体" w:cs="宋体"/>
          <w:b w:val="0"/>
          <w:color w:val="000000"/>
        </w:rPr>
        <w:t>二、机</w:t>
      </w:r>
      <w:r>
        <w:rPr>
          <w:rStyle w:val="29"/>
          <w:rFonts w:hint="eastAsia" w:ascii="宋体" w:hAnsi="宋体" w:eastAsia="宋体" w:cs="宋体"/>
          <w:b w:val="0"/>
          <w:bCs w:val="0"/>
        </w:rPr>
        <w:t>构设置</w:t>
      </w:r>
      <w:bookmarkEnd w:id="20"/>
      <w:bookmarkEnd w:id="21"/>
    </w:p>
    <w:p>
      <w:pPr>
        <w:snapToGrid w:val="0"/>
        <w:spacing w:line="560" w:lineRule="exact"/>
        <w:ind w:firstLine="640" w:firstLineChars="200"/>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红原县林业和草原局为行政单位，下属事业单位1个，为红原县噶曲国家湿地公园管理局，纳入红原县林业和草原局2020年度部门决算编制。</w:t>
      </w:r>
    </w:p>
    <w:p>
      <w:pPr>
        <w:snapToGrid w:val="0"/>
        <w:spacing w:line="560" w:lineRule="exact"/>
        <w:ind w:firstLine="640" w:firstLineChars="200"/>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br w:type="page"/>
      </w:r>
    </w:p>
    <w:p>
      <w:pPr>
        <w:pStyle w:val="4"/>
        <w:ind w:right="440"/>
        <w:rPr>
          <w:rStyle w:val="28"/>
          <w:rFonts w:ascii="宋体" w:hAnsi="宋体" w:cs="宋体"/>
          <w:b w:val="0"/>
          <w:bCs w:val="0"/>
        </w:rPr>
      </w:pPr>
      <w:bookmarkStart w:id="22" w:name="_Toc15377204"/>
      <w:bookmarkStart w:id="23" w:name="_Toc15396602"/>
      <w:r>
        <w:rPr>
          <w:rFonts w:hint="eastAsia" w:ascii="宋体" w:hAnsi="宋体" w:cs="宋体"/>
          <w:b w:val="0"/>
          <w:color w:val="000000"/>
        </w:rPr>
        <w:t>第二部分</w:t>
      </w:r>
      <w:r>
        <w:rPr>
          <w:rStyle w:val="28"/>
          <w:rFonts w:hint="eastAsia" w:ascii="宋体" w:hAnsi="宋体" w:cs="宋体"/>
          <w:b w:val="0"/>
          <w:bCs w:val="0"/>
        </w:rPr>
        <w:t>2020年度部门决算情况说明</w:t>
      </w:r>
      <w:bookmarkEnd w:id="22"/>
      <w:bookmarkEnd w:id="23"/>
    </w:p>
    <w:p>
      <w:pPr>
        <w:rPr>
          <w:rFonts w:ascii="宋体" w:hAnsi="宋体" w:cs="宋体"/>
        </w:rPr>
      </w:pPr>
    </w:p>
    <w:p>
      <w:pPr>
        <w:pStyle w:val="27"/>
        <w:numPr>
          <w:ilvl w:val="0"/>
          <w:numId w:val="1"/>
        </w:numPr>
        <w:spacing w:line="600" w:lineRule="exact"/>
        <w:ind w:firstLineChars="0"/>
        <w:outlineLvl w:val="1"/>
        <w:rPr>
          <w:rStyle w:val="29"/>
          <w:rFonts w:ascii="宋体" w:hAnsi="宋体" w:eastAsia="宋体" w:cs="宋体"/>
          <w:b w:val="0"/>
        </w:rPr>
      </w:pPr>
      <w:bookmarkStart w:id="24" w:name="_Toc15377205"/>
      <w:bookmarkStart w:id="25" w:name="_Toc15396603"/>
      <w:r>
        <w:rPr>
          <w:rFonts w:hint="eastAsia" w:ascii="宋体" w:hAnsi="宋体" w:cs="宋体"/>
          <w:color w:val="000000"/>
          <w:sz w:val="32"/>
          <w:szCs w:val="32"/>
        </w:rPr>
        <w:t>收</w:t>
      </w:r>
      <w:r>
        <w:rPr>
          <w:rStyle w:val="29"/>
          <w:rFonts w:hint="eastAsia" w:ascii="宋体" w:hAnsi="宋体" w:eastAsia="宋体" w:cs="宋体"/>
          <w:b w:val="0"/>
        </w:rPr>
        <w:t>入支出决算总体情况说明</w:t>
      </w:r>
      <w:bookmarkEnd w:id="24"/>
      <w:bookmarkEnd w:id="25"/>
    </w:p>
    <w:p>
      <w:pPr>
        <w:snapToGrid w:val="0"/>
        <w:spacing w:line="560" w:lineRule="exact"/>
        <w:ind w:firstLine="640" w:firstLineChars="200"/>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2020年度收入14797.07万元、支出12147.92万元。与2019年相比，收入增加4694.16万元，增长32%，支出增加3878.68万元，增长32%。主要变动原因是上调工资，项目资金增加。</w:t>
      </w: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（图1：收、支决算总计变动情况图）（柱状图）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1" name="图片 1" descr="C:\Users\39845\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39845\Desktop\图片2.png图片2"/>
                    <pic:cNvPicPr>
                      <a:picLocks noChangeAspect="1"/>
                    </pic:cNvPicPr>
                  </pic:nvPicPr>
                  <pic:blipFill>
                    <a:blip r:embed="rId6"/>
                    <a:srcRect/>
                    <a:stretch>
                      <a:fillRect/>
                    </a:stretch>
                  </pic:blipFill>
                  <pic:spPr>
                    <a:xfrm>
                      <a:off x="0" y="0"/>
                      <a:ext cx="4584065" cy="2755265"/>
                    </a:xfrm>
                    <a:prstGeom prst="rect">
                      <a:avLst/>
                    </a:prstGeom>
                  </pic:spPr>
                </pic:pic>
              </a:graphicData>
            </a:graphic>
          </wp:inline>
        </w:drawing>
      </w:r>
    </w:p>
    <w:p>
      <w:pPr>
        <w:ind w:firstLine="640" w:firstLineChars="200"/>
        <w:jc w:val="left"/>
        <w:rPr>
          <w:rFonts w:ascii="宋体" w:hAnsi="宋体" w:cs="宋体"/>
          <w:color w:val="000000"/>
          <w:sz w:val="32"/>
          <w:szCs w:val="32"/>
        </w:rPr>
      </w:pPr>
    </w:p>
    <w:p>
      <w:pPr>
        <w:pStyle w:val="27"/>
        <w:numPr>
          <w:ilvl w:val="0"/>
          <w:numId w:val="1"/>
        </w:numPr>
        <w:spacing w:line="600" w:lineRule="exact"/>
        <w:ind w:firstLineChars="0"/>
        <w:outlineLvl w:val="1"/>
        <w:rPr>
          <w:rStyle w:val="29"/>
          <w:rFonts w:ascii="宋体" w:hAnsi="宋体" w:eastAsia="宋体" w:cs="宋体"/>
          <w:b w:val="0"/>
        </w:rPr>
      </w:pPr>
      <w:bookmarkStart w:id="26" w:name="_Toc15396604"/>
      <w:bookmarkStart w:id="27" w:name="_Toc15377206"/>
      <w:r>
        <w:rPr>
          <w:rFonts w:hint="eastAsia" w:ascii="宋体" w:hAnsi="宋体" w:cs="宋体"/>
          <w:color w:val="000000"/>
          <w:sz w:val="32"/>
          <w:szCs w:val="32"/>
        </w:rPr>
        <w:t>收</w:t>
      </w:r>
      <w:r>
        <w:rPr>
          <w:rStyle w:val="29"/>
          <w:rFonts w:hint="eastAsia" w:ascii="宋体" w:hAnsi="宋体" w:eastAsia="宋体" w:cs="宋体"/>
          <w:b w:val="0"/>
        </w:rPr>
        <w:t>入决算情况说明</w:t>
      </w:r>
      <w:bookmarkEnd w:id="26"/>
      <w:bookmarkEnd w:id="27"/>
    </w:p>
    <w:p>
      <w:pPr>
        <w:spacing w:line="600" w:lineRule="exact"/>
        <w:ind w:firstLine="640" w:firstLineChars="200"/>
        <w:outlineLvl w:val="1"/>
        <w:rPr>
          <w:rFonts w:ascii="宋体" w:hAnsi="宋体" w:cs="宋体"/>
          <w:color w:val="000000"/>
          <w:sz w:val="32"/>
          <w:szCs w:val="32"/>
        </w:rPr>
      </w:pPr>
      <w:r>
        <w:rPr>
          <w:rFonts w:hint="eastAsia" w:ascii="仿宋" w:hAnsi="仿宋" w:eastAsia="仿宋" w:cs="Times New Roman"/>
          <w:bCs/>
          <w:color w:val="000000"/>
          <w:kern w:val="0"/>
          <w:sz w:val="32"/>
          <w:szCs w:val="32"/>
          <w:lang w:val="en-US" w:eastAsia="zh-CN" w:bidi="ar-SA"/>
        </w:rPr>
        <w:t>2020年本年收入合计14797.07万元，其中：一般公共预算财政拨款收入14797.07万元，占100%；政府性基金预算财政拨款收入0万元，占0%；上级补助收入0万元，占0%；事业收入0万元，占0%；经营收入0万元，占0%；附属单位上缴收入0万元，占0%；其他收入0万元，占0%。</w:t>
      </w:r>
    </w:p>
    <w:p>
      <w:pPr>
        <w:spacing w:line="600" w:lineRule="exact"/>
        <w:ind w:firstLine="640" w:firstLineChars="200"/>
        <w:outlineLvl w:val="1"/>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（图2：收入决算结构图）（饼状图）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675890"/>
            <wp:effectExtent l="0" t="0" r="6985" b="10160"/>
            <wp:docPr id="2" name="图片 2" descr="C:\Users\39845\Desktop\微信图片_20211203104206.jpg微信图片_2021120310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39845\Desktop\微信图片_20211203104206.jpg微信图片_20211203104206"/>
                    <pic:cNvPicPr>
                      <a:picLocks noChangeAspect="1"/>
                    </pic:cNvPicPr>
                  </pic:nvPicPr>
                  <pic:blipFill>
                    <a:blip r:embed="rId7"/>
                    <a:srcRect/>
                    <a:stretch>
                      <a:fillRect/>
                    </a:stretch>
                  </pic:blipFill>
                  <pic:spPr>
                    <a:xfrm>
                      <a:off x="0" y="0"/>
                      <a:ext cx="4584065" cy="2675890"/>
                    </a:xfrm>
                    <a:prstGeom prst="rect">
                      <a:avLst/>
                    </a:prstGeom>
                  </pic:spPr>
                </pic:pic>
              </a:graphicData>
            </a:graphic>
          </wp:inline>
        </w:drawing>
      </w:r>
    </w:p>
    <w:p>
      <w:pPr>
        <w:spacing w:line="600" w:lineRule="exact"/>
        <w:ind w:firstLine="640" w:firstLineChars="200"/>
        <w:rPr>
          <w:rFonts w:ascii="宋体" w:hAnsi="宋体" w:cs="宋体"/>
          <w:color w:val="FF0000"/>
          <w:sz w:val="32"/>
          <w:szCs w:val="32"/>
        </w:rPr>
      </w:pPr>
    </w:p>
    <w:p>
      <w:pPr>
        <w:pStyle w:val="27"/>
        <w:numPr>
          <w:ilvl w:val="0"/>
          <w:numId w:val="1"/>
        </w:numPr>
        <w:spacing w:line="600" w:lineRule="exact"/>
        <w:ind w:firstLineChars="0"/>
        <w:outlineLvl w:val="1"/>
        <w:rPr>
          <w:rStyle w:val="29"/>
          <w:rFonts w:ascii="宋体" w:hAnsi="宋体" w:eastAsia="宋体" w:cs="宋体"/>
          <w:b w:val="0"/>
        </w:rPr>
      </w:pPr>
      <w:bookmarkStart w:id="28" w:name="_Toc15377207"/>
      <w:bookmarkStart w:id="29" w:name="_Toc15396605"/>
      <w:r>
        <w:rPr>
          <w:rFonts w:hint="eastAsia" w:ascii="宋体" w:hAnsi="宋体" w:cs="宋体"/>
          <w:color w:val="000000"/>
          <w:sz w:val="32"/>
          <w:szCs w:val="32"/>
        </w:rPr>
        <w:t>支</w:t>
      </w:r>
      <w:r>
        <w:rPr>
          <w:rStyle w:val="29"/>
          <w:rFonts w:hint="eastAsia" w:ascii="宋体" w:hAnsi="宋体" w:eastAsia="宋体" w:cs="宋体"/>
          <w:b w:val="0"/>
        </w:rPr>
        <w:t>出决算情况说明</w:t>
      </w:r>
      <w:bookmarkEnd w:id="28"/>
      <w:bookmarkEnd w:id="29"/>
    </w:p>
    <w:p>
      <w:pPr>
        <w:spacing w:line="600" w:lineRule="exact"/>
        <w:ind w:firstLine="640" w:firstLineChars="200"/>
        <w:outlineLvl w:val="1"/>
        <w:rPr>
          <w:rFonts w:ascii="宋体" w:hAnsi="宋体" w:cs="宋体"/>
          <w:color w:val="000000"/>
          <w:sz w:val="32"/>
          <w:szCs w:val="32"/>
        </w:rPr>
      </w:pPr>
      <w:r>
        <w:rPr>
          <w:rFonts w:hint="eastAsia" w:ascii="仿宋" w:hAnsi="仿宋" w:eastAsia="仿宋" w:cs="Times New Roman"/>
          <w:bCs/>
          <w:color w:val="000000"/>
          <w:kern w:val="0"/>
          <w:sz w:val="32"/>
          <w:szCs w:val="32"/>
          <w:lang w:val="en-US" w:eastAsia="zh-CN" w:bidi="ar-SA"/>
        </w:rPr>
        <w:t>2020年本年支出合计12147.92万元，其中：基本支出1769.58万元，占15%；项目支出10378.34万元，占85%；上缴上级支出0万元，占0%；经营支出0万元，占0%；对附属单位补助支出0万元，占0%。</w:t>
      </w: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（图3：支出决算结构图）（饼状图）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234815" cy="2545715"/>
            <wp:effectExtent l="0" t="0" r="13335" b="6985"/>
            <wp:docPr id="3" name="图片 3" descr="C:\Users\39845\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39845\Desktop\图片3.png图片3"/>
                    <pic:cNvPicPr>
                      <a:picLocks noChangeAspect="1"/>
                    </pic:cNvPicPr>
                  </pic:nvPicPr>
                  <pic:blipFill>
                    <a:blip r:embed="rId8"/>
                    <a:srcRect/>
                    <a:stretch>
                      <a:fillRect/>
                    </a:stretch>
                  </pic:blipFill>
                  <pic:spPr>
                    <a:xfrm>
                      <a:off x="0" y="0"/>
                      <a:ext cx="4234815" cy="2545715"/>
                    </a:xfrm>
                    <a:prstGeom prst="rect">
                      <a:avLst/>
                    </a:prstGeom>
                  </pic:spPr>
                </pic:pic>
              </a:graphicData>
            </a:graphic>
          </wp:inline>
        </w:drawing>
      </w:r>
    </w:p>
    <w:p>
      <w:pPr>
        <w:spacing w:line="600" w:lineRule="exact"/>
        <w:ind w:firstLine="640" w:firstLineChars="200"/>
        <w:rPr>
          <w:rFonts w:ascii="宋体" w:hAnsi="宋体" w:cs="宋体"/>
          <w:color w:val="FF0000"/>
          <w:sz w:val="32"/>
          <w:szCs w:val="32"/>
        </w:rPr>
      </w:pPr>
    </w:p>
    <w:p>
      <w:pPr>
        <w:spacing w:line="600" w:lineRule="exact"/>
        <w:ind w:firstLine="640" w:firstLineChars="200"/>
        <w:outlineLvl w:val="1"/>
        <w:rPr>
          <w:rStyle w:val="29"/>
          <w:rFonts w:ascii="宋体" w:hAnsi="宋体" w:eastAsia="宋体" w:cs="宋体"/>
          <w:b w:val="0"/>
        </w:rPr>
      </w:pPr>
      <w:bookmarkStart w:id="30" w:name="_Toc15377208"/>
      <w:bookmarkStart w:id="31" w:name="_Toc15396606"/>
      <w:r>
        <w:rPr>
          <w:rFonts w:hint="eastAsia" w:ascii="宋体" w:hAnsi="宋体" w:cs="宋体"/>
          <w:color w:val="000000"/>
          <w:sz w:val="32"/>
          <w:szCs w:val="32"/>
        </w:rPr>
        <w:t>四、财</w:t>
      </w:r>
      <w:r>
        <w:rPr>
          <w:rStyle w:val="29"/>
          <w:rFonts w:hint="eastAsia" w:ascii="宋体" w:hAnsi="宋体" w:eastAsia="宋体" w:cs="宋体"/>
          <w:b w:val="0"/>
        </w:rPr>
        <w:t>政拨款收入支出决算总体情况说明</w:t>
      </w:r>
      <w:bookmarkEnd w:id="30"/>
      <w:bookmarkEnd w:id="31"/>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2020年度收入14797.07万元、支出12147.92万元。与2019年相比，收入增加4694.16万元，增长32%，支出增加3878.68万元，增长32%。主要变动原因是上调工资，项目资金增加。</w:t>
      </w:r>
    </w:p>
    <w:p>
      <w:pPr>
        <w:spacing w:line="600" w:lineRule="exact"/>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（图4：财政拨款收、支决算总计变动情况）（柱状图）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4" name="图片 4" descr="C:\Users\39845\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39845\Desktop\图片4.png图片4"/>
                    <pic:cNvPicPr>
                      <a:picLocks noChangeAspect="1"/>
                    </pic:cNvPicPr>
                  </pic:nvPicPr>
                  <pic:blipFill>
                    <a:blip r:embed="rId9"/>
                    <a:srcRect/>
                    <a:stretch>
                      <a:fillRect/>
                    </a:stretch>
                  </pic:blipFill>
                  <pic:spPr>
                    <a:xfrm>
                      <a:off x="0" y="0"/>
                      <a:ext cx="4584065" cy="2755265"/>
                    </a:xfrm>
                    <a:prstGeom prst="rect">
                      <a:avLst/>
                    </a:prstGeom>
                  </pic:spPr>
                </pic:pic>
              </a:graphicData>
            </a:graphic>
          </wp:inline>
        </w:drawing>
      </w:r>
    </w:p>
    <w:p>
      <w:pPr>
        <w:spacing w:line="600" w:lineRule="exact"/>
        <w:ind w:firstLine="640"/>
        <w:rPr>
          <w:rFonts w:ascii="宋体" w:hAnsi="宋体" w:cs="宋体"/>
          <w:b/>
          <w:color w:val="00B050"/>
          <w:sz w:val="32"/>
          <w:szCs w:val="32"/>
        </w:rPr>
      </w:pPr>
    </w:p>
    <w:p>
      <w:pPr>
        <w:spacing w:line="600" w:lineRule="exact"/>
        <w:ind w:firstLine="640" w:firstLineChars="200"/>
        <w:outlineLvl w:val="1"/>
        <w:rPr>
          <w:rStyle w:val="29"/>
          <w:rFonts w:ascii="宋体" w:hAnsi="宋体" w:eastAsia="宋体" w:cs="宋体"/>
          <w:b w:val="0"/>
        </w:rPr>
      </w:pPr>
      <w:bookmarkStart w:id="32" w:name="_Toc15377209"/>
      <w:bookmarkStart w:id="33" w:name="_Toc15396607"/>
      <w:r>
        <w:rPr>
          <w:rFonts w:hint="eastAsia" w:ascii="宋体" w:hAnsi="宋体" w:cs="宋体"/>
          <w:color w:val="000000"/>
          <w:sz w:val="32"/>
          <w:szCs w:val="32"/>
        </w:rPr>
        <w:t>五、</w:t>
      </w:r>
      <w:r>
        <w:rPr>
          <w:rFonts w:hint="eastAsia" w:ascii="宋体" w:hAnsi="宋体" w:cs="宋体"/>
          <w:b/>
          <w:color w:val="000000"/>
          <w:sz w:val="32"/>
          <w:szCs w:val="32"/>
        </w:rPr>
        <w:t>一</w:t>
      </w:r>
      <w:r>
        <w:rPr>
          <w:rStyle w:val="29"/>
          <w:rFonts w:hint="eastAsia" w:ascii="宋体" w:hAnsi="宋体" w:eastAsia="宋体" w:cs="宋体"/>
          <w:b w:val="0"/>
        </w:rPr>
        <w:t>般公共预算财政拨款支出决算情况说明</w:t>
      </w:r>
      <w:bookmarkEnd w:id="32"/>
      <w:bookmarkEnd w:id="33"/>
    </w:p>
    <w:p>
      <w:pPr>
        <w:spacing w:line="600" w:lineRule="exact"/>
        <w:ind w:firstLine="643" w:firstLineChars="200"/>
        <w:outlineLvl w:val="2"/>
        <w:rPr>
          <w:rFonts w:ascii="宋体" w:hAnsi="宋体" w:cs="宋体"/>
          <w:b/>
          <w:color w:val="000000"/>
          <w:sz w:val="32"/>
          <w:szCs w:val="32"/>
        </w:rPr>
      </w:pPr>
      <w:bookmarkStart w:id="34" w:name="_Toc15377210"/>
      <w:r>
        <w:rPr>
          <w:rFonts w:hint="eastAsia" w:ascii="宋体" w:hAnsi="宋体" w:cs="宋体"/>
          <w:b/>
          <w:color w:val="000000"/>
          <w:sz w:val="32"/>
          <w:szCs w:val="32"/>
        </w:rPr>
        <w:t>（一）一般公共预算财政拨款支出决算总体情况</w:t>
      </w:r>
      <w:bookmarkEnd w:id="34"/>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2020年一般公共预算财政拨款支出12147.92万元，占本年支出合计的100%。与2019年相比，一般公共预算财政拨款增加3883.68万元，增长32%。主要变动原因是上调工资，项目资金增加。</w:t>
      </w:r>
    </w:p>
    <w:p>
      <w:pPr>
        <w:spacing w:line="600" w:lineRule="exact"/>
        <w:ind w:firstLine="640" w:firstLineChars="200"/>
        <w:rPr>
          <w:rFonts w:ascii="宋体" w:hAnsi="宋体" w:cs="宋体"/>
          <w:color w:val="000000"/>
          <w:sz w:val="32"/>
          <w:szCs w:val="32"/>
        </w:rPr>
      </w:pPr>
    </w:p>
    <w:p>
      <w:pPr>
        <w:spacing w:line="600" w:lineRule="exact"/>
        <w:ind w:firstLine="640" w:firstLineChars="200"/>
        <w:rPr>
          <w:rFonts w:ascii="宋体" w:hAnsi="宋体" w:cs="宋体"/>
          <w:color w:val="000000"/>
          <w:sz w:val="32"/>
          <w:szCs w:val="32"/>
        </w:rPr>
      </w:pPr>
    </w:p>
    <w:p>
      <w:pPr>
        <w:spacing w:line="600" w:lineRule="exact"/>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t>（图5：一般公共预算财政拨款支出决算变动情况）（柱状图）</w:t>
      </w:r>
    </w:p>
    <w:p>
      <w:pPr>
        <w:ind w:firstLine="640" w:firstLineChars="200"/>
        <w:rPr>
          <w:rFonts w:ascii="宋体" w:hAnsi="宋体" w:cs="宋体"/>
          <w:color w:val="000000" w:themeColor="text1"/>
          <w:sz w:val="32"/>
          <w:szCs w:val="32"/>
        </w:rPr>
      </w:pPr>
      <w:r>
        <w:rPr>
          <w:rFonts w:hint="eastAsia" w:ascii="宋体" w:hAnsi="宋体" w:cs="宋体"/>
          <w:color w:val="000000" w:themeColor="text1"/>
          <w:sz w:val="32"/>
          <w:szCs w:val="32"/>
        </w:rPr>
        <w:drawing>
          <wp:inline distT="0" distB="0" distL="114300" distR="114300">
            <wp:extent cx="4584065" cy="2755265"/>
            <wp:effectExtent l="0" t="0" r="6985" b="6985"/>
            <wp:docPr id="5" name="图片 5" descr="C:\Users\39845\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39845\Desktop\图片5.png图片5"/>
                    <pic:cNvPicPr>
                      <a:picLocks noChangeAspect="1"/>
                    </pic:cNvPicPr>
                  </pic:nvPicPr>
                  <pic:blipFill>
                    <a:blip r:embed="rId10"/>
                    <a:srcRect/>
                    <a:stretch>
                      <a:fillRect/>
                    </a:stretch>
                  </pic:blipFill>
                  <pic:spPr>
                    <a:xfrm>
                      <a:off x="0" y="0"/>
                      <a:ext cx="4584065" cy="2755265"/>
                    </a:xfrm>
                    <a:prstGeom prst="rect">
                      <a:avLst/>
                    </a:prstGeom>
                  </pic:spPr>
                </pic:pic>
              </a:graphicData>
            </a:graphic>
          </wp:inline>
        </w:drawing>
      </w:r>
    </w:p>
    <w:p>
      <w:pPr>
        <w:spacing w:line="600" w:lineRule="exact"/>
        <w:ind w:firstLine="640" w:firstLineChars="200"/>
        <w:rPr>
          <w:rFonts w:ascii="宋体" w:hAnsi="宋体" w:cs="宋体"/>
          <w:color w:val="000000" w:themeColor="text1"/>
          <w:sz w:val="32"/>
          <w:szCs w:val="32"/>
        </w:rPr>
      </w:pPr>
    </w:p>
    <w:p>
      <w:pPr>
        <w:spacing w:line="600" w:lineRule="exact"/>
        <w:ind w:firstLine="643" w:firstLineChars="200"/>
        <w:outlineLvl w:val="2"/>
        <w:rPr>
          <w:rFonts w:ascii="宋体" w:hAnsi="宋体" w:cs="宋体"/>
          <w:b/>
          <w:color w:val="000000"/>
          <w:sz w:val="32"/>
          <w:szCs w:val="32"/>
        </w:rPr>
      </w:pPr>
      <w:bookmarkStart w:id="35" w:name="_Toc15377211"/>
      <w:r>
        <w:rPr>
          <w:rFonts w:hint="eastAsia" w:ascii="宋体" w:hAnsi="宋体" w:cs="宋体"/>
          <w:b/>
          <w:color w:val="000000"/>
          <w:sz w:val="32"/>
          <w:szCs w:val="32"/>
        </w:rPr>
        <w:t>（二）一般公共预算财政拨款支出决算结构情况</w:t>
      </w:r>
      <w:bookmarkEnd w:id="35"/>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一般公共预算财政拨款支出12147.92万元，主要用于以下方面:社会保障和就业（类）支出210.86万元，占2%；卫生健康(类)支出103.41万元，占1%；节能环保（类）支出5067.38万元，占42%；农林水（类）支出6397.98万元，占52%；住房保障(类)支出136.08万元，占1%；灾害防治及应急管理支出117.81万元，占1%；文化旅游体育与传媒支出114.40万元，占1%。</w:t>
      </w:r>
    </w:p>
    <w:p>
      <w:pPr>
        <w:spacing w:line="600" w:lineRule="exact"/>
        <w:rPr>
          <w:rFonts w:ascii="宋体" w:hAnsi="宋体" w:cs="宋体"/>
          <w:color w:val="FF0000"/>
          <w:sz w:val="32"/>
          <w:szCs w:val="32"/>
        </w:rPr>
      </w:pPr>
      <w:r>
        <w:rPr>
          <w:rFonts w:hint="eastAsia" w:ascii="宋体" w:hAnsi="宋体" w:cs="宋体"/>
          <w:color w:val="FF0000"/>
          <w:sz w:val="32"/>
          <w:szCs w:val="32"/>
        </w:rPr>
        <w:t>（图6：一般公共预算财政拨款支出决算结构）（饼状图）</w:t>
      </w:r>
    </w:p>
    <w:p>
      <w:pPr>
        <w:spacing w:line="600" w:lineRule="exact"/>
        <w:ind w:firstLine="640"/>
        <w:rPr>
          <w:rFonts w:ascii="宋体" w:hAnsi="宋体" w:cs="宋体"/>
          <w:color w:val="FF0000"/>
          <w:sz w:val="32"/>
          <w:szCs w:val="32"/>
        </w:rPr>
      </w:pPr>
    </w:p>
    <w:p>
      <w:pPr>
        <w:ind w:firstLine="640" w:firstLineChars="200"/>
        <w:rPr>
          <w:rFonts w:ascii="宋体" w:hAnsi="宋体" w:cs="宋体"/>
          <w:color w:val="FF0000"/>
          <w:sz w:val="32"/>
          <w:szCs w:val="32"/>
        </w:rPr>
      </w:pPr>
      <w:r>
        <w:rPr>
          <w:rFonts w:hint="eastAsia" w:ascii="宋体" w:hAnsi="宋体" w:cs="宋体"/>
          <w:color w:val="FF0000"/>
          <w:sz w:val="32"/>
          <w:szCs w:val="32"/>
        </w:rPr>
        <w:drawing>
          <wp:inline distT="0" distB="0" distL="114300" distR="114300">
            <wp:extent cx="5274310" cy="3169920"/>
            <wp:effectExtent l="0" t="0" r="2540" b="11430"/>
            <wp:docPr id="6" name="图片 6" descr="C:\Users\39845\Desktop\图片6.png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39845\Desktop\图片6.png图片6"/>
                    <pic:cNvPicPr>
                      <a:picLocks noChangeAspect="1"/>
                    </pic:cNvPicPr>
                  </pic:nvPicPr>
                  <pic:blipFill>
                    <a:blip r:embed="rId11"/>
                    <a:srcRect/>
                    <a:stretch>
                      <a:fillRect/>
                    </a:stretch>
                  </pic:blipFill>
                  <pic:spPr>
                    <a:xfrm>
                      <a:off x="0" y="0"/>
                      <a:ext cx="5274310" cy="3169920"/>
                    </a:xfrm>
                    <a:prstGeom prst="rect">
                      <a:avLst/>
                    </a:prstGeom>
                  </pic:spPr>
                </pic:pic>
              </a:graphicData>
            </a:graphic>
          </wp:inline>
        </w:drawing>
      </w:r>
    </w:p>
    <w:p>
      <w:pPr>
        <w:spacing w:line="600" w:lineRule="exact"/>
        <w:ind w:firstLine="643" w:firstLineChars="200"/>
        <w:outlineLvl w:val="2"/>
        <w:rPr>
          <w:rFonts w:ascii="宋体" w:hAnsi="宋体" w:cs="宋体"/>
          <w:b/>
          <w:sz w:val="32"/>
          <w:szCs w:val="32"/>
        </w:rPr>
      </w:pPr>
      <w:bookmarkStart w:id="36" w:name="_Toc15377212"/>
      <w:r>
        <w:rPr>
          <w:rFonts w:hint="eastAsia" w:ascii="宋体" w:hAnsi="宋体" w:cs="宋体"/>
          <w:b/>
          <w:sz w:val="32"/>
          <w:szCs w:val="32"/>
        </w:rPr>
        <w:t>（三）一般公共预算财政拨款支出决算具体情况</w:t>
      </w:r>
      <w:bookmarkEnd w:id="36"/>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bookmarkStart w:id="37" w:name="_Toc15377444"/>
      <w:bookmarkStart w:id="38" w:name="_Toc15378460"/>
      <w:bookmarkStart w:id="39" w:name="_Toc15377213"/>
      <w:r>
        <w:rPr>
          <w:rFonts w:hint="eastAsia" w:ascii="仿宋" w:hAnsi="仿宋" w:eastAsia="仿宋" w:cs="Times New Roman"/>
          <w:bCs/>
          <w:color w:val="000000"/>
          <w:kern w:val="0"/>
          <w:sz w:val="32"/>
          <w:szCs w:val="32"/>
          <w:lang w:val="en-US" w:eastAsia="zh-CN" w:bidi="ar-SA"/>
        </w:rPr>
        <w:t>2020年一般公共预算支出决算数为12147.92万元，完成预算100%。其中：</w:t>
      </w:r>
      <w:bookmarkEnd w:id="37"/>
      <w:bookmarkEnd w:id="38"/>
      <w:bookmarkEnd w:id="39"/>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1.社会保障和就业208（类）: 支出决算为210.86万元，完成预算的100%，决算数小于预算数，决算数小于预算数的主要原因单位无新增人员。</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2080505-机关事业单位基本养老保险缴费支出140.54万元，该支出主要用于支付职工机关事业单位基本养老保险缴费；2080506-机关事业单位职业年金缴费支出70.32万元，该支出主要用于支付职工机关事业单位职业年金。）</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2.卫生健康支出210（类）:支出决算为103.41万元，完成预算的100%，决算数大于预算数，决算数大于预算数的主要原因单位新增人员。</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2101101-行政单位医疗支出24.57万元，该支出主要用于支付行政单位医疗缴费；2101102-事业单位医疗支出50.04万元，该支出主要用于支付业单位医疗支出；2101103-公务员医疗补助支出0.90万元，该支出主要用于支付公务员医疗补助缴费；2101199-其他行政事业单位医疗支出27.90万元，该支出主要用于支付其他行政事业单位医疗缴费。）</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3.节能环保支出211(类)：支出决算数为5067.38万元，完成预算100%。</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（其中包括2110401-生态保护支出1112.89万元；2110599-其他天然林保护支出861.34万元；2119901-其他节能环保支出3093.15万元。）</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4.农林水支出213（类）：支出决算数为6397.98万元，完成预算100%，决算数大于预算数，决算数大于预算数的主要原因是项目增加。</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2130202-一般行政管理事务26.61万元；2130204-事业机构1063.28万元；2130205-森林资源培育11.52万元；2130207-森林资源管理752.53万元；2130201-行政运行支出255.95万元；2130211-动植物保护47.77万元；2130234-林业草原防灾减灾3万元；2130236-草原管理205.15万元；2130212-湿地保护支出571.45万元； 2130299-他林业和草原支出1860.76万元；2130209-森林生态效益补偿82.54万元；2130504-农村基础设施建设1517.42万元。）</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5.住房保障支出221（类）：支出决算数为136.08万元，完成预算100%，决算数小于预算数，决算数小于预算数的主要原因单位无新增人员。</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（其中包括2210201-住房公积金支出136.08万元，该支出主要用于支付职工住房公积金。）</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 xml:space="preserve">6.灾害防治及应急管理支出224（类）：支出决算数为117.81万元。 </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（其中包括2240108-应急救援117.81万元。）</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7.文化旅游体育与传媒支出207（类）：支出决算数为114.40万元。</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（其中包括2070199-其他文化和旅游支出114.40万元。）</w:t>
      </w:r>
    </w:p>
    <w:p>
      <w:pPr>
        <w:tabs>
          <w:tab w:val="right" w:pos="8306"/>
        </w:tabs>
        <w:spacing w:line="600" w:lineRule="exact"/>
        <w:outlineLvl w:val="1"/>
        <w:rPr>
          <w:rStyle w:val="29"/>
          <w:rFonts w:ascii="宋体" w:hAnsi="宋体" w:eastAsia="宋体" w:cs="宋体"/>
        </w:rPr>
      </w:pPr>
      <w:bookmarkStart w:id="40" w:name="_Toc15377214"/>
      <w:bookmarkStart w:id="41" w:name="_Toc15396608"/>
      <w:r>
        <w:rPr>
          <w:rFonts w:hint="eastAsia" w:ascii="宋体" w:hAnsi="宋体" w:cs="宋体"/>
          <w:color w:val="000000"/>
          <w:sz w:val="32"/>
          <w:szCs w:val="32"/>
        </w:rPr>
        <w:t>六</w:t>
      </w:r>
      <w:r>
        <w:rPr>
          <w:rFonts w:hint="eastAsia" w:ascii="宋体" w:hAnsi="宋体" w:cs="宋体"/>
          <w:b/>
          <w:color w:val="000000"/>
          <w:sz w:val="32"/>
          <w:szCs w:val="32"/>
        </w:rPr>
        <w:t>、一</w:t>
      </w:r>
      <w:r>
        <w:rPr>
          <w:rStyle w:val="29"/>
          <w:rFonts w:hint="eastAsia" w:ascii="宋体" w:hAnsi="宋体" w:eastAsia="宋体" w:cs="宋体"/>
          <w:b w:val="0"/>
        </w:rPr>
        <w:t>般公共预算财政拨款基本支出决算情况说明</w:t>
      </w:r>
      <w:bookmarkEnd w:id="40"/>
      <w:bookmarkEnd w:id="41"/>
      <w:r>
        <w:rPr>
          <w:rStyle w:val="29"/>
          <w:rFonts w:hint="eastAsia" w:ascii="宋体" w:hAnsi="宋体" w:eastAsia="宋体" w:cs="宋体"/>
          <w:b w:val="0"/>
        </w:rPr>
        <w:tab/>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一般公共预算财政拨款基本支出1769.58万元。其中：人员经费1675.10万元，主要包括：基本工资336.68万元、津贴补贴562.54万元、奖金26.48万元、绩效工资233.88万元、机关事业单位基本养老保险缴费140.54万元、职业年金缴费70.32万元、职工基本医疗保险缴费74.60万元、公务员医疗补助缴费28.80万元、其他社会保障缴费21.98万元、医疗费8.48万元、住房公积金136.08万元、抚恤金7.69万元、生活补助21.21万元、医疗费补助5.73万元、奖励金0.09万元</w:t>
      </w:r>
      <w:r>
        <w:rPr>
          <w:rFonts w:hint="eastAsia" w:ascii="仿宋" w:hAnsi="仿宋" w:eastAsia="仿宋" w:cs="Times New Roman"/>
          <w:bCs/>
          <w:color w:val="000000"/>
          <w:kern w:val="0"/>
          <w:sz w:val="32"/>
          <w:szCs w:val="32"/>
          <w:lang w:val="en-US" w:eastAsia="zh-CN" w:bidi="ar-SA"/>
        </w:rPr>
        <w:br w:type="textWrapping"/>
      </w:r>
      <w:r>
        <w:rPr>
          <w:rFonts w:hint="eastAsia" w:ascii="仿宋" w:hAnsi="仿宋" w:eastAsia="仿宋" w:cs="Times New Roman"/>
          <w:bCs/>
          <w:color w:val="000000"/>
          <w:kern w:val="0"/>
          <w:sz w:val="32"/>
          <w:szCs w:val="32"/>
          <w:lang w:val="en-US" w:eastAsia="zh-CN" w:bidi="ar-SA"/>
        </w:rPr>
        <w:t>　　日常公用经费94.48万元，主要包括：办公费33.29万元、印刷费3.08万元、咨询费0.7万元、电费6万元、邮电费5.61万元、取暖费1.99万元、差旅费24.65万元、维修（护）费1.10万元、培训费3.07万元、公务接待费1.15万元、劳务费1.26万元、委托业务费0.10万元、公务用车运行维护费12.48万元。</w:t>
      </w:r>
    </w:p>
    <w:p>
      <w:pPr>
        <w:spacing w:line="600" w:lineRule="exact"/>
        <w:ind w:firstLine="640"/>
        <w:outlineLvl w:val="1"/>
        <w:rPr>
          <w:rStyle w:val="29"/>
          <w:rFonts w:ascii="宋体" w:hAnsi="宋体" w:eastAsia="宋体" w:cs="宋体"/>
          <w:b w:val="0"/>
        </w:rPr>
      </w:pPr>
      <w:bookmarkStart w:id="42" w:name="_Toc15396609"/>
      <w:bookmarkStart w:id="43" w:name="_Toc15377215"/>
      <w:r>
        <w:rPr>
          <w:rFonts w:hint="eastAsia" w:ascii="宋体" w:hAnsi="宋体" w:cs="宋体"/>
          <w:color w:val="000000"/>
          <w:sz w:val="32"/>
          <w:szCs w:val="32"/>
        </w:rPr>
        <w:t>七、</w:t>
      </w:r>
      <w:r>
        <w:rPr>
          <w:rStyle w:val="29"/>
          <w:rFonts w:hint="eastAsia" w:ascii="宋体" w:hAnsi="宋体" w:eastAsia="宋体" w:cs="宋体"/>
        </w:rPr>
        <w:t>“</w:t>
      </w:r>
      <w:r>
        <w:rPr>
          <w:rStyle w:val="29"/>
          <w:rFonts w:hint="eastAsia" w:ascii="宋体" w:hAnsi="宋体" w:eastAsia="宋体" w:cs="宋体"/>
          <w:b w:val="0"/>
        </w:rPr>
        <w:t>三公”经费财政拨款支出决算情况说明</w:t>
      </w:r>
      <w:bookmarkEnd w:id="42"/>
      <w:bookmarkEnd w:id="43"/>
    </w:p>
    <w:p>
      <w:pPr>
        <w:spacing w:line="600" w:lineRule="exact"/>
        <w:ind w:firstLine="640"/>
        <w:outlineLvl w:val="2"/>
        <w:rPr>
          <w:rFonts w:ascii="宋体" w:hAnsi="宋体" w:cs="宋体"/>
          <w:b/>
          <w:color w:val="000000"/>
          <w:sz w:val="32"/>
          <w:szCs w:val="32"/>
        </w:rPr>
      </w:pPr>
      <w:bookmarkStart w:id="44" w:name="_Toc15377216"/>
      <w:r>
        <w:rPr>
          <w:rFonts w:hint="eastAsia" w:ascii="宋体" w:hAnsi="宋体" w:cs="宋体"/>
          <w:b/>
          <w:color w:val="000000"/>
          <w:sz w:val="32"/>
          <w:szCs w:val="32"/>
        </w:rPr>
        <w:t>（一）“三公”经费财政拨款支出决算总体情况说明</w:t>
      </w:r>
      <w:bookmarkEnd w:id="44"/>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2020年“三公”经费财政拨款支出决算为13.63万元，完成预算100%，决算数小于预算数的主要原因是节约开支。</w:t>
      </w:r>
    </w:p>
    <w:p>
      <w:pPr>
        <w:spacing w:line="600" w:lineRule="exact"/>
        <w:ind w:firstLine="640"/>
        <w:outlineLvl w:val="2"/>
        <w:rPr>
          <w:rFonts w:ascii="宋体" w:hAnsi="宋体" w:cs="宋体"/>
          <w:b/>
          <w:color w:val="000000"/>
          <w:sz w:val="32"/>
          <w:szCs w:val="32"/>
        </w:rPr>
      </w:pPr>
      <w:bookmarkStart w:id="45" w:name="_Toc15377217"/>
      <w:r>
        <w:rPr>
          <w:rFonts w:hint="eastAsia" w:ascii="宋体" w:hAnsi="宋体" w:cs="宋体"/>
          <w:b/>
          <w:color w:val="000000"/>
          <w:sz w:val="32"/>
          <w:szCs w:val="32"/>
        </w:rPr>
        <w:t>（二）“三公”经费财政拨款支出决算具体情况说明</w:t>
      </w:r>
      <w:bookmarkEnd w:id="45"/>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2020年“三公”经费财政拨款支出决算中，因公出国（境）费支出决算0万元，占0%；公务用车购置及运行维护费支出决算12.48万元，占92%；公务接待费支出决算1.15万元，占8%。具体情况如下：</w:t>
      </w:r>
    </w:p>
    <w:p>
      <w:pPr>
        <w:spacing w:line="600" w:lineRule="exact"/>
        <w:ind w:firstLine="640"/>
        <w:rPr>
          <w:rFonts w:ascii="宋体" w:hAnsi="宋体" w:cs="宋体"/>
          <w:sz w:val="32"/>
          <w:szCs w:val="32"/>
        </w:rPr>
      </w:pPr>
      <w:r>
        <w:rPr>
          <w:rFonts w:hint="eastAsia" w:ascii="宋体" w:hAnsi="宋体" w:cs="宋体"/>
          <w:sz w:val="32"/>
          <w:szCs w:val="32"/>
        </w:rPr>
        <w:t>（图7：“三公”经费财政拨款支出结构）（饼状图）</w:t>
      </w:r>
    </w:p>
    <w:p>
      <w:pPr>
        <w:ind w:firstLine="640"/>
        <w:rPr>
          <w:rFonts w:ascii="宋体" w:hAnsi="宋体" w:cs="宋体"/>
          <w:sz w:val="32"/>
          <w:szCs w:val="32"/>
        </w:rPr>
      </w:pPr>
      <w:r>
        <w:rPr>
          <w:rFonts w:hint="eastAsia" w:ascii="宋体" w:hAnsi="宋体" w:cs="宋体"/>
          <w:sz w:val="32"/>
          <w:szCs w:val="32"/>
        </w:rPr>
        <w:drawing>
          <wp:inline distT="0" distB="0" distL="114300" distR="114300">
            <wp:extent cx="4538980" cy="2755265"/>
            <wp:effectExtent l="0" t="0" r="13970" b="6985"/>
            <wp:docPr id="7" name="图片 7" descr="C:\Users\39845\Desktop\微信图片_20211203104009.jpg微信图片_2021120310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39845\Desktop\微信图片_20211203104009.jpg微信图片_20211203104009"/>
                    <pic:cNvPicPr>
                      <a:picLocks noChangeAspect="1"/>
                    </pic:cNvPicPr>
                  </pic:nvPicPr>
                  <pic:blipFill>
                    <a:blip r:embed="rId12"/>
                    <a:srcRect/>
                    <a:stretch>
                      <a:fillRect/>
                    </a:stretch>
                  </pic:blipFill>
                  <pic:spPr>
                    <a:xfrm>
                      <a:off x="0" y="0"/>
                      <a:ext cx="4538980" cy="2755265"/>
                    </a:xfrm>
                    <a:prstGeom prst="rect">
                      <a:avLst/>
                    </a:prstGeom>
                  </pic:spPr>
                </pic:pic>
              </a:graphicData>
            </a:graphic>
          </wp:inline>
        </w:drawing>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1.因公出国（境）经费支出0万元，完成预算0%。全年安排因公出国（境）团组0次，出国（境）0人。因公出国（境）支出决算比2019年增加/减少0万元，增长/下降0%。主要原因是单位出国人数为0人。</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开支内容包括：无（团组名称、出访地点、取得成效）</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2.公务用车购置及运行维护费支出12.48万元,完成预算100%。公务用车购置及运行维护费支出决算比2019年减少1.68万元，下降13%。主要原因是节约开支。</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其中：公务用车购置支出0万元。全年按规定更新购置公务用车0辆，金额0元。截至2020年12月底，单位共有公务用车8辆，其中：主要领导干部用车0辆、机要通信用车0辆、应急保障用车0辆、 执法执勤用车1辆、其他用车7辆。</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公务用车运行维护费支出12.48万元。主要用于培训、差旅、防护巡山等所需的公务用车燃料费、维修费、过路过桥费、保险费等支出。</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3.公务接待费支出1.15万元，完成预算92%。公务接待费支出决算比2019年增加0.36万元，增加31%。主要原因是接待次数增多。</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其中：国内公务接待支出1.15万元，主要用于执行公务、开展业务活动开支的交通费、住宿费、用餐费等。国内公务接待8批次，20人次（检查、调研接待费）共计支出1.15万元。</w:t>
      </w:r>
    </w:p>
    <w:p>
      <w:pPr>
        <w:spacing w:line="600" w:lineRule="exact"/>
        <w:ind w:firstLine="640" w:firstLineChars="200"/>
        <w:outlineLvl w:val="1"/>
        <w:rPr>
          <w:rStyle w:val="29"/>
          <w:rFonts w:ascii="宋体" w:hAnsi="宋体" w:eastAsia="宋体" w:cs="宋体"/>
        </w:rPr>
      </w:pPr>
      <w:bookmarkStart w:id="46" w:name="_Toc15377218"/>
      <w:bookmarkStart w:id="47" w:name="_Toc15396610"/>
      <w:r>
        <w:rPr>
          <w:rFonts w:hint="eastAsia" w:ascii="宋体" w:hAnsi="宋体" w:cs="宋体"/>
          <w:color w:val="000000"/>
          <w:sz w:val="32"/>
          <w:szCs w:val="32"/>
        </w:rPr>
        <w:t>八、</w:t>
      </w:r>
      <w:r>
        <w:rPr>
          <w:rStyle w:val="29"/>
          <w:rFonts w:hint="eastAsia" w:ascii="宋体" w:hAnsi="宋体" w:eastAsia="宋体" w:cs="宋体"/>
          <w:b w:val="0"/>
        </w:rPr>
        <w:t>政府性基金预算支出决算情况说明</w:t>
      </w:r>
      <w:bookmarkEnd w:id="46"/>
      <w:bookmarkEnd w:id="47"/>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2020年政府性基金预算拨款支出0万元。</w:t>
      </w:r>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p>
    <w:p>
      <w:pPr>
        <w:numPr>
          <w:ilvl w:val="0"/>
          <w:numId w:val="2"/>
        </w:numPr>
        <w:spacing w:line="600" w:lineRule="exact"/>
        <w:ind w:firstLine="640"/>
        <w:outlineLvl w:val="1"/>
        <w:rPr>
          <w:rStyle w:val="29"/>
          <w:rFonts w:ascii="宋体" w:hAnsi="宋体" w:eastAsia="宋体" w:cs="宋体"/>
          <w:b w:val="0"/>
        </w:rPr>
      </w:pPr>
      <w:bookmarkStart w:id="48" w:name="_Toc15377219"/>
      <w:bookmarkStart w:id="49" w:name="_Toc15396611"/>
      <w:r>
        <w:rPr>
          <w:rStyle w:val="29"/>
          <w:rFonts w:hint="eastAsia" w:ascii="宋体" w:hAnsi="宋体" w:eastAsia="宋体" w:cs="宋体"/>
          <w:b w:val="0"/>
        </w:rPr>
        <w:t>国有资本经营预算支出决算情况说明</w:t>
      </w:r>
      <w:bookmarkEnd w:id="48"/>
      <w:bookmarkEnd w:id="49"/>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9"/>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outlineLvl w:val="1"/>
        <w:rPr>
          <w:rFonts w:hint="eastAsia" w:ascii="仿宋" w:hAnsi="仿宋" w:eastAsia="仿宋" w:cs="Times New Roman"/>
          <w:bCs/>
          <w:color w:val="000000"/>
          <w:kern w:val="0"/>
          <w:sz w:val="32"/>
          <w:szCs w:val="32"/>
          <w:lang w:val="en-US" w:eastAsia="zh-CN" w:bidi="ar-SA"/>
        </w:rPr>
      </w:pPr>
      <w:r>
        <w:rPr>
          <w:rFonts w:hint="eastAsia" w:ascii="仿宋" w:hAnsi="仿宋" w:eastAsia="仿宋" w:cs="Times New Roman"/>
          <w:bCs/>
          <w:color w:val="000000"/>
          <w:kern w:val="0"/>
          <w:sz w:val="32"/>
          <w:szCs w:val="32"/>
          <w:lang w:val="en-US" w:eastAsia="zh-CN" w:bidi="ar-SA"/>
        </w:rPr>
        <w:t>2020年，红原县林业和草原局机关运行经费支出15.81万元，比2019年减少7.46万元，下降32%。</w:t>
      </w:r>
      <w:bookmarkStart w:id="53" w:name="_Toc15377223"/>
      <w:r>
        <w:rPr>
          <w:rFonts w:hint="eastAsia" w:ascii="仿宋" w:hAnsi="仿宋" w:eastAsia="仿宋" w:cs="Times New Roman"/>
          <w:bCs/>
          <w:color w:val="000000"/>
          <w:kern w:val="0"/>
          <w:sz w:val="32"/>
          <w:szCs w:val="32"/>
          <w:lang w:val="en-US" w:eastAsia="zh-CN" w:bidi="ar-SA"/>
        </w:rPr>
        <w:t>主要原因是厉行节约，减少不必要的开支。</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sz w:val="32"/>
          <w:szCs w:val="32"/>
        </w:rPr>
      </w:pPr>
      <w:r>
        <w:rPr>
          <w:rFonts w:hint="eastAsia" w:ascii="仿宋" w:hAnsi="仿宋" w:eastAsia="仿宋" w:cs="Times New Roman"/>
          <w:bCs/>
          <w:color w:val="000000"/>
          <w:kern w:val="0"/>
          <w:sz w:val="32"/>
          <w:szCs w:val="32"/>
          <w:lang w:val="en-US" w:eastAsia="zh-CN" w:bidi="ar-SA"/>
        </w:rPr>
        <w:t>2020年，红原县林业人和草原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日，红原县林业和草原局共有车辆8辆，其中：主要领导干部用车0辆、机要通信用车0辆、应急保障用车0辆、其他用车8辆，</w:t>
      </w:r>
      <w:r>
        <w:rPr>
          <w:rFonts w:hint="eastAsia" w:ascii="仿宋_GB2312" w:eastAsia="仿宋_GB2312"/>
          <w:color w:val="000000" w:themeColor="text1"/>
          <w:sz w:val="32"/>
          <w:szCs w:val="32"/>
        </w:rPr>
        <w:t>其他用车主要是用于各林业工作站防护巡山及森林草原防灭火宣传。单价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红原县林业和草原局）在年初预算编制阶段，组织对8个项目（湿地生态效益补偿项目、天然林资源保护工程财政专项项目等）开展了预算事前绩效评估，对4个项目编制了绩效目标，预算执行过程中，选取4个项目开展绩效监控，年终执行完毕后，对4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本部门按要求对2020年部门整体支出开展绩效自评，从评价情况来看1、</w:t>
      </w:r>
      <w:r>
        <w:rPr>
          <w:rFonts w:hint="eastAsia" w:ascii="仿宋_GB2312" w:hAnsi="仿宋" w:eastAsia="仿宋_GB2312" w:cs="仿宋"/>
          <w:sz w:val="32"/>
          <w:szCs w:val="32"/>
        </w:rPr>
        <w:t>预算编制情况，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2、执行管理情况，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3、支出控制，2020年本单位财政资金支出12147.92万元（其中社会保障和就业（类）支出210.86万元；卫生健康(类)支出103.41万元；节能环保（类）支出5067.38万元；农林水（类）支出6397.98万元；住房保障(类)支出136.08万元；灾害防治及应急管理支出117.81万元；文化旅游体育与传媒支出114.40万元。）。4.综合管理情况，(1)资产管理：完善了固定资产档案，2020年对固定资产进行了了一次全面清查；(2)内部管理制度建设情况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5．财政监督情况，我单位财务管理制度健全，执行制度严格合规，会计核算符合相关规定，资金支付依据和开支标准合法合规，严格执行政府采购制度。资金管理做到专人管理，专款专用。</w:t>
      </w:r>
      <w:r>
        <w:rPr>
          <w:rFonts w:hint="eastAsia" w:ascii="仿宋_GB2312" w:eastAsia="仿宋_GB2312"/>
          <w:bCs/>
          <w:sz w:val="32"/>
          <w:szCs w:val="32"/>
        </w:rPr>
        <w:t>6、执行情况及完成情况，</w:t>
      </w:r>
      <w:r>
        <w:rPr>
          <w:rFonts w:hint="eastAsia" w:ascii="仿宋_GB2312" w:hAnsi="仿宋" w:eastAsia="仿宋_GB2312" w:cs="仿宋"/>
          <w:sz w:val="32"/>
          <w:szCs w:val="32"/>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r>
        <w:rPr>
          <w:rFonts w:hint="eastAsia" w:ascii="仿宋_GB2312" w:hAnsi="仿宋_GB2312" w:eastAsia="仿宋_GB2312" w:cs="仿宋_GB2312"/>
          <w:sz w:val="32"/>
          <w:szCs w:val="32"/>
        </w:rPr>
        <w:t>本部门还自行组织了4个项目绩效评价，从评价情况来看项目整体绩效目标达到预定目标完成时效达成预期目标。</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本部门在2020年度部门决算中反映“天然林资源保护工程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湿地生态效益补偿项目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“生态护林员”等4个项目绩效目标实际完成情况。</w:t>
      </w:r>
    </w:p>
    <w:p>
      <w:pPr>
        <w:adjustRightInd w:val="0"/>
        <w:snapToGrid w:val="0"/>
        <w:spacing w:line="560" w:lineRule="exact"/>
        <w:ind w:firstLine="720"/>
        <w:rPr>
          <w:rFonts w:ascii="仿宋_GB2312" w:hAnsi="仿宋_GB2312" w:eastAsia="仿宋_GB2312" w:cs="仿宋_GB2312"/>
          <w:sz w:val="32"/>
          <w:szCs w:val="32"/>
        </w:rPr>
      </w:pP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1.天然林资源保护工程财政专项项目项目绩效目标完成情况综述。项目全年预算数568.38万元，执行数为178.25万元，完成预算的31%</w:t>
      </w:r>
      <w:r>
        <w:rPr>
          <w:rFonts w:hint="eastAsia" w:ascii="仿宋_GB2312" w:eastAsia="仿宋_GB2312"/>
          <w:sz w:val="32"/>
          <w:szCs w:val="32"/>
        </w:rPr>
        <w:t>。2020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r>
        <w:rPr>
          <w:rFonts w:hint="eastAsia" w:ascii="仿宋_GB2312" w:hAnsi="仿宋_GB2312" w:eastAsia="仿宋_GB2312" w:cs="仿宋_GB2312"/>
          <w:sz w:val="32"/>
          <w:szCs w:val="32"/>
        </w:rPr>
        <w:t>发现的主要问题：由于我局天保人员身份未事业身份，天保工程资金存量过大，无法使用。下一步改进措施：建议州级政府部门能够出台县级国有林管理工作和管护经费的相关政策，并落实到县级财政预算中。</w:t>
      </w:r>
    </w:p>
    <w:p>
      <w:pPr>
        <w:pStyle w:val="2"/>
        <w:adjustRightInd w:val="0"/>
        <w:snapToGrid w:val="0"/>
        <w:spacing w:line="560" w:lineRule="exact"/>
        <w:ind w:left="0" w:leftChars="0" w:firstLine="640"/>
        <w:rPr>
          <w:rFonts w:ascii="FangSong_GB2312" w:eastAsia="FangSong_GB2312" w:cs="FangSong_GB2312"/>
          <w:snapToGrid w:val="0"/>
          <w:sz w:val="32"/>
          <w:szCs w:val="32"/>
        </w:rPr>
      </w:pPr>
      <w:r>
        <w:rPr>
          <w:rFonts w:hint="eastAsia" w:ascii="仿宋_GB2312" w:hAnsi="仿宋_GB2312" w:eastAsia="仿宋_GB2312" w:cs="仿宋_GB2312"/>
          <w:sz w:val="32"/>
          <w:szCs w:val="32"/>
        </w:rPr>
        <w:t>2.湿地生态效益补偿项目绩效目标完成情况综述。项目全年预算数1439万元，执行数为1438.6万元，完成预算的99.97%。2020年</w:t>
      </w:r>
      <w:r>
        <w:rPr>
          <w:rFonts w:hint="eastAsia" w:ascii="仿宋_GB2312" w:hAnsi="仿宋_GB2312" w:eastAsia="仿宋_GB2312" w:cs="仿宋_GB2312"/>
          <w:sz w:val="32"/>
          <w:szCs w:val="32"/>
          <w:lang w:val="zh-CN"/>
        </w:rPr>
        <w:t>该项目</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val="zh-CN"/>
        </w:rPr>
        <w:t>到位</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val="zh-CN"/>
        </w:rPr>
        <w:t>级财政资金</w:t>
      </w:r>
      <w:r>
        <w:rPr>
          <w:rFonts w:hint="eastAsia" w:ascii="仿宋_GB2312" w:hAnsi="仿宋_GB2312" w:eastAsia="仿宋_GB2312" w:cs="仿宋_GB2312"/>
          <w:sz w:val="32"/>
          <w:szCs w:val="32"/>
        </w:rPr>
        <w:t>1439</w:t>
      </w:r>
      <w:r>
        <w:rPr>
          <w:rFonts w:hint="eastAsia" w:ascii="仿宋_GB2312" w:hAnsi="仿宋_GB2312" w:eastAsia="仿宋_GB2312" w:cs="仿宋_GB2312"/>
          <w:sz w:val="32"/>
          <w:szCs w:val="32"/>
          <w:lang w:val="zh-CN"/>
        </w:rPr>
        <w:t>万，</w:t>
      </w:r>
      <w:r>
        <w:rPr>
          <w:rFonts w:hint="eastAsia" w:ascii="仿宋_GB2312" w:hAnsi="仿宋_GB2312" w:eastAsia="仿宋_GB2312" w:cs="仿宋_GB2312"/>
          <w:sz w:val="32"/>
          <w:szCs w:val="32"/>
        </w:rPr>
        <w:t>并于2020年9月随即组织各乡镇开展工作，2020年9月完成县乡、乡村级目标责任书的签订，审定生态补偿人员并进行公示。2020年10月将由县级验收小组对各乡镇湿地生态补偿工作开展情况及牧户管护情况进行验收，待验收合格后，由金融机构通过“一卡通”的形式兑现资金。发现的主要问题：</w:t>
      </w:r>
      <w:r>
        <w:rPr>
          <w:rFonts w:hint="eastAsia" w:ascii="FangSong_GB2312" w:eastAsia="FangSong_GB2312" w:cs="FangSong_GB2312"/>
          <w:snapToGrid w:val="0"/>
          <w:sz w:val="32"/>
          <w:szCs w:val="32"/>
        </w:rPr>
        <w:t>1.</w:t>
      </w:r>
      <w:r>
        <w:rPr>
          <w:rFonts w:hint="eastAsia" w:ascii="FangSong_GB2312" w:eastAsia="FangSong_GB2312" w:cs="FangSong_GB2312"/>
          <w:b/>
          <w:bCs/>
          <w:snapToGrid w:val="0"/>
          <w:sz w:val="32"/>
          <w:szCs w:val="32"/>
        </w:rPr>
        <w:t>补偿资金未考虑项目管理经费</w:t>
      </w:r>
      <w:r>
        <w:rPr>
          <w:rFonts w:hint="eastAsia" w:ascii="FangSong_GB2312" w:eastAsia="FangSong_GB2312" w:cs="FangSong_GB2312"/>
          <w:snapToGrid w:val="0"/>
          <w:sz w:val="32"/>
          <w:szCs w:val="32"/>
        </w:rPr>
        <w:t>，而我县为贫困县，财政困难，无法保障湿地生态补偿工作经费，项目监管及检查验收难以系统深入。2.</w:t>
      </w:r>
      <w:r>
        <w:rPr>
          <w:rFonts w:hint="eastAsia" w:ascii="FangSong_GB2312" w:eastAsia="FangSong_GB2312" w:cs="FangSong_GB2312"/>
          <w:b/>
          <w:bCs/>
          <w:snapToGrid w:val="0"/>
          <w:sz w:val="32"/>
          <w:szCs w:val="32"/>
        </w:rPr>
        <w:t>补偿标准过低</w:t>
      </w:r>
      <w:r>
        <w:rPr>
          <w:rFonts w:hint="eastAsia" w:ascii="FangSong_GB2312" w:eastAsia="FangSong_GB2312" w:cs="FangSong_GB2312"/>
          <w:snapToGrid w:val="0"/>
          <w:sz w:val="32"/>
          <w:szCs w:val="32"/>
        </w:rPr>
        <w:t>，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w:t>
      </w:r>
    </w:p>
    <w:p>
      <w:pPr>
        <w:adjustRightInd w:val="0"/>
        <w:snapToGrid w:val="0"/>
        <w:spacing w:line="560" w:lineRule="exact"/>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生态护林员项目绩效目标完成情况综述。项目全年预算数314万元，执行数为314万元，完成预算的100%。2020年，314名建档立卡贫困户生态护林员项目的主要内容是通过落实管护责任，人均管护面积不低于1000-3000亩森林资源实施常年有效管护。针对生态护林员在开展护林工作时期，如果出现人身意外情况，我县要求每名生态护林员必须购买人身意外保险，采取是通过对生态护林员购买100元的1年的人身意外保险。参保率100%，解决了巡山护林员后顾之忧。发现的主要问题：一是补偿护林员劳务补助标准偏低，补偿标准低于社会务工人员平均月工资；二是补偿标准始终没有根据价格指数变化调整，没有随着国民经济的发展和物价上涨对补偿标准进行动态调整。下一步改进措施：一是生态护林员由乡镇林业工作站统一管理，不跨越乡镇选用，原则上在村内进行管护活动。同时加强护林员管理政策方面的法律法规宣传工作，加强对森林资源管护的考核力度； 二是建议提高护林员劳务补助资金标准，实行分类补偿能否根据区域生态的重要性和脆弱性，并综合考虑森林质量、地位级差、管护难度等指标，逐步提高补偿标准。</w:t>
      </w:r>
    </w:p>
    <w:p>
      <w:pPr>
        <w:autoSpaceDE w:val="0"/>
        <w:spacing w:line="52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4.森林生态效益补偿项目绩效目标完成情况综述。项目全年预算数181.88万元，执行数为77.55万元，完成预算的43%。</w:t>
      </w:r>
      <w:r>
        <w:rPr>
          <w:rFonts w:hint="eastAsia" w:ascii="仿宋_GB2312" w:hAnsi="仿宋_GB2312" w:eastAsia="仿宋_GB2312" w:cs="仿宋_GB2312"/>
          <w:sz w:val="32"/>
          <w:szCs w:val="32"/>
          <w:lang w:val="zh-CN"/>
        </w:rPr>
        <w:t>红原县</w:t>
      </w:r>
      <w:r>
        <w:rPr>
          <w:rFonts w:hint="eastAsia" w:ascii="仿宋_GB2312" w:hAnsi="仿宋_GB2312" w:eastAsia="仿宋_GB2312" w:cs="仿宋_GB2312"/>
          <w:sz w:val="32"/>
          <w:szCs w:val="32"/>
        </w:rPr>
        <w:t>20</w:t>
      </w:r>
      <w:r>
        <w:rPr>
          <w:rFonts w:hint="eastAsia" w:ascii="仿宋_GB2312" w:hAnsi="仿宋_GB2312" w:cs="仿宋_GB2312"/>
          <w:sz w:val="32"/>
          <w:szCs w:val="32"/>
        </w:rPr>
        <w:t>20</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zh-CN"/>
        </w:rPr>
        <w:t>森林生态效益补偿项目，主要涉及我</w:t>
      </w:r>
      <w:r>
        <w:rPr>
          <w:rFonts w:hint="eastAsia" w:ascii="仿宋_GB2312" w:hAnsi="仿宋_GB2312" w:eastAsia="仿宋_GB2312" w:cs="仿宋_GB2312"/>
          <w:color w:val="000000" w:themeColor="text1"/>
          <w:sz w:val="32"/>
          <w:szCs w:val="32"/>
          <w:lang w:val="zh-CN"/>
        </w:rPr>
        <w:t>县国家级（省级）公益林15.629万亩，其中国有公益林10.7万亩、集体公益林4.929万亩。</w:t>
      </w:r>
      <w:r>
        <w:rPr>
          <w:rFonts w:hint="eastAsia" w:ascii="仿宋_GB2312" w:hAnsi="仿宋_GB2312" w:eastAsia="仿宋_GB2312" w:cs="仿宋_GB2312"/>
          <w:sz w:val="32"/>
          <w:szCs w:val="32"/>
        </w:rPr>
        <w:t>我县成立红原县森林生态效益补偿基金领导小组和管理办公室，办公室设在县林草局局林政资源审批股，处理我县国家（省）级公益林森林生态效益补偿的日常事务。根据相关政策要求，我局对森林生态效益补偿补助资金实行专帐管理、单独核算、专款专用，集体和个人补偿资金实行“一卡通”兑付。2020年8月底，县林草局将组织专业人员对我县补偿国家级公益林林地管护落实情况进行检查验收，通过内业检查《红原县集体公益林管护合同》的签订情况和各村集体公益林生态效益补偿补助资金兑现方案等相关材料以及外业检查各集体公益林管护情况，在检查合格后，对集体（个人）公益林生态效益补偿补助资金的实行“一卡通”补偿到户（在林权所有者“一卡通”账户明细上注明“生态效益补偿资金”），并在乡镇张榜公示，公示期不少于7天。县林业局和县财政局、监察局等部门联合并对兑现补偿补助资金进行相关抽查检查。 发现的主要问题：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下一步改进措施：一是县级林业部门配合各乡村定期集中开展对集体林管护人员的培训工作，以提高集体林管护人员的管护水平和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营者的经济收入。</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6"/>
        <w:tblW w:w="9525" w:type="dxa"/>
        <w:tblInd w:w="0" w:type="dxa"/>
        <w:tblLayout w:type="fixed"/>
        <w:tblCellMar>
          <w:top w:w="0" w:type="dxa"/>
          <w:left w:w="0" w:type="dxa"/>
          <w:bottom w:w="0" w:type="dxa"/>
          <w:right w:w="0" w:type="dxa"/>
        </w:tblCellMar>
      </w:tblPr>
      <w:tblGrid>
        <w:gridCol w:w="449"/>
        <w:gridCol w:w="834"/>
        <w:gridCol w:w="1042"/>
        <w:gridCol w:w="7"/>
        <w:gridCol w:w="739"/>
        <w:gridCol w:w="11"/>
        <w:gridCol w:w="1165"/>
        <w:gridCol w:w="19"/>
        <w:gridCol w:w="1723"/>
        <w:gridCol w:w="31"/>
        <w:gridCol w:w="1589"/>
        <w:gridCol w:w="45"/>
        <w:gridCol w:w="1871"/>
      </w:tblGrid>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4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76"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42"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2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916"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59264" behindDoc="0" locked="0" layoutInCell="1" allowOverlap="1">
                  <wp:simplePos x="0" y="0"/>
                  <wp:positionH relativeFrom="column">
                    <wp:posOffset>771525</wp:posOffset>
                  </wp:positionH>
                  <wp:positionV relativeFrom="paragraph">
                    <wp:posOffset>0</wp:posOffset>
                  </wp:positionV>
                  <wp:extent cx="635" cy="0"/>
                  <wp:effectExtent l="0" t="0" r="0" b="0"/>
                  <wp:wrapNone/>
                  <wp:docPr id="85" name="Line_1"/>
                  <wp:cNvGraphicFramePr/>
                  <a:graphic xmlns:a="http://schemas.openxmlformats.org/drawingml/2006/main">
                    <a:graphicData uri="http://schemas.openxmlformats.org/drawingml/2006/picture">
                      <pic:pic xmlns:pic="http://schemas.openxmlformats.org/drawingml/2006/picture">
                        <pic:nvPicPr>
                          <pic:cNvPr id="85"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0288" behindDoc="0" locked="0" layoutInCell="1" allowOverlap="1">
                  <wp:simplePos x="0" y="0"/>
                  <wp:positionH relativeFrom="column">
                    <wp:posOffset>771525</wp:posOffset>
                  </wp:positionH>
                  <wp:positionV relativeFrom="paragraph">
                    <wp:posOffset>0</wp:posOffset>
                  </wp:positionV>
                  <wp:extent cx="635" cy="0"/>
                  <wp:effectExtent l="0" t="0" r="0" b="0"/>
                  <wp:wrapNone/>
                  <wp:docPr id="10" name="Line_3"/>
                  <wp:cNvGraphicFramePr/>
                  <a:graphic xmlns:a="http://schemas.openxmlformats.org/drawingml/2006/main">
                    <a:graphicData uri="http://schemas.openxmlformats.org/drawingml/2006/picture">
                      <pic:pic xmlns:pic="http://schemas.openxmlformats.org/drawingml/2006/picture">
                        <pic:nvPicPr>
                          <pic:cNvPr id="10"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1312" behindDoc="0" locked="0" layoutInCell="1" allowOverlap="1">
                  <wp:simplePos x="0" y="0"/>
                  <wp:positionH relativeFrom="column">
                    <wp:posOffset>771525</wp:posOffset>
                  </wp:positionH>
                  <wp:positionV relativeFrom="paragraph">
                    <wp:posOffset>0</wp:posOffset>
                  </wp:positionV>
                  <wp:extent cx="635" cy="0"/>
                  <wp:effectExtent l="0" t="0" r="0" b="0"/>
                  <wp:wrapNone/>
                  <wp:docPr id="86" name="Line_2"/>
                  <wp:cNvGraphicFramePr/>
                  <a:graphic xmlns:a="http://schemas.openxmlformats.org/drawingml/2006/main">
                    <a:graphicData uri="http://schemas.openxmlformats.org/drawingml/2006/picture">
                      <pic:pic xmlns:pic="http://schemas.openxmlformats.org/drawingml/2006/picture">
                        <pic:nvPicPr>
                          <pic:cNvPr id="86"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2336" behindDoc="0" locked="0" layoutInCell="1" allowOverlap="1">
                  <wp:simplePos x="0" y="0"/>
                  <wp:positionH relativeFrom="column">
                    <wp:posOffset>771525</wp:posOffset>
                  </wp:positionH>
                  <wp:positionV relativeFrom="paragraph">
                    <wp:posOffset>0</wp:posOffset>
                  </wp:positionV>
                  <wp:extent cx="635" cy="0"/>
                  <wp:effectExtent l="0" t="0" r="0" b="0"/>
                  <wp:wrapNone/>
                  <wp:docPr id="11" name="Line_5"/>
                  <wp:cNvGraphicFramePr/>
                  <a:graphic xmlns:a="http://schemas.openxmlformats.org/drawingml/2006/main">
                    <a:graphicData uri="http://schemas.openxmlformats.org/drawingml/2006/picture">
                      <pic:pic xmlns:pic="http://schemas.openxmlformats.org/drawingml/2006/picture">
                        <pic:nvPicPr>
                          <pic:cNvPr id="11"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3360" behindDoc="0" locked="0" layoutInCell="1" allowOverlap="1">
                  <wp:simplePos x="0" y="0"/>
                  <wp:positionH relativeFrom="column">
                    <wp:posOffset>771525</wp:posOffset>
                  </wp:positionH>
                  <wp:positionV relativeFrom="paragraph">
                    <wp:posOffset>0</wp:posOffset>
                  </wp:positionV>
                  <wp:extent cx="28575" cy="0"/>
                  <wp:effectExtent l="0" t="0" r="0" b="0"/>
                  <wp:wrapNone/>
                  <wp:docPr id="8" name="Line_4"/>
                  <wp:cNvGraphicFramePr/>
                  <a:graphic xmlns:a="http://schemas.openxmlformats.org/drawingml/2006/main">
                    <a:graphicData uri="http://schemas.openxmlformats.org/drawingml/2006/picture">
                      <pic:pic xmlns:pic="http://schemas.openxmlformats.org/drawingml/2006/picture">
                        <pic:nvPicPr>
                          <pic:cNvPr id="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4384" behindDoc="0" locked="0" layoutInCell="1" allowOverlap="1">
                  <wp:simplePos x="0" y="0"/>
                  <wp:positionH relativeFrom="column">
                    <wp:posOffset>1438275</wp:posOffset>
                  </wp:positionH>
                  <wp:positionV relativeFrom="paragraph">
                    <wp:posOffset>0</wp:posOffset>
                  </wp:positionV>
                  <wp:extent cx="635" cy="0"/>
                  <wp:effectExtent l="0" t="0" r="0" b="0"/>
                  <wp:wrapNone/>
                  <wp:docPr id="87" name="Line_6"/>
                  <wp:cNvGraphicFramePr/>
                  <a:graphic xmlns:a="http://schemas.openxmlformats.org/drawingml/2006/main">
                    <a:graphicData uri="http://schemas.openxmlformats.org/drawingml/2006/picture">
                      <pic:pic xmlns:pic="http://schemas.openxmlformats.org/drawingml/2006/picture">
                        <pic:nvPicPr>
                          <pic:cNvPr id="87"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天然林资源保护工程财政专项项目</w:t>
            </w:r>
          </w:p>
        </w:tc>
      </w:tr>
      <w:tr>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0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sz w:val="24"/>
              </w:rPr>
            </w:pPr>
            <w:r>
              <w:rPr>
                <w:rFonts w:hint="eastAsia" w:ascii="宋体" w:hAnsi="宋体" w:cs="宋体"/>
                <w:b/>
                <w:color w:val="00000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178.25万元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568.38万元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178.25万元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b/>
                <w:color w:val="00000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2020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jc w:val="center"/>
              <w:rPr>
                <w:rFonts w:ascii="宋体" w:hAnsi="宋体" w:cs="宋体"/>
                <w:b/>
                <w:color w:val="000000"/>
                <w:sz w:val="24"/>
              </w:rPr>
            </w:pPr>
          </w:p>
        </w:tc>
        <w:tc>
          <w:tcPr>
            <w:tcW w:w="645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autoSpaceDE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1.项目完成任务量。我县公益林面积220.3357万亩，其中国有公益林面积215.4091万亩，集体公益林面积4.9266万亩,生态效益补偿面积覆盖率为 100%。</w:t>
            </w:r>
          </w:p>
          <w:p>
            <w:pPr>
              <w:autoSpaceDE w:val="0"/>
              <w:spacing w:line="560" w:lineRule="exact"/>
              <w:ind w:firstLine="400" w:firstLineChars="200"/>
              <w:rPr>
                <w:rFonts w:ascii="仿宋_GB2312" w:hAnsi="仿宋_GB2312" w:eastAsia="仿宋_GB2312" w:cs="仿宋_GB2312"/>
                <w:sz w:val="20"/>
                <w:szCs w:val="20"/>
              </w:rPr>
            </w:pPr>
            <w:r>
              <w:rPr>
                <w:rFonts w:hint="eastAsia" w:ascii="仿宋_GB2312" w:hAnsi="仿宋_GB2312" w:eastAsia="仿宋_GB2312" w:cs="仿宋_GB2312"/>
                <w:sz w:val="20"/>
                <w:szCs w:val="20"/>
              </w:rPr>
              <w:t>2.项目完成质量。2020年度我局通过层层落实了管护责任制，全县签订国有林管护合同48份，完成率达100%。加强监督与管理，杜绝滥砍乱伐、毁林开垦的现象发生，牲畜破坏国有林的情况也逐减少，国有林的管护取得了明显成绩，行政案件逐年降低。</w:t>
            </w:r>
          </w:p>
          <w:p>
            <w:pPr>
              <w:autoSpaceDE w:val="0"/>
              <w:spacing w:line="560" w:lineRule="exact"/>
              <w:ind w:firstLine="400" w:firstLineChars="200"/>
              <w:rPr>
                <w:rFonts w:ascii="仿宋_GB2312" w:hAnsi="仿宋_GB2312" w:eastAsia="仿宋_GB2312" w:cs="仿宋_GB2312"/>
                <w:sz w:val="32"/>
                <w:szCs w:val="32"/>
              </w:rPr>
            </w:pPr>
            <w:r>
              <w:rPr>
                <w:rFonts w:hint="eastAsia" w:ascii="仿宋_GB2312" w:hAnsi="仿宋_GB2312" w:eastAsia="仿宋_GB2312" w:cs="仿宋_GB2312"/>
                <w:sz w:val="20"/>
                <w:szCs w:val="20"/>
              </w:rPr>
              <w:t>3.项目完成进度。2020年度天然林资源保护工程财政专项项目管护率达到100%。</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10"/>
                  <wp:cNvGraphicFramePr/>
                  <a:graphic xmlns:a="http://schemas.openxmlformats.org/drawingml/2006/main">
                    <a:graphicData uri="http://schemas.openxmlformats.org/drawingml/2006/picture">
                      <pic:pic xmlns:pic="http://schemas.openxmlformats.org/drawingml/2006/picture">
                        <pic:nvPicPr>
                          <pic:cNvPr id="9"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329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8" name="直接连接符_9"/>
                  <wp:cNvGraphicFramePr/>
                  <a:graphic xmlns:a="http://schemas.openxmlformats.org/drawingml/2006/main">
                    <a:graphicData uri="http://schemas.openxmlformats.org/drawingml/2006/picture">
                      <pic:pic xmlns:pic="http://schemas.openxmlformats.org/drawingml/2006/picture">
                        <pic:nvPicPr>
                          <pic:cNvPr id="88"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43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2" name="直接连接符_7"/>
                  <wp:cNvGraphicFramePr/>
                  <a:graphic xmlns:a="http://schemas.openxmlformats.org/drawingml/2006/main">
                    <a:graphicData uri="http://schemas.openxmlformats.org/drawingml/2006/picture">
                      <pic:pic xmlns:pic="http://schemas.openxmlformats.org/drawingml/2006/picture">
                        <pic:nvPicPr>
                          <pic:cNvPr id="12"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53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9" name="直接连接符_8"/>
                  <wp:cNvGraphicFramePr/>
                  <a:graphic xmlns:a="http://schemas.openxmlformats.org/drawingml/2006/main">
                    <a:graphicData uri="http://schemas.openxmlformats.org/drawingml/2006/picture">
                      <pic:pic xmlns:pic="http://schemas.openxmlformats.org/drawingml/2006/picture">
                        <pic:nvPicPr>
                          <pic:cNvPr id="89"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1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1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9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5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502"/>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0636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90" name="直接连接符_6"/>
                  <wp:cNvGraphicFramePr/>
                  <a:graphic xmlns:a="http://schemas.openxmlformats.org/drawingml/2006/main">
                    <a:graphicData uri="http://schemas.openxmlformats.org/drawingml/2006/picture">
                      <pic:pic xmlns:pic="http://schemas.openxmlformats.org/drawingml/2006/picture">
                        <pic:nvPicPr>
                          <pic:cNvPr id="90"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0739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91" name="直接连接符_5"/>
                  <wp:cNvGraphicFramePr/>
                  <a:graphic xmlns:a="http://schemas.openxmlformats.org/drawingml/2006/main">
                    <a:graphicData uri="http://schemas.openxmlformats.org/drawingml/2006/picture">
                      <pic:pic xmlns:pic="http://schemas.openxmlformats.org/drawingml/2006/picture">
                        <pic:nvPicPr>
                          <pic:cNvPr id="91"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lang w:val="zh-CN"/>
              </w:rPr>
            </w:pPr>
            <w:r>
              <w:rPr>
                <w:rFonts w:hint="eastAsia" w:ascii="宋体" w:hAnsi="宋体" w:cs="宋体"/>
                <w:color w:val="000000"/>
                <w:kern w:val="0"/>
                <w:sz w:val="20"/>
                <w:szCs w:val="20"/>
              </w:rPr>
              <w:t>实施天然林保护工程任务以来我县当地农牧民从该项项目中得到经济收入稳步提高，2020年度通过天保工程项目，按照我县农牧民33428人数折算，从天保工程项目人均增收达到37.76元/人。</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天然林保护工程是我县重大民生工程，通过项目的实施，促进社会稳定，生态得到保护，农户增收，充分体现了党和国家对人民群众的关心。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通过常年以来的管理与管护，基本杜绝了乱砍乱伐现象，资源保护明显加强。通过宣传使当地农民认识到了天然林保护的重要性，杜绝了乱砍乱伐现象，围绕停、减、管、造全面采取措施，天然林得到修养生息，天然林资源得到了有效的保护，森林蓄积量得到有效的增长，2020年度我县的森林覆盖率达到了8.44%。林分质量得到改善，通过茂密的林冠，纵横交错的根系来阻挡和减缓雨水对土壤的冲刷和侵蚀,减少土壤的流失；通过树冠、树干、枯枝落叶层以及根系的吸滞、存贮作用，发挥了涵养水源的作用，生态环境得到了进一步的改善。</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p>
          <w:p>
            <w:pPr>
              <w:jc w:val="center"/>
              <w:rPr>
                <w:rFonts w:ascii="宋体" w:hAnsi="宋体" w:cs="宋体"/>
                <w:color w:val="000000"/>
                <w:kern w:val="0"/>
                <w:sz w:val="20"/>
                <w:szCs w:val="20"/>
              </w:rPr>
            </w:pPr>
          </w:p>
        </w:tc>
        <w:tc>
          <w:tcPr>
            <w:tcW w:w="19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 xml:space="preserve">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66432" behindDoc="0" locked="0" layoutInCell="1" allowOverlap="1">
                  <wp:simplePos x="0" y="0"/>
                  <wp:positionH relativeFrom="column">
                    <wp:posOffset>771525</wp:posOffset>
                  </wp:positionH>
                  <wp:positionV relativeFrom="paragraph">
                    <wp:posOffset>0</wp:posOffset>
                  </wp:positionV>
                  <wp:extent cx="635" cy="0"/>
                  <wp:effectExtent l="0" t="0" r="0" b="0"/>
                  <wp:wrapNone/>
                  <wp:docPr id="31" name="Line_1"/>
                  <wp:cNvGraphicFramePr/>
                  <a:graphic xmlns:a="http://schemas.openxmlformats.org/drawingml/2006/main">
                    <a:graphicData uri="http://schemas.openxmlformats.org/drawingml/2006/picture">
                      <pic:pic xmlns:pic="http://schemas.openxmlformats.org/drawingml/2006/picture">
                        <pic:nvPicPr>
                          <pic:cNvPr id="31"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7456" behindDoc="0" locked="0" layoutInCell="1" allowOverlap="1">
                  <wp:simplePos x="0" y="0"/>
                  <wp:positionH relativeFrom="column">
                    <wp:posOffset>771525</wp:posOffset>
                  </wp:positionH>
                  <wp:positionV relativeFrom="paragraph">
                    <wp:posOffset>0</wp:posOffset>
                  </wp:positionV>
                  <wp:extent cx="635" cy="0"/>
                  <wp:effectExtent l="0" t="0" r="0" b="0"/>
                  <wp:wrapNone/>
                  <wp:docPr id="28" name="Line_3"/>
                  <wp:cNvGraphicFramePr/>
                  <a:graphic xmlns:a="http://schemas.openxmlformats.org/drawingml/2006/main">
                    <a:graphicData uri="http://schemas.openxmlformats.org/drawingml/2006/picture">
                      <pic:pic xmlns:pic="http://schemas.openxmlformats.org/drawingml/2006/picture">
                        <pic:nvPicPr>
                          <pic:cNvPr id="28"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8480" behindDoc="0" locked="0" layoutInCell="1" allowOverlap="1">
                  <wp:simplePos x="0" y="0"/>
                  <wp:positionH relativeFrom="column">
                    <wp:posOffset>771525</wp:posOffset>
                  </wp:positionH>
                  <wp:positionV relativeFrom="paragraph">
                    <wp:posOffset>0</wp:posOffset>
                  </wp:positionV>
                  <wp:extent cx="635" cy="0"/>
                  <wp:effectExtent l="0" t="0" r="0" b="0"/>
                  <wp:wrapNone/>
                  <wp:docPr id="29" name="Line_2"/>
                  <wp:cNvGraphicFramePr/>
                  <a:graphic xmlns:a="http://schemas.openxmlformats.org/drawingml/2006/main">
                    <a:graphicData uri="http://schemas.openxmlformats.org/drawingml/2006/picture">
                      <pic:pic xmlns:pic="http://schemas.openxmlformats.org/drawingml/2006/picture">
                        <pic:nvPicPr>
                          <pic:cNvPr id="2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69504" behindDoc="0" locked="0" layoutInCell="1" allowOverlap="1">
                  <wp:simplePos x="0" y="0"/>
                  <wp:positionH relativeFrom="column">
                    <wp:posOffset>771525</wp:posOffset>
                  </wp:positionH>
                  <wp:positionV relativeFrom="paragraph">
                    <wp:posOffset>0</wp:posOffset>
                  </wp:positionV>
                  <wp:extent cx="635" cy="0"/>
                  <wp:effectExtent l="0" t="0" r="0" b="0"/>
                  <wp:wrapNone/>
                  <wp:docPr id="30" name="Line_5"/>
                  <wp:cNvGraphicFramePr/>
                  <a:graphic xmlns:a="http://schemas.openxmlformats.org/drawingml/2006/main">
                    <a:graphicData uri="http://schemas.openxmlformats.org/drawingml/2006/picture">
                      <pic:pic xmlns:pic="http://schemas.openxmlformats.org/drawingml/2006/picture">
                        <pic:nvPicPr>
                          <pic:cNvPr id="30"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0528" behindDoc="0" locked="0" layoutInCell="1" allowOverlap="1">
                  <wp:simplePos x="0" y="0"/>
                  <wp:positionH relativeFrom="column">
                    <wp:posOffset>771525</wp:posOffset>
                  </wp:positionH>
                  <wp:positionV relativeFrom="paragraph">
                    <wp:posOffset>0</wp:posOffset>
                  </wp:positionV>
                  <wp:extent cx="28575" cy="0"/>
                  <wp:effectExtent l="0" t="0" r="0" b="0"/>
                  <wp:wrapNone/>
                  <wp:docPr id="26" name="Line_4"/>
                  <wp:cNvGraphicFramePr/>
                  <a:graphic xmlns:a="http://schemas.openxmlformats.org/drawingml/2006/main">
                    <a:graphicData uri="http://schemas.openxmlformats.org/drawingml/2006/picture">
                      <pic:pic xmlns:pic="http://schemas.openxmlformats.org/drawingml/2006/picture">
                        <pic:nvPicPr>
                          <pic:cNvPr id="2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1552" behindDoc="0" locked="0" layoutInCell="1" allowOverlap="1">
                  <wp:simplePos x="0" y="0"/>
                  <wp:positionH relativeFrom="column">
                    <wp:posOffset>1438275</wp:posOffset>
                  </wp:positionH>
                  <wp:positionV relativeFrom="paragraph">
                    <wp:posOffset>0</wp:posOffset>
                  </wp:positionV>
                  <wp:extent cx="635" cy="0"/>
                  <wp:effectExtent l="0" t="0" r="0" b="0"/>
                  <wp:wrapNone/>
                  <wp:docPr id="22" name="Line_6"/>
                  <wp:cNvGraphicFramePr/>
                  <a:graphic xmlns:a="http://schemas.openxmlformats.org/drawingml/2006/main">
                    <a:graphicData uri="http://schemas.openxmlformats.org/drawingml/2006/picture">
                      <pic:pic xmlns:pic="http://schemas.openxmlformats.org/drawingml/2006/picture">
                        <pic:nvPicPr>
                          <pic:cNvPr id="22"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湿地生态补偿项目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ab/>
            </w:r>
            <w:r>
              <w:rPr>
                <w:rFonts w:hint="eastAsia" w:ascii="宋体" w:hAnsi="宋体" w:cs="宋体"/>
                <w:b/>
                <w:color w:val="000000"/>
                <w:kern w:val="0"/>
                <w:sz w:val="24"/>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1439万元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1438.6万元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通过开展省级湿地生态补偿试点工作，有效保护原有湿地面积，遏制湿地退化。湿地生态功能得到有效提升，湿地生态文明建设取得长久进步，生态经济取得一定成果，农牧民收入得到明显增加。为全面建立省级湿地生态补偿机制探索方式、积累经验。</w:t>
            </w:r>
          </w:p>
          <w:p>
            <w:pPr>
              <w:jc w:val="center"/>
              <w:rPr>
                <w:rFonts w:ascii="宋体" w:hAnsi="宋体" w:cs="宋体"/>
                <w:b/>
                <w:color w:val="000000"/>
                <w:sz w:val="24"/>
              </w:rPr>
            </w:pP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2020年</w:t>
            </w:r>
            <w:r>
              <w:rPr>
                <w:rFonts w:hint="eastAsia" w:ascii="宋体" w:hAnsi="宋体" w:cs="宋体"/>
                <w:color w:val="000000"/>
                <w:kern w:val="0"/>
                <w:sz w:val="20"/>
                <w:szCs w:val="20"/>
                <w:lang w:val="zh-CN"/>
              </w:rPr>
              <w:t>该项目</w:t>
            </w:r>
            <w:r>
              <w:rPr>
                <w:rFonts w:hint="eastAsia" w:ascii="宋体" w:hAnsi="宋体" w:cs="宋体"/>
                <w:color w:val="000000"/>
                <w:kern w:val="0"/>
                <w:sz w:val="20"/>
                <w:szCs w:val="20"/>
              </w:rPr>
              <w:t>实际</w:t>
            </w:r>
            <w:r>
              <w:rPr>
                <w:rFonts w:hint="eastAsia" w:ascii="宋体" w:hAnsi="宋体" w:cs="宋体"/>
                <w:color w:val="000000"/>
                <w:kern w:val="0"/>
                <w:sz w:val="20"/>
                <w:szCs w:val="20"/>
                <w:lang w:val="zh-CN"/>
              </w:rPr>
              <w:t>到位</w:t>
            </w:r>
            <w:r>
              <w:rPr>
                <w:rFonts w:hint="eastAsia" w:ascii="宋体" w:hAnsi="宋体" w:cs="宋体"/>
                <w:color w:val="000000"/>
                <w:kern w:val="0"/>
                <w:sz w:val="20"/>
                <w:szCs w:val="20"/>
              </w:rPr>
              <w:t>省</w:t>
            </w:r>
            <w:r>
              <w:rPr>
                <w:rFonts w:hint="eastAsia" w:ascii="宋体" w:hAnsi="宋体" w:cs="宋体"/>
                <w:color w:val="000000"/>
                <w:kern w:val="0"/>
                <w:sz w:val="20"/>
                <w:szCs w:val="20"/>
                <w:lang w:val="zh-CN"/>
              </w:rPr>
              <w:t>级财政资金</w:t>
            </w:r>
            <w:r>
              <w:rPr>
                <w:rFonts w:hint="eastAsia" w:ascii="宋体" w:hAnsi="宋体" w:cs="宋体"/>
                <w:color w:val="000000"/>
                <w:kern w:val="0"/>
                <w:sz w:val="20"/>
                <w:szCs w:val="20"/>
              </w:rPr>
              <w:t>1439</w:t>
            </w:r>
            <w:r>
              <w:rPr>
                <w:rFonts w:hint="eastAsia" w:ascii="宋体" w:hAnsi="宋体" w:cs="宋体"/>
                <w:color w:val="000000"/>
                <w:kern w:val="0"/>
                <w:sz w:val="20"/>
                <w:szCs w:val="20"/>
                <w:lang w:val="zh-CN"/>
              </w:rPr>
              <w:t>万，</w:t>
            </w:r>
            <w:r>
              <w:rPr>
                <w:rFonts w:hint="eastAsia" w:ascii="宋体" w:hAnsi="宋体" w:cs="宋体"/>
                <w:color w:val="000000"/>
                <w:kern w:val="0"/>
                <w:sz w:val="20"/>
                <w:szCs w:val="20"/>
              </w:rPr>
              <w:t>并于2020年9月随即组织各乡镇开展工作，2020年9月完成县乡、乡村级目标责任书的签订，10月审定生态补偿人员并进行公示。2020年10月将由县级验收小组对各乡镇湿地生态补偿工作开展情况及牧户管护情况进行验收，待验收合格后，由金融机构通过“一卡通”的形式兑现资金。</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10"/>
                  <wp:cNvGraphicFramePr/>
                  <a:graphic xmlns:a="http://schemas.openxmlformats.org/drawingml/2006/main">
                    <a:graphicData uri="http://schemas.openxmlformats.org/drawingml/2006/picture">
                      <pic:pic xmlns:pic="http://schemas.openxmlformats.org/drawingml/2006/picture">
                        <pic:nvPicPr>
                          <pic:cNvPr id="2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9"/>
                  <wp:cNvGraphicFramePr/>
                  <a:graphic xmlns:a="http://schemas.openxmlformats.org/drawingml/2006/main">
                    <a:graphicData uri="http://schemas.openxmlformats.org/drawingml/2006/picture">
                      <pic:pic xmlns:pic="http://schemas.openxmlformats.org/drawingml/2006/picture">
                        <pic:nvPicPr>
                          <pic:cNvPr id="23"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7"/>
                  <wp:cNvGraphicFramePr/>
                  <a:graphic xmlns:a="http://schemas.openxmlformats.org/drawingml/2006/main">
                    <a:graphicData uri="http://schemas.openxmlformats.org/drawingml/2006/picture">
                      <pic:pic xmlns:pic="http://schemas.openxmlformats.org/drawingml/2006/picture">
                        <pic:nvPicPr>
                          <pic:cNvPr id="2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1" name="直接连接符_8"/>
                  <wp:cNvGraphicFramePr/>
                  <a:graphic xmlns:a="http://schemas.openxmlformats.org/drawingml/2006/main">
                    <a:graphicData uri="http://schemas.openxmlformats.org/drawingml/2006/picture">
                      <pic:pic xmlns:pic="http://schemas.openxmlformats.org/drawingml/2006/picture">
                        <pic:nvPicPr>
                          <pic:cNvPr id="21"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ind w:firstLine="600" w:firstLineChars="300"/>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0"/>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tabs>
                <w:tab w:val="left" w:pos="388"/>
              </w:tabs>
              <w:ind w:firstLine="600" w:firstLineChars="300"/>
              <w:jc w:val="left"/>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按工程进度拨付</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该项目未存在调整</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4" name="直接连接符_6"/>
                  <wp:cNvGraphicFramePr/>
                  <a:graphic xmlns:a="http://schemas.openxmlformats.org/drawingml/2006/main">
                    <a:graphicData uri="http://schemas.openxmlformats.org/drawingml/2006/picture">
                      <pic:pic xmlns:pic="http://schemas.openxmlformats.org/drawingml/2006/picture">
                        <pic:nvPicPr>
                          <pic:cNvPr id="24"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adjustRightInd w:val="0"/>
              <w:snapToGrid w:val="0"/>
              <w:spacing w:line="560" w:lineRule="exact"/>
              <w:ind w:firstLine="640"/>
              <w:jc w:val="left"/>
              <w:rPr>
                <w:rFonts w:ascii="FangSong_GB2312" w:eastAsia="FangSong_GB2312" w:cs="FangSong_GB2312"/>
                <w:sz w:val="32"/>
                <w:szCs w:val="32"/>
              </w:rPr>
            </w:pPr>
            <w:r>
              <w:rPr>
                <w:rFonts w:hint="eastAsia" w:ascii="宋体" w:hAnsi="宋体" w:cs="宋体"/>
                <w:color w:val="000000"/>
                <w:kern w:val="0"/>
                <w:sz w:val="20"/>
                <w:szCs w:val="20"/>
              </w:rPr>
              <w:t>湿地生态补偿工作结合精准扶贫，有效帮扶了一批贫困户，提高了牧户收入，此次补偿工作共计6282户，共兑现资金1438.6万元，平均每户每年增加收入2290.04元。其中贫困户768户，兑现资金约152.09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jc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jc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湿地生态补偿工作结合精准扶贫，有效帮扶了一批贫困户，提高了牧户收入，此次补偿工作共计6282户，共兑现资金1438.6万元，平均每户每年增加收入2290.39元。其中贫困户768户，兑现资金约152.09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78720" behindDoc="0" locked="0" layoutInCell="1" allowOverlap="1">
                  <wp:simplePos x="0" y="0"/>
                  <wp:positionH relativeFrom="column">
                    <wp:posOffset>771525</wp:posOffset>
                  </wp:positionH>
                  <wp:positionV relativeFrom="paragraph">
                    <wp:posOffset>0</wp:posOffset>
                  </wp:positionV>
                  <wp:extent cx="635" cy="0"/>
                  <wp:effectExtent l="0" t="0" r="0" b="0"/>
                  <wp:wrapNone/>
                  <wp:docPr id="37" name="Line_1"/>
                  <wp:cNvGraphicFramePr/>
                  <a:graphic xmlns:a="http://schemas.openxmlformats.org/drawingml/2006/main">
                    <a:graphicData uri="http://schemas.openxmlformats.org/drawingml/2006/picture">
                      <pic:pic xmlns:pic="http://schemas.openxmlformats.org/drawingml/2006/picture">
                        <pic:nvPicPr>
                          <pic:cNvPr id="37"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79744" behindDoc="0" locked="0" layoutInCell="1" allowOverlap="1">
                  <wp:simplePos x="0" y="0"/>
                  <wp:positionH relativeFrom="column">
                    <wp:posOffset>771525</wp:posOffset>
                  </wp:positionH>
                  <wp:positionV relativeFrom="paragraph">
                    <wp:posOffset>0</wp:posOffset>
                  </wp:positionV>
                  <wp:extent cx="635" cy="0"/>
                  <wp:effectExtent l="0" t="0" r="0" b="0"/>
                  <wp:wrapNone/>
                  <wp:docPr id="32" name="Line_3"/>
                  <wp:cNvGraphicFramePr/>
                  <a:graphic xmlns:a="http://schemas.openxmlformats.org/drawingml/2006/main">
                    <a:graphicData uri="http://schemas.openxmlformats.org/drawingml/2006/picture">
                      <pic:pic xmlns:pic="http://schemas.openxmlformats.org/drawingml/2006/picture">
                        <pic:nvPicPr>
                          <pic:cNvPr id="32"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0768" behindDoc="0" locked="0" layoutInCell="1" allowOverlap="1">
                  <wp:simplePos x="0" y="0"/>
                  <wp:positionH relativeFrom="column">
                    <wp:posOffset>771525</wp:posOffset>
                  </wp:positionH>
                  <wp:positionV relativeFrom="paragraph">
                    <wp:posOffset>0</wp:posOffset>
                  </wp:positionV>
                  <wp:extent cx="635" cy="0"/>
                  <wp:effectExtent l="0" t="0" r="0" b="0"/>
                  <wp:wrapNone/>
                  <wp:docPr id="39" name="Line_2"/>
                  <wp:cNvGraphicFramePr/>
                  <a:graphic xmlns:a="http://schemas.openxmlformats.org/drawingml/2006/main">
                    <a:graphicData uri="http://schemas.openxmlformats.org/drawingml/2006/picture">
                      <pic:pic xmlns:pic="http://schemas.openxmlformats.org/drawingml/2006/picture">
                        <pic:nvPicPr>
                          <pic:cNvPr id="39"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1792" behindDoc="0" locked="0" layoutInCell="1" allowOverlap="1">
                  <wp:simplePos x="0" y="0"/>
                  <wp:positionH relativeFrom="column">
                    <wp:posOffset>771525</wp:posOffset>
                  </wp:positionH>
                  <wp:positionV relativeFrom="paragraph">
                    <wp:posOffset>0</wp:posOffset>
                  </wp:positionV>
                  <wp:extent cx="635" cy="0"/>
                  <wp:effectExtent l="0" t="0" r="0" b="0"/>
                  <wp:wrapNone/>
                  <wp:docPr id="33" name="Line_5"/>
                  <wp:cNvGraphicFramePr/>
                  <a:graphic xmlns:a="http://schemas.openxmlformats.org/drawingml/2006/main">
                    <a:graphicData uri="http://schemas.openxmlformats.org/drawingml/2006/picture">
                      <pic:pic xmlns:pic="http://schemas.openxmlformats.org/drawingml/2006/picture">
                        <pic:nvPicPr>
                          <pic:cNvPr id="33"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2816" behindDoc="0" locked="0" layoutInCell="1" allowOverlap="1">
                  <wp:simplePos x="0" y="0"/>
                  <wp:positionH relativeFrom="column">
                    <wp:posOffset>771525</wp:posOffset>
                  </wp:positionH>
                  <wp:positionV relativeFrom="paragraph">
                    <wp:posOffset>0</wp:posOffset>
                  </wp:positionV>
                  <wp:extent cx="28575" cy="0"/>
                  <wp:effectExtent l="0" t="0" r="0" b="0"/>
                  <wp:wrapNone/>
                  <wp:docPr id="38" name="Line_4"/>
                  <wp:cNvGraphicFramePr/>
                  <a:graphic xmlns:a="http://schemas.openxmlformats.org/drawingml/2006/main">
                    <a:graphicData uri="http://schemas.openxmlformats.org/drawingml/2006/picture">
                      <pic:pic xmlns:pic="http://schemas.openxmlformats.org/drawingml/2006/picture">
                        <pic:nvPicPr>
                          <pic:cNvPr id="38"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83840" behindDoc="0" locked="0" layoutInCell="1" allowOverlap="1">
                  <wp:simplePos x="0" y="0"/>
                  <wp:positionH relativeFrom="column">
                    <wp:posOffset>1438275</wp:posOffset>
                  </wp:positionH>
                  <wp:positionV relativeFrom="paragraph">
                    <wp:posOffset>0</wp:posOffset>
                  </wp:positionV>
                  <wp:extent cx="635" cy="0"/>
                  <wp:effectExtent l="0" t="0" r="0" b="0"/>
                  <wp:wrapNone/>
                  <wp:docPr id="36" name="Line_6"/>
                  <wp:cNvGraphicFramePr/>
                  <a:graphic xmlns:a="http://schemas.openxmlformats.org/drawingml/2006/main">
                    <a:graphicData uri="http://schemas.openxmlformats.org/drawingml/2006/picture">
                      <pic:pic xmlns:pic="http://schemas.openxmlformats.org/drawingml/2006/picture">
                        <pic:nvPicPr>
                          <pic:cNvPr id="36"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生态护林员项目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14万元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314万元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314万元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314万元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建立健全红原县建档立卡贫困户生态护林员政策机制是一项重大创新，意义重大的工作，政策性强、涉及面广、工作量大、任务艰巨、情况复杂，必须采取最强有力的措施确保政策顺利落实。</w:t>
            </w:r>
          </w:p>
          <w:p>
            <w:pPr>
              <w:jc w:val="center"/>
              <w:rPr>
                <w:rFonts w:ascii="宋体" w:hAnsi="宋体" w:cs="宋体"/>
                <w:b/>
                <w:color w:val="000000"/>
                <w:sz w:val="24"/>
              </w:rPr>
            </w:pP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2020年共聘用314名建档立卡贫困户作为生态护林员（均为生态公益性岗位护林员），项目的主要内容是通过落实管护责任，人均管护面积不低于1000-3000亩森林资源实施常年有效管护。</w:t>
            </w:r>
          </w:p>
          <w:p>
            <w:pPr>
              <w:jc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848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10"/>
                  <wp:cNvGraphicFramePr/>
                  <a:graphic xmlns:a="http://schemas.openxmlformats.org/drawingml/2006/main">
                    <a:graphicData uri="http://schemas.openxmlformats.org/drawingml/2006/picture">
                      <pic:pic xmlns:pic="http://schemas.openxmlformats.org/drawingml/2006/picture">
                        <pic:nvPicPr>
                          <pic:cNvPr id="35"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4" name="直接连接符_9"/>
                  <wp:cNvGraphicFramePr/>
                  <a:graphic xmlns:a="http://schemas.openxmlformats.org/drawingml/2006/main">
                    <a:graphicData uri="http://schemas.openxmlformats.org/drawingml/2006/picture">
                      <pic:pic xmlns:pic="http://schemas.openxmlformats.org/drawingml/2006/picture">
                        <pic:nvPicPr>
                          <pic:cNvPr id="34"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0" name="直接连接符_7"/>
                  <wp:cNvGraphicFramePr/>
                  <a:graphic xmlns:a="http://schemas.openxmlformats.org/drawingml/2006/main">
                    <a:graphicData uri="http://schemas.openxmlformats.org/drawingml/2006/picture">
                      <pic:pic xmlns:pic="http://schemas.openxmlformats.org/drawingml/2006/picture">
                        <pic:nvPicPr>
                          <pic:cNvPr id="40"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8"/>
                  <wp:cNvGraphicFramePr/>
                  <a:graphic xmlns:a="http://schemas.openxmlformats.org/drawingml/2006/main">
                    <a:graphicData uri="http://schemas.openxmlformats.org/drawingml/2006/picture">
                      <pic:pic xmlns:pic="http://schemas.openxmlformats.org/drawingml/2006/picture">
                        <pic:nvPicPr>
                          <pic:cNvPr id="42"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kern w:val="0"/>
                <w:sz w:val="20"/>
                <w:szCs w:val="20"/>
              </w:rPr>
            </w:pPr>
            <w:r>
              <w:rPr>
                <w:rFonts w:hint="eastAsia" w:ascii="宋体" w:hAnsi="宋体" w:cs="宋体"/>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6889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1" name="直接连接符_6"/>
                  <wp:cNvGraphicFramePr/>
                  <a:graphic xmlns:a="http://schemas.openxmlformats.org/drawingml/2006/main">
                    <a:graphicData uri="http://schemas.openxmlformats.org/drawingml/2006/picture">
                      <pic:pic xmlns:pic="http://schemas.openxmlformats.org/drawingml/2006/picture">
                        <pic:nvPicPr>
                          <pic:cNvPr id="4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6899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3" name="直接连接符_5"/>
                  <wp:cNvGraphicFramePr/>
                  <a:graphic xmlns:a="http://schemas.openxmlformats.org/drawingml/2006/main">
                    <a:graphicData uri="http://schemas.openxmlformats.org/drawingml/2006/picture">
                      <pic:pic xmlns:pic="http://schemas.openxmlformats.org/drawingml/2006/picture">
                        <pic:nvPicPr>
                          <pic:cNvPr id="43"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选聘生态护林员以来我县当地农牧民从该项项目中得到经济收入稳步提高，2020年建档立卡贫困户护林员平均年收入10000元。。</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通过选聘生态护林员实施森林管护，我县森林资源得到了有效的保护，森林蓄积量得到有效的增长。林分质量得到改善，通过茂密的林冠，纵横交错的根系来阻挡和减缓雨水对土壤的冲刷和侵蚀,减少土壤的流失；通过树冠、树干、枯枝落叶层以及根系的吸滞、存贮作用，发挥了涵养水源的作用。</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9525" w:type="dxa"/>
            <w:gridSpan w:val="13"/>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drawing>
                <wp:anchor distT="0" distB="0" distL="114300" distR="114300" simplePos="0" relativeHeight="251691008" behindDoc="0" locked="0" layoutInCell="1" allowOverlap="1">
                  <wp:simplePos x="0" y="0"/>
                  <wp:positionH relativeFrom="column">
                    <wp:posOffset>771525</wp:posOffset>
                  </wp:positionH>
                  <wp:positionV relativeFrom="paragraph">
                    <wp:posOffset>0</wp:posOffset>
                  </wp:positionV>
                  <wp:extent cx="635" cy="0"/>
                  <wp:effectExtent l="0" t="0" r="0" b="0"/>
                  <wp:wrapNone/>
                  <wp:docPr id="53" name="Line_1"/>
                  <wp:cNvGraphicFramePr/>
                  <a:graphic xmlns:a="http://schemas.openxmlformats.org/drawingml/2006/main">
                    <a:graphicData uri="http://schemas.openxmlformats.org/drawingml/2006/picture">
                      <pic:pic xmlns:pic="http://schemas.openxmlformats.org/drawingml/2006/picture">
                        <pic:nvPicPr>
                          <pic:cNvPr id="53" name="Line_1"/>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2032" behindDoc="0" locked="0" layoutInCell="1" allowOverlap="1">
                  <wp:simplePos x="0" y="0"/>
                  <wp:positionH relativeFrom="column">
                    <wp:posOffset>771525</wp:posOffset>
                  </wp:positionH>
                  <wp:positionV relativeFrom="paragraph">
                    <wp:posOffset>0</wp:posOffset>
                  </wp:positionV>
                  <wp:extent cx="635" cy="0"/>
                  <wp:effectExtent l="0" t="0" r="0" b="0"/>
                  <wp:wrapNone/>
                  <wp:docPr id="54" name="Line_3"/>
                  <wp:cNvGraphicFramePr/>
                  <a:graphic xmlns:a="http://schemas.openxmlformats.org/drawingml/2006/main">
                    <a:graphicData uri="http://schemas.openxmlformats.org/drawingml/2006/picture">
                      <pic:pic xmlns:pic="http://schemas.openxmlformats.org/drawingml/2006/picture">
                        <pic:nvPicPr>
                          <pic:cNvPr id="54" name="Line_3"/>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3056" behindDoc="0" locked="0" layoutInCell="1" allowOverlap="1">
                  <wp:simplePos x="0" y="0"/>
                  <wp:positionH relativeFrom="column">
                    <wp:posOffset>771525</wp:posOffset>
                  </wp:positionH>
                  <wp:positionV relativeFrom="paragraph">
                    <wp:posOffset>0</wp:posOffset>
                  </wp:positionV>
                  <wp:extent cx="635" cy="0"/>
                  <wp:effectExtent l="0" t="0" r="0" b="0"/>
                  <wp:wrapNone/>
                  <wp:docPr id="55" name="Line_2"/>
                  <wp:cNvGraphicFramePr/>
                  <a:graphic xmlns:a="http://schemas.openxmlformats.org/drawingml/2006/main">
                    <a:graphicData uri="http://schemas.openxmlformats.org/drawingml/2006/picture">
                      <pic:pic xmlns:pic="http://schemas.openxmlformats.org/drawingml/2006/picture">
                        <pic:nvPicPr>
                          <pic:cNvPr id="55" name="Line_2"/>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4080" behindDoc="0" locked="0" layoutInCell="1" allowOverlap="1">
                  <wp:simplePos x="0" y="0"/>
                  <wp:positionH relativeFrom="column">
                    <wp:posOffset>771525</wp:posOffset>
                  </wp:positionH>
                  <wp:positionV relativeFrom="paragraph">
                    <wp:posOffset>0</wp:posOffset>
                  </wp:positionV>
                  <wp:extent cx="635" cy="0"/>
                  <wp:effectExtent l="0" t="0" r="0" b="0"/>
                  <wp:wrapNone/>
                  <wp:docPr id="45" name="Line_5"/>
                  <wp:cNvGraphicFramePr/>
                  <a:graphic xmlns:a="http://schemas.openxmlformats.org/drawingml/2006/main">
                    <a:graphicData uri="http://schemas.openxmlformats.org/drawingml/2006/picture">
                      <pic:pic xmlns:pic="http://schemas.openxmlformats.org/drawingml/2006/picture">
                        <pic:nvPicPr>
                          <pic:cNvPr id="45" name="Line_5"/>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5104" behindDoc="0" locked="0" layoutInCell="1" allowOverlap="1">
                  <wp:simplePos x="0" y="0"/>
                  <wp:positionH relativeFrom="column">
                    <wp:posOffset>771525</wp:posOffset>
                  </wp:positionH>
                  <wp:positionV relativeFrom="paragraph">
                    <wp:posOffset>0</wp:posOffset>
                  </wp:positionV>
                  <wp:extent cx="28575" cy="0"/>
                  <wp:effectExtent l="0" t="0" r="0" b="0"/>
                  <wp:wrapNone/>
                  <wp:docPr id="46" name="Line_4"/>
                  <wp:cNvGraphicFramePr/>
                  <a:graphic xmlns:a="http://schemas.openxmlformats.org/drawingml/2006/main">
                    <a:graphicData uri="http://schemas.openxmlformats.org/drawingml/2006/picture">
                      <pic:pic xmlns:pic="http://schemas.openxmlformats.org/drawingml/2006/picture">
                        <pic:nvPicPr>
                          <pic:cNvPr id="46" name="Line_4"/>
                          <pic:cNvPicPr/>
                        </pic:nvPicPr>
                        <pic:blipFill>
                          <a:blip r:embed="rId14"/>
                          <a:stretch>
                            <a:fillRect/>
                          </a:stretch>
                        </pic:blipFill>
                        <pic:spPr>
                          <a:xfrm>
                            <a:off x="0" y="0"/>
                            <a:ext cx="28575" cy="0"/>
                          </a:xfrm>
                          <a:prstGeom prst="rect">
                            <a:avLst/>
                          </a:prstGeom>
                          <a:noFill/>
                          <a:ln>
                            <a:noFill/>
                          </a:ln>
                        </pic:spPr>
                      </pic:pic>
                    </a:graphicData>
                  </a:graphic>
                </wp:anchor>
              </w:drawing>
            </w:r>
            <w:r>
              <w:rPr>
                <w:rFonts w:hint="eastAsia" w:ascii="宋体" w:hAnsi="宋体" w:cs="宋体"/>
                <w:b/>
                <w:color w:val="000000"/>
                <w:kern w:val="0"/>
                <w:sz w:val="24"/>
              </w:rPr>
              <w:drawing>
                <wp:anchor distT="0" distB="0" distL="114300" distR="114300" simplePos="0" relativeHeight="251696128" behindDoc="0" locked="0" layoutInCell="1" allowOverlap="1">
                  <wp:simplePos x="0" y="0"/>
                  <wp:positionH relativeFrom="column">
                    <wp:posOffset>1438275</wp:posOffset>
                  </wp:positionH>
                  <wp:positionV relativeFrom="paragraph">
                    <wp:posOffset>0</wp:posOffset>
                  </wp:positionV>
                  <wp:extent cx="635" cy="0"/>
                  <wp:effectExtent l="0" t="0" r="0" b="0"/>
                  <wp:wrapNone/>
                  <wp:docPr id="44" name="Line_6"/>
                  <wp:cNvGraphicFramePr/>
                  <a:graphic xmlns:a="http://schemas.openxmlformats.org/drawingml/2006/main">
                    <a:graphicData uri="http://schemas.openxmlformats.org/drawingml/2006/picture">
                      <pic:pic xmlns:pic="http://schemas.openxmlformats.org/drawingml/2006/picture">
                        <pic:nvPicPr>
                          <pic:cNvPr id="44" name="Line_6"/>
                          <pic:cNvPicPr/>
                        </pic:nvPicPr>
                        <pic:blipFill>
                          <a:blip r:embed="rId13"/>
                          <a:stretch>
                            <a:fillRect/>
                          </a:stretch>
                        </pic:blipFill>
                        <pic:spPr>
                          <a:xfrm>
                            <a:off x="0" y="0"/>
                            <a:ext cx="635" cy="0"/>
                          </a:xfrm>
                          <a:prstGeom prst="rect">
                            <a:avLst/>
                          </a:prstGeom>
                          <a:noFill/>
                          <a:ln>
                            <a:noFill/>
                          </a:ln>
                        </pic:spPr>
                      </pic:pic>
                    </a:graphicData>
                  </a:graphic>
                </wp:anchor>
              </w:drawing>
            </w:r>
            <w:r>
              <w:rPr>
                <w:rFonts w:hint="eastAsia" w:ascii="宋体" w:hAnsi="宋体" w:cs="宋体"/>
                <w:b/>
                <w:color w:val="000000"/>
                <w:kern w:val="0"/>
                <w:sz w:val="24"/>
              </w:rPr>
              <w:t>项目支出绩效目标完成情况表</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项目名称</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森林生态效益补偿项目</w:t>
            </w:r>
          </w:p>
        </w:tc>
      </w:tr>
      <w:tr>
        <w:tblPrEx>
          <w:tblCellMar>
            <w:top w:w="0" w:type="dxa"/>
            <w:left w:w="0" w:type="dxa"/>
            <w:bottom w:w="0" w:type="dxa"/>
            <w:right w:w="0" w:type="dxa"/>
          </w:tblCellMar>
        </w:tblPrEx>
        <w:trPr>
          <w:trHeight w:val="555" w:hRule="atLeast"/>
        </w:trPr>
        <w:tc>
          <w:tcPr>
            <w:tcW w:w="233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预算单位</w:t>
            </w:r>
          </w:p>
        </w:tc>
        <w:tc>
          <w:tcPr>
            <w:tcW w:w="719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b/>
                <w:color w:val="000000"/>
                <w:kern w:val="0"/>
                <w:sz w:val="24"/>
              </w:rPr>
            </w:pPr>
            <w:r>
              <w:rPr>
                <w:rFonts w:hint="eastAsia" w:ascii="宋体" w:hAnsi="宋体" w:cs="宋体"/>
                <w:b/>
                <w:color w:val="000000"/>
                <w:kern w:val="0"/>
                <w:sz w:val="24"/>
              </w:rPr>
              <w:t>红原县林业和草原局</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预算执行情况(万元</w:t>
            </w: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预算数:</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181.88万元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执行数:</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77.55万元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181.88万元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其中-财政拨款:</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77.55万元</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p>
        </w:tc>
        <w:tc>
          <w:tcPr>
            <w:tcW w:w="188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其它资金:</w:t>
            </w:r>
          </w:p>
        </w:tc>
        <w:tc>
          <w:tcPr>
            <w:tcW w:w="1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0万元</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其它资金:</w:t>
            </w:r>
          </w:p>
        </w:tc>
        <w:tc>
          <w:tcPr>
            <w:tcW w:w="350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0万元</w:t>
            </w:r>
          </w:p>
        </w:tc>
      </w:tr>
      <w:tr>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26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b/>
                <w:color w:val="000000"/>
                <w:sz w:val="24"/>
              </w:rPr>
            </w:pPr>
            <w:r>
              <w:rPr>
                <w:rFonts w:hint="eastAsia" w:ascii="宋体" w:hAnsi="宋体" w:cs="宋体"/>
                <w:color w:val="000000"/>
                <w:kern w:val="0"/>
                <w:sz w:val="20"/>
                <w:szCs w:val="20"/>
              </w:rPr>
              <w:t>为加强我县集体公益林管护力度，我局并于集体公益林权属所在的各乡镇人民政府、各村村委会签订红原县集体公益林管护合同40份。按照《四川省森林生态效益补偿资金管理办法》加强对我县集体公益林补偿补助资金的监管，使其我县的集体公益林资源得到安全有效的可持续发展利用</w:t>
            </w:r>
          </w:p>
        </w:tc>
        <w:tc>
          <w:tcPr>
            <w:tcW w:w="644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560" w:lineRule="exact"/>
              <w:rPr>
                <w:rFonts w:ascii="宋体" w:hAnsi="宋体" w:cs="宋体"/>
                <w:color w:val="000000"/>
                <w:kern w:val="0"/>
                <w:sz w:val="20"/>
                <w:szCs w:val="20"/>
              </w:rPr>
            </w:pPr>
            <w:r>
              <w:rPr>
                <w:rFonts w:hint="eastAsia" w:ascii="宋体" w:hAnsi="宋体" w:cs="宋体"/>
                <w:color w:val="000000"/>
                <w:kern w:val="0"/>
                <w:sz w:val="20"/>
                <w:szCs w:val="20"/>
              </w:rPr>
              <w:t>我县成立红原县森林生态效益补偿基金领导小组和管理办公室，办公室设在县环林局林政资源审批股，处理我县国家（省）级公益林森林生态效益补偿的日常事务。根据相关政策要求，我局对森林生态效益补偿补助资金实行专帐管理、单独核算、专款专用，集体和个人补偿资金实行“一卡通”兑付。</w:t>
            </w:r>
          </w:p>
          <w:p>
            <w:pPr>
              <w:jc w:val="center"/>
              <w:rPr>
                <w:rFonts w:ascii="宋体" w:hAnsi="宋体" w:cs="宋体"/>
                <w:b/>
                <w:color w:val="000000"/>
                <w:sz w:val="24"/>
              </w:rPr>
            </w:pPr>
          </w:p>
        </w:tc>
      </w:tr>
      <w:tr>
        <w:tblPrEx>
          <w:tblCellMar>
            <w:top w:w="0" w:type="dxa"/>
            <w:left w:w="0" w:type="dxa"/>
            <w:bottom w:w="0" w:type="dxa"/>
            <w:right w:w="0"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宋体" w:eastAsia="仿宋_GB2312" w:cs="仿宋_GB2312"/>
                <w:color w:val="000000"/>
                <w:sz w:val="24"/>
              </w:rPr>
            </w:pPr>
            <w:r>
              <w:rPr>
                <w:rFonts w:ascii="仿宋_GB2312" w:hAnsi="宋体" w:eastAsia="仿宋_GB2312" w:cs="仿宋_GB2312"/>
                <w:color w:val="000000"/>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bdr w:val="single" w:color="000000" w:sz="4" w:space="0"/>
              </w:rPr>
              <w:drawing>
                <wp:anchor distT="0" distB="0" distL="114300" distR="114300" simplePos="0" relativeHeight="2516971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8" name="直接连接符_10"/>
                  <wp:cNvGraphicFramePr/>
                  <a:graphic xmlns:a="http://schemas.openxmlformats.org/drawingml/2006/main">
                    <a:graphicData uri="http://schemas.openxmlformats.org/drawingml/2006/picture">
                      <pic:pic xmlns:pic="http://schemas.openxmlformats.org/drawingml/2006/picture">
                        <pic:nvPicPr>
                          <pic:cNvPr id="48" name="直接连接符_10"/>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81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9" name="直接连接符_9"/>
                  <wp:cNvGraphicFramePr/>
                  <a:graphic xmlns:a="http://schemas.openxmlformats.org/drawingml/2006/main">
                    <a:graphicData uri="http://schemas.openxmlformats.org/drawingml/2006/picture">
                      <pic:pic xmlns:pic="http://schemas.openxmlformats.org/drawingml/2006/picture">
                        <pic:nvPicPr>
                          <pic:cNvPr id="49" name="直接连接符_9"/>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6992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7" name="直接连接符_7"/>
                  <wp:cNvGraphicFramePr/>
                  <a:graphic xmlns:a="http://schemas.openxmlformats.org/drawingml/2006/main">
                    <a:graphicData uri="http://schemas.openxmlformats.org/drawingml/2006/picture">
                      <pic:pic xmlns:pic="http://schemas.openxmlformats.org/drawingml/2006/picture">
                        <pic:nvPicPr>
                          <pic:cNvPr id="47" name="直接连接符_7"/>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bdr w:val="single" w:color="000000" w:sz="4" w:space="0"/>
              </w:rPr>
              <w:drawing>
                <wp:anchor distT="0" distB="0" distL="114300" distR="114300" simplePos="0" relativeHeight="2517002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0" name="直接连接符_8"/>
                  <wp:cNvGraphicFramePr/>
                  <a:graphic xmlns:a="http://schemas.openxmlformats.org/drawingml/2006/main">
                    <a:graphicData uri="http://schemas.openxmlformats.org/drawingml/2006/picture">
                      <pic:pic xmlns:pic="http://schemas.openxmlformats.org/drawingml/2006/picture">
                        <pic:nvPicPr>
                          <pic:cNvPr id="50" name="直接连接符_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b/>
                <w:color w:val="000000"/>
                <w:kern w:val="0"/>
                <w:sz w:val="20"/>
                <w:szCs w:val="20"/>
              </w:rPr>
              <w:t>一级指标</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293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6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红原县项目资金管理办法</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 xml:space="preserve"> 是</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bdr w:val="single" w:color="000000" w:sz="4" w:space="0"/>
              </w:rPr>
              <w:drawing>
                <wp:anchor distT="0" distB="0" distL="114300" distR="114300" simplePos="0" relativeHeight="25170124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1" name="直接连接符_6"/>
                  <wp:cNvGraphicFramePr/>
                  <a:graphic xmlns:a="http://schemas.openxmlformats.org/drawingml/2006/main">
                    <a:graphicData uri="http://schemas.openxmlformats.org/drawingml/2006/picture">
                      <pic:pic xmlns:pic="http://schemas.openxmlformats.org/drawingml/2006/picture">
                        <pic:nvPicPr>
                          <pic:cNvPr id="51" name="直接连接符_6"/>
                          <pic:cNvPicPr/>
                        </pic:nvPicPr>
                        <pic:blipFill>
                          <a:blip r:embed="rId16"/>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kern w:val="0"/>
                <w:sz w:val="20"/>
                <w:szCs w:val="20"/>
                <w:bdr w:val="single" w:color="000000" w:sz="4" w:space="0"/>
              </w:rPr>
              <w:drawing>
                <wp:anchor distT="0" distB="0" distL="114300" distR="114300" simplePos="0" relativeHeight="25170227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2" name="直接连接符_5"/>
                  <wp:cNvGraphicFramePr/>
                  <a:graphic xmlns:a="http://schemas.openxmlformats.org/drawingml/2006/main">
                    <a:graphicData uri="http://schemas.openxmlformats.org/drawingml/2006/picture">
                      <pic:pic xmlns:pic="http://schemas.openxmlformats.org/drawingml/2006/picture">
                        <pic:nvPicPr>
                          <pic:cNvPr id="52" name="直接连接符_5"/>
                          <pic:cNvPicPr/>
                        </pic:nvPicPr>
                        <pic:blipFill>
                          <a:blip r:embed="rId17"/>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0"/>
                <w:szCs w:val="20"/>
              </w:rPr>
              <w:t>项目绩效</w:t>
            </w: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2020年度通过森林生态补偿效益项目，按照我县农牧民40621人数折算，人均增收达到28.18元/人，增加了林农收入，林权所有者获得了补偿，村集体林业工作热情得到了显著提高，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r>
              <w:rPr>
                <w:rFonts w:hint="eastAsia" w:ascii="宋体" w:hAnsi="宋体" w:cs="宋体"/>
                <w:color w:val="000000"/>
                <w:kern w:val="0"/>
                <w:sz w:val="20"/>
                <w:szCs w:val="20"/>
              </w:rPr>
              <w:t>实施公益林森林生态效益补偿机制以来， 进一步建立健全了我县公益林生态效益补偿补助项目各项管理规章制度，完善杜绝滥砍乱伐、毁林开垦的现象发生，牲畜破坏集体公益林的情况也逐减少，集体公益林的管护取得了明显成绩。</w:t>
            </w:r>
          </w:p>
        </w:tc>
      </w:tr>
      <w:tr>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sz w:val="20"/>
                <w:szCs w:val="20"/>
              </w:rPr>
            </w:pP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sz w:val="20"/>
                <w:szCs w:val="20"/>
              </w:rPr>
            </w:pPr>
          </w:p>
        </w:tc>
      </w:tr>
      <w:tr>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sz w:val="24"/>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sz w:val="20"/>
                <w:szCs w:val="20"/>
              </w:rPr>
            </w:pPr>
          </w:p>
        </w:tc>
        <w:tc>
          <w:tcPr>
            <w:tcW w:w="10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sz w:val="20"/>
                <w:szCs w:val="20"/>
              </w:rP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村集体林业工作热情得到了显著提高， 形成了“集体林有人管、树有人看、责有人担”的良好局面，森林资源得到有效培育和保护，全县集体公益林区域内森林质量明显提高，集体林权属所有者生态补偿满意度极高。</w:t>
            </w:r>
          </w:p>
          <w:p>
            <w:pPr>
              <w:jc w:val="center"/>
              <w:rPr>
                <w:rFonts w:ascii="宋体" w:hAnsi="宋体" w:cs="宋体"/>
                <w:color w:val="000000"/>
                <w:sz w:val="20"/>
                <w:szCs w:val="20"/>
              </w:rPr>
            </w:pPr>
          </w:p>
        </w:tc>
      </w:tr>
      <w:tr>
        <w:tblPrEx>
          <w:tblCellMar>
            <w:top w:w="0" w:type="dxa"/>
            <w:left w:w="0" w:type="dxa"/>
            <w:bottom w:w="0" w:type="dxa"/>
            <w:right w:w="0" w:type="dxa"/>
          </w:tblCellMar>
        </w:tblPrEx>
        <w:trPr>
          <w:trHeight w:val="555" w:hRule="atLeast"/>
        </w:trPr>
        <w:tc>
          <w:tcPr>
            <w:tcW w:w="449" w:type="dxa"/>
            <w:tcBorders>
              <w:top w:val="nil"/>
              <w:left w:val="nil"/>
              <w:bottom w:val="nil"/>
              <w:right w:val="nil"/>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1883" w:type="dxa"/>
            <w:gridSpan w:val="3"/>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750"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18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754" w:type="dxa"/>
            <w:gridSpan w:val="2"/>
            <w:tcBorders>
              <w:top w:val="nil"/>
              <w:left w:val="nil"/>
              <w:bottom w:val="nil"/>
              <w:right w:val="nil"/>
            </w:tcBorders>
            <w:shd w:val="clear" w:color="auto" w:fill="auto"/>
            <w:tcMar>
              <w:top w:w="15" w:type="dxa"/>
              <w:left w:w="15" w:type="dxa"/>
              <w:right w:w="15" w:type="dxa"/>
            </w:tcMar>
            <w:vAlign w:val="center"/>
          </w:tcPr>
          <w:p>
            <w:pPr>
              <w:jc w:val="left"/>
              <w:rPr>
                <w:rFonts w:ascii="宋体" w:hAnsi="宋体" w:cs="宋体"/>
                <w:color w:val="000000"/>
                <w:sz w:val="20"/>
                <w:szCs w:val="20"/>
              </w:rPr>
            </w:pPr>
          </w:p>
        </w:tc>
        <w:tc>
          <w:tcPr>
            <w:tcW w:w="1634" w:type="dxa"/>
            <w:gridSpan w:val="2"/>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1871" w:type="dxa"/>
            <w:tcBorders>
              <w:top w:val="nil"/>
              <w:left w:val="nil"/>
              <w:bottom w:val="nil"/>
              <w:right w:val="nil"/>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本部门按要求对2020年部门整体支出绩效评价情况开展自评，《红原县林业和草原局部门2020年部门整体支出绩效评价报告》见附件。</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本部门自行组织对天然林保护工程项目、湿地生态效益补偿项目等4个项目开展了绩效评价，《天然林保护工程项目2020年绩效评价报告》《生态护林员项目2020年绩效评价报告》《湿地生态效益补偿项目2020年绩效评价报告》《森林生态效益补偿项目2020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1.</w:t>
      </w:r>
      <w:r>
        <w:rPr>
          <w:rFonts w:hint="eastAsia" w:ascii="仿宋_GB2312" w:eastAsia="仿宋_GB2312" w:cs="黑体"/>
          <w:sz w:val="32"/>
          <w:szCs w:val="32"/>
        </w:rPr>
        <w:t>财政拨款收入：指单位从同级财政部门取得的财政预算资金。</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2.</w:t>
      </w:r>
      <w:r>
        <w:rPr>
          <w:rFonts w:hint="eastAsia" w:ascii="仿宋_GB2312" w:eastAsia="仿宋_GB2312" w:cs="黑体"/>
          <w:sz w:val="32"/>
          <w:szCs w:val="32"/>
        </w:rPr>
        <w:t>事业收入：指事业单位开展专业业务活动及辅助活动取得的收入。</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3.</w:t>
      </w:r>
      <w:r>
        <w:rPr>
          <w:rFonts w:hint="eastAsia" w:ascii="仿宋_GB2312" w:eastAsia="仿宋_GB2312" w:cs="黑体"/>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4.</w:t>
      </w:r>
      <w:r>
        <w:rPr>
          <w:rFonts w:hint="eastAsia" w:ascii="仿宋_GB2312" w:eastAsia="仿宋_GB2312" w:cs="黑体"/>
          <w:sz w:val="32"/>
          <w:szCs w:val="32"/>
        </w:rPr>
        <w:t>其他收入：指单位取得的除上述收入以外的各项收入。</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5.</w:t>
      </w:r>
      <w:r>
        <w:rPr>
          <w:rFonts w:hint="eastAsia" w:ascii="仿宋_GB2312" w:eastAsia="仿宋_GB2312" w:cs="黑体"/>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6.</w:t>
      </w:r>
      <w:r>
        <w:rPr>
          <w:rFonts w:hint="eastAsia" w:ascii="仿宋_GB2312" w:eastAsia="仿宋_GB2312" w:cs="黑体"/>
          <w:sz w:val="32"/>
          <w:szCs w:val="32"/>
        </w:rPr>
        <w:t>年初结转和结余：指以前年度尚未完成、结转到本年按有关规定继续使用的资金。</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7.</w:t>
      </w:r>
      <w:r>
        <w:rPr>
          <w:rFonts w:hint="eastAsia" w:ascii="仿宋_GB2312" w:eastAsia="仿宋_GB2312" w:cs="黑体"/>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cs="黑体"/>
          <w:sz w:val="32"/>
          <w:szCs w:val="32"/>
        </w:rPr>
      </w:pPr>
      <w:r>
        <w:rPr>
          <w:rFonts w:ascii="仿宋_GB2312" w:eastAsia="仿宋_GB2312" w:cs="黑体"/>
          <w:sz w:val="32"/>
          <w:szCs w:val="32"/>
        </w:rPr>
        <w:t>8</w:t>
      </w:r>
      <w:r>
        <w:rPr>
          <w:rFonts w:hint="eastAsia" w:ascii="仿宋_GB2312" w:eastAsia="仿宋_GB2312" w:cs="黑体"/>
          <w:sz w:val="32"/>
          <w:szCs w:val="32"/>
        </w:rPr>
        <w:t>、年末结转和结余：指单位按有关规定结转到下年或以后年度继续使用的资金。</w:t>
      </w:r>
    </w:p>
    <w:p>
      <w:pPr>
        <w:spacing w:line="600" w:lineRule="exact"/>
        <w:ind w:firstLine="640" w:firstLineChars="200"/>
        <w:rPr>
          <w:rFonts w:ascii="仿宋_GB2312" w:eastAsia="仿宋_GB2312" w:cs="黑体"/>
          <w:sz w:val="32"/>
          <w:szCs w:val="32"/>
        </w:rPr>
      </w:pPr>
      <w:r>
        <w:rPr>
          <w:rFonts w:hint="eastAsia" w:ascii="仿宋_GB2312" w:eastAsia="仿宋_GB2312" w:cs="黑体"/>
          <w:sz w:val="32"/>
          <w:szCs w:val="32"/>
        </w:rPr>
        <w:t>9</w:t>
      </w:r>
      <w:r>
        <w:rPr>
          <w:rFonts w:ascii="仿宋_GB2312" w:eastAsia="仿宋_GB2312" w:cs="黑体"/>
          <w:sz w:val="32"/>
          <w:szCs w:val="32"/>
        </w:rPr>
        <w:t>.</w:t>
      </w:r>
      <w:r>
        <w:rPr>
          <w:rFonts w:hint="eastAsia" w:ascii="仿宋_GB2312" w:eastAsia="仿宋_GB2312" w:cs="黑体"/>
          <w:sz w:val="32"/>
          <w:szCs w:val="32"/>
        </w:rPr>
        <w:t>社会保障和就业208（类）：其中包括2080505-机关事业单位基本养老保险缴费支出，该支出主要用于支付职工机关事业单位基本养老保险缴费；2080506-机关事业单位职业年金缴费支出，该支出主要用于支付职工机关事业单位职业年金。</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10</w:t>
      </w:r>
      <w:r>
        <w:rPr>
          <w:rFonts w:ascii="仿宋_GB2312" w:eastAsia="仿宋_GB2312" w:cs="黑体"/>
          <w:sz w:val="32"/>
          <w:szCs w:val="32"/>
        </w:rPr>
        <w:t>.</w:t>
      </w:r>
      <w:r>
        <w:rPr>
          <w:rFonts w:hint="eastAsia" w:ascii="仿宋_GB2312" w:eastAsia="仿宋_GB2312" w:cs="黑体"/>
          <w:sz w:val="32"/>
          <w:szCs w:val="32"/>
        </w:rPr>
        <w:t>卫生健康支出210（类）:其中包括2101101-行政单位医疗支出，该支出主要用于支付行政单位医疗缴费；2101102-事业单位医疗支出，该支出主要用于支付业单位医疗支出；2101103-公务员医疗补助支出，该支出主要用于支付公务员医疗补助缴费；2101199-其他行政事业单位医疗支出，该支出主要用于支付其他行政事业单位医疗缴费。</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11</w:t>
      </w:r>
      <w:r>
        <w:rPr>
          <w:rFonts w:ascii="仿宋_GB2312" w:eastAsia="仿宋_GB2312" w:cs="黑体"/>
          <w:sz w:val="32"/>
          <w:szCs w:val="32"/>
        </w:rPr>
        <w:t>.</w:t>
      </w:r>
      <w:r>
        <w:rPr>
          <w:rFonts w:hint="eastAsia" w:ascii="仿宋_GB2312" w:eastAsia="仿宋_GB2312" w:cs="黑体"/>
          <w:sz w:val="32"/>
          <w:szCs w:val="32"/>
        </w:rPr>
        <w:t>节能环保支出211(类)：其中包括2110401-生态保护支出，</w:t>
      </w:r>
      <w:r>
        <w:rPr>
          <w:rFonts w:hint="eastAsia" w:ascii="仿宋_GB2312" w:eastAsia="仿宋_GB2312"/>
          <w:sz w:val="32"/>
          <w:szCs w:val="32"/>
        </w:rPr>
        <w:t>该支出主要用于生态保护项目支出</w:t>
      </w:r>
      <w:r>
        <w:rPr>
          <w:rFonts w:hint="eastAsia" w:ascii="仿宋_GB2312" w:eastAsia="仿宋_GB2312" w:cs="黑体"/>
          <w:sz w:val="32"/>
          <w:szCs w:val="32"/>
        </w:rPr>
        <w:t>；2110501-森林管护支出，</w:t>
      </w:r>
      <w:r>
        <w:rPr>
          <w:rFonts w:hint="eastAsia" w:ascii="仿宋_GB2312" w:eastAsia="仿宋_GB2312"/>
          <w:sz w:val="32"/>
          <w:szCs w:val="32"/>
        </w:rPr>
        <w:t>该支出主要用于森林管护项目支出</w:t>
      </w:r>
      <w:r>
        <w:rPr>
          <w:rFonts w:hint="eastAsia" w:ascii="仿宋_GB2312" w:eastAsia="仿宋_GB2312" w:cs="黑体"/>
          <w:sz w:val="32"/>
          <w:szCs w:val="32"/>
        </w:rPr>
        <w:t>；2110506-天然林保护工程建设支出，</w:t>
      </w:r>
      <w:r>
        <w:rPr>
          <w:rFonts w:hint="eastAsia" w:ascii="仿宋_GB2312" w:eastAsia="仿宋_GB2312"/>
          <w:sz w:val="32"/>
          <w:szCs w:val="32"/>
        </w:rPr>
        <w:t>该支出主要用于天然林保护工程建设项目支出</w:t>
      </w:r>
      <w:r>
        <w:rPr>
          <w:rFonts w:hint="eastAsia" w:ascii="仿宋_GB2312" w:eastAsia="仿宋_GB2312" w:cs="黑体"/>
          <w:sz w:val="32"/>
          <w:szCs w:val="32"/>
        </w:rPr>
        <w:t>；2110804-退牧还草工程建设支出，</w:t>
      </w:r>
      <w:r>
        <w:rPr>
          <w:rFonts w:hint="eastAsia" w:ascii="仿宋_GB2312" w:eastAsia="仿宋_GB2312"/>
          <w:sz w:val="32"/>
          <w:szCs w:val="32"/>
        </w:rPr>
        <w:t>该支出主要用于退牧还草项目支出</w:t>
      </w:r>
      <w:r>
        <w:rPr>
          <w:rFonts w:hint="eastAsia" w:ascii="仿宋_GB2312" w:eastAsia="仿宋_GB2312" w:cs="黑体"/>
          <w:sz w:val="32"/>
          <w:szCs w:val="32"/>
        </w:rPr>
        <w:t>；2119901-其他节能环保支出，</w:t>
      </w:r>
      <w:r>
        <w:rPr>
          <w:rFonts w:hint="eastAsia" w:ascii="仿宋_GB2312" w:eastAsia="仿宋_GB2312"/>
          <w:sz w:val="32"/>
          <w:szCs w:val="32"/>
        </w:rPr>
        <w:t>该支出主要用于其他节能环保项目支出</w:t>
      </w:r>
      <w:r>
        <w:rPr>
          <w:rFonts w:hint="eastAsia" w:ascii="仿宋_GB2312" w:eastAsia="仿宋_GB2312" w:cs="黑体"/>
          <w:sz w:val="32"/>
          <w:szCs w:val="32"/>
        </w:rPr>
        <w:t>。）</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12.农林水支出213（类）：其中包括2130119-防灾救灾支出，指主要用于森林、草原防灾减灾；2130199-其他农业支出，</w:t>
      </w:r>
      <w:r>
        <w:rPr>
          <w:rFonts w:hint="eastAsia" w:ascii="仿宋_GB2312" w:eastAsia="仿宋_GB2312"/>
          <w:sz w:val="32"/>
          <w:szCs w:val="32"/>
        </w:rPr>
        <w:t>指主要用于其他林业支出</w:t>
      </w:r>
      <w:r>
        <w:rPr>
          <w:rFonts w:hint="eastAsia" w:ascii="仿宋_GB2312" w:eastAsia="仿宋_GB2312" w:cs="黑体"/>
          <w:sz w:val="32"/>
          <w:szCs w:val="32"/>
        </w:rPr>
        <w:t>；2130201-行政运行支出，指主要用于职工一般公用经费；2130204-事业机构支出，</w:t>
      </w:r>
      <w:r>
        <w:rPr>
          <w:rFonts w:hint="eastAsia" w:ascii="仿宋_GB2312" w:eastAsia="仿宋_GB2312"/>
          <w:sz w:val="32"/>
          <w:szCs w:val="32"/>
        </w:rPr>
        <w:t>指主要用于林业事业机构支出经费</w:t>
      </w:r>
      <w:r>
        <w:rPr>
          <w:rFonts w:hint="eastAsia" w:ascii="仿宋_GB2312" w:eastAsia="仿宋_GB2312" w:cs="黑体"/>
          <w:sz w:val="32"/>
          <w:szCs w:val="32"/>
        </w:rPr>
        <w:t>；2130207-森林资源管理支出，</w:t>
      </w:r>
      <w:r>
        <w:rPr>
          <w:rFonts w:hint="eastAsia" w:ascii="仿宋_GB2312" w:eastAsia="仿宋_GB2312"/>
          <w:sz w:val="32"/>
          <w:szCs w:val="32"/>
        </w:rPr>
        <w:t>指主要用于森林资源管理</w:t>
      </w:r>
      <w:r>
        <w:rPr>
          <w:rFonts w:hint="eastAsia" w:ascii="仿宋_GB2312" w:eastAsia="仿宋_GB2312" w:cs="黑体"/>
          <w:sz w:val="32"/>
          <w:szCs w:val="32"/>
        </w:rPr>
        <w:t>；2130209-森林生态效益补偿支出，</w:t>
      </w:r>
      <w:r>
        <w:rPr>
          <w:rFonts w:hint="eastAsia" w:ascii="仿宋_GB2312" w:eastAsia="仿宋_GB2312"/>
          <w:sz w:val="32"/>
          <w:szCs w:val="32"/>
        </w:rPr>
        <w:t>指主要用于森林生态效益补偿兑现老百姓</w:t>
      </w:r>
      <w:r>
        <w:rPr>
          <w:rFonts w:hint="eastAsia" w:ascii="仿宋_GB2312" w:eastAsia="仿宋_GB2312" w:cs="黑体"/>
          <w:sz w:val="32"/>
          <w:szCs w:val="32"/>
        </w:rPr>
        <w:t>；2130212-湿地保护支出，</w:t>
      </w:r>
      <w:r>
        <w:rPr>
          <w:rFonts w:hint="eastAsia" w:ascii="仿宋_GB2312" w:eastAsia="仿宋_GB2312"/>
          <w:sz w:val="32"/>
          <w:szCs w:val="32"/>
        </w:rPr>
        <w:t>指主要用于湿地保护</w:t>
      </w:r>
      <w:r>
        <w:rPr>
          <w:rFonts w:hint="eastAsia" w:ascii="仿宋_GB2312" w:eastAsia="仿宋_GB2312" w:cs="黑体"/>
          <w:sz w:val="32"/>
          <w:szCs w:val="32"/>
        </w:rPr>
        <w:t>；2130217-防沙治沙支出，</w:t>
      </w:r>
      <w:r>
        <w:rPr>
          <w:rFonts w:hint="eastAsia" w:ascii="仿宋_GB2312" w:eastAsia="仿宋_GB2312"/>
          <w:sz w:val="32"/>
          <w:szCs w:val="32"/>
        </w:rPr>
        <w:t>指主要用于全县防沙治沙</w:t>
      </w:r>
      <w:r>
        <w:rPr>
          <w:rFonts w:hint="eastAsia" w:ascii="仿宋_GB2312" w:eastAsia="仿宋_GB2312" w:cs="黑体"/>
          <w:sz w:val="32"/>
          <w:szCs w:val="32"/>
        </w:rPr>
        <w:t>，；2130299-其他林业和草原支出，</w:t>
      </w:r>
      <w:r>
        <w:rPr>
          <w:rFonts w:hint="eastAsia" w:ascii="仿宋_GB2312" w:eastAsia="仿宋_GB2312"/>
          <w:sz w:val="32"/>
          <w:szCs w:val="32"/>
        </w:rPr>
        <w:t>指主要用于其他林业和草原</w:t>
      </w:r>
      <w:r>
        <w:rPr>
          <w:rFonts w:hint="eastAsia" w:ascii="仿宋_GB2312" w:eastAsia="仿宋_GB2312" w:cs="黑体"/>
          <w:sz w:val="32"/>
          <w:szCs w:val="32"/>
        </w:rPr>
        <w:t>；2130504-农村基础设施建设支出，指主要用于农村基础设施建设。）</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13.住房保障支出221（类）：其中包括2210201-住房公积金支出，该支出主要用于支付职工住房公积金）</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14</w:t>
      </w:r>
      <w:r>
        <w:rPr>
          <w:rFonts w:ascii="仿宋_GB2312" w:eastAsia="仿宋_GB2312" w:cs="黑体"/>
          <w:sz w:val="32"/>
          <w:szCs w:val="32"/>
        </w:rPr>
        <w:t>.</w:t>
      </w:r>
      <w:r>
        <w:rPr>
          <w:rFonts w:hint="eastAsia" w:ascii="仿宋_GB2312" w:eastAsia="仿宋_GB2312" w:cs="黑体"/>
          <w:sz w:val="32"/>
          <w:szCs w:val="32"/>
        </w:rPr>
        <w:t>基本支出：指为保障机构正常运转、完成日常工作任务而发生的人员支出和公用支出。</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15</w:t>
      </w:r>
      <w:r>
        <w:rPr>
          <w:rFonts w:ascii="仿宋_GB2312" w:eastAsia="仿宋_GB2312" w:cs="黑体"/>
          <w:sz w:val="32"/>
          <w:szCs w:val="32"/>
        </w:rPr>
        <w:t>.</w:t>
      </w:r>
      <w:r>
        <w:rPr>
          <w:rFonts w:hint="eastAsia" w:ascii="仿宋_GB2312" w:eastAsia="仿宋_GB2312" w:cs="黑体"/>
          <w:sz w:val="32"/>
          <w:szCs w:val="32"/>
        </w:rPr>
        <w:t>项目支出：指在基本支出之外为完成特定行政任务和事业发展目标所发生的支出。</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16</w:t>
      </w:r>
      <w:r>
        <w:rPr>
          <w:rFonts w:ascii="仿宋_GB2312" w:eastAsia="仿宋_GB2312" w:cs="黑体"/>
          <w:sz w:val="32"/>
          <w:szCs w:val="32"/>
        </w:rPr>
        <w:t>.</w:t>
      </w:r>
      <w:r>
        <w:rPr>
          <w:rFonts w:hint="eastAsia" w:ascii="仿宋_GB2312" w:eastAsia="仿宋_GB2312" w:cs="黑体"/>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17</w:t>
      </w:r>
      <w:r>
        <w:rPr>
          <w:rFonts w:ascii="仿宋_GB2312" w:eastAsia="仿宋_GB2312" w:cs="黑体"/>
          <w:sz w:val="32"/>
          <w:szCs w:val="32"/>
        </w:rPr>
        <w:t>.</w:t>
      </w:r>
      <w:r>
        <w:rPr>
          <w:rFonts w:hint="eastAsia" w:ascii="仿宋_GB2312" w:eastAsia="仿宋_GB2312" w:cs="黑体"/>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18</w:t>
      </w:r>
      <w:r>
        <w:rPr>
          <w:rFonts w:ascii="仿宋_GB2312" w:eastAsia="仿宋_GB2312" w:cs="黑体"/>
          <w:sz w:val="32"/>
          <w:szCs w:val="32"/>
        </w:rPr>
        <w:t>.</w:t>
      </w:r>
      <w:r>
        <w:rPr>
          <w:rFonts w:hint="eastAsia" w:ascii="仿宋_GB2312" w:eastAsia="仿宋_GB2312" w:cs="黑体"/>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仿宋_GB2312" w:eastAsia="仿宋_GB2312" w:cs="黑体"/>
          <w:sz w:val="32"/>
          <w:szCs w:val="32"/>
        </w:rPr>
      </w:pPr>
    </w:p>
    <w:p>
      <w:pPr>
        <w:spacing w:line="600" w:lineRule="exact"/>
        <w:ind w:firstLine="2640" w:firstLineChars="600"/>
        <w:outlineLvl w:val="0"/>
        <w:rPr>
          <w:rStyle w:val="28"/>
          <w:rFonts w:ascii="黑体" w:hAnsi="黑体" w:eastAsia="黑体"/>
          <w:b w:val="0"/>
        </w:rPr>
      </w:pPr>
      <w:bookmarkStart w:id="57" w:name="_Toc15396614"/>
      <w:bookmarkStart w:id="58" w:name="_Toc15377226"/>
      <w:r>
        <w:rPr>
          <w:rFonts w:hint="eastAsia" w:ascii="黑体" w:hAnsi="黑体" w:eastAsia="黑体"/>
          <w:color w:val="000000"/>
          <w:sz w:val="44"/>
          <w:szCs w:val="44"/>
        </w:rPr>
        <w:t>第</w:t>
      </w:r>
      <w:r>
        <w:rPr>
          <w:rStyle w:val="28"/>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红原县林业和草原局</w:t>
      </w:r>
      <w:r>
        <w:rPr>
          <w:rFonts w:hint="eastAsia" w:ascii="方正小标宋简体" w:hAnsi="宋体" w:eastAsia="方正小标宋简体"/>
          <w:color w:val="000000"/>
          <w:kern w:val="0"/>
          <w:sz w:val="40"/>
          <w:szCs w:val="44"/>
          <w:lang w:val="zh-CN"/>
        </w:rPr>
        <w:t>部门</w:t>
      </w:r>
      <w:r>
        <w:rPr>
          <w:rFonts w:hint="eastAsia" w:ascii="方正小标宋简体" w:hAnsi="宋体" w:eastAsia="方正小标宋简体"/>
          <w:color w:val="000000"/>
          <w:kern w:val="0"/>
          <w:sz w:val="40"/>
          <w:szCs w:val="44"/>
        </w:rPr>
        <w:t>2020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0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Calibri" w:hAnsi="Calibri" w:eastAsia="仿宋_GB2312"/>
          <w:sz w:val="30"/>
          <w:szCs w:val="30"/>
        </w:rPr>
        <w:t>我单位为行政单位，</w:t>
      </w:r>
      <w:r>
        <w:rPr>
          <w:rFonts w:hint="eastAsia" w:ascii="仿宋_GB2312" w:hAnsi="仿宋" w:eastAsia="仿宋_GB2312"/>
          <w:sz w:val="32"/>
          <w:szCs w:val="32"/>
        </w:rPr>
        <w:t>2020年年末独立编制机构数2个</w:t>
      </w:r>
      <w:r>
        <w:rPr>
          <w:rFonts w:hint="eastAsia" w:ascii="仿宋_GB2312" w:eastAsia="仿宋_GB2312"/>
          <w:sz w:val="30"/>
          <w:szCs w:val="30"/>
        </w:rPr>
        <w:t>。</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pStyle w:val="8"/>
        <w:adjustRightInd w:val="0"/>
        <w:snapToGrid w:val="0"/>
        <w:spacing w:before="93" w:line="560" w:lineRule="exact"/>
        <w:ind w:firstLine="630" w:firstLineChars="210"/>
        <w:outlineLvl w:val="2"/>
        <w:rPr>
          <w:rFonts w:ascii="Calibri" w:hAnsi="Calibri"/>
          <w:kern w:val="2"/>
          <w:szCs w:val="30"/>
        </w:rPr>
      </w:pPr>
      <w:r>
        <w:rPr>
          <w:rFonts w:hint="eastAsia" w:ascii="Calibri" w:hAnsi="Calibri"/>
          <w:kern w:val="2"/>
          <w:szCs w:val="30"/>
        </w:rPr>
        <w:t>1.贯彻执行林业及生态建设的法律、法规、规章和方针政策；负责林业及其生态建设的监督管理;负责拟订林业发展战略、中长期规划；承担林业生态文明建设的有关工作。</w:t>
      </w:r>
    </w:p>
    <w:p>
      <w:pPr>
        <w:pStyle w:val="15"/>
        <w:widowControl/>
        <w:snapToGrid w:val="0"/>
        <w:spacing w:before="0" w:beforeAutospacing="0" w:after="0" w:afterAutospacing="0" w:line="560" w:lineRule="exact"/>
        <w:rPr>
          <w:rFonts w:ascii="Calibri" w:hAnsi="Calibri" w:eastAsia="仿宋_GB2312"/>
          <w:kern w:val="2"/>
          <w:sz w:val="30"/>
          <w:szCs w:val="30"/>
        </w:rPr>
      </w:pPr>
      <w:r>
        <w:rPr>
          <w:rFonts w:hint="eastAsia" w:ascii="Calibri" w:hAnsi="Calibri" w:eastAsia="仿宋_GB2312"/>
          <w:kern w:val="2"/>
          <w:sz w:val="30"/>
          <w:szCs w:val="30"/>
        </w:rPr>
        <w:t>　　2.组织、协调、指导和监督造林绿化工作。组织实施植树造林、封山育林和以植树种草等生物措施防治水土流失工作，指导、监督全民义务植树、造林绿化工作；依法负责退耕还林工作；承担林业应对气候变化的相关工作；承担县绿化委员会的日常工作。</w:t>
      </w:r>
    </w:p>
    <w:p>
      <w:pPr>
        <w:pStyle w:val="15"/>
        <w:widowControl/>
        <w:snapToGrid w:val="0"/>
        <w:spacing w:before="0" w:beforeAutospacing="0" w:after="0" w:afterAutospacing="0" w:line="560" w:lineRule="exact"/>
        <w:rPr>
          <w:rFonts w:ascii="Calibri" w:hAnsi="Calibri" w:eastAsia="仿宋_GB2312"/>
          <w:kern w:val="2"/>
          <w:sz w:val="30"/>
          <w:szCs w:val="30"/>
        </w:rPr>
      </w:pPr>
      <w:r>
        <w:rPr>
          <w:rFonts w:hint="eastAsia" w:ascii="Calibri" w:hAnsi="Calibri" w:eastAsia="仿宋_GB2312"/>
          <w:kern w:val="2"/>
          <w:sz w:val="30"/>
          <w:szCs w:val="30"/>
        </w:rPr>
        <w:t>　　3.承担森林资源保护发展监督管理的责任。依法编制、审核森林采伐限额并监督执行，监督管理林（竹）木的凭证采伐、运输和经营加工，负责组织、指导林地、林权管理，负责重点国有林区森林资源资产产权变动的审核，依法承担应由县政府批准的林地征收、征用、占用的初审工作；负责天然林保护工作。</w:t>
      </w:r>
    </w:p>
    <w:p>
      <w:pPr>
        <w:pStyle w:val="15"/>
        <w:widowControl/>
        <w:snapToGrid w:val="0"/>
        <w:spacing w:before="0" w:beforeAutospacing="0" w:after="0" w:afterAutospacing="0" w:line="560" w:lineRule="exact"/>
        <w:rPr>
          <w:rFonts w:ascii="Calibri" w:hAnsi="Calibri" w:eastAsia="仿宋_GB2312"/>
          <w:kern w:val="2"/>
          <w:sz w:val="30"/>
          <w:szCs w:val="30"/>
        </w:rPr>
      </w:pPr>
      <w:r>
        <w:rPr>
          <w:rFonts w:hint="eastAsia" w:ascii="Calibri" w:hAnsi="Calibri" w:eastAsia="仿宋_GB2312"/>
          <w:kern w:val="2"/>
          <w:sz w:val="30"/>
          <w:szCs w:val="30"/>
        </w:rPr>
        <w:t>　　4.组织、协调、指导和监督湿地保护工作。拟订湿地保护规划，组织实施湿地保护小区、湿地公园等保护管理工作，监督湿地的合理利用。</w:t>
      </w:r>
    </w:p>
    <w:p>
      <w:pPr>
        <w:pStyle w:val="15"/>
        <w:widowControl/>
        <w:snapToGrid w:val="0"/>
        <w:spacing w:before="0" w:beforeAutospacing="0" w:after="0" w:afterAutospacing="0" w:line="560" w:lineRule="exact"/>
        <w:ind w:firstLine="630"/>
        <w:rPr>
          <w:rFonts w:ascii="Calibri" w:hAnsi="Calibri" w:eastAsia="仿宋_GB2312"/>
          <w:kern w:val="2"/>
          <w:sz w:val="30"/>
          <w:szCs w:val="30"/>
        </w:rPr>
      </w:pPr>
      <w:r>
        <w:rPr>
          <w:rFonts w:hint="eastAsia" w:ascii="Calibri" w:hAnsi="Calibri" w:eastAsia="仿宋_GB2312"/>
          <w:kern w:val="2"/>
          <w:sz w:val="30"/>
          <w:szCs w:val="30"/>
        </w:rPr>
        <w:t>5.组织、协调、指导和监督石漠化治理工作。组织拟订并实施石漠化治理保护区建设规划。</w:t>
      </w:r>
    </w:p>
    <w:p>
      <w:pPr>
        <w:pStyle w:val="15"/>
        <w:widowControl/>
        <w:snapToGrid w:val="0"/>
        <w:spacing w:before="0" w:beforeAutospacing="0" w:after="0" w:afterAutospacing="0" w:line="560" w:lineRule="exact"/>
        <w:ind w:firstLine="630"/>
        <w:rPr>
          <w:rFonts w:ascii="Calibri" w:hAnsi="Calibri" w:eastAsia="仿宋_GB2312"/>
          <w:kern w:val="2"/>
          <w:sz w:val="30"/>
          <w:szCs w:val="30"/>
        </w:rPr>
      </w:pPr>
    </w:p>
    <w:p>
      <w:pPr>
        <w:pStyle w:val="15"/>
        <w:widowControl/>
        <w:shd w:val="clear" w:color="auto" w:fill="FFFFFF"/>
        <w:spacing w:before="105" w:beforeAutospacing="0" w:after="105" w:afterAutospacing="0" w:line="30" w:lineRule="atLeast"/>
        <w:ind w:firstLine="640"/>
        <w:rPr>
          <w:rFonts w:ascii="Calibri" w:hAnsi="Calibri" w:eastAsia="仿宋_GB2312"/>
          <w:kern w:val="2"/>
          <w:sz w:val="30"/>
          <w:szCs w:val="30"/>
        </w:rPr>
      </w:pPr>
      <w:r>
        <w:rPr>
          <w:rFonts w:hint="eastAsia" w:ascii="Calibri" w:hAnsi="Calibri" w:eastAsia="仿宋_GB2312"/>
          <w:kern w:val="2"/>
          <w:sz w:val="30"/>
          <w:szCs w:val="30"/>
        </w:rPr>
        <w:t>6.承担全县草原保护建设工作，负责承担草原建设与保护规划的编制和组织实施；组织编制全县草原资源与动态监测规划，组织、协调、指导全县草原面积、生产能力、生态环境状况及草原保护与建设效益的监测、测报；负责全县草原鼠虫害预测预报、“两化三害”(沙化、退化、鼠害、虫害、毒杂草害)草地的综合防治工作；负责全县的优良牧草种子繁育基地建设，草种质量检验，优良牧草品种的培育、引种和筛选工作：组织全县开展草原建设与保护，种草养畜、鼠虫害等先进技术的推广服务工作；负责全县草原野生植物资源的保护和合理开发利用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我单位共有编制</w:t>
      </w:r>
      <w:r>
        <w:rPr>
          <w:rFonts w:hint="eastAsia" w:ascii="仿宋_GB2312" w:hAnsi="宋体" w:eastAsia="仿宋_GB2312" w:cs="宋体"/>
          <w:color w:val="000000"/>
          <w:kern w:val="0"/>
          <w:sz w:val="32"/>
          <w:szCs w:val="32"/>
          <w:shd w:val="clear" w:color="auto" w:fill="FFFFFF"/>
        </w:rPr>
        <w:t>105</w:t>
      </w:r>
      <w:r>
        <w:rPr>
          <w:rFonts w:hint="eastAsia" w:ascii="仿宋_GB2312" w:hAnsi="宋体" w:eastAsia="仿宋_GB2312" w:cs="宋体"/>
          <w:color w:val="000000"/>
          <w:kern w:val="0"/>
          <w:sz w:val="32"/>
          <w:szCs w:val="32"/>
          <w:shd w:val="clear" w:color="auto" w:fill="FFFFFF"/>
          <w:lang w:val="zh-CN"/>
        </w:rPr>
        <w:t>个，其中</w:t>
      </w:r>
      <w:r>
        <w:rPr>
          <w:rFonts w:hint="eastAsia" w:ascii="仿宋_GB2312" w:hAnsi="宋体" w:eastAsia="仿宋_GB2312" w:cs="宋体"/>
          <w:color w:val="000000"/>
          <w:kern w:val="0"/>
          <w:sz w:val="32"/>
          <w:szCs w:val="32"/>
          <w:shd w:val="clear" w:color="auto" w:fill="FFFFFF"/>
        </w:rPr>
        <w:t>行政</w:t>
      </w:r>
      <w:r>
        <w:rPr>
          <w:rFonts w:hint="eastAsia" w:ascii="仿宋_GB2312" w:hAnsi="宋体" w:eastAsia="仿宋_GB2312" w:cs="宋体"/>
          <w:color w:val="000000"/>
          <w:kern w:val="0"/>
          <w:sz w:val="32"/>
          <w:szCs w:val="32"/>
          <w:shd w:val="clear" w:color="auto" w:fill="FFFFFF"/>
          <w:lang w:val="zh-CN"/>
        </w:rPr>
        <w:t>编制</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个，行政工勤编制1个，事业编制</w:t>
      </w:r>
      <w:r>
        <w:rPr>
          <w:rFonts w:hint="eastAsia" w:ascii="仿宋_GB2312" w:hAnsi="宋体" w:eastAsia="仿宋_GB2312" w:cs="宋体"/>
          <w:color w:val="000000"/>
          <w:kern w:val="0"/>
          <w:sz w:val="32"/>
          <w:szCs w:val="32"/>
          <w:shd w:val="clear" w:color="auto" w:fill="FFFFFF"/>
        </w:rPr>
        <w:t>95</w:t>
      </w:r>
      <w:r>
        <w:rPr>
          <w:rFonts w:hint="eastAsia" w:ascii="仿宋_GB2312" w:hAnsi="宋体" w:eastAsia="仿宋_GB2312" w:cs="宋体"/>
          <w:color w:val="000000"/>
          <w:kern w:val="0"/>
          <w:sz w:val="32"/>
          <w:szCs w:val="32"/>
          <w:shd w:val="clear" w:color="auto" w:fill="FFFFFF"/>
          <w:lang w:val="zh-CN"/>
        </w:rPr>
        <w:t>个。</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2020年本单位财政资金收入</w:t>
      </w:r>
      <w:r>
        <w:rPr>
          <w:rFonts w:hint="eastAsia" w:ascii="宋体" w:hAnsi="宋体" w:cs="宋体"/>
          <w:color w:val="000000" w:themeColor="text1"/>
          <w:sz w:val="32"/>
          <w:szCs w:val="32"/>
        </w:rPr>
        <w:t>14797.07</w:t>
      </w:r>
      <w:r>
        <w:rPr>
          <w:rFonts w:hint="eastAsia" w:ascii="仿宋" w:hAnsi="仿宋" w:eastAsia="仿宋" w:cs="仿宋_GB2312"/>
          <w:sz w:val="32"/>
          <w:szCs w:val="32"/>
        </w:rPr>
        <w:t>万元。</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w:t>
      </w:r>
      <w:r>
        <w:rPr>
          <w:rFonts w:hint="eastAsia" w:ascii="仿宋_GB2312" w:hAnsi="宋体" w:eastAsia="仿宋_GB2312" w:cs="宋体"/>
          <w:color w:val="000000"/>
          <w:kern w:val="0"/>
          <w:sz w:val="32"/>
          <w:szCs w:val="32"/>
          <w:shd w:val="clear" w:color="auto" w:fill="FFFFFF"/>
        </w:rPr>
        <w:t>本单位财政资金</w:t>
      </w:r>
      <w:r>
        <w:rPr>
          <w:rFonts w:hint="eastAsia" w:ascii="仿宋_GB2312" w:hAnsi="宋体" w:eastAsia="仿宋_GB2312" w:cs="宋体"/>
          <w:color w:val="000000"/>
          <w:kern w:val="0"/>
          <w:sz w:val="32"/>
          <w:szCs w:val="32"/>
          <w:shd w:val="clear" w:color="auto" w:fill="FFFFFF"/>
          <w:lang w:val="zh-CN"/>
        </w:rPr>
        <w:t>支出</w:t>
      </w:r>
      <w:r>
        <w:rPr>
          <w:rFonts w:hint="eastAsia" w:ascii="宋体" w:hAnsi="宋体" w:cs="宋体"/>
          <w:color w:val="000000" w:themeColor="text1"/>
          <w:sz w:val="32"/>
          <w:szCs w:val="32"/>
        </w:rPr>
        <w:t>12147.92</w:t>
      </w:r>
      <w:r>
        <w:rPr>
          <w:rFonts w:hint="eastAsia" w:ascii="仿宋_GB2312" w:hAnsi="宋体" w:eastAsia="仿宋_GB2312" w:cs="宋体"/>
          <w:color w:val="000000"/>
          <w:kern w:val="0"/>
          <w:sz w:val="32"/>
          <w:szCs w:val="32"/>
          <w:shd w:val="clear" w:color="auto" w:fill="FFFFFF"/>
          <w:lang w:val="zh-CN"/>
        </w:rPr>
        <w:t>万元。</w:t>
      </w:r>
    </w:p>
    <w:p>
      <w:pPr>
        <w:widowControl/>
        <w:adjustRightInd w:val="0"/>
        <w:snapToGrid w:val="0"/>
        <w:spacing w:line="580" w:lineRule="exact"/>
        <w:ind w:firstLine="320" w:firstLineChars="100"/>
        <w:contextualSpacing/>
        <w:jc w:val="left"/>
        <w:rPr>
          <w:rFonts w:hint="eastAsia" w:ascii="仿宋_GB2312" w:hAnsi="仿宋" w:eastAsia="仿宋_GB2312" w:cs="仿宋"/>
          <w:sz w:val="32"/>
          <w:szCs w:val="32"/>
        </w:rPr>
      </w:pPr>
      <w:r>
        <w:rPr>
          <w:rFonts w:hint="eastAsia" w:ascii="仿宋_GB2312" w:hAnsi="仿宋" w:eastAsia="仿宋_GB2312" w:cs="仿宋"/>
          <w:sz w:val="32"/>
          <w:szCs w:val="32"/>
        </w:rPr>
        <w:t>（其中社会保障和就业（类）支出210.86万元；卫生健康(类)支出103.41万元；节能环保（类）支出5067.38万元；农林水（类）支出6397.98万元；住房保障(类)支出136.08万元；灾害防治及应急管理支出117.81万元；文化旅游体育与传媒支出114.40万元。）</w:t>
      </w:r>
    </w:p>
    <w:p>
      <w:pPr>
        <w:widowControl/>
        <w:adjustRightInd w:val="0"/>
        <w:snapToGrid w:val="0"/>
        <w:spacing w:line="580" w:lineRule="exact"/>
        <w:ind w:firstLine="320" w:firstLineChars="1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numPr>
          <w:ilvl w:val="0"/>
          <w:numId w:val="5"/>
        </w:num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预算编制情况，按照县级部门预算编制通知和相关要求，按时完成部门年初预算编制和报送工作，在财政部门批复后二十日内向社会进行了公开。在编制过程中，认真核实单位实际财政供养人数和单位实有编制情况，正确编制人员经费和公用经费等，做到尽量细化项目资金支出预算范围和科目。</w:t>
      </w:r>
    </w:p>
    <w:p>
      <w:pPr>
        <w:numPr>
          <w:ilvl w:val="0"/>
          <w:numId w:val="5"/>
        </w:num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执行管理情况，严格按照财政有关规定，职工工资等人员经费按月发放，公务费按季申报。在支付方式上，工资和项目资金实行财政直接支付，公用经费申请实行授权支付并尽量采取公务卡支付和转账支付，减少现金支出。严格控制“三公”经费的规模和比例，把关“三公”经费支出的审核、审批，杜绝挪用和挤占其他预算资金行为；进一步细化“三公”经费的管理，合理压缩“三公”经费支出，接待费严格按照标准，没有超出文件规定。</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支出控制，2020年本单位财政资金支出</w:t>
      </w:r>
      <w:r>
        <w:rPr>
          <w:rFonts w:hint="eastAsia" w:ascii="宋体" w:hAnsi="宋体" w:cs="宋体"/>
          <w:color w:val="000000" w:themeColor="text1"/>
          <w:sz w:val="32"/>
          <w:szCs w:val="32"/>
        </w:rPr>
        <w:t>12147.92</w:t>
      </w:r>
      <w:r>
        <w:rPr>
          <w:rFonts w:hint="eastAsia" w:ascii="仿宋_GB2312" w:hAnsi="仿宋" w:eastAsia="仿宋_GB2312" w:cs="仿宋"/>
          <w:sz w:val="32"/>
          <w:szCs w:val="32"/>
        </w:rPr>
        <w:t>万元（其中社会保障和就业（类）支出210.86万元；卫生健康(类)支出103.41万元；节能环保（类）支出5067.38万元；农林水（类）支出6397.98万元；住房保障(类)支出136.08万元；灾害防治及应急管理支出117.81万元；文化旅游体育与传媒支出114.40万元。）</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综合管理情况，(1)资产管理：完善了固定资产档案，2020年对固定资产进行了了一次全面清查；(2)内部管理制度建设情况为规范财务管理，建立健全财务管理制度，制定了内部财务管理制度，管理制度依照相关国家的法律、法规而制定的，具有合法性、合规性、完整性；相关管理制度得到认真执行，制定了《机关工作人员差旅费管理办法及出差审批制度内部操作制定》等内部制度。</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5.财政监督情况，我单位财务管理制度健全，执行制度严格合规，会计核算符合相关规定，资金支付依据和开支标准合法合规，严格执行政府采购制度。资金管理做到专人管理，专款专用。</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bCs/>
          <w:sz w:val="32"/>
          <w:szCs w:val="32"/>
        </w:rPr>
        <w:t>6.执行情况及完成情况，</w:t>
      </w:r>
      <w:r>
        <w:rPr>
          <w:rFonts w:hint="eastAsia" w:ascii="仿宋_GB2312" w:hAnsi="仿宋" w:eastAsia="仿宋_GB2312" w:cs="仿宋"/>
          <w:sz w:val="32"/>
          <w:szCs w:val="32"/>
        </w:rPr>
        <w:t>我单位今年根据财政资金的安排情况，严格控制经费管理，未存在超预算，不按规定追加预算现象。严格规范“三公”经费，严格控制公务接待经费、公务用车维护经费等公用经费支出。我单位今年进一步规范和修改财务管理制度，进一步防范贪污、挪用、截留等现象发生。</w:t>
      </w:r>
      <w:r>
        <w:rPr>
          <w:rFonts w:hint="eastAsia" w:ascii="仿宋_GB2312" w:hAnsi="仿宋_GB2312" w:eastAsia="仿宋_GB2312" w:cs="仿宋_GB2312"/>
          <w:sz w:val="32"/>
          <w:szCs w:val="32"/>
        </w:rPr>
        <w:t>本部门还自行组织了4个项目绩效评价，从评价情况来看项目整体绩效目标达到预定目标完成时效达成预期目标。</w:t>
      </w:r>
    </w:p>
    <w:p>
      <w:pPr>
        <w:spacing w:line="560" w:lineRule="exact"/>
        <w:ind w:firstLine="480" w:firstLineChars="150"/>
        <w:rPr>
          <w:rFonts w:ascii="仿宋_GB2312" w:eastAsia="仿宋_GB2312"/>
          <w:bCs/>
          <w:sz w:val="32"/>
          <w:szCs w:val="32"/>
        </w:rPr>
      </w:pPr>
      <w:r>
        <w:rPr>
          <w:rFonts w:hint="eastAsia" w:ascii="仿宋_GB2312" w:hAnsi="仿宋_GB2312" w:eastAsia="仿宋_GB2312" w:cs="仿宋_GB2312"/>
          <w:sz w:val="32"/>
          <w:szCs w:val="32"/>
        </w:rPr>
        <w:t xml:space="preserve"> 7.</w:t>
      </w:r>
      <w:r>
        <w:rPr>
          <w:rFonts w:hint="eastAsia" w:ascii="仿宋_GB2312" w:eastAsia="仿宋_GB2312"/>
          <w:bCs/>
          <w:sz w:val="32"/>
          <w:szCs w:val="32"/>
        </w:rPr>
        <w:t>绩效目标及完成情况</w:t>
      </w:r>
    </w:p>
    <w:p>
      <w:pPr>
        <w:spacing w:line="58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rPr>
        <w:t>退牧还草项目</w:t>
      </w:r>
      <w:r>
        <w:rPr>
          <w:rFonts w:hint="eastAsia" w:ascii="仿宋_GB2312" w:hAnsi="仿宋" w:eastAsia="仿宋_GB2312" w:cs="仿宋"/>
          <w:sz w:val="32"/>
          <w:szCs w:val="32"/>
          <w:lang w:val="zh-CN"/>
        </w:rPr>
        <w:t>绩效情况</w:t>
      </w:r>
      <w:r>
        <w:rPr>
          <w:rFonts w:hint="eastAsia" w:ascii="仿宋_GB2312" w:hAnsi="仿宋" w:eastAsia="仿宋_GB2312" w:cs="仿宋"/>
          <w:sz w:val="32"/>
          <w:szCs w:val="32"/>
          <w:lang w:val="zh-CN"/>
        </w:rPr>
        <w:tab/>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（1）目标质量完成情况</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完成划区轮牧围栏建设2万亩围栏安装，退化草原改良24万亩天然草地补播，毒害草2万亩治理、人工种草1.4万亩，黑土滩治理1万亩。</w:t>
      </w:r>
    </w:p>
    <w:p>
      <w:pPr>
        <w:spacing w:line="58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lang w:val="zh-CN"/>
        </w:rPr>
        <w:t>（</w:t>
      </w:r>
      <w:r>
        <w:rPr>
          <w:rFonts w:hint="eastAsia" w:ascii="仿宋_GB2312" w:hAnsi="仿宋" w:eastAsia="仿宋_GB2312" w:cs="仿宋"/>
          <w:sz w:val="32"/>
          <w:szCs w:val="32"/>
        </w:rPr>
        <w:t>2</w:t>
      </w:r>
      <w:r>
        <w:rPr>
          <w:rFonts w:hint="eastAsia" w:ascii="仿宋_GB2312" w:hAnsi="仿宋" w:eastAsia="仿宋_GB2312" w:cs="仿宋"/>
          <w:sz w:val="32"/>
          <w:szCs w:val="32"/>
          <w:lang w:val="zh-CN"/>
        </w:rPr>
        <w:t>）项目效益情况</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提高草地生产力，转变传统的畜牧业生产方式，促进畜牧经济发展和农牧民增收。项目的实施，有效地保护了草原，提高了牧草产量，夯实了畜牧业发展的物质基础，缓解了草畜矛盾，转变了传统的畜牧业生产方式,促进畜牧业发展和农牧民增收，为项目区的广大农牧民脱贫致富奔小康，提高生活质量奠定了坚实基础。</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提高牧民抗灾救灾能力，维护民族地区的社会稳定。项目的实施，草地生产力得到大幅度提高，农牧民可在人工饲草地刈割青草，进行冬草贮备，从而增强示范区农牧民抗灾救灾能力，减少牲畜的掉膘和死亡，增加牧业收入，维护民族地区的社会稳定。</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3、提高全民生态环境意识，促进社会进步。该项目属于生态环境保护治理项目。通过项目的实施提高广大干部群众的生态环境保护意识，从而有效保护草原，促进社会文明进步。</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直接经济效。项目建成后，草原植被盖度增加，牧草高度增加，产草量得到提高。据测算，本项目实施划区轮牧5万亩，每亩可增产鲜草50公斤，年可曾鲜草2500吨；退化草地改良24万亩，每亩可增产90公斤鲜草，年可增产鲜草21600吨；人工种草1.4万亩，每亩增产鲜草1000公斤，年增加鲜草14000万吨；毒害草治理2万亩，每亩增加鲜草100公斤，年可增鲜草2000吨；黑土滩治理1万亩，每亩增加鲜草200公斤，年增加鲜草2000吨，以上建设内容实施后，共计年可增产鲜草4.21万吨，每吨鲜草按400元计算，折合现金1684万元人民币，经济效益显著</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5、间接经济效。 通过退牧还草工程项目建设，项目区内优质牧草种类增多，比例加大，大大提高了草原饲用价值；草原植被的覆盖度和草层高度得到提高，增强了植物光合作用，提高了草原第一性生产力。客观上增加了土壤中有机质含量，提高了土壤肥力，使草地土壤状况得到改善，从而促进草地生态系统向良性循环方向发展。较好的植被、土壤状况能够有效地抑制鼠虫的危害，减少灾害损失，形成可观的间接经济效益。</w:t>
      </w:r>
    </w:p>
    <w:p>
      <w:pPr>
        <w:spacing w:line="58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rPr>
        <w:t>湿地补偿</w:t>
      </w:r>
      <w:r>
        <w:rPr>
          <w:rFonts w:hint="eastAsia" w:ascii="仿宋_GB2312" w:hAnsi="仿宋" w:eastAsia="仿宋_GB2312" w:cs="仿宋"/>
          <w:sz w:val="32"/>
          <w:szCs w:val="32"/>
          <w:lang w:val="zh-CN"/>
        </w:rPr>
        <w:t>项目绩效情况</w:t>
      </w:r>
      <w:r>
        <w:rPr>
          <w:rFonts w:hint="eastAsia" w:ascii="仿宋_GB2312" w:hAnsi="仿宋" w:eastAsia="仿宋_GB2312" w:cs="仿宋"/>
          <w:sz w:val="32"/>
          <w:szCs w:val="32"/>
          <w:lang w:val="zh-CN"/>
        </w:rPr>
        <w:tab/>
      </w:r>
    </w:p>
    <w:p>
      <w:pPr>
        <w:spacing w:line="58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lang w:val="zh-CN"/>
        </w:rPr>
        <w:t>（</w:t>
      </w:r>
      <w:r>
        <w:rPr>
          <w:rFonts w:hint="eastAsia" w:ascii="仿宋_GB2312" w:hAnsi="仿宋" w:eastAsia="仿宋_GB2312" w:cs="仿宋"/>
          <w:sz w:val="32"/>
          <w:szCs w:val="32"/>
        </w:rPr>
        <w:t>1</w:t>
      </w:r>
      <w:r>
        <w:rPr>
          <w:rFonts w:hint="eastAsia" w:ascii="仿宋_GB2312" w:hAnsi="仿宋" w:eastAsia="仿宋_GB2312" w:cs="仿宋"/>
          <w:sz w:val="32"/>
          <w:szCs w:val="32"/>
          <w:lang w:val="zh-CN"/>
        </w:rPr>
        <w:t>）项目完成情况。</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2020年4月,阿坝州财政局、林草局《下达2020年省级林业草原改革发展专项资金（第一批）预算的通知》（阿州财资环〔2020〕27号），其中湿地生态效益补偿资金1439万元，组织相关人员编制完成《红原县2020年省级湿地生态补偿实施方案》，在征求县财政局、县司法局意见后，于2020年5月获得红原县人民政府的批复，组织各乡镇已开展完成三级目标责任书的签订，审定生态补偿人员并进行公示，由于项目为脱贫攻坚专项项目，按照方案10月底由县财政局、县林草局组成的县级验收小组对各乡镇生态补偿工作开展情况及牧户管护情况进行验收。验收合格公示无异议后11月由金融机构通过“一卡通”的方式兑现补偿资金，共计1438.6万元，享受生态补偿共6282户牧户，目前已完成资金兑现。</w:t>
      </w:r>
    </w:p>
    <w:p>
      <w:pPr>
        <w:spacing w:line="58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lang w:val="zh-CN"/>
        </w:rPr>
        <w:t>（</w:t>
      </w:r>
      <w:r>
        <w:rPr>
          <w:rFonts w:hint="eastAsia" w:ascii="仿宋_GB2312" w:hAnsi="仿宋" w:eastAsia="仿宋_GB2312" w:cs="仿宋"/>
          <w:sz w:val="32"/>
          <w:szCs w:val="32"/>
        </w:rPr>
        <w:t>2</w:t>
      </w:r>
      <w:r>
        <w:rPr>
          <w:rFonts w:hint="eastAsia" w:ascii="仿宋_GB2312" w:hAnsi="仿宋" w:eastAsia="仿宋_GB2312" w:cs="仿宋"/>
          <w:sz w:val="32"/>
          <w:szCs w:val="32"/>
          <w:lang w:val="zh-CN"/>
        </w:rPr>
        <w:t>）项目效益情况。</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1．生态效益</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2.社会效益</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3.经济效益</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湿地生态补偿工作结合精准扶贫，有效帮扶了一批贫困户，提高了牧户收入，此次补偿工作共计6282户，共兑现资金1438.6万元，平均每户每年增加收入2290.04元。其中贫困户768户，兑现资金约152.09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根据《红原县部门支出绩效评价指标体系》自查的分95分，总体评价较好。</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对绩效评价工作的认识不够。通过绩效评价工作的逐步推进，各部门逐步树立了绩效理念，对预算计算评价工作的态度由“被动接受”变为“主动实施”，但了解还不够深入，对单位绩效不重视，认为绩效评价只是财务部门的事情，相关项目职责部门配合不够，往往只能提供有限的财经资料或简单的工作计划、工作总结，绩效评价工作资料非常有限，内容粗浅。大部分单位直接借用工作计划，工作总结等做为绩效自评报告的主要内容。</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人员素质有待进一步提高。由于预算绩效管理工作开展时间短，涉及面广，专业性强，加上缺乏系统的培训，无论是预算单位还是财政部门相关人员，对预算绩效管理理解不充分，对预算绩效管理业务不精通，在一定程度上影响了绩效评价工作质量。</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1、完善绩效评价工作制度。 一是逐步建立和完善财政支出绩效评价相关制度，包括绩效目标审查制度、项目绩效考核制度、绩效奖惩制度等；二是建议将预算绩效管理与政府绩效考评结合起来，将单位预算绩效考评工作纳入到政府对单位的绩效考核当中，前者主要是项目层面的管理，后者是部门层面的管理，二者应该是一种互相促动的关系，即构建一套符合公共需求的绩效目标体系，提高政府的公共服务水平。</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学习培训，提升业务能力。由于绩效评价工作要求高，工作量大，涉及项目业务、财务、效益待多方面的专业知识，对各预算部门、财政部门的机构能力和人员素质来说，无疑是一场严峻的考验，只有通过进行多方位多层次的学习培训，努力提高相关人员素质，才能真正将预算绩效管理工作落实到位。对内财政部门相关人员可以通过业务培训、考察交流和实地调研等形式开展，在实际工作中不断积累经验，加强理论研究；对外加强对部门单位的绩效管理知识培训，可以采取邀请专家讲课、财政部门辅导和案例剖析等方式，不断提升绩效人员业务能力。</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3、加大宣传力度，树立绩效管理理念。通过各种媒介、各种形式和渠道，加大绩效管理理念宣传，创造良好社会舆论氛围，不断提高部门（单位）的绩效意识，发挥各部门在预算绩效管理中的主体作用。</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2020年天然林保护工程项目项目支出绩效评价报告</w:t>
      </w:r>
    </w:p>
    <w:p>
      <w:pPr>
        <w:spacing w:line="600" w:lineRule="exact"/>
        <w:rPr>
          <w:rFonts w:ascii="宋体" w:hAnsi="宋体"/>
          <w:sz w:val="32"/>
          <w:szCs w:val="32"/>
          <w:lang w:val="zh-CN"/>
        </w:rPr>
      </w:pP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（一）项目基本情况。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天然林资源保护工程财政专项项目主要包括：继续停止天然林商品性采伐，管护森林面积2241885亩，其中，国有林2189722亩，集体林48857亩。加强森林资源培育，不断扩大森林资源面积；完善国有林业单位职工基本养老、基本医疗、失业、工伤、生育等五项社会保险和政策性社会性支出补助政策；落实管护责任制；加强落实全县国有（集体）公益林管理责任制和森林生态效益补偿资金兑现工作，进一步改善和提高林区生产生活环境，健全林业职工的社会保障体系；生态状况从逐步好转进一步向明显改善转变，生物多样性明显增加，森林生态功能明显增强；增加从事林业就业岗位，促进地方社会稳定。</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红原县2020年天然林资源保护工程财政专项项目立项和资金申报的主要依据是根据《红原县天然林保护工程二期实施方案》进行项目资金的申报，经阿坝州人民政府同意实施。</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2020年天然林资源保护工程财政专项项目的主要内容通过落实管护责任，依法对全县2241885亩森林资源实施常年有效管护。将工程区内分流到森林管护岗位的职工全部纳入社会养老、医疗、失业、工伤、生育保险范畴，并按期足额缴纳了年度各项费用，实现了“应保全保”，参保率100%，解决了广大林区职工的后顾之忧。</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红原县天然林保护工程项目用于国有林管护资金和天保人员的社会保险补助资金的</w:t>
      </w:r>
      <w:r>
        <w:rPr>
          <w:rFonts w:hint="eastAsia" w:ascii="仿宋_GB2312" w:hAnsi="仿宋_GB2312" w:eastAsia="仿宋_GB2312" w:cs="仿宋_GB2312"/>
          <w:sz w:val="32"/>
          <w:szCs w:val="32"/>
          <w:lang w:val="zh-CN"/>
        </w:rPr>
        <w:t>申报内容与天然林保护工程实施方案内容相符，申报目标合理可行。</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红原县2020年天然林资源保护工程财政专项项目立项和资金申报的主要依据是根据《红原县天然林保护工程二期实施方案》进行项目资金的申报，经阿坝州人民政府同意实施。并于</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zh-CN"/>
        </w:rPr>
        <w:t>日获得《阿坝州财政局</w:t>
      </w:r>
      <w:r>
        <w:rPr>
          <w:rFonts w:hint="eastAsia" w:ascii="仿宋_GB2312" w:hAnsi="仿宋_GB2312" w:eastAsia="仿宋_GB2312" w:cs="仿宋_GB2312"/>
          <w:sz w:val="32"/>
          <w:szCs w:val="32"/>
        </w:rPr>
        <w:t xml:space="preserve"> 阿坝州林业和草原局</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年中央财政林业改革发展资金预算的通知》（阿州财资环〔20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号）的批复。</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资金计划、到位及使用情况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1．资金计划。</w:t>
      </w:r>
      <w:r>
        <w:rPr>
          <w:rFonts w:hint="eastAsia" w:ascii="仿宋_GB2312" w:hAnsi="仿宋_GB2312" w:eastAsia="仿宋_GB2312" w:cs="仿宋_GB2312"/>
          <w:sz w:val="32"/>
          <w:szCs w:val="32"/>
        </w:rPr>
        <w:t>红原县2020年天然林资源保护工程财政专项项目资金计划分别为</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568.38万元，主要用于天保工程的森林管护支出。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rPr>
        <w:t>红原县2020年天然林资源保护工程财政专项项目资金实际到位情况为林业改革发展资金568.38万元，（其中</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568.38万元）。</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rPr>
        <w:t>一是红原县2020年天然林资源保护工程政专项项目资金实际使用情况：国有林管护使用资金为178.25万元。</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（三）项目财务管理情况。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我局对天然林资源保护工程财政专项资金实行专帐管理、单独核算、专款专用，对国有林管护资金实行专业账户进行兑付，在专项资金是使用管理中由县林草局进行专项资金的使用申报，并由于分管林业的副县长签字审核后，经县财政局审核同意拨付使用。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我县成立红原县天然林保护领导小组和管理办公室，办公室设在县林草局森林资源管理股，处理我县天然林保护工程实施方案内容的日常事务，项目资金管理支出由局计财股具体实施。</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1.项目完成任务量。我县公益林面积220.3357万亩，其中国有公益林面积215.4091万亩，集体公益林面积4.9266万亩,生态效益补偿面积覆盖率为 100%。</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完成质量。2020年度我局通过层层落实了管护责任制，全县签订国有林管护合同48份，完成率达100%。加强监督与管理，杜绝滥砍乱伐、毁林开垦的现象发生，牲畜破坏国有林的情况也逐减少，国有林的管护取得了明显成绩，行政案件逐年降低。</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3.项目完成进度。2020年度天然林资源保护工程财政专项项目管护率达到100%。</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（二）项目效益情况。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生态效益，通过常年以来的管理与管护，基本杜绝了乱砍乱伐现象，资源保护明显加强。通过宣传使当地农民认识到了天然林保护的重要性，杜绝了乱砍乱伐现象，围绕停、减、管、造全面采取措施，天然林得到修养生息，天然林资源得到了有效的保护，森林蓄积量得到有效的增长，2020年度我县的森林覆盖率达到了8.44%。林分质量得到改善，通过茂密的林冠，纵横交错的根系来阻挡和减缓雨水对土壤的冲刷和侵蚀,减少土壤的流失；通过树冠、树干、枯枝落叶层以及根系的吸滞、存贮作用，发挥了涵养水源的作用，生态环境得到了进一步的改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社会效益，天然林保护工程是我县重大民生工程，通过项目的实施，促进社会稳定，生态得到保护，农户增收，充分体现了党和国家对人民群众的关心，密切党群关系，提高党和政府在人民心目中的地位，是一项民心工程、德政工程。 </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3.经济效益，实施天然林保护工程任务以来我县当地农牧民从该项项目中得到经济收入稳步提高，2020年度通过天保工程项目，按照我县农牧民33428人数折算，从天保工程项目人均增收达到37.76元/人。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由于我局天保人员身份变为事业身份天保工程资金存量过大，无法使用。</w:t>
      </w:r>
      <w:r>
        <w:rPr>
          <w:rFonts w:hint="eastAsia" w:ascii="仿宋_GB2312" w:hAnsi="仿宋_GB2312" w:eastAsia="仿宋_GB2312" w:cs="仿宋_GB2312"/>
          <w:sz w:val="32"/>
          <w:szCs w:val="32"/>
          <w:lang w:val="zh-CN"/>
        </w:rPr>
        <w:tab/>
      </w:r>
    </w:p>
    <w:p>
      <w:p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（二）相关建议。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一是建议州级政府部门能够出台县级国有林管理工作和管护经费的相关政策，并能落实到县级财政预算中；</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建议提高现行国有林中央财政补偿基金标准，实行分类补偿能否根据区域生态的重要性和脆弱性，并综合考虑森林质量、地位级差、管护难度等指标，对现有国有林进行分类补偿，再根据国家财力情况，逐步提高补偿标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三是能否积极利用市场机制实现补偿森林生态效益的有效途径，建立国有林资源保护的受益者直接补偿体系，能否落实下游地区对上游地区的国有林给予政策性补偿；</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是对于部分立地条件相对较好、生态区位不十分敏感的国有林，可以考虑在不会对生态带来影响的前提下，开展抚育、更新性质的采伐，充分利用国有林的景观资源、林下资源，加大开展国有林的非木质的经营利用，在提高国有林林分质量的同时增加当地农牧民的经济收入。</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2020年湿地生态补偿项目项目支出绩效评价报告</w:t>
      </w:r>
    </w:p>
    <w:p>
      <w:pPr>
        <w:autoSpaceDE w:val="0"/>
        <w:spacing w:line="560" w:lineRule="exact"/>
        <w:ind w:firstLine="640"/>
        <w:rPr>
          <w:rFonts w:ascii="仿宋_GB2312" w:hAnsi="仿宋_GB2312" w:eastAsia="仿宋_GB2312" w:cs="仿宋_GB2312"/>
          <w:sz w:val="32"/>
          <w:szCs w:val="32"/>
        </w:rPr>
      </w:pPr>
    </w:p>
    <w:p>
      <w:pPr>
        <w:autoSpaceDE w:val="0"/>
        <w:spacing w:line="560" w:lineRule="exact"/>
        <w:ind w:firstLine="640"/>
        <w:rPr>
          <w:rFonts w:ascii="仿宋_GB2312" w:hAnsi="仿宋_GB2312" w:eastAsia="仿宋_GB2312" w:cs="仿宋_GB2312"/>
          <w:sz w:val="32"/>
          <w:szCs w:val="32"/>
        </w:rPr>
      </w:pPr>
    </w:p>
    <w:p>
      <w:pPr>
        <w:numPr>
          <w:ilvl w:val="0"/>
          <w:numId w:val="6"/>
        </w:numPr>
        <w:spacing w:line="58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项目概况</w:t>
      </w:r>
    </w:p>
    <w:p>
      <w:p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（一）项目资金申报及批复情况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4月,阿坝州财政局、林草局《下达2020年省级林业草原改革发展专项资金（第一批）预算的通知》（阿州财资环〔2020〕27号），其中湿地生态效益补偿资金1439万元，组织相关人员编制完成《红原县2020年省级湿地生态补偿实施方案》，在征求县财政局、县司法局意见后，于2020年5月获得红原县人民政府的批复，组织各乡镇已开展完成三级目标责任书的签订，审定生态补偿人员并进行公示，由于项目为脱贫攻坚专项项目，按照方案10月底由县财政局、县林草局组成的县级验收小组对各乡镇生态补偿工作开展情况及牧户管护情况进行验收。验收合格公示无异议后11月由金融机构通过“一卡通”的方式兑现补偿资金，共计1438.6万元，享受生态补偿共6282户牧户，目前已完成资金兑现。</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（二）试点目标和主要任务</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开展省级湿地生态补偿试点工作，有效保护原有湿地面积，遏制湿地退化。湿地生态功能得到有效提升，湿地生态文明建设取得长久进步，生态经济取得一定成果，农牧民收入得到明显增加。为全面建立省级湿地生态补偿机制探索方式、积累经验。</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（一）资金计划、到位及使用情况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4月阿坝州财政局、林业局《下达2020年省级林业草原改革发展专项资金（第一批）预算的通知》（阿州财资环〔2020〕27号），下达湿地生态补偿项目资金1439万元。按照实施方案及红原实际情况，经验收合格后，兑现资金共计1438.6万元，结余资金0.4万元。</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表.资金计划、到位及使用情况表</w:t>
      </w:r>
    </w:p>
    <w:tbl>
      <w:tblPr>
        <w:tblStyle w:val="16"/>
        <w:tblW w:w="6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6"/>
        <w:gridCol w:w="1330"/>
        <w:gridCol w:w="119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2796" w:type="dxa"/>
            <w:noWrap/>
            <w:vAlign w:val="center"/>
          </w:tcPr>
          <w:p>
            <w:pPr>
              <w:spacing w:line="580" w:lineRule="exact"/>
              <w:rPr>
                <w:rFonts w:ascii="仿宋_GB2312" w:hAnsi="仿宋_GB2312" w:eastAsia="仿宋_GB2312" w:cs="仿宋_GB2312"/>
                <w:sz w:val="15"/>
                <w:szCs w:val="15"/>
              </w:rPr>
            </w:pPr>
            <w:r>
              <w:rPr>
                <w:rFonts w:hint="eastAsia" w:ascii="仿宋_GB2312" w:hAnsi="仿宋_GB2312" w:eastAsia="仿宋_GB2312" w:cs="仿宋_GB2312"/>
                <w:sz w:val="15"/>
                <w:szCs w:val="15"/>
              </w:rPr>
              <w:t>资金下达文号</w:t>
            </w:r>
          </w:p>
        </w:tc>
        <w:tc>
          <w:tcPr>
            <w:tcW w:w="1330" w:type="dxa"/>
            <w:noWrap/>
            <w:vAlign w:val="center"/>
          </w:tcPr>
          <w:p>
            <w:pPr>
              <w:spacing w:line="580" w:lineRule="exact"/>
              <w:rPr>
                <w:rFonts w:ascii="仿宋_GB2312" w:hAnsi="仿宋_GB2312" w:eastAsia="仿宋_GB2312" w:cs="仿宋_GB2312"/>
                <w:sz w:val="15"/>
                <w:szCs w:val="15"/>
              </w:rPr>
            </w:pPr>
            <w:r>
              <w:rPr>
                <w:rFonts w:hint="eastAsia" w:ascii="仿宋_GB2312" w:hAnsi="仿宋_GB2312" w:eastAsia="仿宋_GB2312" w:cs="仿宋_GB2312"/>
                <w:sz w:val="15"/>
                <w:szCs w:val="15"/>
              </w:rPr>
              <w:t>资金到位</w:t>
            </w:r>
          </w:p>
        </w:tc>
        <w:tc>
          <w:tcPr>
            <w:tcW w:w="1190" w:type="dxa"/>
            <w:noWrap/>
            <w:vAlign w:val="center"/>
          </w:tcPr>
          <w:p>
            <w:pPr>
              <w:spacing w:line="580" w:lineRule="exact"/>
              <w:rPr>
                <w:rFonts w:ascii="仿宋_GB2312" w:hAnsi="仿宋_GB2312" w:eastAsia="仿宋_GB2312" w:cs="仿宋_GB2312"/>
                <w:sz w:val="15"/>
                <w:szCs w:val="15"/>
              </w:rPr>
            </w:pPr>
            <w:r>
              <w:rPr>
                <w:rFonts w:hint="eastAsia" w:ascii="仿宋_GB2312" w:hAnsi="仿宋_GB2312" w:eastAsia="仿宋_GB2312" w:cs="仿宋_GB2312"/>
                <w:sz w:val="15"/>
                <w:szCs w:val="15"/>
              </w:rPr>
              <w:t>资金到位</w:t>
            </w:r>
          </w:p>
        </w:tc>
        <w:tc>
          <w:tcPr>
            <w:tcW w:w="1332" w:type="dxa"/>
            <w:noWrap/>
            <w:vAlign w:val="center"/>
          </w:tcPr>
          <w:p>
            <w:pPr>
              <w:spacing w:line="580" w:lineRule="exact"/>
              <w:rPr>
                <w:rFonts w:ascii="仿宋_GB2312" w:hAnsi="仿宋_GB2312" w:eastAsia="仿宋_GB2312" w:cs="仿宋_GB2312"/>
                <w:sz w:val="15"/>
                <w:szCs w:val="15"/>
              </w:rPr>
            </w:pPr>
            <w:r>
              <w:rPr>
                <w:rFonts w:hint="eastAsia" w:ascii="仿宋_GB2312" w:hAnsi="仿宋_GB2312" w:eastAsia="仿宋_GB2312" w:cs="仿宋_GB2312"/>
                <w:sz w:val="15"/>
                <w:szCs w:val="15"/>
              </w:rPr>
              <w:t>资金结余（万元）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6" w:type="dxa"/>
            <w:noWrap/>
            <w:vAlign w:val="center"/>
          </w:tcPr>
          <w:p>
            <w:pPr>
              <w:spacing w:line="580" w:lineRule="exact"/>
              <w:rPr>
                <w:rFonts w:ascii="仿宋_GB2312" w:hAnsi="仿宋_GB2312" w:eastAsia="仿宋_GB2312" w:cs="仿宋_GB2312"/>
                <w:sz w:val="15"/>
                <w:szCs w:val="15"/>
              </w:rPr>
            </w:pPr>
            <w:r>
              <w:rPr>
                <w:rFonts w:hint="eastAsia" w:ascii="仿宋_GB2312" w:hAnsi="仿宋_GB2312" w:eastAsia="仿宋_GB2312" w:cs="仿宋_GB2312"/>
                <w:sz w:val="15"/>
                <w:szCs w:val="15"/>
              </w:rPr>
              <w:t>阿州财资环〔2020〕27号</w:t>
            </w:r>
          </w:p>
        </w:tc>
        <w:tc>
          <w:tcPr>
            <w:tcW w:w="1330" w:type="dxa"/>
            <w:noWrap/>
            <w:vAlign w:val="center"/>
          </w:tcPr>
          <w:p>
            <w:pPr>
              <w:spacing w:line="580" w:lineRule="exact"/>
              <w:ind w:firstLine="300" w:firstLineChars="200"/>
              <w:rPr>
                <w:rFonts w:ascii="仿宋_GB2312" w:hAnsi="仿宋_GB2312" w:eastAsia="仿宋_GB2312" w:cs="仿宋_GB2312"/>
                <w:sz w:val="15"/>
                <w:szCs w:val="15"/>
              </w:rPr>
            </w:pPr>
            <w:r>
              <w:rPr>
                <w:rFonts w:hint="eastAsia" w:ascii="仿宋_GB2312" w:hAnsi="仿宋_GB2312" w:eastAsia="仿宋_GB2312" w:cs="仿宋_GB2312"/>
                <w:sz w:val="15"/>
                <w:szCs w:val="15"/>
              </w:rPr>
              <w:t>1439.00</w:t>
            </w:r>
          </w:p>
        </w:tc>
        <w:tc>
          <w:tcPr>
            <w:tcW w:w="1190" w:type="dxa"/>
            <w:noWrap/>
            <w:vAlign w:val="center"/>
          </w:tcPr>
          <w:p>
            <w:pPr>
              <w:spacing w:line="580" w:lineRule="exact"/>
              <w:ind w:firstLine="300" w:firstLineChars="200"/>
              <w:rPr>
                <w:rFonts w:ascii="仿宋_GB2312" w:hAnsi="仿宋_GB2312" w:eastAsia="仿宋_GB2312" w:cs="仿宋_GB2312"/>
                <w:sz w:val="15"/>
                <w:szCs w:val="15"/>
              </w:rPr>
            </w:pPr>
            <w:r>
              <w:rPr>
                <w:rFonts w:hint="eastAsia" w:ascii="仿宋_GB2312" w:hAnsi="仿宋_GB2312" w:eastAsia="仿宋_GB2312" w:cs="仿宋_GB2312"/>
                <w:sz w:val="15"/>
                <w:szCs w:val="15"/>
              </w:rPr>
              <w:t>1438.60</w:t>
            </w:r>
          </w:p>
        </w:tc>
        <w:tc>
          <w:tcPr>
            <w:tcW w:w="1332" w:type="dxa"/>
            <w:noWrap/>
            <w:vAlign w:val="center"/>
          </w:tcPr>
          <w:p>
            <w:pPr>
              <w:spacing w:line="580" w:lineRule="exact"/>
              <w:ind w:firstLine="300" w:firstLineChars="200"/>
              <w:rPr>
                <w:rFonts w:ascii="仿宋_GB2312" w:hAnsi="仿宋_GB2312" w:eastAsia="仿宋_GB2312" w:cs="仿宋_GB2312"/>
                <w:sz w:val="15"/>
                <w:szCs w:val="15"/>
              </w:rPr>
            </w:pPr>
            <w:r>
              <w:rPr>
                <w:rFonts w:hint="eastAsia" w:ascii="仿宋_GB2312" w:hAnsi="仿宋_GB2312" w:eastAsia="仿宋_GB2312" w:cs="仿宋_GB2312"/>
                <w:sz w:val="15"/>
                <w:szCs w:val="15"/>
              </w:rPr>
              <w:t>0.40</w:t>
            </w:r>
          </w:p>
        </w:tc>
      </w:tr>
    </w:tbl>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（二）项目财务管理情况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建设资金使用采取一卡通转账制。资金要按照项目会计制度进行管理,实行专户存储,专人管理,做到专款专用。项目资金要严格按照批复方案列支,要实行项目预算制和决算制,严禁挤占挪用。要加强对资金使用的检查和监督,建立健全项目建设的财务管理和审计制度,加强对建设项目的检察监督,充分发挥审计和资金管理部门的监督作用,以确保项目的顺利进行及效益的正常发挥。项目实施过程中,要切实落实好配套资金,建资金要及时、足额地拨付,不得以任何名义截留。</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三、工作进展情况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（一）成立工作小组，加强组织管理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湿地生态补偿是一项新的工作，试点工作好坏关系到林业振兴和县域经济发展，关系到解决湿地发展建设的动力和机制问题。为此，我们高度重视，认真对待。县、乡（镇）分别成立领导小组。从县环林局、财政等部门抽调精干力量，专门负责四川省省级湿地生态补偿政策的落实、推进和监督管理工作。各乡镇指派专人协助部门工作的协调开展。</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（二）建立健全管理制度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我县实际情况，制定了《红原县省级湿地生态补偿资金管理实施细则》、《红原县省级湿地生态补偿验收办法》、《红原县省级湿地生态补偿目标责任书》（其中责任书分为乡镇、村、个人三个级别）。并经政府常务会议第13届36次会议审议通过。建立乡镇、村、个人三级责任制，层层签订还湿工程、湿地管护合同或协议，组织开展常年管护。此外，各乡镇建立湿地补偿试点工作管理制度、监督检查制度、档案管理制度、奖惩制度，加强管理基层湿地生态补偿工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（三）广泛组织宣传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多种形式加强湿地生态补偿宣传工作，提高牧户保护湿地意识。首先，各乡镇通过召开村民大会传达省级湿地生态补偿，让牧户知晓补偿政策；其次，结合“世界湿地日”、“野生动植物保护日”等主题活动加大湿地保护宣传；最后，与牧户签订藏汉双语版的目标责任书，让广大农牧民群众充分认识实施补偿政策的重大意义，知晓补偿内容，明确自身权利和义务责任。</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（四）制定工作计划，工作开展有序</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将湿地生态补偿工作细化，从初步开展到验收分解为核实分解阶段、检查复核阶段、综合验收阶段、兑现补偿阶段、自查总结阶段五个阶段，明确各个阶段的目标与期限，使工作开展有序。</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（五）加强资金管理，强化信息交流</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先验收、再公示、后兑现”的原则，对签订管护责任书的管护人员进行检查验收，对验收情况实行村级公示制，将领取补偿资金的人员名单、补助标准、补助面积、补助金额以及管护任务完成情况等张榜公示。公示时间不得少于7天。县林草局、县财政局和金融机构按照拨款程序将补偿资金直接兑现到履行义务、考评合格的管护人员，实行省级湿地生态补偿资金认领签收制度，将认领签收情况造册登记，报县林草局、县财政局备案。</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三、取得的主要成效</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（一）生态效益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年来红原县投资约7948万元，在全县范围内开展湿地保护与恢复工程共恢复湿地面积约6290公顷。通过省级湿地生态补偿试点项目的开展，有效的巩固了湿地保护与恢复工程的成效，为后续我县湿地工程项目的开展奠定了群众基础。全面维护了湿地生态系统和生物多样性的完整性，全县沼泽湿地得到有效管护，湿地保护率达到95%。野生动植物保护率达到90%。也减少了破坏湿地资源及野生动物资源的案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（二）社会效益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省级湿地生态补偿，使民众的湿地保护行动逐步由消极被动转为积极主动，为广泛、深入、持久地开展湿地生态保护打下良好的基础。湿地生态补偿工作也起到很好的宣传效果，使红原县成为全省及黄河流域湿地保护的重要宣传阵地。同时，群众积极参与湿地保护工作，严厉打击破坏湿地资源与野生动植物资源的行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（三）经济效益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湿地生态补偿工作结合精准扶贫，有效帮扶了一批贫困户，提高了牧户收入，此次补偿工作共计6282户，共兑现资金1438.6万元，平均每户每年增加收入2290.04元。其中贫困户768户，兑现资金约152.09万元，为稳定民生做出贡献。此外，良好的生态环境和丰富的生物多样性是周边地区社会经济可持续发展的重要保障。保护湿地资源有利于提升县域景观质量，促进生态旅游事业的发展，进而促进两县的经济发展，提高湿地周边区域群众的收入水平。</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四、存在的主要问题、困难和意见建议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通过项目的开展及验收查看各乡镇资料与当地群众反应，湿地补偿工作还存在着一些问题，现将各类问题总结如下，并提出相应建议。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（一）存在的问题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1.补偿资金未考虑项目管理经费，而我县为贫困县，财政困难，无法保障湿地生态补偿工作经费，项目监管及检查验收难以系统深入。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补偿标准过低，据2013年草原监测报告显示，全州天然草原平均鲜草亩产326.9公斤，湿地草原平均鲜草产量为420公斤/亩，可食牧草比例达80%，按利用率90%计算，平均6亩草地养活1个羊单位的牲畜，按1头牦牛折算5个羊单位计算，饲养1头牦牛需要30亩草原。按牦牛5.5岁出栏、市值6000元/头计算，湿地草原养畜产值达40元/亩.年以上。</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（二）相关建议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1.建议在补偿资金中考虑项目管理经费，主要用于项目实施工程中的工作经费、湿地面积核查经费和项目成效监测经费，允许购买技术服务，弥补当地的技术力量不足的问题。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建议湿地补偿标准根据当地生产生活水平适当浮动。对红原县一般湿地开展湿地管护补助和禁牧还湿补偿，其中湿地管护补助标准为每亩每年8元；禁牧还湿补偿标准为每亩每年160元.对重点湿地（日干乔湿地自然保护区和嘎曲国家湿地公园）开展季节性限牧还湿补偿和禁牧还湿补偿，并聘请季节性限牧还湿区生态管护员（每个联户各聘请一名），其中季节性限牧还湿补偿标准为每亩每年80元；禁牧还湿补偿禁牧补偿标准为每亩每年160元；季节性管护人员每月1380元，每年8个月。</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3.2018年，我县在邛溪镇开展川西藏区脆弱区综合治理湿地保护与恢复工程，恢复湿地面积796亩，建议将这部份湿地纳入还湿工程补偿，按照每亩每年25元的标准执行。</w:t>
      </w:r>
    </w:p>
    <w:p>
      <w:pPr>
        <w:adjustRightInd w:val="0"/>
        <w:snapToGrid w:val="0"/>
        <w:spacing w:line="560" w:lineRule="exact"/>
        <w:ind w:firstLine="640" w:firstLineChars="200"/>
        <w:jc w:val="left"/>
        <w:rPr>
          <w:rFonts w:ascii="仿宋" w:hAnsi="仿宋" w:eastAsia="仿宋" w:cs="仿宋"/>
          <w:color w:val="000000"/>
          <w:sz w:val="32"/>
          <w:szCs w:val="32"/>
        </w:rPr>
      </w:pPr>
    </w:p>
    <w:p>
      <w:pPr>
        <w:spacing w:line="580" w:lineRule="exact"/>
        <w:rPr>
          <w:rFonts w:ascii="仿宋_GB2312" w:hAnsi="仿宋_GB2312" w:eastAsia="仿宋_GB2312" w:cs="仿宋_GB2312"/>
          <w:sz w:val="32"/>
          <w:szCs w:val="32"/>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2020年生态护林员项目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autoSpaceDE w:val="0"/>
        <w:spacing w:line="560" w:lineRule="exact"/>
        <w:ind w:firstLine="640"/>
        <w:rPr>
          <w:rFonts w:ascii="仿宋_GB2312" w:hAnsi="仿宋_GB2312" w:eastAsia="仿宋_GB2312" w:cs="仿宋_GB2312"/>
          <w:sz w:val="32"/>
          <w:szCs w:val="32"/>
        </w:rPr>
      </w:pPr>
    </w:p>
    <w:p>
      <w:pPr>
        <w:adjustRightInd w:val="0"/>
        <w:snapToGrid w:val="0"/>
        <w:spacing w:line="560" w:lineRule="exact"/>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p>
    <w:p>
      <w:pPr>
        <w:spacing w:line="560" w:lineRule="exact"/>
        <w:ind w:firstLine="640" w:firstLineChars="200"/>
        <w:rPr>
          <w:rFonts w:ascii="仿宋_GB2312" w:hAnsi="仿宋_GB2312" w:eastAsia="仿宋_GB2312" w:cs="仿宋_GB2312"/>
          <w:kern w:val="0"/>
          <w:sz w:val="32"/>
          <w:szCs w:val="32"/>
          <w:lang w:val="zh-CN"/>
        </w:rPr>
      </w:pPr>
      <w:r>
        <w:rPr>
          <w:rFonts w:hint="eastAsia" w:ascii="仿宋_GB2312" w:hAnsi="仿宋_GB2312" w:eastAsia="仿宋_GB2312" w:cs="仿宋_GB2312"/>
          <w:sz w:val="32"/>
          <w:szCs w:val="32"/>
        </w:rPr>
        <w:t>为切实贯彻习近平总书记关于“让有劳动力的贫困人口就地转成护林员等生态保护人员”的重要指示精神的具体体现，按照《四川省建档立卡贫困人口生态护林（草）员管理办法实施细则》和《红原县整合开发生态公益性岗位助推脱贫攻坚实施方案（2018-2020）》等相关生态扶贫文件精神要求，结合红原县生态精准扶贫的总体要求，</w:t>
      </w:r>
      <w:r>
        <w:rPr>
          <w:rFonts w:hint="eastAsia" w:ascii="仿宋_GB2312" w:hAnsi="仿宋_GB2312" w:eastAsia="仿宋_GB2312" w:cs="仿宋_GB2312"/>
          <w:kern w:val="0"/>
          <w:sz w:val="32"/>
          <w:szCs w:val="32"/>
        </w:rPr>
        <w:t>深入贯彻县委、县人民政府制定的坚持生态优先、保护与建设并举的方针，利用生态补偿和生态保护工程资金使当地有劳动能力的部分贫困人口转为生态护林员，</w:t>
      </w:r>
      <w:r>
        <w:rPr>
          <w:rFonts w:hint="eastAsia" w:ascii="仿宋_GB2312" w:hAnsi="仿宋_GB2312" w:eastAsia="仿宋_GB2312" w:cs="仿宋_GB2312"/>
          <w:sz w:val="32"/>
          <w:szCs w:val="32"/>
        </w:rPr>
        <w:t>是打赢脱贫攻坚战的主要举措结，确保贫困群众增收和</w:t>
      </w:r>
      <w:r>
        <w:rPr>
          <w:rFonts w:hint="eastAsia" w:ascii="仿宋_GB2312" w:hAnsi="仿宋_GB2312" w:eastAsia="仿宋_GB2312" w:cs="仿宋_GB2312"/>
          <w:kern w:val="0"/>
          <w:sz w:val="32"/>
          <w:szCs w:val="32"/>
        </w:rPr>
        <w:t>全面建设小康社会</w:t>
      </w:r>
      <w:r>
        <w:rPr>
          <w:rFonts w:hint="eastAsia" w:ascii="仿宋_GB2312" w:hAnsi="仿宋_GB2312" w:eastAsia="仿宋_GB2312" w:cs="仿宋_GB2312"/>
          <w:sz w:val="32"/>
          <w:szCs w:val="32"/>
        </w:rPr>
        <w:t>，为</w:t>
      </w:r>
      <w:r>
        <w:rPr>
          <w:rFonts w:hint="eastAsia" w:ascii="仿宋_GB2312" w:hAnsi="仿宋_GB2312" w:eastAsia="仿宋_GB2312" w:cs="仿宋_GB2312"/>
          <w:kern w:val="0"/>
          <w:sz w:val="32"/>
          <w:szCs w:val="32"/>
        </w:rPr>
        <w:t>生态保护提供应有保障。</w:t>
      </w:r>
    </w:p>
    <w:p>
      <w:pPr>
        <w:numPr>
          <w:ilvl w:val="0"/>
          <w:numId w:val="7"/>
        </w:numPr>
        <w:autoSpaceDE w:val="0"/>
        <w:spacing w:line="560" w:lineRule="exact"/>
        <w:ind w:firstLine="64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项目资金申报及批复情况。</w:t>
      </w:r>
    </w:p>
    <w:p>
      <w:pPr>
        <w:autoSpaceDE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度该项目是根据阿坝州林业局《关于报送2020年度建档立卡贫困户生态公益性岗位需求情况的通知》和《红原县整合开发生态公益性岗位助推脱贫攻坚2020年度实施方案》等文件要求进行实施。该项目向上申请补助资金分布在</w:t>
      </w:r>
      <w:r>
        <w:rPr>
          <w:rFonts w:hint="eastAsia" w:ascii="仿宋_GB2312" w:hAnsi="仿宋_GB2312" w:eastAsia="仿宋_GB2312" w:cs="仿宋_GB2312"/>
          <w:sz w:val="32"/>
          <w:szCs w:val="32"/>
          <w:lang w:val="zh-CN"/>
        </w:rPr>
        <w:t>分别</w:t>
      </w:r>
      <w:r>
        <w:rPr>
          <w:rFonts w:hint="eastAsia" w:ascii="仿宋_GB2312" w:hAnsi="仿宋_GB2312" w:eastAsia="仿宋_GB2312" w:cs="仿宋_GB2312"/>
          <w:color w:val="000000" w:themeColor="text1"/>
          <w:sz w:val="32"/>
          <w:szCs w:val="32"/>
          <w:lang w:val="zh-CN"/>
        </w:rPr>
        <w:t>于20</w:t>
      </w:r>
      <w:r>
        <w:rPr>
          <w:rFonts w:hint="eastAsia" w:ascii="仿宋_GB2312" w:hAnsi="仿宋_GB2312" w:eastAsia="仿宋_GB2312" w:cs="仿宋_GB2312"/>
          <w:color w:val="000000" w:themeColor="text1"/>
          <w:sz w:val="32"/>
          <w:szCs w:val="32"/>
        </w:rPr>
        <w:t>20</w:t>
      </w:r>
      <w:r>
        <w:rPr>
          <w:rFonts w:hint="eastAsia" w:ascii="仿宋_GB2312" w:hAnsi="仿宋_GB2312" w:eastAsia="仿宋_GB2312" w:cs="仿宋_GB2312"/>
          <w:color w:val="000000" w:themeColor="text1"/>
          <w:sz w:val="32"/>
          <w:szCs w:val="32"/>
          <w:lang w:val="zh-CN"/>
        </w:rPr>
        <w:t>年</w:t>
      </w:r>
      <w:r>
        <w:rPr>
          <w:rFonts w:hint="eastAsia" w:ascii="仿宋_GB2312" w:hAnsi="仿宋_GB2312" w:eastAsia="仿宋_GB2312" w:cs="仿宋_GB2312"/>
          <w:color w:val="000000" w:themeColor="text1"/>
          <w:sz w:val="32"/>
          <w:szCs w:val="32"/>
        </w:rPr>
        <w:t>1</w:t>
      </w:r>
      <w:r>
        <w:rPr>
          <w:rFonts w:hint="eastAsia" w:ascii="仿宋_GB2312" w:hAnsi="仿宋_GB2312" w:eastAsia="仿宋_GB2312" w:cs="仿宋_GB2312"/>
          <w:color w:val="000000" w:themeColor="text1"/>
          <w:sz w:val="32"/>
          <w:szCs w:val="32"/>
          <w:lang w:val="zh-CN"/>
        </w:rPr>
        <w:t>月</w:t>
      </w:r>
      <w:r>
        <w:rPr>
          <w:rFonts w:hint="eastAsia" w:ascii="仿宋_GB2312" w:hAnsi="仿宋_GB2312" w:eastAsia="仿宋_GB2312" w:cs="仿宋_GB2312"/>
          <w:color w:val="000000" w:themeColor="text1"/>
          <w:sz w:val="32"/>
          <w:szCs w:val="32"/>
        </w:rPr>
        <w:t>23</w:t>
      </w:r>
      <w:r>
        <w:rPr>
          <w:rFonts w:hint="eastAsia" w:ascii="仿宋_GB2312" w:hAnsi="仿宋_GB2312" w:eastAsia="仿宋_GB2312" w:cs="仿宋_GB2312"/>
          <w:color w:val="000000" w:themeColor="text1"/>
          <w:sz w:val="32"/>
          <w:szCs w:val="32"/>
          <w:lang w:val="zh-CN"/>
        </w:rPr>
        <w:t>日获得《阿坝州财政局</w:t>
      </w:r>
      <w:r>
        <w:rPr>
          <w:rFonts w:hint="eastAsia" w:ascii="仿宋_GB2312" w:hAnsi="仿宋_GB2312" w:eastAsia="仿宋_GB2312" w:cs="仿宋_GB2312"/>
          <w:color w:val="000000" w:themeColor="text1"/>
          <w:sz w:val="32"/>
          <w:szCs w:val="32"/>
        </w:rPr>
        <w:t xml:space="preserve"> 阿坝州林业和草原局</w:t>
      </w:r>
      <w:r>
        <w:rPr>
          <w:rFonts w:hint="eastAsia" w:ascii="仿宋_GB2312" w:hAnsi="仿宋_GB2312" w:eastAsia="仿宋_GB2312" w:cs="仿宋_GB2312"/>
          <w:color w:val="000000" w:themeColor="text1"/>
          <w:sz w:val="32"/>
          <w:szCs w:val="32"/>
          <w:lang w:val="zh-CN"/>
        </w:rPr>
        <w:t>关于下达20</w:t>
      </w:r>
      <w:r>
        <w:rPr>
          <w:rFonts w:hint="eastAsia" w:ascii="仿宋_GB2312" w:hAnsi="仿宋_GB2312" w:eastAsia="仿宋_GB2312" w:cs="仿宋_GB2312"/>
          <w:color w:val="000000" w:themeColor="text1"/>
          <w:sz w:val="32"/>
          <w:szCs w:val="32"/>
        </w:rPr>
        <w:t>20</w:t>
      </w:r>
      <w:r>
        <w:rPr>
          <w:rFonts w:hint="eastAsia" w:ascii="仿宋_GB2312" w:hAnsi="仿宋_GB2312" w:eastAsia="仿宋_GB2312" w:cs="仿宋_GB2312"/>
          <w:color w:val="000000" w:themeColor="text1"/>
          <w:sz w:val="32"/>
          <w:szCs w:val="32"/>
          <w:lang w:val="zh-CN"/>
        </w:rPr>
        <w:t>年中央财政林业改革发展资金预算的通知》（阿州财资环〔20</w:t>
      </w:r>
      <w:r>
        <w:rPr>
          <w:rFonts w:hint="eastAsia" w:ascii="仿宋_GB2312" w:hAnsi="仿宋_GB2312" w:eastAsia="仿宋_GB2312" w:cs="仿宋_GB2312"/>
          <w:color w:val="000000" w:themeColor="text1"/>
          <w:sz w:val="32"/>
          <w:szCs w:val="32"/>
        </w:rPr>
        <w:t>20</w:t>
      </w:r>
      <w:r>
        <w:rPr>
          <w:rFonts w:hint="eastAsia" w:ascii="仿宋_GB2312" w:hAnsi="仿宋_GB2312" w:eastAsia="仿宋_GB2312" w:cs="仿宋_GB2312"/>
          <w:color w:val="000000" w:themeColor="text1"/>
          <w:sz w:val="32"/>
          <w:szCs w:val="32"/>
          <w:lang w:val="zh-CN"/>
        </w:rPr>
        <w:t>〕</w:t>
      </w:r>
      <w:r>
        <w:rPr>
          <w:rFonts w:hint="eastAsia" w:ascii="仿宋_GB2312" w:hAnsi="仿宋_GB2312" w:eastAsia="仿宋_GB2312" w:cs="仿宋_GB2312"/>
          <w:color w:val="000000" w:themeColor="text1"/>
          <w:sz w:val="32"/>
          <w:szCs w:val="32"/>
        </w:rPr>
        <w:t>7</w:t>
      </w:r>
      <w:r>
        <w:rPr>
          <w:rFonts w:hint="eastAsia" w:ascii="仿宋_GB2312" w:hAnsi="仿宋_GB2312" w:eastAsia="仿宋_GB2312" w:cs="仿宋_GB2312"/>
          <w:color w:val="000000" w:themeColor="text1"/>
          <w:sz w:val="32"/>
          <w:szCs w:val="32"/>
          <w:lang w:val="zh-CN"/>
        </w:rPr>
        <w:t>号）</w:t>
      </w:r>
      <w:r>
        <w:rPr>
          <w:rFonts w:hint="eastAsia" w:ascii="仿宋_GB2312" w:hAnsi="仿宋_GB2312" w:eastAsia="仿宋_GB2312" w:cs="仿宋_GB2312"/>
          <w:color w:val="000000" w:themeColor="text1"/>
          <w:sz w:val="32"/>
          <w:szCs w:val="32"/>
        </w:rPr>
        <w:t>下达74万元，</w:t>
      </w:r>
      <w:r>
        <w:rPr>
          <w:rFonts w:hint="eastAsia" w:ascii="仿宋_GB2312" w:hAnsi="仿宋_GB2312" w:eastAsia="仿宋_GB2312" w:cs="仿宋_GB2312"/>
          <w:sz w:val="32"/>
          <w:szCs w:val="32"/>
        </w:rPr>
        <w:t>2020年6月15日《阿坝州财政局 阿坝州林业和草原局关于下达2020年中央财政林业草原生态保护恢复资金的通知》（阿州财资环〔2020〕33号）下达240万元，2020年度合计下达生态护林员补助资金314万元，该项目资金资用于生态护林员劳务补助支出，专款专用。</w:t>
      </w:r>
    </w:p>
    <w:p>
      <w:pPr>
        <w:autoSpaceDE w:val="0"/>
        <w:spacing w:line="560" w:lineRule="exact"/>
        <w:ind w:left="640"/>
        <w:rPr>
          <w:rFonts w:ascii="仿宋_GB2312" w:hAnsi="仿宋_GB2312" w:eastAsia="仿宋_GB2312" w:cs="仿宋_GB2312"/>
          <w:sz w:val="32"/>
          <w:szCs w:val="32"/>
        </w:rPr>
      </w:pP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sz w:val="32"/>
          <w:szCs w:val="32"/>
        </w:rPr>
        <w:t>二</w:t>
      </w:r>
      <w:r>
        <w:rPr>
          <w:rFonts w:hint="eastAsia" w:ascii="仿宋_GB2312" w:hAnsi="仿宋_GB2312" w:eastAsia="仿宋_GB2312" w:cs="仿宋_GB2312"/>
          <w:b/>
          <w:sz w:val="32"/>
          <w:szCs w:val="32"/>
          <w:lang w:val="zh-CN"/>
        </w:rPr>
        <w:t>）项目绩效目标。</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2020年共聘用314名建档立卡贫困户作为生态护林员（均为生态公益性岗位护林员），项目的主要内容是通过落实管护责任，人均管护面积不低于1000-3000亩森林资源实施常年有效管护。</w:t>
      </w:r>
    </w:p>
    <w:p>
      <w:pPr>
        <w:numPr>
          <w:ilvl w:val="0"/>
          <w:numId w:val="7"/>
        </w:numPr>
        <w:adjustRightInd w:val="0"/>
        <w:snapToGrid w:val="0"/>
        <w:spacing w:line="560" w:lineRule="exact"/>
        <w:ind w:firstLine="64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项目资金申报相符性。</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2020年度生态护林员补助资金的申报与实施方案一致，</w:t>
      </w:r>
      <w:r>
        <w:rPr>
          <w:rFonts w:hint="eastAsia" w:ascii="仿宋_GB2312" w:hAnsi="仿宋_GB2312" w:eastAsia="仿宋_GB2312" w:cs="仿宋_GB2312"/>
          <w:sz w:val="32"/>
          <w:szCs w:val="32"/>
          <w:lang w:val="zh-CN"/>
        </w:rPr>
        <w:t>内容相符、申报目标合理可行。</w:t>
      </w:r>
    </w:p>
    <w:p>
      <w:pPr>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二、项目实施及管理情况</w:t>
      </w:r>
    </w:p>
    <w:p>
      <w:pPr>
        <w:adjustRightInd w:val="0"/>
        <w:snapToGrid w:val="0"/>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（一）资金计划、到位及使用情况。</w:t>
      </w:r>
    </w:p>
    <w:p>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w:t>
      </w:r>
      <w:r>
        <w:rPr>
          <w:rFonts w:hint="eastAsia" w:ascii="仿宋_GB2312" w:hAnsi="仿宋_GB2312" w:eastAsia="仿宋_GB2312" w:cs="仿宋_GB2312"/>
          <w:sz w:val="32"/>
          <w:szCs w:val="32"/>
        </w:rPr>
        <w:t>2020年度生态护林员项目计划资金为314万元。</w:t>
      </w:r>
    </w:p>
    <w:p>
      <w:pPr>
        <w:spacing w:line="56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rPr>
        <w:t>2020年6月15日《阿坝州财政局 阿坝州林业和草原局关于下达2020年中央财政林业草原生态保护恢复资金的通知》（阿州财资环〔2020〕33号）下达生态护林员补助资金314万元。实际到位314万元，全部用于生态公益性岗位人员劳务补助。</w:t>
      </w:r>
    </w:p>
    <w:p>
      <w:pPr>
        <w:adjustRightInd w:val="0"/>
        <w:snapToGrid w:val="0"/>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rPr>
        <w:t>严格按照《林业草原生态保护恢复资金管理办法》、《林业改革发展资金管理办法》使用该项目资金。</w:t>
      </w:r>
    </w:p>
    <w:p>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对照项目资金管理办法，</w:t>
      </w:r>
      <w:r>
        <w:rPr>
          <w:rFonts w:hint="eastAsia" w:ascii="仿宋_GB2312" w:hAnsi="仿宋_GB2312" w:eastAsia="仿宋_GB2312" w:cs="仿宋_GB2312"/>
          <w:sz w:val="32"/>
          <w:szCs w:val="32"/>
        </w:rPr>
        <w:t>生态护林员劳务补助资金</w:t>
      </w:r>
      <w:r>
        <w:rPr>
          <w:rFonts w:hint="eastAsia" w:ascii="仿宋_GB2312" w:hAnsi="仿宋_GB2312" w:eastAsia="仿宋_GB2312" w:cs="仿宋_GB2312"/>
          <w:sz w:val="32"/>
          <w:szCs w:val="32"/>
          <w:lang w:val="zh-CN"/>
        </w:rPr>
        <w:t>严格执行财务管理制度，</w:t>
      </w:r>
      <w:r>
        <w:rPr>
          <w:rFonts w:hint="eastAsia" w:ascii="仿宋_GB2312" w:hAnsi="仿宋_GB2312" w:eastAsia="仿宋_GB2312" w:cs="仿宋_GB2312"/>
          <w:sz w:val="32"/>
          <w:szCs w:val="32"/>
        </w:rPr>
        <w:t>通过“一卡通”形式兑现该补助资金。</w:t>
      </w:r>
    </w:p>
    <w:p>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bidi="bo-CN"/>
        </w:rPr>
        <w:t>建立健全红原县建档立卡贫困户生态护林员政策机制是一项重大创新，意义重大的工作，政策性强、涉及面广、工作量大、任务艰巨、情况复杂，必须采取最强有力的措施确保政策顺利落实。</w:t>
      </w:r>
    </w:p>
    <w:p>
      <w:pPr>
        <w:pStyle w:val="4"/>
        <w:keepNext w:val="0"/>
        <w:keepLines w:val="0"/>
        <w:widowControl/>
        <w:shd w:val="clear" w:color="auto" w:fill="FFFFFF"/>
        <w:spacing w:before="0" w:after="0" w:line="560" w:lineRule="exact"/>
        <w:rPr>
          <w:rFonts w:ascii="仿宋_GB2312" w:hAnsi="仿宋_GB2312" w:eastAsia="仿宋_GB2312" w:cs="仿宋_GB2312"/>
          <w:sz w:val="32"/>
          <w:szCs w:val="32"/>
        </w:rPr>
      </w:pPr>
      <w:r>
        <w:rPr>
          <w:rFonts w:hint="eastAsia" w:ascii="仿宋_GB2312" w:hAnsi="仿宋_GB2312" w:eastAsia="仿宋_GB2312" w:cs="仿宋_GB2312"/>
          <w:b w:val="0"/>
          <w:sz w:val="32"/>
          <w:szCs w:val="32"/>
        </w:rPr>
        <w:t xml:space="preserve">    1.加强组织领导。成立领导小组，以县人民政府对生态护林员选聘负总责，各相关单位密切配合，按照“统筹安排、分工包干、明确责任、各司其职”的要求，加强沟通协作，上下联动，围绕生态建设扶贫工作，以抓铁</w:t>
      </w:r>
      <w:r>
        <w:rPr>
          <w:rFonts w:hint="eastAsia" w:ascii="仿宋_GB2312" w:hAnsi="仿宋_GB2312" w:eastAsia="仿宋_GB2312" w:cs="仿宋_GB2312"/>
          <w:b w:val="0"/>
          <w:color w:val="000000"/>
          <w:sz w:val="32"/>
          <w:szCs w:val="32"/>
          <w:shd w:val="clear" w:color="auto" w:fill="FFFFFF"/>
        </w:rPr>
        <w:t>有痕的工作态度</w:t>
      </w:r>
      <w:r>
        <w:rPr>
          <w:rFonts w:hint="eastAsia" w:ascii="仿宋_GB2312" w:hAnsi="仿宋_GB2312" w:eastAsia="仿宋_GB2312" w:cs="仿宋_GB2312"/>
          <w:sz w:val="32"/>
          <w:szCs w:val="32"/>
        </w:rPr>
        <w:t>，</w:t>
      </w:r>
      <w:r>
        <w:rPr>
          <w:rFonts w:hint="eastAsia" w:ascii="仿宋_GB2312" w:hAnsi="仿宋_GB2312" w:eastAsia="仿宋_GB2312" w:cs="仿宋_GB2312"/>
          <w:b w:val="0"/>
          <w:sz w:val="32"/>
          <w:szCs w:val="32"/>
        </w:rPr>
        <w:t>把工作抓实、抓出成效。</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强化政策落实。一是认真全面贯彻落实中央和省关于在贫困人口中选聘生态护林员政策，认真开展落实选聘和生态护林员森林资源管护工作；二是实施该政策性扶贫项目资金专款专用，实现对贫困村贫困人员的全覆盖，确保项目资金精准投放到生态扶贫建设之中。</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严格考核评价。建立健全红原县生态护林员考核评价体系和激励机制，县委、县政府将该扶贫工作纳入各乡（镇）政府精准扶贫工作重点考核内容，建立健全调度、通报、考核制度，定期不定期对该扶贫工作进行专项督导检查，就项目实施进度、建设质量、建设成效等内容进行跟踪监测和综合评价考核</w:t>
      </w:r>
    </w:p>
    <w:p>
      <w:pPr>
        <w:adjustRightInd w:val="0"/>
        <w:snapToGrid w:val="0"/>
        <w:spacing w:line="560" w:lineRule="exact"/>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三、项目绩效情况</w:t>
      </w:r>
      <w:r>
        <w:rPr>
          <w:rFonts w:hint="eastAsia" w:ascii="仿宋_GB2312" w:hAnsi="仿宋_GB2312" w:eastAsia="仿宋_GB2312" w:cs="仿宋_GB2312"/>
          <w:b/>
          <w:bCs/>
          <w:sz w:val="32"/>
          <w:szCs w:val="32"/>
          <w:lang w:val="zh-CN"/>
        </w:rPr>
        <w:tab/>
      </w:r>
    </w:p>
    <w:p>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我县森林资源、建档立卡贫困户及贫困人口综合考虑制定红原县生态护林员指标，2020年度红原县生态护林员选聘工作在全县11个乡镇内选聘，选聘建档立卡贫困户314人。生态护林员实行“县建、乡聘、站管理、村用”和“目标、任务、资金、责任”到县的管理机制。</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红原县生态护林员劳务合同的签订主要是以各乡镇人民政府与选聘的生态护林员共同签订，认真按照劳务合同内容进行实施开展护林工作。全年无一起森林火灾、大面积森林病虫害发生事件。</w:t>
      </w:r>
    </w:p>
    <w:p>
      <w:pPr>
        <w:adjustRightInd w:val="0"/>
        <w:snapToGrid w:val="0"/>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一是生态效益，通过选聘生态护林员实施森林管护，我县森林资源得到了有效的保护，</w:t>
      </w:r>
      <w:r>
        <w:rPr>
          <w:rFonts w:hint="eastAsia" w:ascii="仿宋_GB2312" w:hAnsi="仿宋_GB2312" w:eastAsia="仿宋_GB2312" w:cs="仿宋_GB2312"/>
          <w:color w:val="333333"/>
          <w:kern w:val="0"/>
          <w:sz w:val="32"/>
          <w:szCs w:val="32"/>
        </w:rPr>
        <w:t>森林蓄积量得到有效的增长。林分质量得到改善，</w:t>
      </w:r>
      <w:r>
        <w:rPr>
          <w:rFonts w:hint="eastAsia" w:ascii="仿宋_GB2312" w:hAnsi="仿宋_GB2312" w:eastAsia="仿宋_GB2312" w:cs="仿宋_GB2312"/>
          <w:sz w:val="32"/>
          <w:szCs w:val="32"/>
        </w:rPr>
        <w:t>通过茂密的林冠，纵横交错的根系来阻挡和减缓雨水对土壤的冲刷和侵蚀,减少土壤的流失；通过树冠、树干、枯枝落叶层以及根系的吸滞、存贮作用，发挥了涵养水源的作用。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社会效益，选聘建档立卡贫困户生态护林员作为脱贫攻坚重要内容，通过项目的实施，促进社会稳定，生态得到保护，农牧民达到增收，充分体现了党和国家对人民群众的关心，密切党群关系，提高党和政府在人民心目中的地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三是经济效益，选聘生态护林员以来我县当地农牧民从该项项目中得到经济收入稳步提高，2020年建档立卡贫困户护林员平均年收入10000元。</w:t>
      </w:r>
    </w:p>
    <w:p>
      <w:pPr>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四、问题及建议</w:t>
      </w:r>
    </w:p>
    <w:p>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autoSpaceDE w:val="0"/>
        <w:spacing w:line="560" w:lineRule="exact"/>
        <w:rPr>
          <w:rFonts w:ascii="仿宋_GB2312" w:hAnsi="仿宋_GB2312" w:eastAsia="仿宋_GB2312" w:cs="仿宋_GB2312"/>
          <w:b/>
          <w:sz w:val="32"/>
          <w:szCs w:val="32"/>
        </w:rPr>
      </w:pPr>
      <w:r>
        <w:rPr>
          <w:rFonts w:hint="eastAsia" w:ascii="仿宋_GB2312" w:hAnsi="仿宋_GB2312" w:eastAsia="仿宋_GB2312" w:cs="仿宋_GB2312"/>
          <w:sz w:val="32"/>
          <w:szCs w:val="32"/>
        </w:rPr>
        <w:t>一是补偿护林员劳务补助标准偏低，补偿标准低于社会务工人员平均月工资，补偿标准始终没有根据价格指数变化调整，没有随着国民经济的发展和物价上涨对补偿标准进行动态调整。二是部分生态护林员履职不到位，缺乏相关森林资源保护和森林防火的专业知识。</w:t>
      </w:r>
    </w:p>
    <w:p>
      <w:pPr>
        <w:numPr>
          <w:ilvl w:val="0"/>
          <w:numId w:val="8"/>
        </w:numPr>
        <w:autoSpaceDE w:val="0"/>
        <w:spacing w:line="560" w:lineRule="exact"/>
        <w:ind w:firstLine="64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相关建议。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加强护林员管理政策方面的法律法规宣传工作，加强对森林资源管护的考核力度和职能技术和知识的培训。二是建议提高护林员劳务补助资金标准，实行分类补偿能否根据区域生态的重要性和脆弱性，并综合考虑森林质量、地位级差、管护难度等指标，逐步提高补偿标准。</w:t>
      </w:r>
    </w:p>
    <w:p>
      <w:pPr>
        <w:spacing w:line="580" w:lineRule="exact"/>
        <w:ind w:firstLine="640"/>
        <w:rPr>
          <w:rFonts w:ascii="仿宋_GB2312" w:hAnsi="仿宋_GB2312" w:eastAsia="仿宋_GB2312" w:cs="仿宋_GB2312"/>
          <w:sz w:val="32"/>
          <w:szCs w:val="32"/>
        </w:rPr>
      </w:pPr>
    </w:p>
    <w:p>
      <w:pPr>
        <w:widowControl/>
        <w:jc w:val="left"/>
        <w:rPr>
          <w:rStyle w:val="28"/>
          <w:rFonts w:ascii="黑体" w:hAnsi="黑体" w:eastAsia="黑体"/>
          <w:b w:val="0"/>
        </w:rPr>
      </w:pPr>
    </w:p>
    <w:p>
      <w:pPr>
        <w:spacing w:line="580" w:lineRule="exact"/>
        <w:jc w:val="center"/>
        <w:rPr>
          <w:rFonts w:ascii="黑体" w:hAnsi="黑体" w:eastAsia="黑体" w:cs="方正小标宋简体"/>
          <w:sz w:val="44"/>
          <w:szCs w:val="44"/>
        </w:rPr>
      </w:pPr>
      <w:r>
        <w:rPr>
          <w:rStyle w:val="28"/>
          <w:rFonts w:ascii="黑体" w:hAnsi="黑体" w:eastAsia="黑体"/>
          <w:b w:val="0"/>
        </w:rPr>
        <w:br w:type="page"/>
      </w:r>
      <w:r>
        <w:rPr>
          <w:rFonts w:hint="eastAsia" w:ascii="黑体" w:hAnsi="黑体" w:eastAsia="黑体" w:cs="方正小标宋简体"/>
          <w:sz w:val="44"/>
          <w:szCs w:val="44"/>
        </w:rPr>
        <w:t>2020年森林生态效益补偿项目支出绩效评价报告</w:t>
      </w:r>
    </w:p>
    <w:p>
      <w:pPr>
        <w:spacing w:line="580" w:lineRule="exact"/>
        <w:jc w:val="center"/>
        <w:rPr>
          <w:rFonts w:ascii="黑体" w:hAnsi="黑体" w:eastAsia="黑体" w:cs="方正小标宋简体"/>
          <w:sz w:val="44"/>
          <w:szCs w:val="44"/>
        </w:rPr>
      </w:pP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（一）项目基本情况。</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红原县</w:t>
      </w:r>
      <w:r>
        <w:rPr>
          <w:rFonts w:hint="eastAsia" w:ascii="仿宋_GB2312" w:hAnsi="仿宋_GB2312" w:eastAsia="仿宋_GB2312" w:cs="仿宋_GB2312"/>
          <w:sz w:val="32"/>
          <w:szCs w:val="32"/>
        </w:rPr>
        <w:t>2020年度</w:t>
      </w:r>
      <w:r>
        <w:rPr>
          <w:rFonts w:hint="eastAsia" w:ascii="仿宋_GB2312" w:hAnsi="仿宋_GB2312" w:eastAsia="仿宋_GB2312" w:cs="仿宋_GB2312"/>
          <w:sz w:val="32"/>
          <w:szCs w:val="32"/>
          <w:lang w:val="zh-CN"/>
        </w:rPr>
        <w:t>森林生态效益补偿项目，主要涉及我县国家级（省级）公益林15.629万亩，其中国有公益林10.7万亩、集体公益林4.929万亩，</w:t>
      </w:r>
      <w:r>
        <w:rPr>
          <w:rFonts w:hint="eastAsia" w:ascii="仿宋_GB2312" w:hAnsi="仿宋_GB2312" w:eastAsia="仿宋_GB2312" w:cs="仿宋_GB2312"/>
          <w:sz w:val="32"/>
          <w:szCs w:val="32"/>
        </w:rPr>
        <w:t>2020年度</w:t>
      </w:r>
      <w:r>
        <w:rPr>
          <w:rFonts w:hint="eastAsia" w:ascii="仿宋_GB2312" w:hAnsi="仿宋_GB2312" w:eastAsia="仿宋_GB2312" w:cs="仿宋_GB2312"/>
          <w:sz w:val="32"/>
          <w:szCs w:val="32"/>
          <w:lang w:val="zh-CN"/>
        </w:rPr>
        <w:t>下达补偿资金</w:t>
      </w:r>
      <w:r>
        <w:rPr>
          <w:rFonts w:hint="eastAsia" w:ascii="仿宋_GB2312" w:hAnsi="仿宋_GB2312" w:eastAsia="仿宋_GB2312" w:cs="仿宋_GB2312"/>
          <w:sz w:val="32"/>
          <w:szCs w:val="32"/>
        </w:rPr>
        <w:t>181.875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主要用于国有林管护国家级公益林的劳务补助等支出和集体和个人管护国家级和省级公益林的经济补偿及管护情况检查验收。</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红</w:t>
      </w:r>
      <w:r>
        <w:rPr>
          <w:rFonts w:hint="eastAsia" w:ascii="仿宋_GB2312" w:hAnsi="仿宋_GB2312" w:eastAsia="仿宋_GB2312" w:cs="仿宋_GB2312"/>
          <w:sz w:val="32"/>
          <w:szCs w:val="32"/>
          <w:lang w:val="zh-CN"/>
        </w:rPr>
        <w:t>原县森林公益林生态效益补偿项目是根据红原县天然林保护工程二期实施方案进行生态效益补偿资金的申报，经阿坝州人民政府同意实施。</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为加强我县集体公益林管护力度，我局并于集体公益林权属所在的各乡镇人民政府、各村村委会签订红原县集体公益林管护合同40份。按照《四川省森林生态效益补偿资金管理办法》加强对我县集体公益林补偿补助资金的监管，使我县的集体公益林资源得到安全有效的可持续发展利用，并把党和政府的利农惠民政策落到实处。</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红原县集体公益林生态效益补偿补助资金的申请，符合《中华人民共和国森林法》第八条第六款：建立林业基金制度。 国家设立森林生态效益补偿基金，用于提供生态效益的防护林和特种用途林的森林资源、林木的营造、抚育、保护和管理；《中华人民共和国森林法实施条例》第十五条第三款：防护林和特种用途林的经营者，有获得森林生态效益补偿的权利；《中央财政森林生态效益补偿基金管理办法》第四条的相关规定，符合当前党中央、国务院、四川省省委、省政府的关于林业政策发展部署，符合当前经济社会发展的需要。</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（三）项目自评步骤及方法。</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考核是否建立健全集体公益林管护成效年度核查制度和管护成效制度，是否全面建立和完善森林管护组织体系，是否明确集体公益林生态效益补偿管护责任，是否将管护协议具体落实到各村，是否对集体公益林管护考核验收，确保管护成效。集体公益林生态效益补偿资金是否按照相关管理办法和制度程序专款专用落实使用。</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二、项目资金申报及使用情况</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红</w:t>
      </w:r>
      <w:r>
        <w:rPr>
          <w:rFonts w:hint="eastAsia" w:ascii="仿宋_GB2312" w:hAnsi="仿宋_GB2312" w:eastAsia="仿宋_GB2312" w:cs="仿宋_GB2312"/>
          <w:sz w:val="32"/>
          <w:szCs w:val="32"/>
          <w:lang w:val="zh-CN"/>
        </w:rPr>
        <w:t>原县</w:t>
      </w:r>
      <w:r>
        <w:rPr>
          <w:rFonts w:hint="eastAsia" w:ascii="仿宋_GB2312" w:hAnsi="仿宋_GB2312" w:eastAsia="仿宋_GB2312" w:cs="仿宋_GB2312"/>
          <w:sz w:val="32"/>
          <w:szCs w:val="32"/>
        </w:rPr>
        <w:t>集体公益林</w:t>
      </w:r>
      <w:r>
        <w:rPr>
          <w:rFonts w:hint="eastAsia" w:ascii="仿宋_GB2312" w:hAnsi="仿宋_GB2312" w:eastAsia="仿宋_GB2312" w:cs="仿宋_GB2312"/>
          <w:sz w:val="32"/>
          <w:szCs w:val="32"/>
          <w:lang w:val="zh-CN"/>
        </w:rPr>
        <w:t>生态效益补偿项目是根据红原县天然林保护工程二期实施方案进行生态效益补偿资金的申报，经阿坝州人民政府同意实施，分别于20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zh-CN"/>
        </w:rPr>
        <w:t>日获得《阿坝州财政局</w:t>
      </w:r>
      <w:r>
        <w:rPr>
          <w:rFonts w:hint="eastAsia" w:ascii="仿宋_GB2312" w:hAnsi="仿宋_GB2312" w:eastAsia="仿宋_GB2312" w:cs="仿宋_GB2312"/>
          <w:sz w:val="32"/>
          <w:szCs w:val="32"/>
        </w:rPr>
        <w:t xml:space="preserve"> 阿坝州林业和草原局</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年中央财政林业改革发展资金预算的通知》（阿州财资环〔20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号）的批复，</w:t>
      </w:r>
      <w:r>
        <w:rPr>
          <w:rFonts w:hint="eastAsia" w:ascii="仿宋_GB2312" w:hAnsi="仿宋_GB2312" w:eastAsia="仿宋_GB2312" w:cs="仿宋_GB2312"/>
          <w:sz w:val="32"/>
          <w:szCs w:val="32"/>
        </w:rPr>
        <w:t>2020年4月19日获得《</w:t>
      </w:r>
      <w:r>
        <w:rPr>
          <w:rFonts w:hint="eastAsia" w:ascii="仿宋_GB2312" w:hAnsi="仿宋_GB2312" w:eastAsia="仿宋_GB2312" w:cs="仿宋_GB2312"/>
          <w:sz w:val="32"/>
          <w:szCs w:val="32"/>
          <w:lang w:val="zh-CN"/>
        </w:rPr>
        <w:t>阿坝州财政局</w:t>
      </w:r>
      <w:r>
        <w:rPr>
          <w:rFonts w:hint="eastAsia" w:ascii="仿宋_GB2312" w:hAnsi="仿宋_GB2312" w:eastAsia="仿宋_GB2312" w:cs="仿宋_GB2312"/>
          <w:sz w:val="32"/>
          <w:szCs w:val="32"/>
        </w:rPr>
        <w:t xml:space="preserve"> 阿坝州林业和草原局</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年省级林业和草原改革发展专项资金（第一批）预算的通知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lang w:val="zh-CN"/>
        </w:rPr>
        <w:t>号）的批复。</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（二）资金计划、到位及使用情况。</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w:t>
      </w:r>
      <w:r>
        <w:rPr>
          <w:rFonts w:hint="eastAsia" w:ascii="仿宋_GB2312" w:hAnsi="仿宋_GB2312" w:eastAsia="仿宋_GB2312" w:cs="仿宋_GB2312"/>
          <w:sz w:val="32"/>
          <w:szCs w:val="32"/>
        </w:rPr>
        <w:t>2020年度森林生态效益补偿项目计划资金为181.875万元。</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2．资金到位。</w:t>
      </w:r>
      <w:r>
        <w:rPr>
          <w:rFonts w:hint="eastAsia" w:ascii="仿宋_GB2312" w:hAnsi="仿宋_GB2312" w:eastAsia="仿宋_GB2312" w:cs="仿宋_GB2312"/>
          <w:sz w:val="32"/>
          <w:szCs w:val="32"/>
        </w:rPr>
        <w:t>2020年度森林生态效益补偿补助资金到位是在</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lang w:val="zh-CN"/>
        </w:rPr>
        <w:t>日《阿坝州财政局</w:t>
      </w:r>
      <w:r>
        <w:rPr>
          <w:rFonts w:hint="eastAsia" w:ascii="仿宋_GB2312" w:hAnsi="仿宋_GB2312" w:eastAsia="仿宋_GB2312" w:cs="仿宋_GB2312"/>
          <w:sz w:val="32"/>
          <w:szCs w:val="32"/>
        </w:rPr>
        <w:t xml:space="preserve"> 阿坝州林业和草原局</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年中央财政林业改革发展资金预算的通知》（阿州财资环〔20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文件下达资金181.285万元（其中：国有林补偿资金104.325万元、集体和个人所有国家级公益林补偿资金76.82万元、集体和个人所有省级公益林补偿0.14万元），2020年4月19日获得《</w:t>
      </w:r>
      <w:r>
        <w:rPr>
          <w:rFonts w:hint="eastAsia" w:ascii="仿宋_GB2312" w:hAnsi="仿宋_GB2312" w:eastAsia="仿宋_GB2312" w:cs="仿宋_GB2312"/>
          <w:sz w:val="32"/>
          <w:szCs w:val="32"/>
          <w:lang w:val="zh-CN"/>
        </w:rPr>
        <w:t>阿坝州财政局</w:t>
      </w:r>
      <w:r>
        <w:rPr>
          <w:rFonts w:hint="eastAsia" w:ascii="仿宋_GB2312" w:hAnsi="仿宋_GB2312" w:eastAsia="仿宋_GB2312" w:cs="仿宋_GB2312"/>
          <w:sz w:val="32"/>
          <w:szCs w:val="32"/>
        </w:rPr>
        <w:t xml:space="preserve"> 阿坝州林业和草原局</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年省级林业和草原改革发展专项资金（第一批）预算的通知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lang w:val="zh-CN"/>
        </w:rPr>
        <w:t>号）下达资金</w:t>
      </w:r>
      <w:r>
        <w:rPr>
          <w:rFonts w:hint="eastAsia" w:ascii="仿宋_GB2312" w:hAnsi="仿宋_GB2312" w:eastAsia="仿宋_GB2312" w:cs="仿宋_GB2312"/>
          <w:sz w:val="32"/>
          <w:szCs w:val="32"/>
        </w:rPr>
        <w:t>0.59万元（森林生态效益补偿资金0.59万元）。</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3．资金使用。</w:t>
      </w:r>
      <w:r>
        <w:rPr>
          <w:rFonts w:hint="eastAsia" w:ascii="仿宋_GB2312" w:hAnsi="仿宋_GB2312" w:eastAsia="仿宋_GB2312" w:cs="仿宋_GB2312"/>
          <w:sz w:val="32"/>
          <w:szCs w:val="32"/>
        </w:rPr>
        <w:t>加强生态效益补偿基金兑现工作，我县严格按照《中央财政森林生态效益补偿基金管理办法》（财农〔2009〕381号）和《四川省森林生态效益补偿基金管理办法》以及</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zh-CN"/>
        </w:rPr>
        <w:t>（阿州财资环〔20</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文件下达给我县森林公益林森林生态效益补偿资金，2020年度我县共兑现森林生态补偿补助资金77.55万元。</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其中：按照2020年度集体公益林生态补偿兑现方案，由县林业和草原局联合县财政局按照《四川省森林生态效益补偿基金管理办法》和相关财务制度规定，通过县信用联社按照“一卡通”形式，兑现集体公益林补偿补助资金77.55万元；</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项目财务管理情况。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我县森林生态补偿补助资金项目，严格按照《中央森林生态效效益基金使用管理办法》及相关财务制度程序执行，专款专用。在使用森林生态效益补偿基金期间，无挤占、挪用、占用情况发生。</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三、项目实施及管理情况</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（一）项目组织架构及实施流程。</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我县成立红原县森林生态效益补偿基金领导小组和管理办公室，办公室设在县林草局森林资源管理股，处理我县国家（省）级公益林森林生态效益补偿的日常事务。根据相关政策要求，我局对森林生态效益补偿补助资金实行专帐管理、单独核算、专款专用，集体和个人补偿资金实行“一卡通”兑付。</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项目管理情况。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严格按照《中央森林生态效效益基金使用管理办法》及相关财务制度程序执行，专款专用。</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项目监管情况。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每年8月底，我局将组织专业人员对我县补偿国家级公益林林地管护落实情况进行检查验收，通过内业检查《红原县集体公益林管护合同》的签订情况和各村集体公益林生态效益补偿补助资金兑现方案等相关材料以及外业检查各集体公益林管护情况，在检查验收合格后，对集体（个人）公益林生态效益补偿补助资金的实行“一卡通”补偿到户（在林权所有者“一卡通”账户明细上注明“生态效益补偿资金”），并在乡镇张榜公示，公示期不少于7天。县林业局和县财政局、监察局等部门联合并对兑现补偿补助资金进行相关抽查检查。</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四、项目绩效情况</w:t>
      </w:r>
      <w:r>
        <w:rPr>
          <w:rFonts w:hint="eastAsia" w:ascii="仿宋_GB2312" w:hAnsi="仿宋_GB2312" w:eastAsia="仿宋_GB2312" w:cs="仿宋_GB2312"/>
          <w:sz w:val="32"/>
          <w:szCs w:val="32"/>
          <w:lang w:val="zh-CN"/>
        </w:rPr>
        <w:tab/>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1、项目完成数量：我县公益林面积220.3381万亩，其中国有公益林面积215.4091万亩，集体公益林面积4.9290万亩,生态效益补偿面积覆盖率为 100%。我县按照生态补偿兑现方案进行管护验收合格后，按照《四川省森林生态效益补偿基金管理办法》及财务制度程序，通过县信用社“一卡通”形式全额及时兑付给集体林权属所有者。 </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红原县集体公益林生态补偿项目完成质量较好，2020年度我局通过层层落实了管护责任制，签订集体林管护合同166份，。全县经各村集体公益林股份管理董事会按程序选聘集体公益林护林员分别负责本村的集体公益林管护。我局加强对各集体公益林管护人员的培训，加强监督与管理，顺利通过县林业局年度管护检查验收。</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2020年度集体公益林未发生任何森林火灾，无发生病虫害。我县的集体公益林未发生任何盗伐滥伐林木案件情况，通过加强管护我县的集体公益林管护质量比2018、2019年度提高，行政案件逐年降低。</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（二）项目效益情况。</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从</w:t>
      </w:r>
      <w:r>
        <w:rPr>
          <w:rFonts w:hint="eastAsia" w:ascii="仿宋_GB2312" w:hAnsi="仿宋_GB2312" w:eastAsia="仿宋_GB2312" w:cs="仿宋_GB2312"/>
          <w:sz w:val="32"/>
          <w:szCs w:val="32"/>
        </w:rPr>
        <w:t>实施公益林森林生态效益补偿机制以来，进一步建立健全了我县公益林生态效益补偿补助项目各项管理规章制度，完善杜绝滥砍乱伐、毁林开垦的现象发生，牲畜破坏集体公益林的情况也逐减少，集体公益林的管护取得了明显成绩。 通过森林生态补偿效益项目，按照全县农牧民40621人数折算，人均增收达到37.41元，增加了林农收入，林权所有者获得了补偿，村集体林业工作热情得到了显著提高， 形成了“集体林有人管、树有人看、责有人担”的良好局面，森林资源得到有效培育和保护，全县集体公益林区域内森林质量明显提高，集体林权属所有者生态补偿满意度极高。</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五、评价结论及建议</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一是补偿标准偏低，补偿标准低于木材经济利用价值；二是补偿标准始终没有根据价格指数变化调整，没有随着国民经济的发展和物价上涨对补偿标准进行动态调整；三是由于我县财政困难没有任何管理工作经费和管护经费纳入县财政预算，使其在监管集体公益林工作上存在监督困难等系列问题。 </w:t>
      </w:r>
    </w:p>
    <w:p>
      <w:pPr>
        <w:autoSpaceDE w:val="0"/>
        <w:spacing w:line="560" w:lineRule="exac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（二）相关建议。</w:t>
      </w:r>
    </w:p>
    <w:p>
      <w:pPr>
        <w:autoSpaceDE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一是县级林业部门配合各乡村定期集中开展对集体林管护人员的培训工作，以提高集体林管护人员的履职能力和管护水平以便填写管护日志，同时加强集体公益林的管理政策方面的法律法规宣传工作，加强对集体公益林管护的考核力度；二是建议州级政府部门能够出台县级集体公益林管理工作和管护经费的相关政策，并能落实到县级财政预算中；三是建议提高现行集体公益林中央财政补偿基金标准，实行因地制宜，分类补偿能否根据区域生态的重要性和脆弱性，并综合考虑森林质量、地位级差、管护难度等指标，对现有集体公益林进行分类补偿，再根据国家财力情况，逐步提高补偿标准；四是能否积极利用市场机制实现补偿森林生态效益的有效途径，建立公益林资源保护的受益者直接补偿体系，能否落实下游地区对上游地区的公益林给予政策性补偿；五是对于部分立地条件相对较好、生态区位不十分敏感的公益林，可以考虑在不会对生态带来影响的前提下，开展抚育、更新性质的采伐，充分利用生态公益林的景观资源、林下资源，加大开展公益林的非木质的经营利用，在提高公益林林分质量的同时，增加公益林所有者或经</w:t>
      </w:r>
      <w:bookmarkStart w:id="73" w:name="_GoBack"/>
      <w:bookmarkEnd w:id="73"/>
      <w:r>
        <w:rPr>
          <w:rFonts w:hint="eastAsia" w:ascii="仿宋_GB2312" w:hAnsi="仿宋_GB2312" w:eastAsia="仿宋_GB2312" w:cs="仿宋_GB2312"/>
          <w:sz w:val="32"/>
          <w:szCs w:val="32"/>
        </w:rPr>
        <w:t>营者的经济收入。</w:t>
      </w:r>
    </w:p>
    <w:p>
      <w:pPr>
        <w:spacing w:line="600" w:lineRule="exact"/>
        <w:jc w:val="center"/>
        <w:outlineLvl w:val="0"/>
        <w:rPr>
          <w:rStyle w:val="28"/>
          <w:rFonts w:ascii="黑体" w:hAnsi="黑体" w:eastAsia="黑体"/>
          <w:b w:val="0"/>
        </w:rPr>
      </w:pPr>
    </w:p>
    <w:p>
      <w:pPr>
        <w:spacing w:line="600" w:lineRule="exact"/>
        <w:jc w:val="center"/>
        <w:outlineLvl w:val="0"/>
        <w:rPr>
          <w:rFonts w:ascii="黑体" w:hAnsi="黑体" w:eastAsia="黑体"/>
          <w:color w:val="000000"/>
          <w:sz w:val="44"/>
          <w:szCs w:val="44"/>
        </w:rPr>
      </w:pPr>
      <w:bookmarkStart w:id="59" w:name="_Toc15396618"/>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pPr>
        <w:pStyle w:val="5"/>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82AF20-CA97-4EB1-9B68-E21434549B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5365EBE-27AE-413F-95FA-066880F02908}"/>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1D638761-EB96-479A-9856-A329E221CAD4}"/>
  </w:font>
  <w:font w:name="仿宋">
    <w:panose1 w:val="02010609060101010101"/>
    <w:charset w:val="86"/>
    <w:family w:val="auto"/>
    <w:pitch w:val="default"/>
    <w:sig w:usb0="800002BF" w:usb1="38CF7CFA" w:usb2="00000016" w:usb3="00000000" w:csb0="00040001" w:csb1="00000000"/>
    <w:embedRegular r:id="rId4" w:fontKey="{CC9D9F21-99DD-4089-BBC1-490799E40FD8}"/>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5" w:fontKey="{848C91A3-1CDC-48D1-B281-5C54968F3608}"/>
  </w:font>
  <w:font w:name="楷体_GB2312">
    <w:panose1 w:val="02010609030101010101"/>
    <w:charset w:val="86"/>
    <w:family w:val="modern"/>
    <w:pitch w:val="default"/>
    <w:sig w:usb0="00000001" w:usb1="080E0000" w:usb2="00000000" w:usb3="00000000" w:csb0="00040000" w:csb1="00000000"/>
    <w:embedRegular r:id="rId6" w:fontKey="{D9A7D14D-2A03-4911-B383-55DAB3086D86}"/>
  </w:font>
  <w:font w:name="FangSong_GB2312">
    <w:altName w:val="仿宋_GB2312"/>
    <w:panose1 w:val="00000000000000000000"/>
    <w:charset w:val="00"/>
    <w:family w:val="roman"/>
    <w:pitch w:val="default"/>
    <w:sig w:usb0="00000000" w:usb1="00000000" w:usb2="00000000" w:usb3="00000000" w:csb0="00000000" w:csb1="00000000"/>
    <w:embedRegular r:id="rId7" w:fontKey="{EE190DE3-5000-4504-AC21-33F64F84AC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80</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CC8A7"/>
    <w:multiLevelType w:val="singleLevel"/>
    <w:tmpl w:val="9C0CC8A7"/>
    <w:lvl w:ilvl="0" w:tentative="0">
      <w:start w:val="2"/>
      <w:numFmt w:val="chineseCounting"/>
      <w:suff w:val="nothing"/>
      <w:lvlText w:val="（%1）"/>
      <w:lvlJc w:val="left"/>
      <w:rPr>
        <w:rFonts w:hint="eastAsia"/>
      </w:rPr>
    </w:lvl>
  </w:abstractNum>
  <w:abstractNum w:abstractNumId="1">
    <w:nsid w:val="B8FE9415"/>
    <w:multiLevelType w:val="singleLevel"/>
    <w:tmpl w:val="B8FE9415"/>
    <w:lvl w:ilvl="0" w:tentative="0">
      <w:start w:val="1"/>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D453BA5"/>
    <w:multiLevelType w:val="singleLevel"/>
    <w:tmpl w:val="ED453BA5"/>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928FCDD"/>
    <w:multiLevelType w:val="singleLevel"/>
    <w:tmpl w:val="3928FCDD"/>
    <w:lvl w:ilvl="0" w:tentative="0">
      <w:start w:val="1"/>
      <w:numFmt w:val="chineseCounting"/>
      <w:suff w:val="nothing"/>
      <w:lvlText w:val="（%1）"/>
      <w:lvlJc w:val="left"/>
      <w:rPr>
        <w:rFonts w:hint="eastAsia"/>
      </w:rPr>
    </w:lvl>
  </w:abstractNum>
  <w:abstractNum w:abstractNumId="7">
    <w:nsid w:val="5F77CB83"/>
    <w:multiLevelType w:val="singleLevel"/>
    <w:tmpl w:val="5F77CB83"/>
    <w:lvl w:ilvl="0" w:tentative="0">
      <w:start w:val="1"/>
      <w:numFmt w:val="chineseCounting"/>
      <w:suff w:val="nothing"/>
      <w:lvlText w:val="%1、"/>
      <w:lvlJc w:val="left"/>
      <w:rPr>
        <w:rFonts w:hint="eastAsia"/>
      </w:rPr>
    </w:lvl>
  </w:abstractNum>
  <w:num w:numId="1">
    <w:abstractNumId w:val="5"/>
  </w:num>
  <w:num w:numId="2">
    <w:abstractNumId w:val="2"/>
  </w:num>
  <w:num w:numId="3">
    <w:abstractNumId w:val="3"/>
  </w:num>
  <w:num w:numId="4">
    <w:abstractNumId w:val="0"/>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wMzkzNjVlOGY3NDQ0MTg0MDMxOWVkNjY1ODgzOWYifQ=="/>
  </w:docVars>
  <w:rsids>
    <w:rsidRoot w:val="00F1361C"/>
    <w:rsid w:val="000112E7"/>
    <w:rsid w:val="000222C6"/>
    <w:rsid w:val="0002549F"/>
    <w:rsid w:val="000315BA"/>
    <w:rsid w:val="000468DB"/>
    <w:rsid w:val="0006487A"/>
    <w:rsid w:val="00065F8F"/>
    <w:rsid w:val="00070A43"/>
    <w:rsid w:val="000768F2"/>
    <w:rsid w:val="0009184B"/>
    <w:rsid w:val="00092887"/>
    <w:rsid w:val="00094236"/>
    <w:rsid w:val="0009593C"/>
    <w:rsid w:val="00097322"/>
    <w:rsid w:val="000A6A92"/>
    <w:rsid w:val="000B047F"/>
    <w:rsid w:val="000B5923"/>
    <w:rsid w:val="000B5A48"/>
    <w:rsid w:val="000B6FF3"/>
    <w:rsid w:val="000C3467"/>
    <w:rsid w:val="000C3CA6"/>
    <w:rsid w:val="000C7D26"/>
    <w:rsid w:val="000D1267"/>
    <w:rsid w:val="000D1D50"/>
    <w:rsid w:val="000D5782"/>
    <w:rsid w:val="000E6613"/>
    <w:rsid w:val="000E7119"/>
    <w:rsid w:val="00102A8F"/>
    <w:rsid w:val="00114E9B"/>
    <w:rsid w:val="00137FC9"/>
    <w:rsid w:val="00142216"/>
    <w:rsid w:val="00144D6A"/>
    <w:rsid w:val="0014729F"/>
    <w:rsid w:val="00157BAB"/>
    <w:rsid w:val="001654D1"/>
    <w:rsid w:val="00174518"/>
    <w:rsid w:val="0018106D"/>
    <w:rsid w:val="001877A7"/>
    <w:rsid w:val="00190F33"/>
    <w:rsid w:val="00191536"/>
    <w:rsid w:val="00196687"/>
    <w:rsid w:val="001C0962"/>
    <w:rsid w:val="001C62C4"/>
    <w:rsid w:val="001D7531"/>
    <w:rsid w:val="001E737D"/>
    <w:rsid w:val="001F0592"/>
    <w:rsid w:val="001F7506"/>
    <w:rsid w:val="002006CD"/>
    <w:rsid w:val="00202B36"/>
    <w:rsid w:val="00204B7A"/>
    <w:rsid w:val="00204CDE"/>
    <w:rsid w:val="0021101A"/>
    <w:rsid w:val="00220536"/>
    <w:rsid w:val="00231DE5"/>
    <w:rsid w:val="00235629"/>
    <w:rsid w:val="00240E82"/>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594"/>
    <w:rsid w:val="00380C92"/>
    <w:rsid w:val="00396377"/>
    <w:rsid w:val="003A484F"/>
    <w:rsid w:val="003A4883"/>
    <w:rsid w:val="003B0BE0"/>
    <w:rsid w:val="003B0C1B"/>
    <w:rsid w:val="003B688C"/>
    <w:rsid w:val="003C0291"/>
    <w:rsid w:val="003C39AE"/>
    <w:rsid w:val="003C7B60"/>
    <w:rsid w:val="003D0C0F"/>
    <w:rsid w:val="003D1FB2"/>
    <w:rsid w:val="003D66DA"/>
    <w:rsid w:val="003E1310"/>
    <w:rsid w:val="003E6F55"/>
    <w:rsid w:val="003E745E"/>
    <w:rsid w:val="003F6619"/>
    <w:rsid w:val="00406254"/>
    <w:rsid w:val="00416CD4"/>
    <w:rsid w:val="004223DE"/>
    <w:rsid w:val="00434489"/>
    <w:rsid w:val="00437085"/>
    <w:rsid w:val="00443880"/>
    <w:rsid w:val="004464F4"/>
    <w:rsid w:val="00471401"/>
    <w:rsid w:val="00473F31"/>
    <w:rsid w:val="00474540"/>
    <w:rsid w:val="0048263A"/>
    <w:rsid w:val="00487B66"/>
    <w:rsid w:val="00487E5D"/>
    <w:rsid w:val="004A711F"/>
    <w:rsid w:val="004B199D"/>
    <w:rsid w:val="004B4690"/>
    <w:rsid w:val="004C358B"/>
    <w:rsid w:val="004E0A2D"/>
    <w:rsid w:val="004E206B"/>
    <w:rsid w:val="004E6DF7"/>
    <w:rsid w:val="004F0FBD"/>
    <w:rsid w:val="004F403E"/>
    <w:rsid w:val="00503526"/>
    <w:rsid w:val="00505A47"/>
    <w:rsid w:val="00512FDA"/>
    <w:rsid w:val="00520DA0"/>
    <w:rsid w:val="00557D8E"/>
    <w:rsid w:val="005664BB"/>
    <w:rsid w:val="00566FFA"/>
    <w:rsid w:val="0057481D"/>
    <w:rsid w:val="00575C1E"/>
    <w:rsid w:val="00575F0B"/>
    <w:rsid w:val="00582871"/>
    <w:rsid w:val="0058486E"/>
    <w:rsid w:val="005855C8"/>
    <w:rsid w:val="00585B33"/>
    <w:rsid w:val="0059014D"/>
    <w:rsid w:val="0059166C"/>
    <w:rsid w:val="005B4012"/>
    <w:rsid w:val="005B5C64"/>
    <w:rsid w:val="005B65D4"/>
    <w:rsid w:val="005C5D75"/>
    <w:rsid w:val="005C6BD0"/>
    <w:rsid w:val="005C6C4C"/>
    <w:rsid w:val="005D1C8B"/>
    <w:rsid w:val="005D468D"/>
    <w:rsid w:val="005D5CED"/>
    <w:rsid w:val="005E5E7C"/>
    <w:rsid w:val="005E61F2"/>
    <w:rsid w:val="005F1A4C"/>
    <w:rsid w:val="005F4F00"/>
    <w:rsid w:val="00605688"/>
    <w:rsid w:val="006070AF"/>
    <w:rsid w:val="00607E6C"/>
    <w:rsid w:val="006101B1"/>
    <w:rsid w:val="00614E44"/>
    <w:rsid w:val="00616A4E"/>
    <w:rsid w:val="0062270A"/>
    <w:rsid w:val="00622830"/>
    <w:rsid w:val="00623DA0"/>
    <w:rsid w:val="00630AEF"/>
    <w:rsid w:val="006325F8"/>
    <w:rsid w:val="00633463"/>
    <w:rsid w:val="00634C9A"/>
    <w:rsid w:val="006440E4"/>
    <w:rsid w:val="0066343B"/>
    <w:rsid w:val="00664777"/>
    <w:rsid w:val="00672078"/>
    <w:rsid w:val="006748A4"/>
    <w:rsid w:val="00681A31"/>
    <w:rsid w:val="00683E73"/>
    <w:rsid w:val="006A3141"/>
    <w:rsid w:val="006A5E34"/>
    <w:rsid w:val="006B2422"/>
    <w:rsid w:val="006B2B9A"/>
    <w:rsid w:val="006C1937"/>
    <w:rsid w:val="006F020C"/>
    <w:rsid w:val="0071191C"/>
    <w:rsid w:val="007127B7"/>
    <w:rsid w:val="0071798E"/>
    <w:rsid w:val="00727533"/>
    <w:rsid w:val="007406A9"/>
    <w:rsid w:val="007416B6"/>
    <w:rsid w:val="00746F48"/>
    <w:rsid w:val="0075404D"/>
    <w:rsid w:val="0075497F"/>
    <w:rsid w:val="00754E6F"/>
    <w:rsid w:val="0076182A"/>
    <w:rsid w:val="00767B7E"/>
    <w:rsid w:val="00775191"/>
    <w:rsid w:val="007770C3"/>
    <w:rsid w:val="007847D8"/>
    <w:rsid w:val="00784D24"/>
    <w:rsid w:val="00785FBA"/>
    <w:rsid w:val="00786E4A"/>
    <w:rsid w:val="007875EB"/>
    <w:rsid w:val="0079426B"/>
    <w:rsid w:val="007B40A0"/>
    <w:rsid w:val="007C4BBD"/>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4D5D"/>
    <w:rsid w:val="00855221"/>
    <w:rsid w:val="00860645"/>
    <w:rsid w:val="00871F71"/>
    <w:rsid w:val="00872FD8"/>
    <w:rsid w:val="00882497"/>
    <w:rsid w:val="00885AF4"/>
    <w:rsid w:val="008939CD"/>
    <w:rsid w:val="008A484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3A0B"/>
    <w:rsid w:val="0097099F"/>
    <w:rsid w:val="00971997"/>
    <w:rsid w:val="00971FFC"/>
    <w:rsid w:val="0097298B"/>
    <w:rsid w:val="0098660A"/>
    <w:rsid w:val="009931C3"/>
    <w:rsid w:val="009B2C43"/>
    <w:rsid w:val="009B4EAE"/>
    <w:rsid w:val="009B7573"/>
    <w:rsid w:val="009C22F4"/>
    <w:rsid w:val="009C2E98"/>
    <w:rsid w:val="009C37FB"/>
    <w:rsid w:val="009D3447"/>
    <w:rsid w:val="009D4711"/>
    <w:rsid w:val="009E261B"/>
    <w:rsid w:val="009F1185"/>
    <w:rsid w:val="009F18CD"/>
    <w:rsid w:val="009F2A13"/>
    <w:rsid w:val="009F7527"/>
    <w:rsid w:val="00A039ED"/>
    <w:rsid w:val="00A04EB0"/>
    <w:rsid w:val="00A13CC1"/>
    <w:rsid w:val="00A16847"/>
    <w:rsid w:val="00A171BD"/>
    <w:rsid w:val="00A237D8"/>
    <w:rsid w:val="00A26014"/>
    <w:rsid w:val="00A268C4"/>
    <w:rsid w:val="00A307CD"/>
    <w:rsid w:val="00A331C8"/>
    <w:rsid w:val="00A35117"/>
    <w:rsid w:val="00A40A00"/>
    <w:rsid w:val="00A4142F"/>
    <w:rsid w:val="00A418AD"/>
    <w:rsid w:val="00A422EB"/>
    <w:rsid w:val="00A45BB7"/>
    <w:rsid w:val="00A56DF2"/>
    <w:rsid w:val="00A56E6E"/>
    <w:rsid w:val="00A663EB"/>
    <w:rsid w:val="00A67AB5"/>
    <w:rsid w:val="00A714BC"/>
    <w:rsid w:val="00A733B2"/>
    <w:rsid w:val="00A741C2"/>
    <w:rsid w:val="00A91760"/>
    <w:rsid w:val="00A928C0"/>
    <w:rsid w:val="00A93B00"/>
    <w:rsid w:val="00A93C21"/>
    <w:rsid w:val="00AB06A3"/>
    <w:rsid w:val="00AB64C9"/>
    <w:rsid w:val="00AC193B"/>
    <w:rsid w:val="00AC3C6A"/>
    <w:rsid w:val="00AC55BA"/>
    <w:rsid w:val="00AD0F83"/>
    <w:rsid w:val="00AD5620"/>
    <w:rsid w:val="00AD656B"/>
    <w:rsid w:val="00AD7C1B"/>
    <w:rsid w:val="00AE16BA"/>
    <w:rsid w:val="00AE1EBE"/>
    <w:rsid w:val="00AF37A0"/>
    <w:rsid w:val="00B03C9D"/>
    <w:rsid w:val="00B060AE"/>
    <w:rsid w:val="00B10517"/>
    <w:rsid w:val="00B14E76"/>
    <w:rsid w:val="00B161B8"/>
    <w:rsid w:val="00B17B06"/>
    <w:rsid w:val="00B2048C"/>
    <w:rsid w:val="00B310B9"/>
    <w:rsid w:val="00B35F3F"/>
    <w:rsid w:val="00B36CBB"/>
    <w:rsid w:val="00B425E0"/>
    <w:rsid w:val="00B440AA"/>
    <w:rsid w:val="00B44B70"/>
    <w:rsid w:val="00B44F15"/>
    <w:rsid w:val="00B51B09"/>
    <w:rsid w:val="00B51F42"/>
    <w:rsid w:val="00B53C56"/>
    <w:rsid w:val="00B57DAF"/>
    <w:rsid w:val="00B77EA6"/>
    <w:rsid w:val="00B81598"/>
    <w:rsid w:val="00B82CC9"/>
    <w:rsid w:val="00B841F1"/>
    <w:rsid w:val="00B944D6"/>
    <w:rsid w:val="00BB4DF0"/>
    <w:rsid w:val="00BC289F"/>
    <w:rsid w:val="00BC2D50"/>
    <w:rsid w:val="00BC5361"/>
    <w:rsid w:val="00BC5460"/>
    <w:rsid w:val="00BC6B50"/>
    <w:rsid w:val="00BD0E25"/>
    <w:rsid w:val="00BD1670"/>
    <w:rsid w:val="00BF5BD6"/>
    <w:rsid w:val="00BF6212"/>
    <w:rsid w:val="00C03E31"/>
    <w:rsid w:val="00C30E69"/>
    <w:rsid w:val="00C33E72"/>
    <w:rsid w:val="00C354B2"/>
    <w:rsid w:val="00C35554"/>
    <w:rsid w:val="00C3639C"/>
    <w:rsid w:val="00C42709"/>
    <w:rsid w:val="00C4763C"/>
    <w:rsid w:val="00C532CA"/>
    <w:rsid w:val="00C533CC"/>
    <w:rsid w:val="00C5751C"/>
    <w:rsid w:val="00C60E57"/>
    <w:rsid w:val="00C61BFC"/>
    <w:rsid w:val="00C62B85"/>
    <w:rsid w:val="00C65438"/>
    <w:rsid w:val="00C750E0"/>
    <w:rsid w:val="00C868AC"/>
    <w:rsid w:val="00C91CBB"/>
    <w:rsid w:val="00CA71A8"/>
    <w:rsid w:val="00CB4E70"/>
    <w:rsid w:val="00CC09B6"/>
    <w:rsid w:val="00CC666F"/>
    <w:rsid w:val="00CD1E3F"/>
    <w:rsid w:val="00CD70A9"/>
    <w:rsid w:val="00CE060C"/>
    <w:rsid w:val="00CE44F6"/>
    <w:rsid w:val="00CE49DA"/>
    <w:rsid w:val="00CE7B61"/>
    <w:rsid w:val="00CF26A0"/>
    <w:rsid w:val="00D00095"/>
    <w:rsid w:val="00D114F0"/>
    <w:rsid w:val="00D130D3"/>
    <w:rsid w:val="00D179F5"/>
    <w:rsid w:val="00D20620"/>
    <w:rsid w:val="00D2207C"/>
    <w:rsid w:val="00D254F7"/>
    <w:rsid w:val="00D26091"/>
    <w:rsid w:val="00D2685C"/>
    <w:rsid w:val="00D34E7C"/>
    <w:rsid w:val="00D35489"/>
    <w:rsid w:val="00D36AFE"/>
    <w:rsid w:val="00D455C1"/>
    <w:rsid w:val="00D51276"/>
    <w:rsid w:val="00D7035F"/>
    <w:rsid w:val="00D86FB8"/>
    <w:rsid w:val="00D90607"/>
    <w:rsid w:val="00DA634F"/>
    <w:rsid w:val="00DA65AC"/>
    <w:rsid w:val="00DB1913"/>
    <w:rsid w:val="00DC410D"/>
    <w:rsid w:val="00DC5A81"/>
    <w:rsid w:val="00DC68CA"/>
    <w:rsid w:val="00DC7CBA"/>
    <w:rsid w:val="00DD6749"/>
    <w:rsid w:val="00DD73B7"/>
    <w:rsid w:val="00DE4AF8"/>
    <w:rsid w:val="00DE6E82"/>
    <w:rsid w:val="00DF28BC"/>
    <w:rsid w:val="00DF2CBD"/>
    <w:rsid w:val="00DF34B9"/>
    <w:rsid w:val="00DF7548"/>
    <w:rsid w:val="00E005D9"/>
    <w:rsid w:val="00E01053"/>
    <w:rsid w:val="00E07ACF"/>
    <w:rsid w:val="00E331A1"/>
    <w:rsid w:val="00E33202"/>
    <w:rsid w:val="00E336A9"/>
    <w:rsid w:val="00E472B1"/>
    <w:rsid w:val="00E50624"/>
    <w:rsid w:val="00E53A33"/>
    <w:rsid w:val="00E568DF"/>
    <w:rsid w:val="00E6036B"/>
    <w:rsid w:val="00E604C9"/>
    <w:rsid w:val="00E64269"/>
    <w:rsid w:val="00E66797"/>
    <w:rsid w:val="00E82267"/>
    <w:rsid w:val="00E853CE"/>
    <w:rsid w:val="00E867B6"/>
    <w:rsid w:val="00E87F08"/>
    <w:rsid w:val="00EA010F"/>
    <w:rsid w:val="00EB3CF7"/>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265E5"/>
    <w:rsid w:val="00F36D8F"/>
    <w:rsid w:val="00F417B1"/>
    <w:rsid w:val="00F45853"/>
    <w:rsid w:val="00F52D6A"/>
    <w:rsid w:val="00F602DF"/>
    <w:rsid w:val="00F754A1"/>
    <w:rsid w:val="00F81FD9"/>
    <w:rsid w:val="00F82632"/>
    <w:rsid w:val="00F841AA"/>
    <w:rsid w:val="00F84A94"/>
    <w:rsid w:val="00F87E96"/>
    <w:rsid w:val="00FA23E8"/>
    <w:rsid w:val="00FC282E"/>
    <w:rsid w:val="00FD3CC1"/>
    <w:rsid w:val="00FE0250"/>
    <w:rsid w:val="00FF1E02"/>
    <w:rsid w:val="00FF30B4"/>
    <w:rsid w:val="01071085"/>
    <w:rsid w:val="01145789"/>
    <w:rsid w:val="01436AFB"/>
    <w:rsid w:val="017C08D9"/>
    <w:rsid w:val="01CB485F"/>
    <w:rsid w:val="01E60981"/>
    <w:rsid w:val="01E74ACC"/>
    <w:rsid w:val="02064187"/>
    <w:rsid w:val="0247011C"/>
    <w:rsid w:val="02DE2329"/>
    <w:rsid w:val="03004900"/>
    <w:rsid w:val="03416B23"/>
    <w:rsid w:val="034E58B2"/>
    <w:rsid w:val="03561A1B"/>
    <w:rsid w:val="036C681A"/>
    <w:rsid w:val="037A0641"/>
    <w:rsid w:val="037C4C83"/>
    <w:rsid w:val="039413ED"/>
    <w:rsid w:val="03AC5793"/>
    <w:rsid w:val="03BF4A94"/>
    <w:rsid w:val="04074E82"/>
    <w:rsid w:val="0417524E"/>
    <w:rsid w:val="04263F06"/>
    <w:rsid w:val="04355929"/>
    <w:rsid w:val="043E2886"/>
    <w:rsid w:val="0453580C"/>
    <w:rsid w:val="0476335A"/>
    <w:rsid w:val="048A6743"/>
    <w:rsid w:val="049C2054"/>
    <w:rsid w:val="04B03F85"/>
    <w:rsid w:val="04E57589"/>
    <w:rsid w:val="04EE1FA5"/>
    <w:rsid w:val="05082A55"/>
    <w:rsid w:val="05133F81"/>
    <w:rsid w:val="05304781"/>
    <w:rsid w:val="053661B0"/>
    <w:rsid w:val="0556275D"/>
    <w:rsid w:val="05734460"/>
    <w:rsid w:val="05A7036C"/>
    <w:rsid w:val="05C278E7"/>
    <w:rsid w:val="05CB7B36"/>
    <w:rsid w:val="05E258A3"/>
    <w:rsid w:val="061D0C7B"/>
    <w:rsid w:val="06330434"/>
    <w:rsid w:val="06380514"/>
    <w:rsid w:val="065014AB"/>
    <w:rsid w:val="06551655"/>
    <w:rsid w:val="068030CC"/>
    <w:rsid w:val="06E23084"/>
    <w:rsid w:val="06E93213"/>
    <w:rsid w:val="072634E9"/>
    <w:rsid w:val="0730638D"/>
    <w:rsid w:val="073A2B1E"/>
    <w:rsid w:val="0744651C"/>
    <w:rsid w:val="07470E15"/>
    <w:rsid w:val="074C4F2F"/>
    <w:rsid w:val="07583DCC"/>
    <w:rsid w:val="075D0E55"/>
    <w:rsid w:val="07725BD3"/>
    <w:rsid w:val="07A205C2"/>
    <w:rsid w:val="07C11B04"/>
    <w:rsid w:val="07E75658"/>
    <w:rsid w:val="08211C9C"/>
    <w:rsid w:val="0825080D"/>
    <w:rsid w:val="086F21DD"/>
    <w:rsid w:val="08857ED9"/>
    <w:rsid w:val="08A11271"/>
    <w:rsid w:val="08B763CE"/>
    <w:rsid w:val="08CD3EF2"/>
    <w:rsid w:val="08F379E4"/>
    <w:rsid w:val="09127C2D"/>
    <w:rsid w:val="09597773"/>
    <w:rsid w:val="095E7E2B"/>
    <w:rsid w:val="097F2F0B"/>
    <w:rsid w:val="09910900"/>
    <w:rsid w:val="09B10948"/>
    <w:rsid w:val="09B523E1"/>
    <w:rsid w:val="09B660AB"/>
    <w:rsid w:val="09BF6D17"/>
    <w:rsid w:val="09E352B3"/>
    <w:rsid w:val="09E92A18"/>
    <w:rsid w:val="09F803F8"/>
    <w:rsid w:val="0A031370"/>
    <w:rsid w:val="0A077F46"/>
    <w:rsid w:val="0A2F7905"/>
    <w:rsid w:val="0A4B75A8"/>
    <w:rsid w:val="0A9A7D92"/>
    <w:rsid w:val="0AA74CD3"/>
    <w:rsid w:val="0AB112FE"/>
    <w:rsid w:val="0ACC71D7"/>
    <w:rsid w:val="0AED4485"/>
    <w:rsid w:val="0B143EA2"/>
    <w:rsid w:val="0B2C6D06"/>
    <w:rsid w:val="0B420EF7"/>
    <w:rsid w:val="0B4A4B8B"/>
    <w:rsid w:val="0B4C3AF7"/>
    <w:rsid w:val="0BB631F1"/>
    <w:rsid w:val="0BC8404A"/>
    <w:rsid w:val="0BD949DF"/>
    <w:rsid w:val="0BDC725D"/>
    <w:rsid w:val="0BEA0694"/>
    <w:rsid w:val="0C0F1836"/>
    <w:rsid w:val="0C151516"/>
    <w:rsid w:val="0C357658"/>
    <w:rsid w:val="0C466E90"/>
    <w:rsid w:val="0C4F2E99"/>
    <w:rsid w:val="0C66783A"/>
    <w:rsid w:val="0C724B7D"/>
    <w:rsid w:val="0C8F2D73"/>
    <w:rsid w:val="0C9D52F6"/>
    <w:rsid w:val="0CB039C8"/>
    <w:rsid w:val="0CBA74F7"/>
    <w:rsid w:val="0D070BAC"/>
    <w:rsid w:val="0D5F27FE"/>
    <w:rsid w:val="0D633F10"/>
    <w:rsid w:val="0D68143A"/>
    <w:rsid w:val="0D6A4E1D"/>
    <w:rsid w:val="0D707B46"/>
    <w:rsid w:val="0D8E3C27"/>
    <w:rsid w:val="0D92577C"/>
    <w:rsid w:val="0D9446E3"/>
    <w:rsid w:val="0DA246E6"/>
    <w:rsid w:val="0DA440C6"/>
    <w:rsid w:val="0DD53862"/>
    <w:rsid w:val="0DDE0389"/>
    <w:rsid w:val="0DE444CC"/>
    <w:rsid w:val="0E004D02"/>
    <w:rsid w:val="0E1A1858"/>
    <w:rsid w:val="0E542A0B"/>
    <w:rsid w:val="0EA51838"/>
    <w:rsid w:val="0EAC19A2"/>
    <w:rsid w:val="0ED279AE"/>
    <w:rsid w:val="0F0632B5"/>
    <w:rsid w:val="0F0F3B07"/>
    <w:rsid w:val="0F2515A7"/>
    <w:rsid w:val="0F966682"/>
    <w:rsid w:val="0FA47089"/>
    <w:rsid w:val="101A02A5"/>
    <w:rsid w:val="10C055FF"/>
    <w:rsid w:val="10D34C31"/>
    <w:rsid w:val="10E76080"/>
    <w:rsid w:val="110A4306"/>
    <w:rsid w:val="111B4AB4"/>
    <w:rsid w:val="112C383A"/>
    <w:rsid w:val="11404030"/>
    <w:rsid w:val="118E2B7E"/>
    <w:rsid w:val="11997DD7"/>
    <w:rsid w:val="11BC7E08"/>
    <w:rsid w:val="11E91836"/>
    <w:rsid w:val="12056A9C"/>
    <w:rsid w:val="12226D83"/>
    <w:rsid w:val="12342E9E"/>
    <w:rsid w:val="125518E4"/>
    <w:rsid w:val="12597977"/>
    <w:rsid w:val="12662A7C"/>
    <w:rsid w:val="128230E5"/>
    <w:rsid w:val="1283533C"/>
    <w:rsid w:val="129C55D8"/>
    <w:rsid w:val="12CD2BFE"/>
    <w:rsid w:val="12D47738"/>
    <w:rsid w:val="12D80AD7"/>
    <w:rsid w:val="12DD518C"/>
    <w:rsid w:val="13065898"/>
    <w:rsid w:val="131534E4"/>
    <w:rsid w:val="13166882"/>
    <w:rsid w:val="1321608B"/>
    <w:rsid w:val="133139CA"/>
    <w:rsid w:val="139B0F44"/>
    <w:rsid w:val="139B5A47"/>
    <w:rsid w:val="13A845F2"/>
    <w:rsid w:val="13B21887"/>
    <w:rsid w:val="13DA69CA"/>
    <w:rsid w:val="13DF070F"/>
    <w:rsid w:val="14097567"/>
    <w:rsid w:val="140E2F35"/>
    <w:rsid w:val="140F30C8"/>
    <w:rsid w:val="14174B89"/>
    <w:rsid w:val="14300C21"/>
    <w:rsid w:val="146A60E9"/>
    <w:rsid w:val="14723B1B"/>
    <w:rsid w:val="14B67C96"/>
    <w:rsid w:val="14CD67EC"/>
    <w:rsid w:val="14D12F00"/>
    <w:rsid w:val="14E153AA"/>
    <w:rsid w:val="14F76971"/>
    <w:rsid w:val="150D699E"/>
    <w:rsid w:val="15130776"/>
    <w:rsid w:val="1518761B"/>
    <w:rsid w:val="1525313A"/>
    <w:rsid w:val="153A126B"/>
    <w:rsid w:val="1563015C"/>
    <w:rsid w:val="157E0D00"/>
    <w:rsid w:val="15A101FB"/>
    <w:rsid w:val="161F5E9B"/>
    <w:rsid w:val="162E1021"/>
    <w:rsid w:val="163B7586"/>
    <w:rsid w:val="163E38D8"/>
    <w:rsid w:val="16464351"/>
    <w:rsid w:val="165D4BE7"/>
    <w:rsid w:val="16656363"/>
    <w:rsid w:val="166E2A0F"/>
    <w:rsid w:val="16886ED3"/>
    <w:rsid w:val="16904766"/>
    <w:rsid w:val="169B7860"/>
    <w:rsid w:val="16BB723D"/>
    <w:rsid w:val="16CD51C9"/>
    <w:rsid w:val="16E45C59"/>
    <w:rsid w:val="16E668A5"/>
    <w:rsid w:val="17262131"/>
    <w:rsid w:val="172D5A0A"/>
    <w:rsid w:val="172D7CEE"/>
    <w:rsid w:val="174F5D30"/>
    <w:rsid w:val="178268EC"/>
    <w:rsid w:val="17913A05"/>
    <w:rsid w:val="17A53391"/>
    <w:rsid w:val="17BA4238"/>
    <w:rsid w:val="17D906B9"/>
    <w:rsid w:val="17E1619B"/>
    <w:rsid w:val="17E84FCA"/>
    <w:rsid w:val="18181FB2"/>
    <w:rsid w:val="18427E12"/>
    <w:rsid w:val="18682F0E"/>
    <w:rsid w:val="186E33F9"/>
    <w:rsid w:val="18725D00"/>
    <w:rsid w:val="18A033DC"/>
    <w:rsid w:val="18A13E66"/>
    <w:rsid w:val="18A4164D"/>
    <w:rsid w:val="18AB2B6B"/>
    <w:rsid w:val="18BD43B7"/>
    <w:rsid w:val="18E64F62"/>
    <w:rsid w:val="18F31682"/>
    <w:rsid w:val="1980271E"/>
    <w:rsid w:val="19817099"/>
    <w:rsid w:val="19D03B6A"/>
    <w:rsid w:val="19D070DA"/>
    <w:rsid w:val="19DB2973"/>
    <w:rsid w:val="19E23BA6"/>
    <w:rsid w:val="1A2633EF"/>
    <w:rsid w:val="1A5C3F85"/>
    <w:rsid w:val="1A6B4592"/>
    <w:rsid w:val="1AA940B2"/>
    <w:rsid w:val="1AF5280B"/>
    <w:rsid w:val="1B594F0F"/>
    <w:rsid w:val="1B9665DC"/>
    <w:rsid w:val="1BB5722A"/>
    <w:rsid w:val="1BBC25BD"/>
    <w:rsid w:val="1BE100EF"/>
    <w:rsid w:val="1C4313F5"/>
    <w:rsid w:val="1C6146EB"/>
    <w:rsid w:val="1C674579"/>
    <w:rsid w:val="1C694603"/>
    <w:rsid w:val="1C6C464F"/>
    <w:rsid w:val="1C750115"/>
    <w:rsid w:val="1CDB7EF6"/>
    <w:rsid w:val="1CE86F56"/>
    <w:rsid w:val="1CF96FB5"/>
    <w:rsid w:val="1D3D78F4"/>
    <w:rsid w:val="1D51773B"/>
    <w:rsid w:val="1D6A3145"/>
    <w:rsid w:val="1D85599E"/>
    <w:rsid w:val="1DAC50F9"/>
    <w:rsid w:val="1DDE3324"/>
    <w:rsid w:val="1E103F8A"/>
    <w:rsid w:val="1E2F2DDC"/>
    <w:rsid w:val="1E414212"/>
    <w:rsid w:val="1E632132"/>
    <w:rsid w:val="1E6518D7"/>
    <w:rsid w:val="1E7049F6"/>
    <w:rsid w:val="1E856F70"/>
    <w:rsid w:val="1E8E6037"/>
    <w:rsid w:val="1EAE110D"/>
    <w:rsid w:val="1EBB64AF"/>
    <w:rsid w:val="1ED407C7"/>
    <w:rsid w:val="1F155F30"/>
    <w:rsid w:val="1F310440"/>
    <w:rsid w:val="1FB27CCD"/>
    <w:rsid w:val="1FB858F7"/>
    <w:rsid w:val="1FCC4870"/>
    <w:rsid w:val="1FD858E0"/>
    <w:rsid w:val="200451EC"/>
    <w:rsid w:val="201E3FDA"/>
    <w:rsid w:val="204435DB"/>
    <w:rsid w:val="206474C0"/>
    <w:rsid w:val="206F6888"/>
    <w:rsid w:val="20A231CF"/>
    <w:rsid w:val="20B477A4"/>
    <w:rsid w:val="20CE189A"/>
    <w:rsid w:val="20F00D31"/>
    <w:rsid w:val="21144AA1"/>
    <w:rsid w:val="21275AED"/>
    <w:rsid w:val="21482E2F"/>
    <w:rsid w:val="21800025"/>
    <w:rsid w:val="218F1857"/>
    <w:rsid w:val="21A6773E"/>
    <w:rsid w:val="21AB745A"/>
    <w:rsid w:val="21B67DD4"/>
    <w:rsid w:val="21B90525"/>
    <w:rsid w:val="21CB18BC"/>
    <w:rsid w:val="21D83DF8"/>
    <w:rsid w:val="21DC6723"/>
    <w:rsid w:val="22161257"/>
    <w:rsid w:val="222E1BB8"/>
    <w:rsid w:val="2261606C"/>
    <w:rsid w:val="2289667D"/>
    <w:rsid w:val="228D48AF"/>
    <w:rsid w:val="22913CC9"/>
    <w:rsid w:val="22B9737A"/>
    <w:rsid w:val="22DC3ACE"/>
    <w:rsid w:val="23003A5F"/>
    <w:rsid w:val="233F7126"/>
    <w:rsid w:val="234E7316"/>
    <w:rsid w:val="235935A2"/>
    <w:rsid w:val="23685A10"/>
    <w:rsid w:val="23852194"/>
    <w:rsid w:val="238D1254"/>
    <w:rsid w:val="23973E97"/>
    <w:rsid w:val="23A90A43"/>
    <w:rsid w:val="23B60459"/>
    <w:rsid w:val="23C02FC2"/>
    <w:rsid w:val="23FA57EF"/>
    <w:rsid w:val="2403098B"/>
    <w:rsid w:val="240371BF"/>
    <w:rsid w:val="240B3B00"/>
    <w:rsid w:val="240E6C75"/>
    <w:rsid w:val="240F48A4"/>
    <w:rsid w:val="241875A4"/>
    <w:rsid w:val="24252418"/>
    <w:rsid w:val="243C4699"/>
    <w:rsid w:val="245B6650"/>
    <w:rsid w:val="249A6792"/>
    <w:rsid w:val="24E12DFC"/>
    <w:rsid w:val="24F45EBA"/>
    <w:rsid w:val="24FF1E90"/>
    <w:rsid w:val="24FF54C0"/>
    <w:rsid w:val="250B7DC2"/>
    <w:rsid w:val="253F2E9B"/>
    <w:rsid w:val="254B039C"/>
    <w:rsid w:val="25540A4E"/>
    <w:rsid w:val="256E2FE5"/>
    <w:rsid w:val="25866CB6"/>
    <w:rsid w:val="259F6A57"/>
    <w:rsid w:val="25A33F63"/>
    <w:rsid w:val="25A62EBC"/>
    <w:rsid w:val="25C218EA"/>
    <w:rsid w:val="26045E71"/>
    <w:rsid w:val="261460EF"/>
    <w:rsid w:val="26192A74"/>
    <w:rsid w:val="265505BB"/>
    <w:rsid w:val="266B3118"/>
    <w:rsid w:val="2678358B"/>
    <w:rsid w:val="27033907"/>
    <w:rsid w:val="2725526C"/>
    <w:rsid w:val="275F0AFB"/>
    <w:rsid w:val="27600FD2"/>
    <w:rsid w:val="276C4006"/>
    <w:rsid w:val="27741652"/>
    <w:rsid w:val="277442DB"/>
    <w:rsid w:val="277B41E2"/>
    <w:rsid w:val="279F154E"/>
    <w:rsid w:val="27B675A4"/>
    <w:rsid w:val="27C9300F"/>
    <w:rsid w:val="27CC1F66"/>
    <w:rsid w:val="27DF39CB"/>
    <w:rsid w:val="280D49CE"/>
    <w:rsid w:val="288061AD"/>
    <w:rsid w:val="289A36BD"/>
    <w:rsid w:val="28C07141"/>
    <w:rsid w:val="28CC7CFC"/>
    <w:rsid w:val="28EB1445"/>
    <w:rsid w:val="28FB4857"/>
    <w:rsid w:val="29477D95"/>
    <w:rsid w:val="294A049E"/>
    <w:rsid w:val="294F2592"/>
    <w:rsid w:val="29605D7C"/>
    <w:rsid w:val="299334AD"/>
    <w:rsid w:val="29C83E3C"/>
    <w:rsid w:val="29D4214A"/>
    <w:rsid w:val="29D9674F"/>
    <w:rsid w:val="29DF28AF"/>
    <w:rsid w:val="29E26021"/>
    <w:rsid w:val="29FD04D3"/>
    <w:rsid w:val="2A0B78C3"/>
    <w:rsid w:val="2A140426"/>
    <w:rsid w:val="2A544FFE"/>
    <w:rsid w:val="2A791FF6"/>
    <w:rsid w:val="2A7934D2"/>
    <w:rsid w:val="2A8311BC"/>
    <w:rsid w:val="2AA54FF2"/>
    <w:rsid w:val="2AB57B5E"/>
    <w:rsid w:val="2AC073AD"/>
    <w:rsid w:val="2AC20F0C"/>
    <w:rsid w:val="2B09629E"/>
    <w:rsid w:val="2B1D4F91"/>
    <w:rsid w:val="2B257A1B"/>
    <w:rsid w:val="2BD52B9A"/>
    <w:rsid w:val="2BD97EDF"/>
    <w:rsid w:val="2BF75217"/>
    <w:rsid w:val="2BFC0829"/>
    <w:rsid w:val="2C333305"/>
    <w:rsid w:val="2C3A51A4"/>
    <w:rsid w:val="2CB2624E"/>
    <w:rsid w:val="2CBB6D40"/>
    <w:rsid w:val="2CDD6E6A"/>
    <w:rsid w:val="2CEC10F7"/>
    <w:rsid w:val="2CF43D54"/>
    <w:rsid w:val="2CF46877"/>
    <w:rsid w:val="2CF55733"/>
    <w:rsid w:val="2CFF5AEF"/>
    <w:rsid w:val="2D071B47"/>
    <w:rsid w:val="2D4507A4"/>
    <w:rsid w:val="2D487560"/>
    <w:rsid w:val="2D620195"/>
    <w:rsid w:val="2D7757A3"/>
    <w:rsid w:val="2DB80943"/>
    <w:rsid w:val="2DDF6745"/>
    <w:rsid w:val="2DFD5F59"/>
    <w:rsid w:val="2E0713A1"/>
    <w:rsid w:val="2E10018A"/>
    <w:rsid w:val="2E182697"/>
    <w:rsid w:val="2E244B8E"/>
    <w:rsid w:val="2E3209FB"/>
    <w:rsid w:val="2E3C111E"/>
    <w:rsid w:val="2E480871"/>
    <w:rsid w:val="2E49429D"/>
    <w:rsid w:val="2E4F669A"/>
    <w:rsid w:val="2E561B39"/>
    <w:rsid w:val="2E806273"/>
    <w:rsid w:val="2E81515A"/>
    <w:rsid w:val="2EA41B53"/>
    <w:rsid w:val="2EB35533"/>
    <w:rsid w:val="2EBB1596"/>
    <w:rsid w:val="2EC4406A"/>
    <w:rsid w:val="2EE663B4"/>
    <w:rsid w:val="2F22722D"/>
    <w:rsid w:val="2F321F2F"/>
    <w:rsid w:val="2F4E1E5A"/>
    <w:rsid w:val="2F5F4D08"/>
    <w:rsid w:val="2FD74715"/>
    <w:rsid w:val="2FD8538E"/>
    <w:rsid w:val="2FF256DA"/>
    <w:rsid w:val="300F2DB7"/>
    <w:rsid w:val="30120ECF"/>
    <w:rsid w:val="301533B0"/>
    <w:rsid w:val="301F65D1"/>
    <w:rsid w:val="30355F71"/>
    <w:rsid w:val="30387D71"/>
    <w:rsid w:val="30433F48"/>
    <w:rsid w:val="30547627"/>
    <w:rsid w:val="305E5BEE"/>
    <w:rsid w:val="308507BB"/>
    <w:rsid w:val="30951FC1"/>
    <w:rsid w:val="30A67BB9"/>
    <w:rsid w:val="30FE1334"/>
    <w:rsid w:val="3112290E"/>
    <w:rsid w:val="313A5E0A"/>
    <w:rsid w:val="316E567A"/>
    <w:rsid w:val="319F7F4E"/>
    <w:rsid w:val="31D04004"/>
    <w:rsid w:val="31DB0B2E"/>
    <w:rsid w:val="329E70DA"/>
    <w:rsid w:val="32A13606"/>
    <w:rsid w:val="32BE3BCE"/>
    <w:rsid w:val="32C16D00"/>
    <w:rsid w:val="32C42DF8"/>
    <w:rsid w:val="32C67EDB"/>
    <w:rsid w:val="32E73C38"/>
    <w:rsid w:val="32ED1F43"/>
    <w:rsid w:val="331C4BD8"/>
    <w:rsid w:val="33221B16"/>
    <w:rsid w:val="33363525"/>
    <w:rsid w:val="335357A5"/>
    <w:rsid w:val="33642D3F"/>
    <w:rsid w:val="33A55B5C"/>
    <w:rsid w:val="33B10F31"/>
    <w:rsid w:val="33EC7A3C"/>
    <w:rsid w:val="34031E10"/>
    <w:rsid w:val="341A7C56"/>
    <w:rsid w:val="341E2AE3"/>
    <w:rsid w:val="34291520"/>
    <w:rsid w:val="343563AE"/>
    <w:rsid w:val="343D1CEB"/>
    <w:rsid w:val="345111CD"/>
    <w:rsid w:val="347D4B8D"/>
    <w:rsid w:val="347E0C1A"/>
    <w:rsid w:val="34865FC1"/>
    <w:rsid w:val="35036E82"/>
    <w:rsid w:val="350B6154"/>
    <w:rsid w:val="350F24C8"/>
    <w:rsid w:val="35122898"/>
    <w:rsid w:val="35164988"/>
    <w:rsid w:val="352607E3"/>
    <w:rsid w:val="353B67DF"/>
    <w:rsid w:val="35442F38"/>
    <w:rsid w:val="354E5C7D"/>
    <w:rsid w:val="3554471D"/>
    <w:rsid w:val="359D489E"/>
    <w:rsid w:val="35BA4662"/>
    <w:rsid w:val="35C12FDD"/>
    <w:rsid w:val="35C57AB6"/>
    <w:rsid w:val="36011445"/>
    <w:rsid w:val="362F2B03"/>
    <w:rsid w:val="362F3D70"/>
    <w:rsid w:val="367758E6"/>
    <w:rsid w:val="367B136A"/>
    <w:rsid w:val="367E23C6"/>
    <w:rsid w:val="368706EC"/>
    <w:rsid w:val="368E2136"/>
    <w:rsid w:val="36990393"/>
    <w:rsid w:val="36B6617E"/>
    <w:rsid w:val="36BF2BAE"/>
    <w:rsid w:val="36C74FD2"/>
    <w:rsid w:val="36DA46C2"/>
    <w:rsid w:val="36E160D5"/>
    <w:rsid w:val="36F1333C"/>
    <w:rsid w:val="36FD0BFF"/>
    <w:rsid w:val="371B265B"/>
    <w:rsid w:val="37202B9A"/>
    <w:rsid w:val="37210E6E"/>
    <w:rsid w:val="37524002"/>
    <w:rsid w:val="3754187E"/>
    <w:rsid w:val="375E0DA1"/>
    <w:rsid w:val="37687C05"/>
    <w:rsid w:val="377279DA"/>
    <w:rsid w:val="37930B52"/>
    <w:rsid w:val="37B72747"/>
    <w:rsid w:val="37CB3FB1"/>
    <w:rsid w:val="37D34BE3"/>
    <w:rsid w:val="37D80EEC"/>
    <w:rsid w:val="37DE1F27"/>
    <w:rsid w:val="37E41612"/>
    <w:rsid w:val="37F275E8"/>
    <w:rsid w:val="37F6043E"/>
    <w:rsid w:val="37F675C2"/>
    <w:rsid w:val="38013D55"/>
    <w:rsid w:val="38050D5B"/>
    <w:rsid w:val="3814682D"/>
    <w:rsid w:val="383028A8"/>
    <w:rsid w:val="383B78AD"/>
    <w:rsid w:val="38540E52"/>
    <w:rsid w:val="38563C3F"/>
    <w:rsid w:val="386355B9"/>
    <w:rsid w:val="3869702E"/>
    <w:rsid w:val="388676DC"/>
    <w:rsid w:val="38A44C87"/>
    <w:rsid w:val="38B3460A"/>
    <w:rsid w:val="38B84B07"/>
    <w:rsid w:val="38BC1630"/>
    <w:rsid w:val="38BD608A"/>
    <w:rsid w:val="38C92277"/>
    <w:rsid w:val="38DA5589"/>
    <w:rsid w:val="38F24FD4"/>
    <w:rsid w:val="38F54AED"/>
    <w:rsid w:val="391E17CD"/>
    <w:rsid w:val="39252EED"/>
    <w:rsid w:val="392F1331"/>
    <w:rsid w:val="393874B1"/>
    <w:rsid w:val="3952242A"/>
    <w:rsid w:val="39731673"/>
    <w:rsid w:val="397E1EDD"/>
    <w:rsid w:val="39BA0236"/>
    <w:rsid w:val="39E632F8"/>
    <w:rsid w:val="39F02E8E"/>
    <w:rsid w:val="39FB29DB"/>
    <w:rsid w:val="3A1630E0"/>
    <w:rsid w:val="3A18180C"/>
    <w:rsid w:val="3A1E72CD"/>
    <w:rsid w:val="3A575643"/>
    <w:rsid w:val="3A603CE1"/>
    <w:rsid w:val="3A7D7BAC"/>
    <w:rsid w:val="3A8216CD"/>
    <w:rsid w:val="3A8B2FB6"/>
    <w:rsid w:val="3A8F4CCD"/>
    <w:rsid w:val="3AAB1B61"/>
    <w:rsid w:val="3AC3005B"/>
    <w:rsid w:val="3AF04B18"/>
    <w:rsid w:val="3B01379D"/>
    <w:rsid w:val="3B195F01"/>
    <w:rsid w:val="3B1D0E7B"/>
    <w:rsid w:val="3B5E3C73"/>
    <w:rsid w:val="3B6B7F5F"/>
    <w:rsid w:val="3B7D264B"/>
    <w:rsid w:val="3B8055B9"/>
    <w:rsid w:val="3B8F6363"/>
    <w:rsid w:val="3B912DAB"/>
    <w:rsid w:val="3BAF46EC"/>
    <w:rsid w:val="3BBE649F"/>
    <w:rsid w:val="3BC016B3"/>
    <w:rsid w:val="3BC0204F"/>
    <w:rsid w:val="3BE1374A"/>
    <w:rsid w:val="3C0340DC"/>
    <w:rsid w:val="3C035233"/>
    <w:rsid w:val="3C077625"/>
    <w:rsid w:val="3C1451F1"/>
    <w:rsid w:val="3C181FFA"/>
    <w:rsid w:val="3C245A08"/>
    <w:rsid w:val="3C2E1CF5"/>
    <w:rsid w:val="3C3D78F3"/>
    <w:rsid w:val="3C493FD1"/>
    <w:rsid w:val="3C587D60"/>
    <w:rsid w:val="3CA562BC"/>
    <w:rsid w:val="3CBC2E2C"/>
    <w:rsid w:val="3CCC3F1E"/>
    <w:rsid w:val="3CD1792F"/>
    <w:rsid w:val="3D036C72"/>
    <w:rsid w:val="3D2E6609"/>
    <w:rsid w:val="3D345300"/>
    <w:rsid w:val="3D4B19CE"/>
    <w:rsid w:val="3D594B4A"/>
    <w:rsid w:val="3D5A6DB2"/>
    <w:rsid w:val="3D6E1B2B"/>
    <w:rsid w:val="3D880A01"/>
    <w:rsid w:val="3DAD0E5D"/>
    <w:rsid w:val="3DB85C07"/>
    <w:rsid w:val="3DCE32F2"/>
    <w:rsid w:val="3DD877CF"/>
    <w:rsid w:val="3E023104"/>
    <w:rsid w:val="3E49054C"/>
    <w:rsid w:val="3E4E73E2"/>
    <w:rsid w:val="3E6A048E"/>
    <w:rsid w:val="3E91240D"/>
    <w:rsid w:val="3EA5705D"/>
    <w:rsid w:val="3EAD4B93"/>
    <w:rsid w:val="3EB46583"/>
    <w:rsid w:val="3EE226E0"/>
    <w:rsid w:val="3EF81CED"/>
    <w:rsid w:val="3F54043A"/>
    <w:rsid w:val="3F6216C4"/>
    <w:rsid w:val="3F786B21"/>
    <w:rsid w:val="3F891219"/>
    <w:rsid w:val="3F8D692D"/>
    <w:rsid w:val="3FAE1686"/>
    <w:rsid w:val="3FC76C24"/>
    <w:rsid w:val="3FD864E5"/>
    <w:rsid w:val="3FED4644"/>
    <w:rsid w:val="3FEF100D"/>
    <w:rsid w:val="3FFE47EB"/>
    <w:rsid w:val="400823D5"/>
    <w:rsid w:val="40135BF5"/>
    <w:rsid w:val="40191811"/>
    <w:rsid w:val="401F3EE1"/>
    <w:rsid w:val="40267F92"/>
    <w:rsid w:val="404A2479"/>
    <w:rsid w:val="404D042F"/>
    <w:rsid w:val="40736DD3"/>
    <w:rsid w:val="407950C0"/>
    <w:rsid w:val="40807E05"/>
    <w:rsid w:val="40B32B45"/>
    <w:rsid w:val="40B94AD0"/>
    <w:rsid w:val="40BE48F9"/>
    <w:rsid w:val="41043E2D"/>
    <w:rsid w:val="413939AD"/>
    <w:rsid w:val="414C3DC0"/>
    <w:rsid w:val="41A36228"/>
    <w:rsid w:val="41A82A20"/>
    <w:rsid w:val="41C54E84"/>
    <w:rsid w:val="41EF66E6"/>
    <w:rsid w:val="420070FF"/>
    <w:rsid w:val="42305A70"/>
    <w:rsid w:val="425B311A"/>
    <w:rsid w:val="42661138"/>
    <w:rsid w:val="42DE17E4"/>
    <w:rsid w:val="42E34BCB"/>
    <w:rsid w:val="42ED77C8"/>
    <w:rsid w:val="43005A34"/>
    <w:rsid w:val="43033C32"/>
    <w:rsid w:val="430F37B7"/>
    <w:rsid w:val="438F0A92"/>
    <w:rsid w:val="43BC0479"/>
    <w:rsid w:val="43CD473F"/>
    <w:rsid w:val="43E7474A"/>
    <w:rsid w:val="43F633EF"/>
    <w:rsid w:val="43F67821"/>
    <w:rsid w:val="44343585"/>
    <w:rsid w:val="44512E53"/>
    <w:rsid w:val="44635031"/>
    <w:rsid w:val="447706AD"/>
    <w:rsid w:val="4481352F"/>
    <w:rsid w:val="44885C73"/>
    <w:rsid w:val="44976C84"/>
    <w:rsid w:val="44BC4D0C"/>
    <w:rsid w:val="44CF05E8"/>
    <w:rsid w:val="44D416C1"/>
    <w:rsid w:val="44EA1F06"/>
    <w:rsid w:val="45237F33"/>
    <w:rsid w:val="45246CE5"/>
    <w:rsid w:val="454448DC"/>
    <w:rsid w:val="454A0617"/>
    <w:rsid w:val="458113C4"/>
    <w:rsid w:val="45832573"/>
    <w:rsid w:val="45A9382B"/>
    <w:rsid w:val="45AC72EF"/>
    <w:rsid w:val="45C472E0"/>
    <w:rsid w:val="46001ED9"/>
    <w:rsid w:val="462B3CA6"/>
    <w:rsid w:val="465A29AA"/>
    <w:rsid w:val="46626ADE"/>
    <w:rsid w:val="4666054E"/>
    <w:rsid w:val="467C6F8F"/>
    <w:rsid w:val="46837AAD"/>
    <w:rsid w:val="468F3B41"/>
    <w:rsid w:val="46BE461C"/>
    <w:rsid w:val="46DA4BE4"/>
    <w:rsid w:val="46DF37ED"/>
    <w:rsid w:val="46E36A45"/>
    <w:rsid w:val="46E8610A"/>
    <w:rsid w:val="47013911"/>
    <w:rsid w:val="471D6F2F"/>
    <w:rsid w:val="472102BD"/>
    <w:rsid w:val="472B7A7A"/>
    <w:rsid w:val="47300CC5"/>
    <w:rsid w:val="475414EE"/>
    <w:rsid w:val="477660E2"/>
    <w:rsid w:val="47900EA7"/>
    <w:rsid w:val="4796235E"/>
    <w:rsid w:val="47BB36AF"/>
    <w:rsid w:val="47E36D84"/>
    <w:rsid w:val="483438A2"/>
    <w:rsid w:val="485740B1"/>
    <w:rsid w:val="48BB11C0"/>
    <w:rsid w:val="48E72AFF"/>
    <w:rsid w:val="49654CC5"/>
    <w:rsid w:val="49C65802"/>
    <w:rsid w:val="49E45042"/>
    <w:rsid w:val="49E73F48"/>
    <w:rsid w:val="49F71173"/>
    <w:rsid w:val="4A0362B3"/>
    <w:rsid w:val="4A253C8D"/>
    <w:rsid w:val="4A2E286C"/>
    <w:rsid w:val="4A633739"/>
    <w:rsid w:val="4A68082C"/>
    <w:rsid w:val="4A8E53A2"/>
    <w:rsid w:val="4AE157D8"/>
    <w:rsid w:val="4AE276EC"/>
    <w:rsid w:val="4B1931D8"/>
    <w:rsid w:val="4B2C5D7C"/>
    <w:rsid w:val="4B374DE6"/>
    <w:rsid w:val="4B3C570B"/>
    <w:rsid w:val="4B4B5BA3"/>
    <w:rsid w:val="4B6974D7"/>
    <w:rsid w:val="4B7263DE"/>
    <w:rsid w:val="4BBA4744"/>
    <w:rsid w:val="4BC73DDF"/>
    <w:rsid w:val="4BE57237"/>
    <w:rsid w:val="4BF837E5"/>
    <w:rsid w:val="4C112AEB"/>
    <w:rsid w:val="4C151B5F"/>
    <w:rsid w:val="4C1951E1"/>
    <w:rsid w:val="4C2C7420"/>
    <w:rsid w:val="4C2D07F6"/>
    <w:rsid w:val="4C407FD7"/>
    <w:rsid w:val="4C440E7D"/>
    <w:rsid w:val="4C5507F9"/>
    <w:rsid w:val="4C5971B7"/>
    <w:rsid w:val="4C623D70"/>
    <w:rsid w:val="4C7E5C4C"/>
    <w:rsid w:val="4CCB5D96"/>
    <w:rsid w:val="4CDD3E2A"/>
    <w:rsid w:val="4CDF253A"/>
    <w:rsid w:val="4CFE0955"/>
    <w:rsid w:val="4D2602C4"/>
    <w:rsid w:val="4D31116B"/>
    <w:rsid w:val="4D3E5CD2"/>
    <w:rsid w:val="4D4B0C9D"/>
    <w:rsid w:val="4D5F08A5"/>
    <w:rsid w:val="4D8E2497"/>
    <w:rsid w:val="4DB21C68"/>
    <w:rsid w:val="4DB84C18"/>
    <w:rsid w:val="4DC964BF"/>
    <w:rsid w:val="4DD627E3"/>
    <w:rsid w:val="4DD6537C"/>
    <w:rsid w:val="4DF75730"/>
    <w:rsid w:val="4E153D7B"/>
    <w:rsid w:val="4E1E5442"/>
    <w:rsid w:val="4E3C538E"/>
    <w:rsid w:val="4E5C5AE4"/>
    <w:rsid w:val="4E824FD7"/>
    <w:rsid w:val="4ECE2238"/>
    <w:rsid w:val="4EE005C9"/>
    <w:rsid w:val="4EE3705A"/>
    <w:rsid w:val="4EE92996"/>
    <w:rsid w:val="4EFB33CE"/>
    <w:rsid w:val="4F0029D6"/>
    <w:rsid w:val="4F114F56"/>
    <w:rsid w:val="4F3D2C1A"/>
    <w:rsid w:val="4F476160"/>
    <w:rsid w:val="4F4869B4"/>
    <w:rsid w:val="4F5E157B"/>
    <w:rsid w:val="4FBF52DA"/>
    <w:rsid w:val="4FD84EEF"/>
    <w:rsid w:val="4FE63299"/>
    <w:rsid w:val="500259E6"/>
    <w:rsid w:val="500C432D"/>
    <w:rsid w:val="50106532"/>
    <w:rsid w:val="5079131A"/>
    <w:rsid w:val="50943135"/>
    <w:rsid w:val="50A80D0C"/>
    <w:rsid w:val="50C11881"/>
    <w:rsid w:val="50E11DA8"/>
    <w:rsid w:val="50FD422E"/>
    <w:rsid w:val="510F404D"/>
    <w:rsid w:val="511D777C"/>
    <w:rsid w:val="51270E9A"/>
    <w:rsid w:val="51547F57"/>
    <w:rsid w:val="516366D6"/>
    <w:rsid w:val="51747405"/>
    <w:rsid w:val="517843C5"/>
    <w:rsid w:val="522E0A56"/>
    <w:rsid w:val="52CF78F1"/>
    <w:rsid w:val="52D245DD"/>
    <w:rsid w:val="531B7ECF"/>
    <w:rsid w:val="531C54D4"/>
    <w:rsid w:val="53325191"/>
    <w:rsid w:val="533455B2"/>
    <w:rsid w:val="537F67E0"/>
    <w:rsid w:val="53A4487D"/>
    <w:rsid w:val="53AE313E"/>
    <w:rsid w:val="53EF78A0"/>
    <w:rsid w:val="53FA446D"/>
    <w:rsid w:val="53FD47F3"/>
    <w:rsid w:val="5407504C"/>
    <w:rsid w:val="541E6075"/>
    <w:rsid w:val="5471427F"/>
    <w:rsid w:val="5478095B"/>
    <w:rsid w:val="548708A5"/>
    <w:rsid w:val="54A7664E"/>
    <w:rsid w:val="54AB06A1"/>
    <w:rsid w:val="54B814E6"/>
    <w:rsid w:val="54FF0EE4"/>
    <w:rsid w:val="553221DA"/>
    <w:rsid w:val="55673542"/>
    <w:rsid w:val="557D227D"/>
    <w:rsid w:val="558A0B6B"/>
    <w:rsid w:val="55992B5C"/>
    <w:rsid w:val="55C449E2"/>
    <w:rsid w:val="55DC5152"/>
    <w:rsid w:val="55DF1120"/>
    <w:rsid w:val="55E728A9"/>
    <w:rsid w:val="55F34A2B"/>
    <w:rsid w:val="560874DF"/>
    <w:rsid w:val="56111369"/>
    <w:rsid w:val="561B6300"/>
    <w:rsid w:val="561D6733"/>
    <w:rsid w:val="56277574"/>
    <w:rsid w:val="562A2C1B"/>
    <w:rsid w:val="565E1C9C"/>
    <w:rsid w:val="56A67354"/>
    <w:rsid w:val="56AC6E4D"/>
    <w:rsid w:val="56AF6FE8"/>
    <w:rsid w:val="56B84209"/>
    <w:rsid w:val="56BA7D32"/>
    <w:rsid w:val="56C2047E"/>
    <w:rsid w:val="56C26449"/>
    <w:rsid w:val="56D1425B"/>
    <w:rsid w:val="56EC777E"/>
    <w:rsid w:val="56F32865"/>
    <w:rsid w:val="56FD3FB5"/>
    <w:rsid w:val="57303D19"/>
    <w:rsid w:val="573B163A"/>
    <w:rsid w:val="57757517"/>
    <w:rsid w:val="57842483"/>
    <w:rsid w:val="578454CC"/>
    <w:rsid w:val="579E401C"/>
    <w:rsid w:val="57A70DE1"/>
    <w:rsid w:val="57E36E71"/>
    <w:rsid w:val="57F35338"/>
    <w:rsid w:val="57F532B7"/>
    <w:rsid w:val="57FC14C5"/>
    <w:rsid w:val="581D6464"/>
    <w:rsid w:val="58360FBA"/>
    <w:rsid w:val="585522AA"/>
    <w:rsid w:val="58581611"/>
    <w:rsid w:val="58655C31"/>
    <w:rsid w:val="586E3FD1"/>
    <w:rsid w:val="59004454"/>
    <w:rsid w:val="591031F5"/>
    <w:rsid w:val="59212978"/>
    <w:rsid w:val="59372E51"/>
    <w:rsid w:val="593765E8"/>
    <w:rsid w:val="59761DE1"/>
    <w:rsid w:val="5979337E"/>
    <w:rsid w:val="597A344D"/>
    <w:rsid w:val="599007EF"/>
    <w:rsid w:val="59A879EE"/>
    <w:rsid w:val="59DA09F8"/>
    <w:rsid w:val="59E84527"/>
    <w:rsid w:val="59F22592"/>
    <w:rsid w:val="59F41972"/>
    <w:rsid w:val="5A053008"/>
    <w:rsid w:val="5A0C40F9"/>
    <w:rsid w:val="5A300AEA"/>
    <w:rsid w:val="5A316FB1"/>
    <w:rsid w:val="5A466D8E"/>
    <w:rsid w:val="5A4D5DC8"/>
    <w:rsid w:val="5A512CA2"/>
    <w:rsid w:val="5A6353C5"/>
    <w:rsid w:val="5A967D4A"/>
    <w:rsid w:val="5A9D43F8"/>
    <w:rsid w:val="5AB666E6"/>
    <w:rsid w:val="5ACF7FF2"/>
    <w:rsid w:val="5AD66004"/>
    <w:rsid w:val="5AE600D6"/>
    <w:rsid w:val="5AEE7E20"/>
    <w:rsid w:val="5AFB50A6"/>
    <w:rsid w:val="5B026539"/>
    <w:rsid w:val="5B346C0D"/>
    <w:rsid w:val="5B4046EE"/>
    <w:rsid w:val="5B6C08FD"/>
    <w:rsid w:val="5B7663D0"/>
    <w:rsid w:val="5B965F91"/>
    <w:rsid w:val="5BAF3DD1"/>
    <w:rsid w:val="5BBA0BD9"/>
    <w:rsid w:val="5BD202D0"/>
    <w:rsid w:val="5BD667F3"/>
    <w:rsid w:val="5BDE2321"/>
    <w:rsid w:val="5BEC0F53"/>
    <w:rsid w:val="5C0128C3"/>
    <w:rsid w:val="5C1C1ADC"/>
    <w:rsid w:val="5C275EC9"/>
    <w:rsid w:val="5C3374B2"/>
    <w:rsid w:val="5C4339EE"/>
    <w:rsid w:val="5C604832"/>
    <w:rsid w:val="5C875CDD"/>
    <w:rsid w:val="5C970C79"/>
    <w:rsid w:val="5CA611D3"/>
    <w:rsid w:val="5CAC796E"/>
    <w:rsid w:val="5CB45030"/>
    <w:rsid w:val="5CB61F52"/>
    <w:rsid w:val="5CC5178C"/>
    <w:rsid w:val="5D0741EA"/>
    <w:rsid w:val="5D1B46C8"/>
    <w:rsid w:val="5D2B0966"/>
    <w:rsid w:val="5D366032"/>
    <w:rsid w:val="5D520AE8"/>
    <w:rsid w:val="5D767D93"/>
    <w:rsid w:val="5D81117D"/>
    <w:rsid w:val="5D8B0EDC"/>
    <w:rsid w:val="5D9739E8"/>
    <w:rsid w:val="5DA26FA2"/>
    <w:rsid w:val="5DBF51BF"/>
    <w:rsid w:val="5DEC212F"/>
    <w:rsid w:val="5DF1122E"/>
    <w:rsid w:val="5DFC0C3F"/>
    <w:rsid w:val="5E0C39B7"/>
    <w:rsid w:val="5E431CD0"/>
    <w:rsid w:val="5E4762C5"/>
    <w:rsid w:val="5E4F424E"/>
    <w:rsid w:val="5E58474B"/>
    <w:rsid w:val="5E5F183D"/>
    <w:rsid w:val="5E924AE8"/>
    <w:rsid w:val="5ED0269A"/>
    <w:rsid w:val="5EED52CE"/>
    <w:rsid w:val="5F1F5017"/>
    <w:rsid w:val="5F4766A0"/>
    <w:rsid w:val="5F4E4209"/>
    <w:rsid w:val="5F612585"/>
    <w:rsid w:val="5F740031"/>
    <w:rsid w:val="5F7B1459"/>
    <w:rsid w:val="5F7F55DC"/>
    <w:rsid w:val="5FBE457A"/>
    <w:rsid w:val="5FC17150"/>
    <w:rsid w:val="5FDB068E"/>
    <w:rsid w:val="5FE11C11"/>
    <w:rsid w:val="5FFD6782"/>
    <w:rsid w:val="600439CD"/>
    <w:rsid w:val="600F5ED9"/>
    <w:rsid w:val="601C4DC5"/>
    <w:rsid w:val="602D4489"/>
    <w:rsid w:val="6053681F"/>
    <w:rsid w:val="6054673B"/>
    <w:rsid w:val="608C01B5"/>
    <w:rsid w:val="608E7C29"/>
    <w:rsid w:val="609219E3"/>
    <w:rsid w:val="60EF5E7F"/>
    <w:rsid w:val="6112665C"/>
    <w:rsid w:val="61305AB4"/>
    <w:rsid w:val="616337E8"/>
    <w:rsid w:val="616F6B64"/>
    <w:rsid w:val="617D11FA"/>
    <w:rsid w:val="618B775D"/>
    <w:rsid w:val="619B4AD6"/>
    <w:rsid w:val="61AB5A23"/>
    <w:rsid w:val="61E85144"/>
    <w:rsid w:val="61EF26BD"/>
    <w:rsid w:val="61F25F0D"/>
    <w:rsid w:val="62456FE4"/>
    <w:rsid w:val="624E3362"/>
    <w:rsid w:val="625E3A6C"/>
    <w:rsid w:val="626C7628"/>
    <w:rsid w:val="629D7BF9"/>
    <w:rsid w:val="62C97002"/>
    <w:rsid w:val="62F574AB"/>
    <w:rsid w:val="63145F35"/>
    <w:rsid w:val="631D2568"/>
    <w:rsid w:val="6326361F"/>
    <w:rsid w:val="633A4BA5"/>
    <w:rsid w:val="6356414F"/>
    <w:rsid w:val="6358480A"/>
    <w:rsid w:val="63796F35"/>
    <w:rsid w:val="63800EFE"/>
    <w:rsid w:val="638345E8"/>
    <w:rsid w:val="63A73683"/>
    <w:rsid w:val="63AA3902"/>
    <w:rsid w:val="63AE0741"/>
    <w:rsid w:val="63C331D2"/>
    <w:rsid w:val="64010119"/>
    <w:rsid w:val="64113ABE"/>
    <w:rsid w:val="642E65D8"/>
    <w:rsid w:val="643E473B"/>
    <w:rsid w:val="6454141E"/>
    <w:rsid w:val="64607301"/>
    <w:rsid w:val="64633167"/>
    <w:rsid w:val="64647C47"/>
    <w:rsid w:val="646B5C41"/>
    <w:rsid w:val="64923007"/>
    <w:rsid w:val="64C32337"/>
    <w:rsid w:val="64CC1048"/>
    <w:rsid w:val="64D24DBD"/>
    <w:rsid w:val="64F05690"/>
    <w:rsid w:val="64F92CA1"/>
    <w:rsid w:val="65307034"/>
    <w:rsid w:val="655F2D97"/>
    <w:rsid w:val="65965427"/>
    <w:rsid w:val="65C25CE9"/>
    <w:rsid w:val="65CA1226"/>
    <w:rsid w:val="65E029DD"/>
    <w:rsid w:val="65F57326"/>
    <w:rsid w:val="66062AD3"/>
    <w:rsid w:val="661943FF"/>
    <w:rsid w:val="66195D0A"/>
    <w:rsid w:val="661C6AD5"/>
    <w:rsid w:val="664C75F9"/>
    <w:rsid w:val="66962484"/>
    <w:rsid w:val="669D6972"/>
    <w:rsid w:val="66B46DC1"/>
    <w:rsid w:val="66BA2116"/>
    <w:rsid w:val="66FF0222"/>
    <w:rsid w:val="6718560F"/>
    <w:rsid w:val="67392016"/>
    <w:rsid w:val="677C380B"/>
    <w:rsid w:val="67863F67"/>
    <w:rsid w:val="678E48A0"/>
    <w:rsid w:val="679D49EE"/>
    <w:rsid w:val="67B0783A"/>
    <w:rsid w:val="67CB7C33"/>
    <w:rsid w:val="67E02655"/>
    <w:rsid w:val="68115405"/>
    <w:rsid w:val="681C4C11"/>
    <w:rsid w:val="682B2352"/>
    <w:rsid w:val="684378A9"/>
    <w:rsid w:val="685E3B64"/>
    <w:rsid w:val="686A2813"/>
    <w:rsid w:val="686A37FD"/>
    <w:rsid w:val="68B067A8"/>
    <w:rsid w:val="68C9273C"/>
    <w:rsid w:val="68CC62FB"/>
    <w:rsid w:val="68CE5DCF"/>
    <w:rsid w:val="68DE44F9"/>
    <w:rsid w:val="68F721FA"/>
    <w:rsid w:val="692F430D"/>
    <w:rsid w:val="69381252"/>
    <w:rsid w:val="693B5D09"/>
    <w:rsid w:val="697F07A1"/>
    <w:rsid w:val="698F0967"/>
    <w:rsid w:val="699E025F"/>
    <w:rsid w:val="69BB4300"/>
    <w:rsid w:val="6A300C88"/>
    <w:rsid w:val="6A3D2318"/>
    <w:rsid w:val="6A8D68F4"/>
    <w:rsid w:val="6A9226EC"/>
    <w:rsid w:val="6A9811CC"/>
    <w:rsid w:val="6AA12DCC"/>
    <w:rsid w:val="6AB55E07"/>
    <w:rsid w:val="6AC60007"/>
    <w:rsid w:val="6AE30EE4"/>
    <w:rsid w:val="6AEB5CE5"/>
    <w:rsid w:val="6AF760EF"/>
    <w:rsid w:val="6B076EAF"/>
    <w:rsid w:val="6B1E7761"/>
    <w:rsid w:val="6B2F716B"/>
    <w:rsid w:val="6B394AF4"/>
    <w:rsid w:val="6BC4633E"/>
    <w:rsid w:val="6C3E2DE5"/>
    <w:rsid w:val="6C480C6F"/>
    <w:rsid w:val="6C735190"/>
    <w:rsid w:val="6C7B1988"/>
    <w:rsid w:val="6C7F7E8E"/>
    <w:rsid w:val="6C8E53C2"/>
    <w:rsid w:val="6CD833A9"/>
    <w:rsid w:val="6CDF3C34"/>
    <w:rsid w:val="6CE00665"/>
    <w:rsid w:val="6CFD6E6C"/>
    <w:rsid w:val="6D0D076F"/>
    <w:rsid w:val="6D3B1EEA"/>
    <w:rsid w:val="6D521302"/>
    <w:rsid w:val="6D7F014E"/>
    <w:rsid w:val="6D8F23B7"/>
    <w:rsid w:val="6D9B5F8D"/>
    <w:rsid w:val="6DA763AA"/>
    <w:rsid w:val="6DAC6AD1"/>
    <w:rsid w:val="6DD35076"/>
    <w:rsid w:val="6DDB5C28"/>
    <w:rsid w:val="6DE06F24"/>
    <w:rsid w:val="6DF71A27"/>
    <w:rsid w:val="6E052AF4"/>
    <w:rsid w:val="6E0B3D12"/>
    <w:rsid w:val="6E0F3D9B"/>
    <w:rsid w:val="6E6241C3"/>
    <w:rsid w:val="6E727E7B"/>
    <w:rsid w:val="6E9A445A"/>
    <w:rsid w:val="6EC613DA"/>
    <w:rsid w:val="6ECC6DE7"/>
    <w:rsid w:val="6EDD7C94"/>
    <w:rsid w:val="6F0E7535"/>
    <w:rsid w:val="6F235417"/>
    <w:rsid w:val="6F304979"/>
    <w:rsid w:val="6F6028BC"/>
    <w:rsid w:val="6F78659A"/>
    <w:rsid w:val="6F9F773B"/>
    <w:rsid w:val="6FA64D8A"/>
    <w:rsid w:val="6FD505D8"/>
    <w:rsid w:val="70085ED9"/>
    <w:rsid w:val="700C3FC0"/>
    <w:rsid w:val="703877DD"/>
    <w:rsid w:val="70C27B82"/>
    <w:rsid w:val="70D048BE"/>
    <w:rsid w:val="70E3485B"/>
    <w:rsid w:val="7108585C"/>
    <w:rsid w:val="713D196A"/>
    <w:rsid w:val="71431EA2"/>
    <w:rsid w:val="7186092C"/>
    <w:rsid w:val="71864E09"/>
    <w:rsid w:val="71913F91"/>
    <w:rsid w:val="719877F3"/>
    <w:rsid w:val="71AE54B0"/>
    <w:rsid w:val="71B806F8"/>
    <w:rsid w:val="71D57288"/>
    <w:rsid w:val="71D60691"/>
    <w:rsid w:val="71D7512D"/>
    <w:rsid w:val="71E95C11"/>
    <w:rsid w:val="72476B73"/>
    <w:rsid w:val="725D1A01"/>
    <w:rsid w:val="726B17BD"/>
    <w:rsid w:val="726F0638"/>
    <w:rsid w:val="72734D90"/>
    <w:rsid w:val="72DA1974"/>
    <w:rsid w:val="72E41496"/>
    <w:rsid w:val="7331058E"/>
    <w:rsid w:val="734404B9"/>
    <w:rsid w:val="734C42D3"/>
    <w:rsid w:val="73775E6E"/>
    <w:rsid w:val="738F155C"/>
    <w:rsid w:val="739C0AA8"/>
    <w:rsid w:val="73A76452"/>
    <w:rsid w:val="73AA5383"/>
    <w:rsid w:val="73CB10F7"/>
    <w:rsid w:val="73D46914"/>
    <w:rsid w:val="740921A6"/>
    <w:rsid w:val="74185CE4"/>
    <w:rsid w:val="741D1829"/>
    <w:rsid w:val="742219FB"/>
    <w:rsid w:val="74354156"/>
    <w:rsid w:val="743F0E97"/>
    <w:rsid w:val="749809DD"/>
    <w:rsid w:val="74CE0BB5"/>
    <w:rsid w:val="74CF3419"/>
    <w:rsid w:val="74DC7A2A"/>
    <w:rsid w:val="74DE429D"/>
    <w:rsid w:val="74E33F7C"/>
    <w:rsid w:val="74E40FF1"/>
    <w:rsid w:val="74E8251E"/>
    <w:rsid w:val="74F27A74"/>
    <w:rsid w:val="750C0ECA"/>
    <w:rsid w:val="75140D6D"/>
    <w:rsid w:val="75334E78"/>
    <w:rsid w:val="756E7D20"/>
    <w:rsid w:val="756F7EF1"/>
    <w:rsid w:val="757F079D"/>
    <w:rsid w:val="75877220"/>
    <w:rsid w:val="758A24E7"/>
    <w:rsid w:val="759A22AD"/>
    <w:rsid w:val="759F0339"/>
    <w:rsid w:val="75A17D05"/>
    <w:rsid w:val="75CA27CC"/>
    <w:rsid w:val="75DE6130"/>
    <w:rsid w:val="75E155B5"/>
    <w:rsid w:val="75E743F9"/>
    <w:rsid w:val="760A2974"/>
    <w:rsid w:val="761051A6"/>
    <w:rsid w:val="76816BAD"/>
    <w:rsid w:val="768B5D12"/>
    <w:rsid w:val="76CA5AB4"/>
    <w:rsid w:val="77044800"/>
    <w:rsid w:val="770D4204"/>
    <w:rsid w:val="770F214E"/>
    <w:rsid w:val="771A5F15"/>
    <w:rsid w:val="777532EF"/>
    <w:rsid w:val="778321AE"/>
    <w:rsid w:val="77A36332"/>
    <w:rsid w:val="77B514FD"/>
    <w:rsid w:val="77CD2CB1"/>
    <w:rsid w:val="77E53074"/>
    <w:rsid w:val="782117B8"/>
    <w:rsid w:val="78266A35"/>
    <w:rsid w:val="784179B8"/>
    <w:rsid w:val="785B25AF"/>
    <w:rsid w:val="788D35D4"/>
    <w:rsid w:val="78D96D77"/>
    <w:rsid w:val="78EB6342"/>
    <w:rsid w:val="78F32760"/>
    <w:rsid w:val="78FE34A6"/>
    <w:rsid w:val="79141078"/>
    <w:rsid w:val="79165FB7"/>
    <w:rsid w:val="792F0582"/>
    <w:rsid w:val="794F7757"/>
    <w:rsid w:val="79796B68"/>
    <w:rsid w:val="797C707D"/>
    <w:rsid w:val="7984323C"/>
    <w:rsid w:val="79AC19F3"/>
    <w:rsid w:val="79D86DD4"/>
    <w:rsid w:val="7A003BAE"/>
    <w:rsid w:val="7A1100C7"/>
    <w:rsid w:val="7A216DB2"/>
    <w:rsid w:val="7A2E4CCF"/>
    <w:rsid w:val="7A364016"/>
    <w:rsid w:val="7A5700F3"/>
    <w:rsid w:val="7A684890"/>
    <w:rsid w:val="7A7A3D09"/>
    <w:rsid w:val="7A84285F"/>
    <w:rsid w:val="7A870004"/>
    <w:rsid w:val="7A903DDB"/>
    <w:rsid w:val="7A912B7A"/>
    <w:rsid w:val="7A985922"/>
    <w:rsid w:val="7AA91C2F"/>
    <w:rsid w:val="7AA95653"/>
    <w:rsid w:val="7ACE6A81"/>
    <w:rsid w:val="7B127790"/>
    <w:rsid w:val="7B156115"/>
    <w:rsid w:val="7B1950D6"/>
    <w:rsid w:val="7B1E6013"/>
    <w:rsid w:val="7B2466FB"/>
    <w:rsid w:val="7B3251F0"/>
    <w:rsid w:val="7B4B3A91"/>
    <w:rsid w:val="7B4B7A23"/>
    <w:rsid w:val="7B595302"/>
    <w:rsid w:val="7B6C444A"/>
    <w:rsid w:val="7B8661BC"/>
    <w:rsid w:val="7B9B1FB2"/>
    <w:rsid w:val="7BA82B2B"/>
    <w:rsid w:val="7BB035B1"/>
    <w:rsid w:val="7BCC0C5D"/>
    <w:rsid w:val="7BE03F47"/>
    <w:rsid w:val="7BE62DEB"/>
    <w:rsid w:val="7C0403CC"/>
    <w:rsid w:val="7C23485E"/>
    <w:rsid w:val="7C2410D6"/>
    <w:rsid w:val="7C446CEE"/>
    <w:rsid w:val="7C5C5170"/>
    <w:rsid w:val="7C5D6B84"/>
    <w:rsid w:val="7CA418C7"/>
    <w:rsid w:val="7CB640F5"/>
    <w:rsid w:val="7CDE7063"/>
    <w:rsid w:val="7CF77907"/>
    <w:rsid w:val="7CFE4AEB"/>
    <w:rsid w:val="7D32612D"/>
    <w:rsid w:val="7D4E3983"/>
    <w:rsid w:val="7D5938C3"/>
    <w:rsid w:val="7D7854ED"/>
    <w:rsid w:val="7D8F4CC4"/>
    <w:rsid w:val="7DBE68F0"/>
    <w:rsid w:val="7DC91597"/>
    <w:rsid w:val="7DD742EB"/>
    <w:rsid w:val="7DD757A0"/>
    <w:rsid w:val="7DE164EE"/>
    <w:rsid w:val="7DE54839"/>
    <w:rsid w:val="7E1D0CBE"/>
    <w:rsid w:val="7E615CF3"/>
    <w:rsid w:val="7E656BD4"/>
    <w:rsid w:val="7E7F0CCC"/>
    <w:rsid w:val="7E9A5187"/>
    <w:rsid w:val="7EA6718B"/>
    <w:rsid w:val="7EAC2883"/>
    <w:rsid w:val="7EC87EB0"/>
    <w:rsid w:val="7ED0738F"/>
    <w:rsid w:val="7ED0745F"/>
    <w:rsid w:val="7EDD3FF5"/>
    <w:rsid w:val="7EEF3F40"/>
    <w:rsid w:val="7EFB2F99"/>
    <w:rsid w:val="7F0332B5"/>
    <w:rsid w:val="7F056FB6"/>
    <w:rsid w:val="7F3E4DE3"/>
    <w:rsid w:val="7F3F64B4"/>
    <w:rsid w:val="7F7249BA"/>
    <w:rsid w:val="7F86046B"/>
    <w:rsid w:val="7F9F0C44"/>
    <w:rsid w:val="7FBE417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style>
  <w:style w:type="paragraph" w:styleId="7">
    <w:name w:val="Normal Indent"/>
    <w:basedOn w:val="1"/>
    <w:qFormat/>
    <w:uiPriority w:val="0"/>
    <w:pPr>
      <w:ind w:firstLine="420" w:firstLineChars="200"/>
    </w:p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4"/>
    <w:qFormat/>
    <w:uiPriority w:val="9"/>
    <w:rPr>
      <w:rFonts w:ascii="Times New Roman" w:hAnsi="Times New Roman"/>
      <w:b/>
      <w:bCs/>
      <w:kern w:val="44"/>
      <w:sz w:val="44"/>
      <w:szCs w:val="44"/>
    </w:rPr>
  </w:style>
  <w:style w:type="character" w:customStyle="1" w:styleId="29">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正文首行缩进 Char"/>
    <w:basedOn w:val="17"/>
    <w:qFormat/>
    <w:uiPriority w:val="0"/>
    <w:rPr>
      <w:kern w:val="2"/>
      <w:sz w:val="21"/>
      <w:szCs w:val="24"/>
    </w:rPr>
  </w:style>
  <w:style w:type="paragraph" w:customStyle="1" w:styleId="35">
    <w:name w:val="正文1"/>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6">
    <w:name w:val="列出段落11"/>
    <w:basedOn w:val="1"/>
    <w:qFormat/>
    <w:uiPriority w:val="0"/>
    <w:pPr>
      <w:widowControl/>
      <w:adjustRightInd w:val="0"/>
      <w:snapToGrid w:val="0"/>
      <w:spacing w:after="200"/>
      <w:ind w:firstLine="200" w:firstLineChars="200"/>
      <w:jc w:val="left"/>
    </w:pPr>
    <w:rPr>
      <w:rFonts w:ascii="Tahoma" w:hAnsi="Tahoma" w:eastAsia="Times New Roman"/>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80</Pages>
  <Words>34568</Words>
  <Characters>37803</Characters>
  <Lines>51</Lines>
  <Paragraphs>81</Paragraphs>
  <TotalTime>137</TotalTime>
  <ScaleCrop>false</ScaleCrop>
  <LinksUpToDate>false</LinksUpToDate>
  <CharactersWithSpaces>37891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风满袖</cp:lastModifiedBy>
  <cp:lastPrinted>2020-07-23T02:58:00Z</cp:lastPrinted>
  <dcterms:modified xsi:type="dcterms:W3CDTF">2023-07-17T10:02:47Z</dcterms:modified>
  <dc:title>四川省***</dc:title>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20C8483BF07C43B1ABFCDD49FF2FD907</vt:lpwstr>
  </property>
</Properties>
</file>