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spacing w:before="0" w:beforeAutospacing="0"/>
        <w:ind w:left="0"/>
        <w:jc w:val="center"/>
      </w:pPr>
      <w:r>
        <w:rPr>
          <w:rStyle w:val="8"/>
          <w:sz w:val="24"/>
          <w:szCs w:val="24"/>
          <w:shd w:val="clear" w:fill="FFFFFF"/>
        </w:rPr>
        <w:t>2020年度</w:t>
      </w:r>
    </w:p>
    <w:p>
      <w:pPr>
        <w:pStyle w:val="5"/>
        <w:keepNext w:val="0"/>
        <w:keepLines w:val="0"/>
        <w:widowControl/>
        <w:suppressLineNumbers w:val="0"/>
        <w:spacing w:before="0" w:beforeAutospacing="0"/>
        <w:ind w:left="0"/>
        <w:jc w:val="center"/>
      </w:pPr>
      <w:r>
        <w:rPr>
          <w:rStyle w:val="8"/>
          <w:sz w:val="24"/>
          <w:szCs w:val="24"/>
          <w:shd w:val="clear" w:fill="FFFFFF"/>
        </w:rPr>
        <w:t>阿坝州红原县民族宗教局（汇总）部门决算</w:t>
      </w:r>
    </w:p>
    <w:p>
      <w:pPr>
        <w:pStyle w:val="5"/>
        <w:keepNext w:val="0"/>
        <w:keepLines w:val="0"/>
        <w:widowControl/>
        <w:suppressLineNumbers w:val="0"/>
        <w:spacing w:before="0" w:beforeAutospacing="0"/>
        <w:ind w:left="0"/>
        <w:jc w:val="center"/>
      </w:pPr>
      <w:bookmarkStart w:id="4" w:name="_GoBack"/>
      <w:bookmarkEnd w:id="4"/>
    </w:p>
    <w:p>
      <w:pPr>
        <w:pStyle w:val="5"/>
        <w:keepNext w:val="0"/>
        <w:keepLines w:val="0"/>
        <w:widowControl/>
        <w:suppressLineNumbers w:val="0"/>
        <w:spacing w:before="0" w:beforeAutospacing="0"/>
        <w:ind w:left="0"/>
        <w:jc w:val="center"/>
      </w:pPr>
      <w:r>
        <w:rPr>
          <w:shd w:val="clear" w:fill="FFFFFF"/>
        </w:rPr>
        <w:t> </w:t>
      </w:r>
    </w:p>
    <w:p>
      <w:pPr>
        <w:pStyle w:val="5"/>
        <w:keepNext w:val="0"/>
        <w:keepLines w:val="0"/>
        <w:widowControl/>
        <w:suppressLineNumbers w:val="0"/>
        <w:spacing w:before="0" w:beforeAutospacing="0"/>
        <w:ind w:left="0"/>
        <w:jc w:val="center"/>
      </w:pPr>
      <w:r>
        <w:rPr>
          <w:shd w:val="clear" w:fill="FFFFFF"/>
        </w:rPr>
        <w:t> </w:t>
      </w:r>
    </w:p>
    <w:p>
      <w:pPr>
        <w:pStyle w:val="5"/>
        <w:keepNext w:val="0"/>
        <w:keepLines w:val="0"/>
        <w:widowControl/>
        <w:suppressLineNumbers w:val="0"/>
        <w:spacing w:before="0" w:beforeAutospacing="0"/>
        <w:ind w:left="0"/>
        <w:jc w:val="center"/>
      </w:pPr>
      <w:r>
        <w:rPr>
          <w:shd w:val="clear" w:fill="FFFFFF"/>
        </w:rPr>
        <w:t> </w:t>
      </w:r>
    </w:p>
    <w:p>
      <w:pPr>
        <w:pStyle w:val="5"/>
        <w:keepNext w:val="0"/>
        <w:keepLines w:val="0"/>
        <w:widowControl/>
        <w:suppressLineNumbers w:val="0"/>
        <w:spacing w:before="0" w:beforeAutospacing="0"/>
        <w:ind w:left="0"/>
        <w:jc w:val="center"/>
      </w:pPr>
      <w:r>
        <w:rPr>
          <w:shd w:val="clear" w:fill="FFFFFF"/>
        </w:rPr>
        <w:t> </w:t>
      </w:r>
    </w:p>
    <w:p>
      <w:pPr>
        <w:pStyle w:val="5"/>
        <w:keepNext w:val="0"/>
        <w:keepLines w:val="0"/>
        <w:widowControl/>
        <w:suppressLineNumbers w:val="0"/>
        <w:spacing w:before="0" w:beforeAutospacing="0"/>
        <w:ind w:left="0"/>
        <w:jc w:val="center"/>
      </w:pPr>
      <w:r>
        <w:rPr>
          <w:shd w:val="clear" w:fill="FFFFFF"/>
        </w:rPr>
        <w:t> </w:t>
      </w:r>
    </w:p>
    <w:p>
      <w:pPr>
        <w:pStyle w:val="5"/>
        <w:keepNext w:val="0"/>
        <w:keepLines w:val="0"/>
        <w:widowControl/>
        <w:suppressLineNumbers w:val="0"/>
        <w:spacing w:before="0" w:beforeAutospacing="0"/>
        <w:ind w:left="0"/>
        <w:jc w:val="center"/>
      </w:pPr>
      <w:r>
        <w:rPr>
          <w:shd w:val="clear" w:fill="FFFFFF"/>
        </w:rPr>
        <w:t> </w:t>
      </w:r>
    </w:p>
    <w:p>
      <w:pPr>
        <w:pStyle w:val="5"/>
        <w:keepNext w:val="0"/>
        <w:keepLines w:val="0"/>
        <w:widowControl/>
        <w:suppressLineNumbers w:val="0"/>
        <w:spacing w:before="0" w:beforeAutospacing="0"/>
        <w:ind w:left="0"/>
        <w:jc w:val="center"/>
      </w:pPr>
      <w:r>
        <w:rPr>
          <w:shd w:val="clear" w:fill="FFFFFF"/>
        </w:rPr>
        <w:t> </w:t>
      </w:r>
    </w:p>
    <w:p>
      <w:pPr>
        <w:pStyle w:val="5"/>
        <w:keepNext w:val="0"/>
        <w:keepLines w:val="0"/>
        <w:widowControl/>
        <w:suppressLineNumbers w:val="0"/>
        <w:spacing w:before="0" w:beforeAutospacing="0"/>
        <w:ind w:left="0"/>
        <w:jc w:val="center"/>
      </w:pPr>
      <w:r>
        <w:rPr>
          <w:shd w:val="clear" w:fill="FFFFFF"/>
        </w:rPr>
        <w:t> </w:t>
      </w:r>
    </w:p>
    <w:p>
      <w:pPr>
        <w:pStyle w:val="5"/>
        <w:keepNext w:val="0"/>
        <w:keepLines w:val="0"/>
        <w:widowControl/>
        <w:suppressLineNumbers w:val="0"/>
        <w:spacing w:before="0" w:beforeAutospacing="0"/>
        <w:ind w:left="0"/>
        <w:jc w:val="center"/>
        <w:rPr>
          <w:shd w:val="clear" w:fill="FFFFFF"/>
        </w:rPr>
      </w:pPr>
    </w:p>
    <w:p>
      <w:pPr>
        <w:pStyle w:val="5"/>
        <w:keepNext w:val="0"/>
        <w:keepLines w:val="0"/>
        <w:widowControl/>
        <w:suppressLineNumbers w:val="0"/>
        <w:spacing w:before="0" w:beforeAutospacing="0"/>
        <w:ind w:left="0"/>
        <w:jc w:val="center"/>
        <w:rPr>
          <w:shd w:val="clear" w:fill="FFFFFF"/>
        </w:rPr>
      </w:pPr>
    </w:p>
    <w:p>
      <w:pPr>
        <w:pStyle w:val="5"/>
        <w:keepNext w:val="0"/>
        <w:keepLines w:val="0"/>
        <w:widowControl/>
        <w:suppressLineNumbers w:val="0"/>
        <w:spacing w:before="0" w:beforeAutospacing="0"/>
        <w:ind w:left="0"/>
        <w:jc w:val="center"/>
        <w:rPr>
          <w:shd w:val="clear" w:fill="FFFFFF"/>
        </w:rPr>
      </w:pPr>
    </w:p>
    <w:p>
      <w:pPr>
        <w:pStyle w:val="5"/>
        <w:keepNext w:val="0"/>
        <w:keepLines w:val="0"/>
        <w:widowControl/>
        <w:suppressLineNumbers w:val="0"/>
        <w:spacing w:before="0" w:beforeAutospacing="0"/>
        <w:ind w:left="0"/>
        <w:jc w:val="center"/>
        <w:rPr>
          <w:shd w:val="clear" w:fill="FFFFFF"/>
        </w:rPr>
      </w:pPr>
    </w:p>
    <w:p>
      <w:pPr>
        <w:pStyle w:val="5"/>
        <w:keepNext w:val="0"/>
        <w:keepLines w:val="0"/>
        <w:widowControl/>
        <w:suppressLineNumbers w:val="0"/>
        <w:spacing w:before="0" w:beforeAutospacing="0"/>
        <w:ind w:left="0"/>
        <w:jc w:val="center"/>
        <w:rPr>
          <w:shd w:val="clear" w:fill="FFFFFF"/>
        </w:rPr>
      </w:pPr>
    </w:p>
    <w:p>
      <w:pPr>
        <w:pStyle w:val="5"/>
        <w:keepNext w:val="0"/>
        <w:keepLines w:val="0"/>
        <w:widowControl/>
        <w:suppressLineNumbers w:val="0"/>
        <w:spacing w:before="0" w:beforeAutospacing="0"/>
        <w:ind w:left="0"/>
        <w:jc w:val="both"/>
      </w:pPr>
      <w:r>
        <w:rPr>
          <w:shd w:val="clear" w:fill="FFFFFF"/>
        </w:rPr>
        <w:t> </w:t>
      </w:r>
    </w:p>
    <w:p>
      <w:pPr>
        <w:pStyle w:val="5"/>
        <w:keepNext w:val="0"/>
        <w:keepLines w:val="0"/>
        <w:widowControl/>
        <w:suppressLineNumbers w:val="0"/>
        <w:spacing w:before="0" w:beforeAutospacing="0"/>
        <w:ind w:left="0"/>
        <w:jc w:val="center"/>
      </w:pPr>
      <w:r>
        <w:rPr>
          <w:shd w:val="clear" w:fill="FFFFFF"/>
        </w:rPr>
        <w:t> </w:t>
      </w:r>
    </w:p>
    <w:p>
      <w:pPr>
        <w:pStyle w:val="5"/>
        <w:keepNext w:val="0"/>
        <w:keepLines w:val="0"/>
        <w:widowControl/>
        <w:suppressLineNumbers w:val="0"/>
        <w:spacing w:before="0" w:beforeAutospacing="0"/>
        <w:ind w:left="0"/>
        <w:jc w:val="left"/>
      </w:pPr>
      <w:r>
        <w:rPr>
          <w:sz w:val="24"/>
          <w:szCs w:val="24"/>
          <w:shd w:val="clear" w:fill="FFFFFF"/>
        </w:rPr>
        <w:t>   保密审查情况：已审查，内容审定</w:t>
      </w:r>
    </w:p>
    <w:p>
      <w:pPr>
        <w:pStyle w:val="5"/>
        <w:keepNext w:val="0"/>
        <w:keepLines w:val="0"/>
        <w:widowControl/>
        <w:suppressLineNumbers w:val="0"/>
        <w:spacing w:before="0" w:beforeAutospacing="0"/>
        <w:ind w:left="0"/>
        <w:jc w:val="left"/>
      </w:pPr>
      <w:r>
        <w:rPr>
          <w:sz w:val="24"/>
          <w:szCs w:val="24"/>
          <w:shd w:val="clear" w:fill="FFFFFF"/>
        </w:rPr>
        <w:t>   部门主要负责人审签情况：已审签，同意对外公开</w:t>
      </w:r>
    </w:p>
    <w:p>
      <w:pPr>
        <w:pStyle w:val="5"/>
        <w:keepNext w:val="0"/>
        <w:keepLines w:val="0"/>
        <w:widowControl/>
        <w:suppressLineNumbers w:val="0"/>
        <w:spacing w:before="0" w:beforeAutospacing="0"/>
        <w:ind w:left="0"/>
        <w:jc w:val="center"/>
      </w:pPr>
      <w:r>
        <w:rPr>
          <w:shd w:val="clear" w:fill="FFFFFF"/>
        </w:rPr>
        <w:t> </w:t>
      </w:r>
    </w:p>
    <w:p>
      <w:pPr>
        <w:pStyle w:val="5"/>
        <w:keepNext w:val="0"/>
        <w:keepLines w:val="0"/>
        <w:widowControl/>
        <w:suppressLineNumbers w:val="0"/>
        <w:spacing w:before="0" w:beforeAutospacing="0"/>
        <w:ind w:left="0"/>
        <w:jc w:val="left"/>
      </w:pPr>
      <w:r>
        <w:rPr>
          <w:shd w:val="clear" w:fill="FFFFFF"/>
        </w:rPr>
        <w:t> </w:t>
      </w:r>
    </w:p>
    <w:p>
      <w:pPr>
        <w:pStyle w:val="5"/>
        <w:keepNext w:val="0"/>
        <w:keepLines w:val="0"/>
        <w:widowControl/>
        <w:suppressLineNumbers w:val="0"/>
        <w:spacing w:before="0" w:beforeAutospacing="0"/>
        <w:ind w:left="0"/>
        <w:jc w:val="left"/>
      </w:pPr>
      <w:r>
        <w:rPr>
          <w:shd w:val="clear" w:fill="FFFFFF"/>
        </w:rPr>
        <w:t> </w:t>
      </w:r>
    </w:p>
    <w:p>
      <w:pPr>
        <w:pStyle w:val="5"/>
        <w:keepNext w:val="0"/>
        <w:keepLines w:val="0"/>
        <w:widowControl/>
        <w:suppressLineNumbers w:val="0"/>
        <w:spacing w:before="0" w:beforeAutospacing="0"/>
        <w:ind w:left="0"/>
        <w:jc w:val="left"/>
      </w:pPr>
      <w:r>
        <w:rPr>
          <w:shd w:val="clear" w:fill="FFFFFF"/>
        </w:rPr>
        <w:t> </w:t>
      </w:r>
    </w:p>
    <w:p>
      <w:pPr>
        <w:pStyle w:val="5"/>
        <w:keepNext w:val="0"/>
        <w:keepLines w:val="0"/>
        <w:widowControl/>
        <w:suppressLineNumbers w:val="0"/>
        <w:spacing w:before="0" w:beforeAutospacing="0"/>
        <w:ind w:left="0"/>
        <w:jc w:val="left"/>
      </w:pPr>
      <w:r>
        <w:rPr>
          <w:shd w:val="clear" w:fill="FFFFFF"/>
        </w:rPr>
        <w:t> </w:t>
      </w:r>
    </w:p>
    <w:p>
      <w:pPr>
        <w:pStyle w:val="5"/>
        <w:keepNext w:val="0"/>
        <w:keepLines w:val="0"/>
        <w:widowControl/>
        <w:suppressLineNumbers w:val="0"/>
        <w:spacing w:before="0" w:beforeAutospacing="0"/>
        <w:ind w:left="0"/>
        <w:jc w:val="center"/>
      </w:pPr>
      <w:r>
        <w:rPr>
          <w:rStyle w:val="8"/>
          <w:sz w:val="30"/>
          <w:szCs w:val="30"/>
          <w:shd w:val="clear" w:fill="FFFFFF"/>
        </w:rPr>
        <w:t>目        录</w:t>
      </w:r>
    </w:p>
    <w:p>
      <w:pPr>
        <w:pStyle w:val="5"/>
        <w:keepNext w:val="0"/>
        <w:keepLines w:val="0"/>
        <w:widowControl/>
        <w:suppressLineNumbers w:val="0"/>
        <w:spacing w:before="0" w:beforeAutospacing="0"/>
        <w:ind w:left="0"/>
        <w:jc w:val="center"/>
      </w:pPr>
      <w:r>
        <w:rPr>
          <w:sz w:val="24"/>
          <w:szCs w:val="24"/>
          <w:shd w:val="clear" w:fill="FFFFFF"/>
        </w:rPr>
        <w:t>公开时间：2021年 9 月 25 日</w:t>
      </w:r>
    </w:p>
    <w:p>
      <w:pPr>
        <w:pStyle w:val="5"/>
        <w:keepNext w:val="0"/>
        <w:keepLines w:val="0"/>
        <w:widowControl/>
        <w:suppressLineNumbers w:val="0"/>
        <w:spacing w:before="0" w:beforeAutospacing="0"/>
        <w:ind w:left="0"/>
        <w:jc w:val="left"/>
      </w:pPr>
      <w:r>
        <w:rPr>
          <w:sz w:val="24"/>
          <w:szCs w:val="24"/>
          <w:shd w:val="clear" w:fill="FFFFFF"/>
        </w:rPr>
        <w:t>第一部分 部门概况</w:t>
      </w:r>
    </w:p>
    <w:p>
      <w:pPr>
        <w:pStyle w:val="5"/>
        <w:keepNext w:val="0"/>
        <w:keepLines w:val="0"/>
        <w:widowControl/>
        <w:suppressLineNumbers w:val="0"/>
        <w:spacing w:before="0" w:beforeAutospacing="0"/>
        <w:ind w:left="0"/>
        <w:jc w:val="left"/>
      </w:pPr>
      <w:r>
        <w:rPr>
          <w:sz w:val="24"/>
          <w:szCs w:val="24"/>
          <w:shd w:val="clear" w:fill="FFFFFF"/>
        </w:rPr>
        <w:t>一、基本职能及主要工作</w:t>
      </w:r>
    </w:p>
    <w:p>
      <w:pPr>
        <w:pStyle w:val="5"/>
        <w:keepNext w:val="0"/>
        <w:keepLines w:val="0"/>
        <w:widowControl/>
        <w:suppressLineNumbers w:val="0"/>
        <w:spacing w:before="0" w:beforeAutospacing="0"/>
        <w:ind w:left="0"/>
        <w:jc w:val="left"/>
      </w:pPr>
      <w:r>
        <w:rPr>
          <w:sz w:val="24"/>
          <w:szCs w:val="24"/>
          <w:shd w:val="clear" w:fill="FFFFFF"/>
        </w:rPr>
        <w:t>（一）主要职能。</w:t>
      </w:r>
    </w:p>
    <w:p>
      <w:pPr>
        <w:pStyle w:val="5"/>
        <w:keepNext w:val="0"/>
        <w:keepLines w:val="0"/>
        <w:widowControl/>
        <w:suppressLineNumbers w:val="0"/>
        <w:spacing w:before="0" w:beforeAutospacing="0"/>
        <w:ind w:left="0"/>
        <w:jc w:val="left"/>
      </w:pPr>
      <w:r>
        <w:rPr>
          <w:sz w:val="24"/>
          <w:szCs w:val="24"/>
          <w:shd w:val="clear" w:fill="FFFFFF"/>
        </w:rPr>
        <w:t>（二）2020年重点工作完成情况。</w:t>
      </w:r>
    </w:p>
    <w:p>
      <w:pPr>
        <w:pStyle w:val="5"/>
        <w:keepNext w:val="0"/>
        <w:keepLines w:val="0"/>
        <w:widowControl/>
        <w:suppressLineNumbers w:val="0"/>
        <w:spacing w:before="0" w:beforeAutospacing="0"/>
        <w:ind w:left="0"/>
        <w:jc w:val="left"/>
      </w:pPr>
      <w:r>
        <w:rPr>
          <w:sz w:val="24"/>
          <w:szCs w:val="24"/>
          <w:shd w:val="clear" w:fill="FFFFFF"/>
        </w:rPr>
        <w:t>二、机构设置</w:t>
      </w:r>
    </w:p>
    <w:p>
      <w:pPr>
        <w:pStyle w:val="5"/>
        <w:keepNext w:val="0"/>
        <w:keepLines w:val="0"/>
        <w:widowControl/>
        <w:suppressLineNumbers w:val="0"/>
        <w:spacing w:before="0" w:beforeAutospacing="0"/>
        <w:ind w:left="0"/>
        <w:jc w:val="left"/>
      </w:pPr>
      <w:r>
        <w:rPr>
          <w:sz w:val="24"/>
          <w:szCs w:val="24"/>
          <w:shd w:val="clear" w:fill="FFFFFF"/>
        </w:rPr>
        <w:t>1.    ***</w:t>
      </w:r>
    </w:p>
    <w:p>
      <w:pPr>
        <w:pStyle w:val="5"/>
        <w:keepNext w:val="0"/>
        <w:keepLines w:val="0"/>
        <w:widowControl/>
        <w:suppressLineNumbers w:val="0"/>
        <w:spacing w:before="0" w:beforeAutospacing="0"/>
        <w:ind w:left="0"/>
        <w:jc w:val="left"/>
      </w:pPr>
      <w:r>
        <w:rPr>
          <w:sz w:val="24"/>
          <w:szCs w:val="24"/>
          <w:shd w:val="clear" w:fill="FFFFFF"/>
        </w:rPr>
        <w:t>2.    ***</w:t>
      </w:r>
    </w:p>
    <w:p>
      <w:pPr>
        <w:pStyle w:val="5"/>
        <w:keepNext w:val="0"/>
        <w:keepLines w:val="0"/>
        <w:widowControl/>
        <w:suppressLineNumbers w:val="0"/>
        <w:spacing w:before="0" w:beforeAutospacing="0"/>
        <w:ind w:left="0"/>
        <w:jc w:val="left"/>
      </w:pPr>
      <w:r>
        <w:rPr>
          <w:sz w:val="24"/>
          <w:szCs w:val="24"/>
          <w:shd w:val="clear" w:fill="FFFFFF"/>
        </w:rPr>
        <w:t>3.    ***</w:t>
      </w:r>
    </w:p>
    <w:p>
      <w:pPr>
        <w:pStyle w:val="5"/>
        <w:keepNext w:val="0"/>
        <w:keepLines w:val="0"/>
        <w:widowControl/>
        <w:suppressLineNumbers w:val="0"/>
        <w:spacing w:before="0" w:beforeAutospacing="0"/>
        <w:ind w:left="0"/>
        <w:jc w:val="left"/>
      </w:pPr>
      <w:r>
        <w:rPr>
          <w:sz w:val="24"/>
          <w:szCs w:val="24"/>
          <w:shd w:val="clear" w:fill="FFFFFF"/>
        </w:rPr>
        <w:t>第二部分 2020年度部门决算情况说明</w:t>
      </w:r>
    </w:p>
    <w:p>
      <w:pPr>
        <w:pStyle w:val="5"/>
        <w:keepNext w:val="0"/>
        <w:keepLines w:val="0"/>
        <w:widowControl/>
        <w:suppressLineNumbers w:val="0"/>
        <w:spacing w:before="0" w:beforeAutospacing="0"/>
        <w:ind w:left="0"/>
        <w:jc w:val="left"/>
      </w:pPr>
      <w:r>
        <w:rPr>
          <w:sz w:val="24"/>
          <w:szCs w:val="24"/>
          <w:shd w:val="clear" w:fill="FFFFFF"/>
        </w:rPr>
        <w:t>一、    收入支出决算总体情况说明</w:t>
      </w:r>
    </w:p>
    <w:p>
      <w:pPr>
        <w:pStyle w:val="5"/>
        <w:keepNext w:val="0"/>
        <w:keepLines w:val="0"/>
        <w:widowControl/>
        <w:suppressLineNumbers w:val="0"/>
        <w:spacing w:before="0" w:beforeAutospacing="0"/>
        <w:ind w:left="0"/>
        <w:jc w:val="left"/>
      </w:pPr>
      <w:r>
        <w:rPr>
          <w:sz w:val="24"/>
          <w:szCs w:val="24"/>
          <w:shd w:val="clear" w:fill="FFFFFF"/>
        </w:rPr>
        <w:t>二、    收入决算情况说明</w:t>
      </w:r>
    </w:p>
    <w:p>
      <w:pPr>
        <w:pStyle w:val="5"/>
        <w:keepNext w:val="0"/>
        <w:keepLines w:val="0"/>
        <w:widowControl/>
        <w:suppressLineNumbers w:val="0"/>
        <w:spacing w:before="0" w:beforeAutospacing="0"/>
        <w:ind w:left="0"/>
        <w:jc w:val="left"/>
      </w:pPr>
      <w:r>
        <w:rPr>
          <w:sz w:val="24"/>
          <w:szCs w:val="24"/>
          <w:shd w:val="clear" w:fill="FFFFFF"/>
        </w:rPr>
        <w:t>三、    支出决算情况说明</w:t>
      </w:r>
    </w:p>
    <w:p>
      <w:pPr>
        <w:pStyle w:val="5"/>
        <w:keepNext w:val="0"/>
        <w:keepLines w:val="0"/>
        <w:widowControl/>
        <w:suppressLineNumbers w:val="0"/>
        <w:spacing w:before="0" w:beforeAutospacing="0"/>
        <w:ind w:left="0"/>
        <w:jc w:val="left"/>
      </w:pPr>
      <w:r>
        <w:rPr>
          <w:sz w:val="24"/>
          <w:szCs w:val="24"/>
          <w:shd w:val="clear" w:fill="FFFFFF"/>
        </w:rPr>
        <w:t>四、财政拨款收入支出决算总体情况说明</w:t>
      </w:r>
    </w:p>
    <w:p>
      <w:pPr>
        <w:pStyle w:val="5"/>
        <w:keepNext w:val="0"/>
        <w:keepLines w:val="0"/>
        <w:widowControl/>
        <w:suppressLineNumbers w:val="0"/>
        <w:spacing w:before="0" w:beforeAutospacing="0"/>
        <w:ind w:left="0"/>
        <w:jc w:val="left"/>
      </w:pPr>
      <w:r>
        <w:rPr>
          <w:sz w:val="24"/>
          <w:szCs w:val="24"/>
          <w:shd w:val="clear" w:fill="FFFFFF"/>
        </w:rPr>
        <w:t>五、</w:t>
      </w:r>
      <w:r>
        <w:rPr>
          <w:rStyle w:val="8"/>
          <w:sz w:val="24"/>
          <w:szCs w:val="24"/>
          <w:shd w:val="clear" w:fill="FFFFFF"/>
        </w:rPr>
        <w:t>一</w:t>
      </w:r>
      <w:r>
        <w:rPr>
          <w:sz w:val="24"/>
          <w:szCs w:val="24"/>
          <w:shd w:val="clear" w:fill="FFFFFF"/>
        </w:rPr>
        <w:t>般公共预算财政拨款支出决算情况说明</w:t>
      </w:r>
    </w:p>
    <w:p>
      <w:pPr>
        <w:pStyle w:val="5"/>
        <w:keepNext w:val="0"/>
        <w:keepLines w:val="0"/>
        <w:widowControl/>
        <w:suppressLineNumbers w:val="0"/>
        <w:spacing w:before="0" w:beforeAutospacing="0"/>
        <w:ind w:left="0"/>
        <w:jc w:val="left"/>
      </w:pPr>
      <w:r>
        <w:rPr>
          <w:rStyle w:val="8"/>
          <w:sz w:val="24"/>
          <w:szCs w:val="24"/>
          <w:shd w:val="clear" w:fill="FFFFFF"/>
        </w:rPr>
        <w:t>（一）一般公共预算财政拨款支出决算总体情况</w:t>
      </w:r>
    </w:p>
    <w:p>
      <w:pPr>
        <w:pStyle w:val="5"/>
        <w:keepNext w:val="0"/>
        <w:keepLines w:val="0"/>
        <w:widowControl/>
        <w:suppressLineNumbers w:val="0"/>
        <w:spacing w:before="0" w:beforeAutospacing="0"/>
        <w:ind w:left="0"/>
        <w:jc w:val="left"/>
      </w:pPr>
      <w:r>
        <w:rPr>
          <w:rStyle w:val="8"/>
          <w:sz w:val="24"/>
          <w:szCs w:val="24"/>
          <w:shd w:val="clear" w:fill="FFFFFF"/>
        </w:rPr>
        <w:t>（二）一般公共预算财政拨款支出决算结构情况</w:t>
      </w:r>
    </w:p>
    <w:p>
      <w:pPr>
        <w:pStyle w:val="5"/>
        <w:keepNext w:val="0"/>
        <w:keepLines w:val="0"/>
        <w:widowControl/>
        <w:suppressLineNumbers w:val="0"/>
        <w:spacing w:before="0" w:beforeAutospacing="0"/>
        <w:ind w:left="0"/>
        <w:jc w:val="left"/>
      </w:pPr>
      <w:r>
        <w:rPr>
          <w:rStyle w:val="8"/>
          <w:sz w:val="24"/>
          <w:szCs w:val="24"/>
          <w:shd w:val="clear" w:fill="FFFFFF"/>
        </w:rPr>
        <w:t>（三）一般公共预算财政拨款支出决算具体情况</w:t>
      </w:r>
    </w:p>
    <w:p>
      <w:pPr>
        <w:pStyle w:val="5"/>
        <w:keepNext w:val="0"/>
        <w:keepLines w:val="0"/>
        <w:widowControl/>
        <w:suppressLineNumbers w:val="0"/>
        <w:spacing w:before="0" w:beforeAutospacing="0"/>
        <w:ind w:left="0"/>
        <w:jc w:val="left"/>
      </w:pPr>
      <w:r>
        <w:rPr>
          <w:sz w:val="24"/>
          <w:szCs w:val="24"/>
          <w:shd w:val="clear" w:fill="FFFFFF"/>
        </w:rPr>
        <w:t>六</w:t>
      </w:r>
      <w:r>
        <w:rPr>
          <w:rStyle w:val="8"/>
          <w:sz w:val="24"/>
          <w:szCs w:val="24"/>
          <w:shd w:val="clear" w:fill="FFFFFF"/>
        </w:rPr>
        <w:t>、一</w:t>
      </w:r>
      <w:r>
        <w:rPr>
          <w:sz w:val="24"/>
          <w:szCs w:val="24"/>
          <w:shd w:val="clear" w:fill="FFFFFF"/>
        </w:rPr>
        <w:t>般公共预算财政拨款基本支出决算情况说明</w:t>
      </w:r>
    </w:p>
    <w:p>
      <w:pPr>
        <w:pStyle w:val="5"/>
        <w:keepNext w:val="0"/>
        <w:keepLines w:val="0"/>
        <w:widowControl/>
        <w:suppressLineNumbers w:val="0"/>
        <w:spacing w:before="0" w:beforeAutospacing="0"/>
        <w:ind w:left="0"/>
        <w:jc w:val="left"/>
      </w:pPr>
      <w:r>
        <w:rPr>
          <w:sz w:val="24"/>
          <w:szCs w:val="24"/>
          <w:shd w:val="clear" w:fill="FFFFFF"/>
        </w:rPr>
        <w:t>七、</w:t>
      </w:r>
      <w:r>
        <w:rPr>
          <w:rStyle w:val="8"/>
          <w:sz w:val="24"/>
          <w:szCs w:val="24"/>
          <w:shd w:val="clear" w:fill="FFFFFF"/>
        </w:rPr>
        <w:t>“</w:t>
      </w:r>
      <w:r>
        <w:rPr>
          <w:sz w:val="24"/>
          <w:szCs w:val="24"/>
          <w:shd w:val="clear" w:fill="FFFFFF"/>
        </w:rPr>
        <w:t>三公”经费财政拨款支出决算情况说明</w:t>
      </w:r>
    </w:p>
    <w:p>
      <w:pPr>
        <w:pStyle w:val="5"/>
        <w:keepNext w:val="0"/>
        <w:keepLines w:val="0"/>
        <w:widowControl/>
        <w:suppressLineNumbers w:val="0"/>
        <w:spacing w:before="0" w:beforeAutospacing="0"/>
        <w:ind w:left="0"/>
        <w:jc w:val="left"/>
      </w:pPr>
      <w:r>
        <w:rPr>
          <w:rStyle w:val="8"/>
          <w:sz w:val="24"/>
          <w:szCs w:val="24"/>
          <w:shd w:val="clear" w:fill="FFFFFF"/>
        </w:rPr>
        <w:t>（一）“三公”经费财政拨款支出决算总体情况说明</w:t>
      </w:r>
    </w:p>
    <w:p>
      <w:pPr>
        <w:pStyle w:val="5"/>
        <w:keepNext w:val="0"/>
        <w:keepLines w:val="0"/>
        <w:widowControl/>
        <w:suppressLineNumbers w:val="0"/>
        <w:spacing w:before="0" w:beforeAutospacing="0"/>
        <w:ind w:left="0"/>
        <w:jc w:val="left"/>
      </w:pPr>
      <w:r>
        <w:rPr>
          <w:rStyle w:val="8"/>
          <w:sz w:val="24"/>
          <w:szCs w:val="24"/>
          <w:shd w:val="clear" w:fill="FFFFFF"/>
        </w:rPr>
        <w:t>（二）“三公”经费财政拨款支出决算具体情况说明</w:t>
      </w:r>
    </w:p>
    <w:p>
      <w:pPr>
        <w:pStyle w:val="5"/>
        <w:keepNext w:val="0"/>
        <w:keepLines w:val="0"/>
        <w:widowControl/>
        <w:suppressLineNumbers w:val="0"/>
        <w:spacing w:before="0" w:beforeAutospacing="0"/>
        <w:ind w:left="0"/>
        <w:jc w:val="left"/>
      </w:pPr>
      <w:r>
        <w:rPr>
          <w:sz w:val="24"/>
          <w:szCs w:val="24"/>
          <w:shd w:val="clear" w:fill="FFFFFF"/>
        </w:rPr>
        <w:t>八、政府性基金预算支出决算情况说明</w:t>
      </w:r>
    </w:p>
    <w:p>
      <w:pPr>
        <w:pStyle w:val="5"/>
        <w:keepNext w:val="0"/>
        <w:keepLines w:val="0"/>
        <w:widowControl/>
        <w:suppressLineNumbers w:val="0"/>
        <w:spacing w:before="0" w:beforeAutospacing="0"/>
        <w:ind w:left="0"/>
        <w:jc w:val="left"/>
      </w:pPr>
      <w:r>
        <w:rPr>
          <w:sz w:val="24"/>
          <w:szCs w:val="24"/>
          <w:shd w:val="clear" w:fill="FFFFFF"/>
        </w:rPr>
        <w:t>九、 国有资本经营预算支出决算情况说明</w:t>
      </w:r>
    </w:p>
    <w:p>
      <w:pPr>
        <w:pStyle w:val="5"/>
        <w:keepNext w:val="0"/>
        <w:keepLines w:val="0"/>
        <w:widowControl/>
        <w:suppressLineNumbers w:val="0"/>
        <w:spacing w:before="0" w:beforeAutospacing="0"/>
        <w:ind w:left="0"/>
        <w:jc w:val="left"/>
      </w:pPr>
      <w:r>
        <w:rPr>
          <w:sz w:val="24"/>
          <w:szCs w:val="24"/>
          <w:shd w:val="clear" w:fill="FFFFFF"/>
        </w:rPr>
        <w:t>十</w:t>
      </w:r>
      <w:r>
        <w:rPr>
          <w:rStyle w:val="8"/>
          <w:sz w:val="24"/>
          <w:szCs w:val="24"/>
          <w:shd w:val="clear" w:fill="FFFFFF"/>
        </w:rPr>
        <w:t>、</w:t>
      </w:r>
      <w:r>
        <w:rPr>
          <w:sz w:val="24"/>
          <w:szCs w:val="24"/>
          <w:shd w:val="clear" w:fill="FFFFFF"/>
        </w:rPr>
        <w:t>其他重要事项的情况说明</w:t>
      </w:r>
    </w:p>
    <w:p>
      <w:pPr>
        <w:pStyle w:val="5"/>
        <w:keepNext w:val="0"/>
        <w:keepLines w:val="0"/>
        <w:widowControl/>
        <w:suppressLineNumbers w:val="0"/>
        <w:spacing w:before="0" w:beforeAutospacing="0"/>
        <w:ind w:left="0"/>
        <w:jc w:val="left"/>
      </w:pPr>
      <w:r>
        <w:rPr>
          <w:rStyle w:val="8"/>
          <w:sz w:val="24"/>
          <w:szCs w:val="24"/>
          <w:shd w:val="clear" w:fill="FFFFFF"/>
        </w:rPr>
        <w:t>（一）机关运行经费支出情况</w:t>
      </w:r>
    </w:p>
    <w:p>
      <w:pPr>
        <w:pStyle w:val="5"/>
        <w:keepNext w:val="0"/>
        <w:keepLines w:val="0"/>
        <w:widowControl/>
        <w:suppressLineNumbers w:val="0"/>
        <w:spacing w:before="0" w:beforeAutospacing="0"/>
        <w:ind w:left="0"/>
        <w:jc w:val="left"/>
      </w:pPr>
      <w:r>
        <w:rPr>
          <w:rStyle w:val="8"/>
          <w:sz w:val="24"/>
          <w:szCs w:val="24"/>
          <w:shd w:val="clear" w:fill="FFFFFF"/>
        </w:rPr>
        <w:t>（二）政府采购支出情况</w:t>
      </w:r>
    </w:p>
    <w:p>
      <w:pPr>
        <w:pStyle w:val="5"/>
        <w:keepNext w:val="0"/>
        <w:keepLines w:val="0"/>
        <w:widowControl/>
        <w:suppressLineNumbers w:val="0"/>
        <w:spacing w:before="0" w:beforeAutospacing="0"/>
        <w:ind w:left="0"/>
        <w:jc w:val="left"/>
      </w:pPr>
      <w:r>
        <w:rPr>
          <w:rStyle w:val="8"/>
          <w:sz w:val="24"/>
          <w:szCs w:val="24"/>
          <w:shd w:val="clear" w:fill="FFFFFF"/>
        </w:rPr>
        <w:t>（三）国有资产占有使用情况</w:t>
      </w:r>
    </w:p>
    <w:p>
      <w:pPr>
        <w:pStyle w:val="5"/>
        <w:keepNext w:val="0"/>
        <w:keepLines w:val="0"/>
        <w:widowControl/>
        <w:suppressLineNumbers w:val="0"/>
        <w:spacing w:before="0" w:beforeAutospacing="0"/>
        <w:ind w:left="0"/>
        <w:jc w:val="left"/>
      </w:pPr>
      <w:r>
        <w:rPr>
          <w:rStyle w:val="8"/>
          <w:sz w:val="24"/>
          <w:szCs w:val="24"/>
          <w:shd w:val="clear" w:fill="FFFFFF"/>
        </w:rPr>
        <w:t>（四）预算绩效管理情况。</w:t>
      </w:r>
    </w:p>
    <w:p>
      <w:pPr>
        <w:pStyle w:val="5"/>
        <w:keepNext w:val="0"/>
        <w:keepLines w:val="0"/>
        <w:widowControl/>
        <w:suppressLineNumbers w:val="0"/>
        <w:spacing w:before="0" w:beforeAutospacing="0"/>
        <w:ind w:left="0"/>
        <w:jc w:val="left"/>
      </w:pPr>
      <w:r>
        <w:rPr>
          <w:sz w:val="24"/>
          <w:szCs w:val="24"/>
          <w:shd w:val="clear" w:fill="FFFFFF"/>
        </w:rPr>
        <w:t>第三部分 名词解释</w:t>
      </w:r>
    </w:p>
    <w:p>
      <w:pPr>
        <w:pStyle w:val="5"/>
        <w:keepNext w:val="0"/>
        <w:keepLines w:val="0"/>
        <w:widowControl/>
        <w:suppressLineNumbers w:val="0"/>
        <w:spacing w:before="0" w:beforeAutospacing="0"/>
        <w:ind w:left="0"/>
        <w:jc w:val="left"/>
      </w:pPr>
      <w:r>
        <w:rPr>
          <w:sz w:val="24"/>
          <w:szCs w:val="24"/>
          <w:shd w:val="clear" w:fill="FFFFFF"/>
        </w:rPr>
        <w:t>第四部分 附件</w:t>
      </w:r>
    </w:p>
    <w:p>
      <w:pPr>
        <w:pStyle w:val="5"/>
        <w:keepNext w:val="0"/>
        <w:keepLines w:val="0"/>
        <w:widowControl/>
        <w:suppressLineNumbers w:val="0"/>
        <w:spacing w:before="0" w:beforeAutospacing="0"/>
        <w:ind w:left="0"/>
        <w:jc w:val="left"/>
      </w:pPr>
      <w:r>
        <w:rPr>
          <w:sz w:val="24"/>
          <w:szCs w:val="24"/>
          <w:shd w:val="clear" w:fill="FFFFFF"/>
        </w:rPr>
        <w:t>附件1</w:t>
      </w:r>
    </w:p>
    <w:p>
      <w:pPr>
        <w:pStyle w:val="5"/>
        <w:keepNext w:val="0"/>
        <w:keepLines w:val="0"/>
        <w:widowControl/>
        <w:suppressLineNumbers w:val="0"/>
        <w:spacing w:before="0" w:beforeAutospacing="0"/>
        <w:ind w:left="0"/>
        <w:jc w:val="left"/>
      </w:pPr>
      <w:r>
        <w:rPr>
          <w:sz w:val="24"/>
          <w:szCs w:val="24"/>
          <w:shd w:val="clear" w:fill="FFFFFF"/>
        </w:rPr>
        <w:t>XX部门2020年部门整体支出绩效评价报告</w:t>
      </w:r>
    </w:p>
    <w:p>
      <w:pPr>
        <w:pStyle w:val="5"/>
        <w:keepNext w:val="0"/>
        <w:keepLines w:val="0"/>
        <w:widowControl/>
        <w:suppressLineNumbers w:val="0"/>
        <w:spacing w:before="0" w:beforeAutospacing="0"/>
        <w:ind w:left="0"/>
        <w:jc w:val="left"/>
      </w:pPr>
      <w:r>
        <w:rPr>
          <w:sz w:val="24"/>
          <w:szCs w:val="24"/>
          <w:shd w:val="clear" w:fill="FFFFFF"/>
        </w:rPr>
        <w:t>附件2</w:t>
      </w:r>
    </w:p>
    <w:p>
      <w:pPr>
        <w:pStyle w:val="5"/>
        <w:keepNext w:val="0"/>
        <w:keepLines w:val="0"/>
        <w:widowControl/>
        <w:suppressLineNumbers w:val="0"/>
        <w:spacing w:before="0" w:beforeAutospacing="0"/>
        <w:ind w:left="0"/>
        <w:jc w:val="left"/>
      </w:pPr>
      <w:r>
        <w:rPr>
          <w:sz w:val="24"/>
          <w:szCs w:val="24"/>
          <w:shd w:val="clear" w:fill="FFFFFF"/>
        </w:rPr>
        <w:t>XXX项目2020年绩效评价报告</w:t>
      </w:r>
    </w:p>
    <w:p>
      <w:pPr>
        <w:pStyle w:val="5"/>
        <w:keepNext w:val="0"/>
        <w:keepLines w:val="0"/>
        <w:widowControl/>
        <w:suppressLineNumbers w:val="0"/>
        <w:spacing w:before="0" w:beforeAutospacing="0"/>
        <w:ind w:left="0"/>
        <w:jc w:val="left"/>
      </w:pPr>
      <w:r>
        <w:rPr>
          <w:sz w:val="24"/>
          <w:szCs w:val="24"/>
          <w:shd w:val="clear" w:fill="FFFFFF"/>
        </w:rPr>
        <w:t>第五部分 附表</w:t>
      </w:r>
    </w:p>
    <w:p>
      <w:pPr>
        <w:pStyle w:val="5"/>
        <w:keepNext w:val="0"/>
        <w:keepLines w:val="0"/>
        <w:widowControl/>
        <w:suppressLineNumbers w:val="0"/>
        <w:spacing w:before="0" w:beforeAutospacing="0"/>
        <w:ind w:left="0"/>
        <w:jc w:val="left"/>
      </w:pPr>
      <w:r>
        <w:rPr>
          <w:sz w:val="24"/>
          <w:szCs w:val="24"/>
          <w:shd w:val="clear" w:fill="FFFFFF"/>
        </w:rPr>
        <w:t>一、收入支出决算总表</w:t>
      </w:r>
    </w:p>
    <w:p>
      <w:pPr>
        <w:pStyle w:val="5"/>
        <w:keepNext w:val="0"/>
        <w:keepLines w:val="0"/>
        <w:widowControl/>
        <w:suppressLineNumbers w:val="0"/>
        <w:spacing w:before="0" w:beforeAutospacing="0"/>
        <w:ind w:left="0"/>
        <w:jc w:val="left"/>
      </w:pPr>
      <w:r>
        <w:rPr>
          <w:sz w:val="24"/>
          <w:szCs w:val="24"/>
          <w:shd w:val="clear" w:fill="FFFFFF"/>
        </w:rPr>
        <w:t>二、收入决算表</w:t>
      </w:r>
    </w:p>
    <w:p>
      <w:pPr>
        <w:pStyle w:val="5"/>
        <w:keepNext w:val="0"/>
        <w:keepLines w:val="0"/>
        <w:widowControl/>
        <w:suppressLineNumbers w:val="0"/>
        <w:spacing w:before="0" w:beforeAutospacing="0"/>
        <w:ind w:left="0"/>
        <w:jc w:val="left"/>
      </w:pPr>
      <w:r>
        <w:rPr>
          <w:sz w:val="24"/>
          <w:szCs w:val="24"/>
          <w:shd w:val="clear" w:fill="FFFFFF"/>
        </w:rPr>
        <w:t>三、支出决算表</w:t>
      </w:r>
    </w:p>
    <w:p>
      <w:pPr>
        <w:pStyle w:val="5"/>
        <w:keepNext w:val="0"/>
        <w:keepLines w:val="0"/>
        <w:widowControl/>
        <w:suppressLineNumbers w:val="0"/>
        <w:spacing w:before="0" w:beforeAutospacing="0"/>
        <w:ind w:left="0"/>
        <w:jc w:val="left"/>
      </w:pPr>
      <w:r>
        <w:rPr>
          <w:sz w:val="24"/>
          <w:szCs w:val="24"/>
          <w:shd w:val="clear" w:fill="FFFFFF"/>
        </w:rPr>
        <w:t>四、财政拨款收入支出决算总表</w:t>
      </w:r>
    </w:p>
    <w:p>
      <w:pPr>
        <w:pStyle w:val="5"/>
        <w:keepNext w:val="0"/>
        <w:keepLines w:val="0"/>
        <w:widowControl/>
        <w:suppressLineNumbers w:val="0"/>
        <w:spacing w:before="0" w:beforeAutospacing="0"/>
        <w:ind w:left="0"/>
        <w:jc w:val="left"/>
      </w:pPr>
      <w:r>
        <w:rPr>
          <w:sz w:val="24"/>
          <w:szCs w:val="24"/>
          <w:shd w:val="clear" w:fill="FFFFFF"/>
        </w:rPr>
        <w:t>五、财政拨款支出决算明细表</w:t>
      </w:r>
    </w:p>
    <w:p>
      <w:pPr>
        <w:pStyle w:val="5"/>
        <w:keepNext w:val="0"/>
        <w:keepLines w:val="0"/>
        <w:widowControl/>
        <w:suppressLineNumbers w:val="0"/>
        <w:spacing w:before="0" w:beforeAutospacing="0"/>
        <w:ind w:left="0"/>
        <w:jc w:val="left"/>
      </w:pPr>
      <w:r>
        <w:rPr>
          <w:sz w:val="24"/>
          <w:szCs w:val="24"/>
          <w:shd w:val="clear" w:fill="FFFFFF"/>
        </w:rPr>
        <w:t>六、一般公共预算财政拨款支出决算表</w:t>
      </w:r>
    </w:p>
    <w:p>
      <w:pPr>
        <w:pStyle w:val="5"/>
        <w:keepNext w:val="0"/>
        <w:keepLines w:val="0"/>
        <w:widowControl/>
        <w:suppressLineNumbers w:val="0"/>
        <w:spacing w:before="0" w:beforeAutospacing="0"/>
        <w:ind w:left="0"/>
        <w:jc w:val="left"/>
      </w:pPr>
      <w:r>
        <w:rPr>
          <w:sz w:val="24"/>
          <w:szCs w:val="24"/>
          <w:shd w:val="clear" w:fill="FFFFFF"/>
        </w:rPr>
        <w:t>七、一般公共预算财政拨款支出决算明细表</w:t>
      </w:r>
    </w:p>
    <w:p>
      <w:pPr>
        <w:pStyle w:val="5"/>
        <w:keepNext w:val="0"/>
        <w:keepLines w:val="0"/>
        <w:widowControl/>
        <w:suppressLineNumbers w:val="0"/>
        <w:spacing w:before="0" w:beforeAutospacing="0"/>
        <w:ind w:left="0"/>
        <w:jc w:val="left"/>
      </w:pPr>
      <w:r>
        <w:rPr>
          <w:sz w:val="24"/>
          <w:szCs w:val="24"/>
          <w:shd w:val="clear" w:fill="FFFFFF"/>
        </w:rPr>
        <w:t>八、一般公共预算财政拨款基本支出决算表</w:t>
      </w:r>
    </w:p>
    <w:p>
      <w:pPr>
        <w:pStyle w:val="5"/>
        <w:keepNext w:val="0"/>
        <w:keepLines w:val="0"/>
        <w:widowControl/>
        <w:suppressLineNumbers w:val="0"/>
        <w:spacing w:before="0" w:beforeAutospacing="0"/>
        <w:ind w:left="0"/>
        <w:jc w:val="left"/>
      </w:pPr>
      <w:r>
        <w:rPr>
          <w:sz w:val="24"/>
          <w:szCs w:val="24"/>
          <w:shd w:val="clear" w:fill="FFFFFF"/>
        </w:rPr>
        <w:t>九、一般公共预算财政拨款项目支出决算表</w:t>
      </w:r>
    </w:p>
    <w:p>
      <w:pPr>
        <w:pStyle w:val="5"/>
        <w:keepNext w:val="0"/>
        <w:keepLines w:val="0"/>
        <w:widowControl/>
        <w:suppressLineNumbers w:val="0"/>
        <w:spacing w:before="0" w:beforeAutospacing="0"/>
        <w:ind w:left="0"/>
        <w:jc w:val="left"/>
      </w:pPr>
      <w:r>
        <w:rPr>
          <w:sz w:val="24"/>
          <w:szCs w:val="24"/>
          <w:shd w:val="clear" w:fill="FFFFFF"/>
        </w:rPr>
        <w:t>十、一般公共预算财政拨款“三公”经费支出决算表</w:t>
      </w:r>
    </w:p>
    <w:p>
      <w:pPr>
        <w:pStyle w:val="5"/>
        <w:keepNext w:val="0"/>
        <w:keepLines w:val="0"/>
        <w:widowControl/>
        <w:suppressLineNumbers w:val="0"/>
        <w:spacing w:before="0" w:beforeAutospacing="0"/>
        <w:ind w:left="0"/>
        <w:jc w:val="left"/>
      </w:pPr>
      <w:r>
        <w:rPr>
          <w:sz w:val="24"/>
          <w:szCs w:val="24"/>
          <w:shd w:val="clear" w:fill="FFFFFF"/>
        </w:rPr>
        <w:t>十一、政府性基金预算财政拨款收入支出决算表</w:t>
      </w:r>
    </w:p>
    <w:p>
      <w:pPr>
        <w:pStyle w:val="5"/>
        <w:keepNext w:val="0"/>
        <w:keepLines w:val="0"/>
        <w:widowControl/>
        <w:suppressLineNumbers w:val="0"/>
        <w:spacing w:before="0" w:beforeAutospacing="0"/>
        <w:ind w:left="0"/>
        <w:jc w:val="left"/>
      </w:pPr>
      <w:r>
        <w:rPr>
          <w:sz w:val="24"/>
          <w:szCs w:val="24"/>
          <w:shd w:val="clear" w:fill="FFFFFF"/>
        </w:rPr>
        <w:t>十二、政府性基金预算财政拨款“三公”经费支出决算表</w:t>
      </w:r>
    </w:p>
    <w:p>
      <w:pPr>
        <w:pStyle w:val="5"/>
        <w:keepNext w:val="0"/>
        <w:keepLines w:val="0"/>
        <w:widowControl/>
        <w:suppressLineNumbers w:val="0"/>
        <w:spacing w:before="0" w:beforeAutospacing="0"/>
        <w:ind w:left="0"/>
        <w:jc w:val="left"/>
      </w:pPr>
      <w:r>
        <w:rPr>
          <w:sz w:val="24"/>
          <w:szCs w:val="24"/>
          <w:shd w:val="clear" w:fill="FFFFFF"/>
        </w:rPr>
        <w:t>十三、</w:t>
      </w:r>
      <w:r>
        <w:rPr>
          <w:rFonts w:hint="eastAsia" w:ascii="宋体" w:hAnsi="宋体" w:eastAsia="宋体" w:cs="宋体"/>
          <w:sz w:val="24"/>
          <w:szCs w:val="24"/>
          <w:shd w:val="clear" w:fill="FFFFFF"/>
        </w:rPr>
        <w:t>国有资本经营预算财政拨款收入支出决算表</w:t>
      </w:r>
    </w:p>
    <w:p>
      <w:pPr>
        <w:pStyle w:val="5"/>
        <w:keepNext w:val="0"/>
        <w:keepLines w:val="0"/>
        <w:widowControl/>
        <w:suppressLineNumbers w:val="0"/>
        <w:spacing w:before="0" w:beforeAutospacing="0"/>
        <w:ind w:left="0"/>
        <w:jc w:val="left"/>
      </w:pPr>
      <w:r>
        <w:rPr>
          <w:sz w:val="24"/>
          <w:szCs w:val="24"/>
          <w:shd w:val="clear" w:fill="FFFFFF"/>
        </w:rPr>
        <w:t>十四、国有资本经营预算财政拨款支出决算表</w:t>
      </w:r>
    </w:p>
    <w:p>
      <w:pPr>
        <w:snapToGrid w:val="0"/>
        <w:jc w:val="center"/>
        <w:rPr>
          <w:rFonts w:ascii="华文中宋" w:hAnsi="华文中宋" w:eastAsia="华文中宋"/>
          <w:sz w:val="36"/>
          <w:szCs w:val="36"/>
        </w:rPr>
      </w:pPr>
    </w:p>
    <w:p>
      <w:pPr>
        <w:snapToGrid w:val="0"/>
        <w:jc w:val="center"/>
        <w:rPr>
          <w:rFonts w:ascii="华文中宋" w:hAnsi="华文中宋" w:eastAsia="华文中宋"/>
          <w:sz w:val="36"/>
          <w:szCs w:val="36"/>
        </w:rPr>
      </w:pPr>
    </w:p>
    <w:p>
      <w:pPr>
        <w:snapToGrid w:val="0"/>
        <w:jc w:val="center"/>
        <w:rPr>
          <w:rFonts w:ascii="华文中宋" w:hAnsi="华文中宋" w:eastAsia="华文中宋"/>
          <w:sz w:val="36"/>
          <w:szCs w:val="36"/>
        </w:rPr>
      </w:pPr>
      <w:r>
        <w:rPr>
          <w:rStyle w:val="8"/>
          <w:sz w:val="24"/>
          <w:szCs w:val="24"/>
          <w:shd w:val="clear" w:fill="FFFFFF"/>
        </w:rPr>
        <w:t>第一部分 部门概况</w:t>
      </w:r>
    </w:p>
    <w:p>
      <w:pPr>
        <w:snapToGrid w:val="0"/>
        <w:jc w:val="center"/>
        <w:rPr>
          <w:rFonts w:ascii="华文中宋" w:hAnsi="华文中宋" w:eastAsia="华文中宋"/>
          <w:b/>
          <w:bCs/>
          <w:sz w:val="36"/>
          <w:szCs w:val="36"/>
        </w:rPr>
      </w:pPr>
    </w:p>
    <w:p>
      <w:pPr>
        <w:snapToGrid w:val="0"/>
        <w:spacing w:line="520" w:lineRule="exact"/>
        <w:ind w:firstLine="643" w:firstLineChars="200"/>
        <w:rPr>
          <w:rFonts w:ascii="仿宋_GB2312" w:hAnsi="仿宋_GB2312" w:eastAsia="仿宋_GB2312"/>
          <w:b/>
          <w:bCs/>
          <w:sz w:val="32"/>
          <w:szCs w:val="32"/>
        </w:rPr>
      </w:pPr>
      <w:bookmarkStart w:id="0" w:name="YS060101"/>
      <w:r>
        <w:rPr>
          <w:rFonts w:hint="eastAsia" w:ascii="仿宋_GB2312" w:hAnsi="仿宋_GB2312" w:eastAsia="仿宋_GB2312"/>
          <w:b/>
          <w:bCs/>
          <w:sz w:val="32"/>
          <w:szCs w:val="32"/>
        </w:rPr>
        <w:t>一、部门（单位）情况</w:t>
      </w:r>
    </w:p>
    <w:bookmarkEnd w:id="0"/>
    <w:p>
      <w:p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（一）基本情况。</w:t>
      </w:r>
    </w:p>
    <w:p>
      <w:pPr>
        <w:numPr>
          <w:ilvl w:val="0"/>
          <w:numId w:val="1"/>
        </w:num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主要职能。</w:t>
      </w:r>
    </w:p>
    <w:p>
      <w:pPr>
        <w:pStyle w:val="3"/>
        <w:adjustRightInd w:val="0"/>
        <w:snapToGrid w:val="0"/>
        <w:spacing w:before="93" w:line="580" w:lineRule="exact"/>
        <w:ind w:firstLine="672" w:firstLineChars="210"/>
        <w:rPr>
          <w:rFonts w:hAnsi="仿宋_GB2312" w:cs="仿宋"/>
          <w:sz w:val="32"/>
          <w:szCs w:val="32"/>
        </w:rPr>
      </w:pPr>
      <w:r>
        <w:rPr>
          <w:rFonts w:hint="eastAsia" w:hAnsi="仿宋_GB2312" w:cs="仿宋"/>
          <w:sz w:val="32"/>
          <w:szCs w:val="32"/>
        </w:rPr>
        <w:t>我单位为县政府派出机构，受县政府委托，履行相应宗教事务管理执法权，业务上接收统战部门的指导和监督。</w:t>
      </w:r>
    </w:p>
    <w:p>
      <w:pPr>
        <w:pStyle w:val="3"/>
        <w:numPr>
          <w:ilvl w:val="0"/>
          <w:numId w:val="2"/>
        </w:numPr>
        <w:adjustRightInd w:val="0"/>
        <w:snapToGrid w:val="0"/>
        <w:spacing w:before="93" w:line="580" w:lineRule="exact"/>
        <w:ind w:firstLine="672" w:firstLineChars="210"/>
        <w:rPr>
          <w:rFonts w:hAnsi="仿宋_GB2312" w:cs="仿宋"/>
          <w:sz w:val="32"/>
          <w:szCs w:val="32"/>
        </w:rPr>
      </w:pPr>
      <w:r>
        <w:rPr>
          <w:rFonts w:hint="eastAsia" w:hAnsi="仿宋_GB2312" w:cs="仿宋"/>
          <w:sz w:val="32"/>
          <w:szCs w:val="32"/>
        </w:rPr>
        <w:t>依法管理宗教事务，加强寺庙管理，加强僧尼管理，加强宗教活动管理。</w:t>
      </w:r>
    </w:p>
    <w:p>
      <w:pPr>
        <w:pStyle w:val="3"/>
        <w:numPr>
          <w:ilvl w:val="0"/>
          <w:numId w:val="2"/>
        </w:numPr>
        <w:adjustRightInd w:val="0"/>
        <w:snapToGrid w:val="0"/>
        <w:spacing w:before="93" w:line="580" w:lineRule="exact"/>
        <w:ind w:firstLine="672" w:firstLineChars="210"/>
        <w:rPr>
          <w:rFonts w:hAnsi="仿宋_GB2312" w:cs="仿宋"/>
          <w:sz w:val="32"/>
          <w:szCs w:val="32"/>
        </w:rPr>
      </w:pPr>
      <w:r>
        <w:rPr>
          <w:rFonts w:hint="eastAsia" w:hAnsi="仿宋_GB2312" w:cs="仿宋"/>
          <w:sz w:val="32"/>
          <w:szCs w:val="32"/>
        </w:rPr>
        <w:t>教育引导，以增强僧尼法制意识、公民意识、政府议事、祖国意识为目标，坚持不懈加强对僧尼的教育引导。</w:t>
      </w:r>
    </w:p>
    <w:p>
      <w:pPr>
        <w:pStyle w:val="3"/>
        <w:numPr>
          <w:ilvl w:val="0"/>
          <w:numId w:val="2"/>
        </w:numPr>
        <w:adjustRightInd w:val="0"/>
        <w:snapToGrid w:val="0"/>
        <w:spacing w:before="93" w:line="580" w:lineRule="exact"/>
        <w:ind w:firstLine="672" w:firstLineChars="210"/>
        <w:rPr>
          <w:rFonts w:hAnsi="仿宋_GB2312"/>
          <w:sz w:val="32"/>
          <w:szCs w:val="32"/>
        </w:rPr>
      </w:pPr>
      <w:r>
        <w:rPr>
          <w:rFonts w:hint="eastAsia" w:hAnsi="仿宋_GB2312" w:cs="仿宋"/>
          <w:sz w:val="32"/>
          <w:szCs w:val="32"/>
        </w:rPr>
        <w:t>公共服务，充分保障依法打击寺庙和持证僧尼的普惠性待遇，做到“五通”、“三有”、“三覆盖”。</w:t>
      </w:r>
    </w:p>
    <w:p>
      <w:pPr>
        <w:numPr>
          <w:ilvl w:val="0"/>
          <w:numId w:val="1"/>
        </w:num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我单位为1个独立核算全额拨款行政单位，</w:t>
      </w:r>
      <w:r>
        <w:rPr>
          <w:rFonts w:hint="eastAsia" w:ascii="仿宋_GB2312" w:hAnsi="仿宋_GB2312" w:eastAsia="仿宋_GB2312"/>
          <w:sz w:val="32"/>
          <w:szCs w:val="32"/>
        </w:rPr>
        <w:t>是独立核算的机构，是独立编报预决算的单位。</w:t>
      </w:r>
    </w:p>
    <w:p>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sz w:val="32"/>
          <w:szCs w:val="32"/>
        </w:rPr>
        <w:t>3．机构及人员情况，</w:t>
      </w:r>
      <w:r>
        <w:rPr>
          <w:rFonts w:hint="eastAsia" w:ascii="仿宋_GB2312" w:hAnsi="仿宋_GB2312" w:eastAsia="仿宋_GB2312" w:cs="仿宋_GB2312"/>
          <w:sz w:val="32"/>
          <w:szCs w:val="32"/>
        </w:rPr>
        <w:t>截止2019年底我单位共有编制15个，其中公务员编制10个，行政工勤编制1个，事业编制4个。在职公务员9人，行政工勤1个，事业在职4个，退休5人。</w:t>
      </w:r>
    </w:p>
    <w:p>
      <w:p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（二）当年取得的主要事业成效。</w:t>
      </w:r>
    </w:p>
    <w:p>
      <w:pPr>
        <w:spacing w:line="580" w:lineRule="exact"/>
        <w:ind w:firstLine="640" w:firstLineChars="200"/>
        <w:rPr>
          <w:rFonts w:ascii="仿宋_GB2312" w:hAnsi="仿宋_GB2312" w:eastAsia="仿宋_GB2312"/>
          <w:sz w:val="32"/>
          <w:szCs w:val="32"/>
        </w:rPr>
      </w:pPr>
      <w:bookmarkStart w:id="1" w:name="YS060102"/>
      <w:r>
        <w:rPr>
          <w:rFonts w:hint="eastAsia" w:ascii="仿宋_GB2312" w:hAnsi="仿宋_GB2312" w:eastAsia="仿宋_GB2312"/>
          <w:sz w:val="32"/>
          <w:szCs w:val="32"/>
        </w:rPr>
        <w:t xml:space="preserve">1.红原县民族宗教局保障了该部门机构正常运转、完成了日常工作任务以及承担宗教寺庙事业发展相关工作。  </w:t>
      </w:r>
    </w:p>
    <w:p>
      <w:pPr>
        <w:snapToGrid w:val="0"/>
        <w:spacing w:line="520" w:lineRule="exact"/>
        <w:ind w:firstLine="640" w:firstLineChars="200"/>
        <w:rPr>
          <w:rFonts w:ascii="仿宋_GB2312" w:hAnsi="仿宋_GB2312" w:eastAsia="仿宋_GB2312"/>
          <w:sz w:val="32"/>
          <w:szCs w:val="32"/>
        </w:rPr>
      </w:pPr>
    </w:p>
    <w:p>
      <w:pPr>
        <w:snapToGrid w:val="0"/>
        <w:spacing w:line="520" w:lineRule="exact"/>
        <w:ind w:firstLine="640" w:firstLineChars="200"/>
        <w:rPr>
          <w:rFonts w:ascii="仿宋_GB2312" w:hAnsi="仿宋_GB2312" w:eastAsia="仿宋_GB2312"/>
          <w:sz w:val="32"/>
          <w:szCs w:val="32"/>
        </w:rPr>
      </w:pPr>
    </w:p>
    <w:bookmarkEnd w:id="1"/>
    <w:p>
      <w:p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二、收入支出预算执行情况分析</w:t>
      </w:r>
    </w:p>
    <w:p>
      <w:p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（一）收入支出预算安排情况。</w:t>
      </w:r>
    </w:p>
    <w:p>
      <w:pPr>
        <w:ind w:firstLine="566" w:firstLineChars="177"/>
        <w:rPr>
          <w:rFonts w:ascii="仿宋_GB2312" w:hAnsi="仿宋_GB2312" w:eastAsia="仿宋_GB2312"/>
          <w:color w:val="000000"/>
          <w:sz w:val="32"/>
          <w:szCs w:val="32"/>
        </w:rPr>
      </w:pPr>
      <w:r>
        <w:rPr>
          <w:rFonts w:hint="eastAsia" w:ascii="仿宋_GB2312" w:hAnsi="仿宋_GB2312" w:eastAsia="仿宋_GB2312"/>
          <w:sz w:val="32"/>
          <w:szCs w:val="32"/>
        </w:rPr>
        <w:t>本年收入年初预算安排403.66</w:t>
      </w:r>
      <w:r>
        <w:rPr>
          <w:rFonts w:hint="eastAsia" w:ascii="宋体" w:hAnsi="宋体" w:cs="宋体"/>
          <w:sz w:val="32"/>
          <w:szCs w:val="32"/>
        </w:rPr>
        <w:t>万</w:t>
      </w:r>
      <w:r>
        <w:rPr>
          <w:rFonts w:hint="eastAsia" w:ascii="仿宋_GB2312" w:hAnsi="仿宋_GB2312" w:eastAsia="仿宋_GB2312"/>
          <w:sz w:val="32"/>
          <w:szCs w:val="32"/>
        </w:rPr>
        <w:t>元，比上年增</w:t>
      </w:r>
      <w:r>
        <w:rPr>
          <w:rFonts w:hint="eastAsia" w:ascii="仿宋_GB2312" w:hAnsi="仿宋_GB2312" w:eastAsia="仿宋_GB2312"/>
          <w:color w:val="000000"/>
          <w:sz w:val="32"/>
          <w:szCs w:val="32"/>
        </w:rPr>
        <w:t>25.17</w:t>
      </w:r>
      <w:r>
        <w:rPr>
          <w:rFonts w:hint="eastAsia" w:ascii="宋体" w:hAnsi="宋体" w:cs="宋体"/>
          <w:color w:val="000000"/>
          <w:sz w:val="32"/>
          <w:szCs w:val="32"/>
        </w:rPr>
        <w:t>万</w:t>
      </w:r>
      <w:r>
        <w:rPr>
          <w:rFonts w:hint="eastAsia" w:ascii="仿宋_GB2312" w:hAnsi="仿宋_GB2312" w:eastAsia="仿宋_GB2312"/>
          <w:sz w:val="32"/>
          <w:szCs w:val="32"/>
        </w:rPr>
        <w:t>元，增幅127.37%。</w:t>
      </w:r>
      <w:r>
        <w:rPr>
          <w:rFonts w:hint="eastAsia" w:ascii="仿宋_GB2312" w:hAnsi="仿宋_GB2312" w:eastAsia="仿宋_GB2312"/>
          <w:color w:val="000000"/>
          <w:sz w:val="32"/>
          <w:szCs w:val="32"/>
        </w:rPr>
        <w:t>本年支出年初预算安排</w:t>
      </w:r>
      <w:r>
        <w:rPr>
          <w:rFonts w:ascii="仿宋_GB2312" w:hAnsi="仿宋_GB2312" w:eastAsia="仿宋_GB2312"/>
          <w:color w:val="000000"/>
          <w:sz w:val="32"/>
          <w:szCs w:val="32"/>
        </w:rPr>
        <w:t>1,79</w:t>
      </w:r>
      <w:r>
        <w:rPr>
          <w:rFonts w:hint="eastAsia" w:ascii="仿宋_GB2312" w:hAnsi="仿宋_GB2312" w:eastAsia="仿宋_GB2312"/>
          <w:color w:val="000000"/>
          <w:sz w:val="32"/>
          <w:szCs w:val="32"/>
        </w:rPr>
        <w:t>.</w:t>
      </w:r>
      <w:r>
        <w:rPr>
          <w:rFonts w:ascii="仿宋_GB2312" w:hAnsi="仿宋_GB2312" w:eastAsia="仿宋_GB2312"/>
          <w:color w:val="000000"/>
          <w:sz w:val="32"/>
          <w:szCs w:val="32"/>
        </w:rPr>
        <w:t>6</w:t>
      </w:r>
      <w:r>
        <w:rPr>
          <w:rFonts w:hint="eastAsia" w:ascii="仿宋_GB2312" w:hAnsi="仿宋_GB2312" w:eastAsia="仿宋_GB2312"/>
          <w:color w:val="000000"/>
          <w:sz w:val="32"/>
          <w:szCs w:val="32"/>
        </w:rPr>
        <w:t>3</w:t>
      </w:r>
      <w:r>
        <w:rPr>
          <w:rFonts w:hint="eastAsia" w:ascii="宋体" w:hAnsi="宋体" w:cs="宋体"/>
          <w:color w:val="000000"/>
          <w:sz w:val="32"/>
          <w:szCs w:val="32"/>
        </w:rPr>
        <w:t>万</w:t>
      </w:r>
      <w:r>
        <w:rPr>
          <w:rFonts w:hint="eastAsia" w:ascii="仿宋_GB2312" w:hAnsi="仿宋_GB2312" w:eastAsia="仿宋_GB2312"/>
          <w:color w:val="000000"/>
          <w:sz w:val="32"/>
          <w:szCs w:val="32"/>
        </w:rPr>
        <w:t>元，比上年增</w:t>
      </w:r>
      <w:r>
        <w:rPr>
          <w:rFonts w:hint="eastAsia" w:ascii="宋体" w:hAnsi="宋体" w:cs="宋体"/>
          <w:color w:val="000000"/>
          <w:sz w:val="32"/>
          <w:szCs w:val="32"/>
        </w:rPr>
        <w:t>少</w:t>
      </w:r>
      <w:r>
        <w:rPr>
          <w:rFonts w:hint="eastAsia" w:ascii="仿宋_GB2312" w:hAnsi="仿宋_GB2312" w:eastAsia="仿宋_GB2312"/>
          <w:color w:val="000000"/>
          <w:sz w:val="32"/>
          <w:szCs w:val="32"/>
        </w:rPr>
        <w:t>27.07</w:t>
      </w:r>
      <w:r>
        <w:rPr>
          <w:rFonts w:hint="eastAsia" w:ascii="宋体" w:hAnsi="宋体" w:cs="宋体"/>
          <w:color w:val="000000"/>
          <w:sz w:val="32"/>
          <w:szCs w:val="32"/>
        </w:rPr>
        <w:t>万</w:t>
      </w:r>
      <w:r>
        <w:rPr>
          <w:rFonts w:hint="eastAsia" w:ascii="仿宋_GB2312" w:hAnsi="仿宋_GB2312" w:eastAsia="仿宋_GB2312"/>
          <w:color w:val="000000"/>
          <w:sz w:val="32"/>
          <w:szCs w:val="32"/>
        </w:rPr>
        <w:t>元，</w:t>
      </w:r>
      <w:r>
        <w:rPr>
          <w:rFonts w:hint="eastAsia" w:ascii="宋体" w:hAnsi="宋体" w:cs="宋体"/>
          <w:color w:val="000000"/>
          <w:sz w:val="32"/>
          <w:szCs w:val="32"/>
        </w:rPr>
        <w:t>增</w:t>
      </w:r>
      <w:r>
        <w:rPr>
          <w:rFonts w:hint="eastAsia" w:ascii="仿宋_GB2312" w:hAnsi="仿宋_GB2312" w:eastAsia="仿宋_GB2312"/>
          <w:color w:val="000000"/>
          <w:sz w:val="32"/>
          <w:szCs w:val="32"/>
        </w:rPr>
        <w:t>幅10.06%。原因是</w:t>
      </w:r>
      <w:r>
        <w:rPr>
          <w:rFonts w:hint="eastAsia" w:ascii="宋体" w:hAnsi="宋体" w:cs="宋体"/>
          <w:color w:val="000000"/>
          <w:sz w:val="32"/>
          <w:szCs w:val="32"/>
        </w:rPr>
        <w:t>行政和事业分开做决算</w:t>
      </w:r>
      <w:r>
        <w:rPr>
          <w:rFonts w:hint="eastAsia" w:ascii="仿宋_GB2312" w:hAnsi="仿宋_GB2312" w:eastAsia="仿宋_GB2312"/>
          <w:color w:val="000000"/>
          <w:sz w:val="32"/>
          <w:szCs w:val="32"/>
        </w:rPr>
        <w:t>。</w:t>
      </w:r>
    </w:p>
    <w:p>
      <w:pPr>
        <w:ind w:firstLine="566" w:firstLineChars="177"/>
        <w:rPr>
          <w:rFonts w:ascii="仿宋_GB2312" w:hAnsi="仿宋_GB2312" w:eastAsia="仿宋_GB2312"/>
          <w:color w:val="000000"/>
          <w:sz w:val="32"/>
          <w:szCs w:val="32"/>
        </w:rPr>
      </w:pPr>
      <w:r>
        <w:rPr>
          <w:rFonts w:ascii="仿宋_GB2312" w:hAnsi="仿宋_GB2312" w:eastAsia="仿宋_GB2312"/>
          <w:color w:val="000000"/>
          <w:sz w:val="32"/>
          <w:szCs w:val="32"/>
        </w:rPr>
        <w:drawing>
          <wp:inline distT="0" distB="0" distL="0" distR="0">
            <wp:extent cx="5274310" cy="3076575"/>
            <wp:effectExtent l="19050" t="0" r="2159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（二）收入支出预算执行情况。</w:t>
      </w:r>
    </w:p>
    <w:p>
      <w:pPr>
        <w:ind w:left="319" w:leftChars="152" w:firstLine="560" w:firstLineChars="175"/>
        <w:rPr>
          <w:rFonts w:ascii="仿宋_GB2312" w:hAnsi="仿宋_GB2312" w:eastAsia="仿宋_GB2312"/>
          <w:sz w:val="32"/>
          <w:szCs w:val="32"/>
        </w:rPr>
      </w:pPr>
      <w:r>
        <w:rPr>
          <w:rFonts w:hint="eastAsia" w:ascii="仿宋_GB2312" w:hAnsi="仿宋_GB2312" w:eastAsia="仿宋_GB2312"/>
          <w:sz w:val="32"/>
          <w:szCs w:val="32"/>
        </w:rPr>
        <w:t>本年收入调整预算数为</w:t>
      </w:r>
      <w:r>
        <w:rPr>
          <w:rFonts w:ascii="仿宋_GB2312" w:hAnsi="仿宋_GB2312" w:eastAsia="仿宋_GB2312"/>
          <w:sz w:val="32"/>
          <w:szCs w:val="32"/>
        </w:rPr>
        <w:t>130</w:t>
      </w:r>
      <w:r>
        <w:rPr>
          <w:rFonts w:hint="eastAsia" w:ascii="仿宋_GB2312" w:hAnsi="仿宋_GB2312" w:eastAsia="仿宋_GB2312"/>
          <w:sz w:val="32"/>
          <w:szCs w:val="32"/>
        </w:rPr>
        <w:t>.</w:t>
      </w:r>
      <w:r>
        <w:rPr>
          <w:rFonts w:ascii="仿宋_GB2312" w:hAnsi="仿宋_GB2312" w:eastAsia="仿宋_GB2312"/>
          <w:sz w:val="32"/>
          <w:szCs w:val="32"/>
        </w:rPr>
        <w:t>8</w:t>
      </w:r>
      <w:r>
        <w:rPr>
          <w:rFonts w:hint="eastAsia" w:ascii="仿宋_GB2312" w:hAnsi="仿宋_GB2312" w:eastAsia="仿宋_GB2312"/>
          <w:sz w:val="32"/>
          <w:szCs w:val="32"/>
        </w:rPr>
        <w:t>8</w:t>
      </w:r>
      <w:r>
        <w:rPr>
          <w:rFonts w:hint="eastAsia" w:ascii="宋体" w:hAnsi="宋体" w:cs="宋体"/>
          <w:sz w:val="32"/>
          <w:szCs w:val="32"/>
        </w:rPr>
        <w:t>万</w:t>
      </w:r>
      <w:r>
        <w:rPr>
          <w:rFonts w:hint="eastAsia" w:ascii="仿宋_GB2312" w:hAnsi="仿宋_GB2312" w:eastAsia="仿宋_GB2312"/>
          <w:sz w:val="32"/>
          <w:szCs w:val="32"/>
        </w:rPr>
        <w:t>元，比上年增加</w:t>
      </w:r>
      <w:r>
        <w:rPr>
          <w:rFonts w:hint="eastAsia" w:ascii="仿宋_GB2312" w:hAnsi="仿宋_GB2312" w:eastAsia="仿宋_GB2312"/>
          <w:color w:val="000000"/>
          <w:sz w:val="32"/>
          <w:szCs w:val="32"/>
        </w:rPr>
        <w:t xml:space="preserve"> </w:t>
      </w:r>
      <w:r>
        <w:rPr>
          <w:rFonts w:hint="eastAsia" w:ascii="仿宋_GB2312" w:hAnsi="仿宋_GB2312" w:eastAsia="仿宋_GB2312"/>
          <w:color w:val="000000" w:themeColor="text1"/>
          <w:sz w:val="32"/>
          <w:szCs w:val="32"/>
          <w14:textFill>
            <w14:solidFill>
              <w14:schemeClr w14:val="tx1"/>
            </w14:solidFill>
          </w14:textFill>
        </w:rPr>
        <w:t>876.25</w:t>
      </w:r>
      <w:r>
        <w:rPr>
          <w:rFonts w:hint="eastAsia" w:ascii="宋体" w:hAnsi="宋体" w:cs="宋体"/>
          <w:color w:val="000000" w:themeColor="text1"/>
          <w:sz w:val="32"/>
          <w:szCs w:val="32"/>
          <w14:textFill>
            <w14:solidFill>
              <w14:schemeClr w14:val="tx1"/>
            </w14:solidFill>
          </w14:textFill>
        </w:rPr>
        <w:t>万</w:t>
      </w:r>
      <w:r>
        <w:rPr>
          <w:rFonts w:hint="eastAsia" w:ascii="仿宋_GB2312" w:hAnsi="仿宋_GB2312" w:eastAsia="仿宋_GB2312"/>
          <w:sz w:val="32"/>
          <w:szCs w:val="32"/>
        </w:rPr>
        <w:t>元，</w:t>
      </w:r>
      <w:r>
        <w:rPr>
          <w:rFonts w:hint="eastAsia" w:ascii="宋体" w:hAnsi="宋体" w:eastAsia="仿宋_GB2312" w:cs="宋体"/>
          <w:sz w:val="32"/>
          <w:szCs w:val="32"/>
        </w:rPr>
        <w:t>增</w:t>
      </w:r>
      <w:r>
        <w:rPr>
          <w:rFonts w:hint="eastAsia" w:ascii="仿宋_GB2312" w:hAnsi="仿宋_GB2312" w:eastAsia="仿宋_GB2312"/>
          <w:sz w:val="32"/>
          <w:szCs w:val="32"/>
        </w:rPr>
        <w:t>幅为202.56％ 。本年支出调整预算数为</w:t>
      </w:r>
      <w:r>
        <w:rPr>
          <w:rFonts w:ascii="仿宋_GB2312" w:hAnsi="仿宋_GB2312" w:eastAsia="仿宋_GB2312"/>
          <w:sz w:val="32"/>
          <w:szCs w:val="32"/>
        </w:rPr>
        <w:t>1651</w:t>
      </w:r>
      <w:r>
        <w:rPr>
          <w:rFonts w:hint="eastAsia" w:ascii="仿宋_GB2312" w:hAnsi="仿宋_GB2312" w:eastAsia="仿宋_GB2312"/>
          <w:sz w:val="32"/>
          <w:szCs w:val="32"/>
        </w:rPr>
        <w:t>.</w:t>
      </w:r>
      <w:r>
        <w:rPr>
          <w:rFonts w:ascii="仿宋_GB2312" w:hAnsi="仿宋_GB2312" w:eastAsia="仿宋_GB2312"/>
          <w:sz w:val="32"/>
          <w:szCs w:val="32"/>
        </w:rPr>
        <w:t>0</w:t>
      </w:r>
      <w:r>
        <w:rPr>
          <w:rFonts w:hint="eastAsia" w:ascii="仿宋_GB2312" w:hAnsi="仿宋_GB2312" w:eastAsia="仿宋_GB2312"/>
          <w:sz w:val="32"/>
          <w:szCs w:val="32"/>
        </w:rPr>
        <w:t>8</w:t>
      </w:r>
      <w:r>
        <w:rPr>
          <w:rFonts w:hint="eastAsia" w:ascii="宋体" w:hAnsi="宋体" w:cs="宋体"/>
          <w:sz w:val="32"/>
          <w:szCs w:val="32"/>
        </w:rPr>
        <w:t>万</w:t>
      </w:r>
      <w:r>
        <w:rPr>
          <w:rFonts w:hint="eastAsia" w:ascii="仿宋_GB2312" w:hAnsi="仿宋_GB2312" w:eastAsia="仿宋_GB2312"/>
          <w:sz w:val="32"/>
          <w:szCs w:val="32"/>
        </w:rPr>
        <w:t>元，比上年</w:t>
      </w:r>
      <w:r>
        <w:rPr>
          <w:rFonts w:hint="eastAsia" w:ascii="宋体" w:hAnsi="宋体" w:cs="宋体"/>
          <w:sz w:val="32"/>
          <w:szCs w:val="32"/>
        </w:rPr>
        <w:t>减少</w:t>
      </w:r>
      <w:r>
        <w:rPr>
          <w:rFonts w:hint="eastAsia" w:ascii="仿宋_GB2312" w:hAnsi="仿宋_GB2312" w:eastAsia="仿宋_GB2312"/>
          <w:sz w:val="32"/>
          <w:szCs w:val="32"/>
        </w:rPr>
        <w:t>1279.85</w:t>
      </w:r>
      <w:r>
        <w:rPr>
          <w:rFonts w:hint="eastAsia" w:ascii="宋体" w:hAnsi="宋体" w:cs="宋体"/>
          <w:sz w:val="32"/>
          <w:szCs w:val="32"/>
        </w:rPr>
        <w:t>万</w:t>
      </w:r>
      <w:r>
        <w:rPr>
          <w:rFonts w:hint="eastAsia" w:ascii="仿宋_GB2312" w:hAnsi="仿宋_GB2312" w:eastAsia="仿宋_GB2312"/>
          <w:sz w:val="32"/>
          <w:szCs w:val="32"/>
        </w:rPr>
        <w:t>元，</w:t>
      </w:r>
      <w:r>
        <w:rPr>
          <w:rFonts w:hint="eastAsia" w:ascii="宋体" w:hAnsi="宋体" w:cs="宋体"/>
          <w:sz w:val="32"/>
          <w:szCs w:val="32"/>
        </w:rPr>
        <w:t>减</w:t>
      </w:r>
      <w:r>
        <w:rPr>
          <w:rFonts w:hint="eastAsia" w:ascii="仿宋_GB2312" w:hAnsi="仿宋_GB2312" w:eastAsia="仿宋_GB2312"/>
          <w:sz w:val="32"/>
          <w:szCs w:val="32"/>
        </w:rPr>
        <w:t>幅为344.76％，主要原因为本年追加经费多。</w:t>
      </w:r>
    </w:p>
    <w:p>
      <w:pPr>
        <w:ind w:left="319" w:leftChars="152" w:firstLine="560" w:firstLineChars="175"/>
        <w:rPr>
          <w:rFonts w:ascii="仿宋_GB2312" w:hAnsi="仿宋_GB2312" w:eastAsia="仿宋_GB2312"/>
          <w:sz w:val="32"/>
          <w:szCs w:val="32"/>
        </w:rPr>
      </w:pPr>
      <w:r>
        <w:rPr>
          <w:rFonts w:ascii="仿宋_GB2312" w:hAnsi="仿宋_GB2312" w:eastAsia="仿宋_GB2312"/>
          <w:sz w:val="32"/>
          <w:szCs w:val="32"/>
        </w:rPr>
        <w:drawing>
          <wp:inline distT="0" distB="0" distL="0" distR="0">
            <wp:extent cx="5274310" cy="3076575"/>
            <wp:effectExtent l="19050" t="0" r="2159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1．收入支出与预决算对比分析。</w:t>
      </w:r>
    </w:p>
    <w:p>
      <w:pPr>
        <w:ind w:firstLine="566" w:firstLineChars="177"/>
        <w:rPr>
          <w:rFonts w:ascii="仿宋_GB2312" w:hAnsi="仿宋_GB2312" w:eastAsia="仿宋_GB2312"/>
          <w:sz w:val="32"/>
          <w:szCs w:val="32"/>
        </w:rPr>
      </w:pPr>
      <w:r>
        <w:rPr>
          <w:rFonts w:hint="eastAsia" w:ascii="仿宋_GB2312" w:hAnsi="仿宋_GB2312" w:eastAsia="仿宋_GB2312"/>
          <w:sz w:val="32"/>
          <w:szCs w:val="32"/>
        </w:rPr>
        <w:t>（1）预、决算差异情况。年初预算财政拨款收入金额为403.66</w:t>
      </w:r>
      <w:r>
        <w:rPr>
          <w:rFonts w:hint="eastAsia" w:ascii="宋体" w:hAnsi="宋体" w:cs="宋体"/>
          <w:sz w:val="32"/>
          <w:szCs w:val="32"/>
        </w:rPr>
        <w:t>万</w:t>
      </w:r>
      <w:r>
        <w:rPr>
          <w:rFonts w:hint="eastAsia" w:ascii="仿宋_GB2312" w:hAnsi="仿宋_GB2312" w:eastAsia="仿宋_GB2312"/>
          <w:sz w:val="32"/>
          <w:szCs w:val="32"/>
        </w:rPr>
        <w:t>元，决算时财政拨款收入金额为</w:t>
      </w:r>
      <w:r>
        <w:rPr>
          <w:rFonts w:ascii="仿宋_GB2312" w:hAnsi="仿宋_GB2312" w:eastAsia="仿宋_GB2312"/>
          <w:sz w:val="32"/>
          <w:szCs w:val="32"/>
        </w:rPr>
        <w:t>1308</w:t>
      </w:r>
      <w:r>
        <w:rPr>
          <w:rFonts w:hint="eastAsia" w:ascii="仿宋_GB2312" w:hAnsi="仿宋_GB2312" w:eastAsia="仿宋_GB2312"/>
          <w:sz w:val="32"/>
          <w:szCs w:val="32"/>
        </w:rPr>
        <w:t>.</w:t>
      </w:r>
      <w:r>
        <w:rPr>
          <w:rFonts w:ascii="仿宋_GB2312" w:hAnsi="仿宋_GB2312" w:eastAsia="仿宋_GB2312"/>
          <w:sz w:val="32"/>
          <w:szCs w:val="32"/>
        </w:rPr>
        <w:t>7</w:t>
      </w:r>
      <w:r>
        <w:rPr>
          <w:rFonts w:hint="eastAsia" w:ascii="仿宋_GB2312" w:hAnsi="仿宋_GB2312" w:eastAsia="仿宋_GB2312"/>
          <w:sz w:val="32"/>
          <w:szCs w:val="32"/>
        </w:rPr>
        <w:t>5</w:t>
      </w:r>
      <w:r>
        <w:rPr>
          <w:rFonts w:hint="eastAsia" w:ascii="宋体" w:hAnsi="宋体" w:cs="宋体"/>
          <w:sz w:val="32"/>
          <w:szCs w:val="32"/>
        </w:rPr>
        <w:t>万</w:t>
      </w:r>
      <w:r>
        <w:rPr>
          <w:rFonts w:hint="eastAsia" w:ascii="仿宋_GB2312" w:hAnsi="仿宋_GB2312" w:eastAsia="仿宋_GB2312"/>
          <w:sz w:val="32"/>
          <w:szCs w:val="32"/>
        </w:rPr>
        <w:t>元，</w:t>
      </w:r>
      <w:r>
        <w:rPr>
          <w:rFonts w:hint="eastAsia" w:ascii="宋体" w:hAnsi="宋体" w:cs="宋体"/>
          <w:sz w:val="32"/>
          <w:szCs w:val="32"/>
        </w:rPr>
        <w:t>差异率224.22</w:t>
      </w:r>
      <w:r>
        <w:rPr>
          <w:rFonts w:hint="eastAsia" w:ascii="仿宋_GB2312" w:hAnsi="仿宋_GB2312" w:eastAsia="仿宋_GB2312"/>
          <w:color w:val="000000"/>
          <w:sz w:val="32"/>
          <w:szCs w:val="32"/>
        </w:rPr>
        <w:t>%</w:t>
      </w:r>
      <w:r>
        <w:rPr>
          <w:rFonts w:hint="eastAsia" w:ascii="仿宋_GB2312" w:hAnsi="仿宋_GB2312" w:eastAsia="仿宋_GB2312"/>
          <w:sz w:val="32"/>
          <w:szCs w:val="32"/>
        </w:rPr>
        <w:t>。年初预算支出403.66</w:t>
      </w:r>
      <w:r>
        <w:rPr>
          <w:rFonts w:hint="eastAsia" w:ascii="宋体" w:hAnsi="宋体" w:cs="宋体"/>
          <w:sz w:val="32"/>
          <w:szCs w:val="32"/>
        </w:rPr>
        <w:t>万</w:t>
      </w:r>
      <w:r>
        <w:rPr>
          <w:rFonts w:hint="eastAsia" w:ascii="仿宋_GB2312" w:hAnsi="仿宋_GB2312" w:eastAsia="仿宋_GB2312"/>
          <w:sz w:val="32"/>
          <w:szCs w:val="32"/>
        </w:rPr>
        <w:t>元，决算支出</w:t>
      </w:r>
      <w:r>
        <w:rPr>
          <w:rFonts w:ascii="仿宋_GB2312" w:hAnsi="仿宋_GB2312" w:eastAsia="仿宋_GB2312"/>
          <w:sz w:val="32"/>
          <w:szCs w:val="32"/>
        </w:rPr>
        <w:t>1464</w:t>
      </w:r>
      <w:r>
        <w:rPr>
          <w:rFonts w:hint="eastAsia" w:ascii="仿宋_GB2312" w:hAnsi="仿宋_GB2312" w:eastAsia="仿宋_GB2312"/>
          <w:sz w:val="32"/>
          <w:szCs w:val="32"/>
        </w:rPr>
        <w:t>.40</w:t>
      </w:r>
      <w:r>
        <w:rPr>
          <w:rFonts w:hint="eastAsia" w:ascii="宋体" w:hAnsi="宋体" w:cs="宋体"/>
          <w:sz w:val="32"/>
          <w:szCs w:val="32"/>
        </w:rPr>
        <w:t>万</w:t>
      </w:r>
      <w:r>
        <w:rPr>
          <w:rFonts w:hint="eastAsia" w:ascii="仿宋_GB2312" w:hAnsi="仿宋_GB2312" w:eastAsia="仿宋_GB2312"/>
          <w:sz w:val="32"/>
          <w:szCs w:val="32"/>
        </w:rPr>
        <w:t>元，</w:t>
      </w:r>
      <w:r>
        <w:rPr>
          <w:rFonts w:hint="eastAsia" w:ascii="宋体" w:hAnsi="宋体" w:cs="宋体"/>
          <w:sz w:val="32"/>
          <w:szCs w:val="32"/>
        </w:rPr>
        <w:t>差异率262.78</w:t>
      </w:r>
      <w:r>
        <w:rPr>
          <w:rFonts w:hint="eastAsia" w:ascii="仿宋_GB2312" w:hAnsi="仿宋_GB2312" w:eastAsia="仿宋_GB2312"/>
          <w:color w:val="000000"/>
          <w:sz w:val="32"/>
          <w:szCs w:val="32"/>
        </w:rPr>
        <w:t>%</w:t>
      </w:r>
      <w:r>
        <w:rPr>
          <w:rFonts w:hint="eastAsia" w:ascii="仿宋_GB2312" w:hAnsi="仿宋_GB2312" w:eastAsia="仿宋_GB2312"/>
          <w:sz w:val="32"/>
          <w:szCs w:val="32"/>
        </w:rPr>
        <w:t>。</w:t>
      </w:r>
      <w:r>
        <w:rPr>
          <w:rFonts w:hint="eastAsia" w:ascii="仿宋_GB2312" w:hAnsi="仿宋_GB2312" w:eastAsia="仿宋_GB2312"/>
          <w:sz w:val="32"/>
          <w:szCs w:val="32"/>
        </w:rPr>
        <w:drawing>
          <wp:inline distT="0" distB="0" distL="0" distR="0">
            <wp:extent cx="5274310" cy="3076575"/>
            <wp:effectExtent l="19050" t="0" r="2159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ind w:firstLine="566" w:firstLineChars="177"/>
        <w:rPr>
          <w:rFonts w:ascii="仿宋_GB2312" w:hAnsi="仿宋_GB2312" w:eastAsia="仿宋_GB2312"/>
          <w:sz w:val="32"/>
          <w:szCs w:val="32"/>
        </w:rPr>
      </w:pPr>
      <w:r>
        <w:rPr>
          <w:rFonts w:hint="eastAsia" w:ascii="仿宋_GB2312" w:hAnsi="仿宋_GB2312" w:eastAsia="仿宋_GB2312"/>
          <w:sz w:val="32"/>
          <w:szCs w:val="32"/>
        </w:rPr>
        <w:t>年初预算一般公共服务支出金额为</w:t>
      </w:r>
      <w:r>
        <w:rPr>
          <w:rFonts w:hint="eastAsia" w:ascii="仿宋_GB2312" w:hAnsi="仿宋_GB2312" w:eastAsia="仿宋_GB2312"/>
          <w:color w:val="000000"/>
          <w:sz w:val="32"/>
          <w:szCs w:val="32"/>
        </w:rPr>
        <w:t>299.60</w:t>
      </w:r>
      <w:r>
        <w:rPr>
          <w:rFonts w:hint="eastAsia" w:ascii="宋体" w:hAnsi="宋体" w:cs="宋体"/>
          <w:color w:val="000000"/>
          <w:sz w:val="32"/>
          <w:szCs w:val="32"/>
        </w:rPr>
        <w:t>万</w:t>
      </w:r>
      <w:r>
        <w:rPr>
          <w:rFonts w:hint="eastAsia" w:ascii="仿宋_GB2312" w:hAnsi="仿宋_GB2312" w:eastAsia="仿宋_GB2312"/>
          <w:sz w:val="32"/>
          <w:szCs w:val="32"/>
        </w:rPr>
        <w:t>元，决算金额为</w:t>
      </w:r>
      <w:r>
        <w:rPr>
          <w:rFonts w:ascii="仿宋_GB2312" w:hAnsi="仿宋_GB2312" w:eastAsia="仿宋_GB2312"/>
          <w:sz w:val="32"/>
          <w:szCs w:val="32"/>
        </w:rPr>
        <w:t>1185</w:t>
      </w:r>
      <w:r>
        <w:rPr>
          <w:rFonts w:hint="eastAsia" w:ascii="仿宋_GB2312" w:hAnsi="仿宋_GB2312" w:eastAsia="仿宋_GB2312"/>
          <w:sz w:val="32"/>
          <w:szCs w:val="32"/>
        </w:rPr>
        <w:t>.</w:t>
      </w:r>
      <w:r>
        <w:rPr>
          <w:rFonts w:ascii="仿宋_GB2312" w:hAnsi="仿宋_GB2312" w:eastAsia="仿宋_GB2312"/>
          <w:sz w:val="32"/>
          <w:szCs w:val="32"/>
        </w:rPr>
        <w:t>83</w:t>
      </w:r>
      <w:r>
        <w:rPr>
          <w:rFonts w:hint="eastAsia" w:ascii="宋体" w:hAnsi="宋体" w:cs="宋体"/>
          <w:sz w:val="32"/>
          <w:szCs w:val="32"/>
        </w:rPr>
        <w:t>万</w:t>
      </w:r>
      <w:r>
        <w:rPr>
          <w:rFonts w:hint="eastAsia" w:ascii="仿宋_GB2312" w:hAnsi="仿宋_GB2312" w:eastAsia="仿宋_GB2312"/>
          <w:sz w:val="32"/>
          <w:szCs w:val="32"/>
        </w:rPr>
        <w:t>元，</w:t>
      </w:r>
      <w:r>
        <w:rPr>
          <w:rFonts w:hint="eastAsia" w:ascii="宋体" w:hAnsi="宋体" w:cs="宋体"/>
          <w:sz w:val="32"/>
          <w:szCs w:val="32"/>
        </w:rPr>
        <w:t>差异率,295.81</w:t>
      </w:r>
      <w:r>
        <w:rPr>
          <w:rFonts w:hint="eastAsia" w:ascii="仿宋_GB2312" w:hAnsi="仿宋_GB2312" w:eastAsia="仿宋_GB2312"/>
          <w:color w:val="000000"/>
          <w:sz w:val="32"/>
          <w:szCs w:val="32"/>
        </w:rPr>
        <w:t>%</w:t>
      </w:r>
      <w:r>
        <w:rPr>
          <w:rFonts w:hint="eastAsia" w:ascii="仿宋_GB2312" w:hAnsi="仿宋_GB2312" w:eastAsia="仿宋_GB2312"/>
          <w:sz w:val="32"/>
          <w:szCs w:val="32"/>
        </w:rPr>
        <w:t>。社会保障和就业支出为</w:t>
      </w:r>
      <w:r>
        <w:rPr>
          <w:rFonts w:hint="eastAsia" w:ascii="仿宋_GB2312" w:hAnsi="仿宋_GB2312" w:eastAsia="仿宋_GB2312"/>
          <w:color w:val="000000"/>
          <w:sz w:val="32"/>
          <w:szCs w:val="32"/>
        </w:rPr>
        <w:t>55.18</w:t>
      </w:r>
      <w:r>
        <w:rPr>
          <w:rFonts w:hint="eastAsia" w:ascii="宋体" w:hAnsi="宋体" w:cs="宋体"/>
          <w:color w:val="000000"/>
          <w:sz w:val="32"/>
          <w:szCs w:val="32"/>
        </w:rPr>
        <w:t>万</w:t>
      </w:r>
      <w:r>
        <w:rPr>
          <w:rFonts w:hint="eastAsia" w:ascii="仿宋_GB2312" w:hAnsi="仿宋_GB2312" w:eastAsia="仿宋_GB2312"/>
          <w:sz w:val="32"/>
          <w:szCs w:val="32"/>
        </w:rPr>
        <w:t>元，决算金额为</w:t>
      </w:r>
      <w:r>
        <w:rPr>
          <w:rFonts w:ascii="仿宋_GB2312" w:hAnsi="仿宋_GB2312" w:eastAsia="仿宋_GB2312"/>
          <w:sz w:val="32"/>
          <w:szCs w:val="32"/>
        </w:rPr>
        <w:t>43</w:t>
      </w:r>
      <w:r>
        <w:rPr>
          <w:rFonts w:hint="eastAsia" w:ascii="仿宋_GB2312" w:hAnsi="仿宋_GB2312" w:eastAsia="仿宋_GB2312"/>
          <w:sz w:val="32"/>
          <w:szCs w:val="32"/>
        </w:rPr>
        <w:t>.</w:t>
      </w:r>
      <w:r>
        <w:rPr>
          <w:rFonts w:ascii="仿宋_GB2312" w:hAnsi="仿宋_GB2312" w:eastAsia="仿宋_GB2312"/>
          <w:sz w:val="32"/>
          <w:szCs w:val="32"/>
        </w:rPr>
        <w:t>4</w:t>
      </w:r>
      <w:r>
        <w:rPr>
          <w:rFonts w:hint="eastAsia" w:ascii="仿宋_GB2312" w:hAnsi="仿宋_GB2312" w:eastAsia="仿宋_GB2312"/>
          <w:sz w:val="32"/>
          <w:szCs w:val="32"/>
        </w:rPr>
        <w:t>3</w:t>
      </w:r>
      <w:r>
        <w:rPr>
          <w:rFonts w:hint="eastAsia" w:ascii="宋体" w:hAnsi="宋体" w:cs="宋体"/>
          <w:sz w:val="32"/>
          <w:szCs w:val="32"/>
        </w:rPr>
        <w:t>万</w:t>
      </w:r>
      <w:r>
        <w:rPr>
          <w:rFonts w:hint="eastAsia" w:ascii="仿宋_GB2312" w:hAnsi="仿宋_GB2312" w:eastAsia="仿宋_GB2312"/>
          <w:sz w:val="32"/>
          <w:szCs w:val="32"/>
        </w:rPr>
        <w:t>元，</w:t>
      </w:r>
      <w:r>
        <w:rPr>
          <w:rFonts w:hint="eastAsia" w:ascii="宋体" w:hAnsi="宋体" w:cs="宋体"/>
          <w:sz w:val="32"/>
          <w:szCs w:val="32"/>
        </w:rPr>
        <w:t>差异率-21.31</w:t>
      </w:r>
      <w:r>
        <w:rPr>
          <w:rFonts w:hint="eastAsia" w:ascii="仿宋_GB2312" w:hAnsi="仿宋_GB2312" w:eastAsia="仿宋_GB2312"/>
          <w:color w:val="000000"/>
          <w:sz w:val="32"/>
          <w:szCs w:val="32"/>
        </w:rPr>
        <w:t>%</w:t>
      </w:r>
      <w:r>
        <w:rPr>
          <w:rFonts w:hint="eastAsia" w:ascii="仿宋_GB2312" w:hAnsi="仿宋_GB2312" w:eastAsia="仿宋_GB2312"/>
          <w:sz w:val="32"/>
          <w:szCs w:val="32"/>
        </w:rPr>
        <w:t>。；医疗卫生与计划生育支出金额为</w:t>
      </w:r>
      <w:r>
        <w:rPr>
          <w:rFonts w:ascii="仿宋_GB2312" w:hAnsi="仿宋_GB2312" w:eastAsia="仿宋_GB2312"/>
          <w:sz w:val="32"/>
          <w:szCs w:val="32"/>
        </w:rPr>
        <w:t>1</w:t>
      </w:r>
      <w:r>
        <w:rPr>
          <w:rFonts w:hint="eastAsia" w:ascii="仿宋_GB2312" w:hAnsi="仿宋_GB2312" w:eastAsia="仿宋_GB2312"/>
          <w:sz w:val="32"/>
          <w:szCs w:val="32"/>
        </w:rPr>
        <w:t>7.68</w:t>
      </w:r>
      <w:r>
        <w:rPr>
          <w:rFonts w:hint="eastAsia" w:ascii="宋体" w:hAnsi="宋体" w:cs="宋体"/>
          <w:sz w:val="32"/>
          <w:szCs w:val="32"/>
        </w:rPr>
        <w:t>万</w:t>
      </w:r>
      <w:r>
        <w:rPr>
          <w:rFonts w:hint="eastAsia" w:ascii="仿宋_GB2312" w:hAnsi="仿宋_GB2312" w:eastAsia="仿宋_GB2312"/>
          <w:sz w:val="32"/>
          <w:szCs w:val="32"/>
        </w:rPr>
        <w:t>元，决算金额为</w:t>
      </w:r>
      <w:r>
        <w:rPr>
          <w:rFonts w:ascii="仿宋_GB2312" w:hAnsi="仿宋_GB2312" w:eastAsia="仿宋_GB2312"/>
          <w:sz w:val="32"/>
          <w:szCs w:val="32"/>
        </w:rPr>
        <w:t>20</w:t>
      </w:r>
      <w:r>
        <w:rPr>
          <w:rFonts w:hint="eastAsia" w:ascii="仿宋_GB2312" w:hAnsi="仿宋_GB2312" w:eastAsia="仿宋_GB2312"/>
          <w:sz w:val="32"/>
          <w:szCs w:val="32"/>
        </w:rPr>
        <w:t>.</w:t>
      </w:r>
      <w:r>
        <w:rPr>
          <w:rFonts w:ascii="仿宋_GB2312" w:hAnsi="仿宋_GB2312" w:eastAsia="仿宋_GB2312"/>
          <w:sz w:val="32"/>
          <w:szCs w:val="32"/>
        </w:rPr>
        <w:t>79</w:t>
      </w:r>
      <w:r>
        <w:rPr>
          <w:rFonts w:hint="eastAsia" w:ascii="宋体" w:hAnsi="宋体" w:cs="宋体"/>
          <w:sz w:val="32"/>
          <w:szCs w:val="32"/>
        </w:rPr>
        <w:t>万</w:t>
      </w:r>
      <w:r>
        <w:rPr>
          <w:rFonts w:hint="eastAsia" w:ascii="仿宋_GB2312" w:hAnsi="仿宋_GB2312" w:eastAsia="仿宋_GB2312"/>
          <w:sz w:val="32"/>
          <w:szCs w:val="32"/>
        </w:rPr>
        <w:t>元，</w:t>
      </w:r>
      <w:r>
        <w:rPr>
          <w:rFonts w:hint="eastAsia" w:ascii="宋体" w:hAnsi="宋体" w:cs="宋体"/>
          <w:sz w:val="32"/>
          <w:szCs w:val="32"/>
        </w:rPr>
        <w:t>差异率17.59</w:t>
      </w:r>
      <w:r>
        <w:rPr>
          <w:rFonts w:hint="eastAsia" w:ascii="仿宋_GB2312" w:hAnsi="仿宋_GB2312" w:eastAsia="仿宋_GB2312"/>
          <w:color w:val="000000"/>
          <w:sz w:val="32"/>
          <w:szCs w:val="32"/>
        </w:rPr>
        <w:t>%</w:t>
      </w:r>
      <w:r>
        <w:rPr>
          <w:rFonts w:hint="eastAsia" w:ascii="仿宋_GB2312" w:hAnsi="仿宋_GB2312" w:eastAsia="仿宋_GB2312"/>
          <w:sz w:val="32"/>
          <w:szCs w:val="32"/>
        </w:rPr>
        <w:t>。住房保障支出金额为31.20</w:t>
      </w:r>
      <w:r>
        <w:rPr>
          <w:rFonts w:hint="eastAsia" w:ascii="宋体" w:hAnsi="宋体" w:cs="宋体"/>
          <w:sz w:val="32"/>
          <w:szCs w:val="32"/>
        </w:rPr>
        <w:t>万</w:t>
      </w:r>
      <w:r>
        <w:rPr>
          <w:rFonts w:hint="eastAsia" w:ascii="仿宋_GB2312" w:hAnsi="仿宋_GB2312" w:eastAsia="仿宋_GB2312"/>
          <w:sz w:val="32"/>
          <w:szCs w:val="32"/>
        </w:rPr>
        <w:t>元，决算金额为</w:t>
      </w:r>
      <w:r>
        <w:rPr>
          <w:rFonts w:ascii="仿宋_GB2312" w:hAnsi="仿宋_GB2312" w:eastAsia="仿宋_GB2312"/>
          <w:sz w:val="32"/>
          <w:szCs w:val="32"/>
        </w:rPr>
        <w:t>25</w:t>
      </w:r>
      <w:r>
        <w:rPr>
          <w:rFonts w:hint="eastAsia" w:ascii="仿宋_GB2312" w:hAnsi="仿宋_GB2312" w:eastAsia="仿宋_GB2312"/>
          <w:sz w:val="32"/>
          <w:szCs w:val="32"/>
        </w:rPr>
        <w:t>.</w:t>
      </w:r>
      <w:r>
        <w:rPr>
          <w:rFonts w:ascii="仿宋_GB2312" w:hAnsi="仿宋_GB2312" w:eastAsia="仿宋_GB2312"/>
          <w:sz w:val="32"/>
          <w:szCs w:val="32"/>
        </w:rPr>
        <w:t>86</w:t>
      </w:r>
      <w:r>
        <w:rPr>
          <w:rFonts w:hint="eastAsia" w:ascii="宋体" w:hAnsi="宋体" w:cs="宋体"/>
          <w:sz w:val="32"/>
          <w:szCs w:val="32"/>
        </w:rPr>
        <w:t>万</w:t>
      </w:r>
      <w:r>
        <w:rPr>
          <w:rFonts w:hint="eastAsia" w:ascii="仿宋_GB2312" w:hAnsi="仿宋_GB2312" w:eastAsia="仿宋_GB2312"/>
          <w:sz w:val="32"/>
          <w:szCs w:val="32"/>
        </w:rPr>
        <w:t>元。</w:t>
      </w:r>
      <w:r>
        <w:rPr>
          <w:rFonts w:hint="eastAsia" w:ascii="宋体" w:hAnsi="宋体" w:cs="宋体"/>
          <w:sz w:val="32"/>
          <w:szCs w:val="32"/>
        </w:rPr>
        <w:t>差异率-17.10</w:t>
      </w:r>
      <w:r>
        <w:rPr>
          <w:rFonts w:hint="eastAsia" w:ascii="仿宋_GB2312" w:hAnsi="仿宋_GB2312" w:eastAsia="仿宋_GB2312"/>
          <w:color w:val="000000"/>
          <w:sz w:val="32"/>
          <w:szCs w:val="32"/>
        </w:rPr>
        <w:t>%</w:t>
      </w:r>
      <w:r>
        <w:rPr>
          <w:rFonts w:hint="eastAsia" w:ascii="仿宋_GB2312" w:hAnsi="仿宋_GB2312" w:eastAsia="仿宋_GB2312"/>
          <w:sz w:val="32"/>
          <w:szCs w:val="32"/>
        </w:rPr>
        <w:t>。年初预算基本支出金额为375.89</w:t>
      </w:r>
      <w:r>
        <w:rPr>
          <w:rFonts w:hint="eastAsia" w:ascii="宋体" w:hAnsi="宋体" w:cs="宋体"/>
          <w:sz w:val="32"/>
          <w:szCs w:val="32"/>
        </w:rPr>
        <w:t>万</w:t>
      </w:r>
      <w:r>
        <w:rPr>
          <w:rFonts w:hint="eastAsia" w:ascii="仿宋_GB2312" w:hAnsi="仿宋_GB2312" w:eastAsia="仿宋_GB2312"/>
          <w:sz w:val="32"/>
          <w:szCs w:val="32"/>
        </w:rPr>
        <w:t>元，决算基本支出金额为</w:t>
      </w:r>
      <w:r>
        <w:rPr>
          <w:rFonts w:ascii="仿宋_GB2312" w:hAnsi="仿宋_GB2312" w:eastAsia="仿宋_GB2312"/>
          <w:sz w:val="32"/>
          <w:szCs w:val="32"/>
        </w:rPr>
        <w:t>376</w:t>
      </w:r>
      <w:r>
        <w:rPr>
          <w:rFonts w:hint="eastAsia" w:ascii="仿宋_GB2312" w:hAnsi="仿宋_GB2312" w:eastAsia="仿宋_GB2312"/>
          <w:sz w:val="32"/>
          <w:szCs w:val="32"/>
        </w:rPr>
        <w:t>.</w:t>
      </w:r>
      <w:r>
        <w:rPr>
          <w:rFonts w:ascii="仿宋_GB2312" w:hAnsi="仿宋_GB2312" w:eastAsia="仿宋_GB2312"/>
          <w:sz w:val="32"/>
          <w:szCs w:val="32"/>
        </w:rPr>
        <w:t>6</w:t>
      </w:r>
      <w:r>
        <w:rPr>
          <w:rFonts w:hint="eastAsia" w:ascii="仿宋_GB2312" w:hAnsi="仿宋_GB2312" w:eastAsia="仿宋_GB2312"/>
          <w:sz w:val="32"/>
          <w:szCs w:val="32"/>
        </w:rPr>
        <w:t>6</w:t>
      </w:r>
      <w:r>
        <w:rPr>
          <w:rFonts w:hint="eastAsia" w:ascii="宋体" w:hAnsi="宋体" w:cs="宋体"/>
          <w:sz w:val="32"/>
          <w:szCs w:val="32"/>
        </w:rPr>
        <w:t>万</w:t>
      </w:r>
      <w:r>
        <w:rPr>
          <w:rFonts w:hint="eastAsia" w:ascii="仿宋_GB2312" w:hAnsi="仿宋_GB2312" w:eastAsia="仿宋_GB2312"/>
          <w:sz w:val="32"/>
          <w:szCs w:val="32"/>
        </w:rPr>
        <w:t>元，</w:t>
      </w:r>
      <w:r>
        <w:rPr>
          <w:rFonts w:hint="eastAsia" w:ascii="宋体" w:hAnsi="宋体" w:cs="宋体"/>
          <w:sz w:val="32"/>
          <w:szCs w:val="32"/>
        </w:rPr>
        <w:t>差异率0.20</w:t>
      </w:r>
      <w:r>
        <w:rPr>
          <w:rFonts w:hint="eastAsia" w:ascii="仿宋_GB2312" w:hAnsi="仿宋_GB2312" w:eastAsia="仿宋_GB2312"/>
          <w:color w:val="000000"/>
          <w:sz w:val="32"/>
          <w:szCs w:val="32"/>
        </w:rPr>
        <w:t>%</w:t>
      </w:r>
      <w:r>
        <w:rPr>
          <w:rFonts w:hint="eastAsia" w:ascii="仿宋_GB2312" w:hAnsi="仿宋_GB2312" w:eastAsia="仿宋_GB2312"/>
          <w:sz w:val="32"/>
          <w:szCs w:val="32"/>
        </w:rPr>
        <w:t>。年初预算项目支出金额为27.77</w:t>
      </w:r>
      <w:r>
        <w:rPr>
          <w:rFonts w:hint="eastAsia" w:ascii="宋体" w:hAnsi="宋体" w:cs="宋体"/>
          <w:sz w:val="32"/>
          <w:szCs w:val="32"/>
        </w:rPr>
        <w:t>万</w:t>
      </w:r>
      <w:r>
        <w:rPr>
          <w:rFonts w:hint="eastAsia" w:ascii="仿宋_GB2312" w:hAnsi="仿宋_GB2312" w:eastAsia="仿宋_GB2312"/>
          <w:sz w:val="32"/>
          <w:szCs w:val="32"/>
        </w:rPr>
        <w:t>元，决算项目支出金额为</w:t>
      </w:r>
      <w:r>
        <w:rPr>
          <w:rFonts w:ascii="仿宋_GB2312" w:hAnsi="仿宋_GB2312" w:eastAsia="仿宋_GB2312"/>
          <w:sz w:val="32"/>
          <w:szCs w:val="32"/>
        </w:rPr>
        <w:t>1087</w:t>
      </w:r>
      <w:r>
        <w:rPr>
          <w:rFonts w:hint="eastAsia" w:ascii="仿宋_GB2312" w:hAnsi="仿宋_GB2312" w:eastAsia="仿宋_GB2312"/>
          <w:sz w:val="32"/>
          <w:szCs w:val="32"/>
        </w:rPr>
        <w:t>.</w:t>
      </w:r>
      <w:r>
        <w:rPr>
          <w:rFonts w:ascii="仿宋_GB2312" w:hAnsi="仿宋_GB2312" w:eastAsia="仿宋_GB2312"/>
          <w:sz w:val="32"/>
          <w:szCs w:val="32"/>
        </w:rPr>
        <w:t>7</w:t>
      </w:r>
      <w:r>
        <w:rPr>
          <w:rFonts w:hint="eastAsia" w:ascii="仿宋_GB2312" w:hAnsi="仿宋_GB2312" w:eastAsia="仿宋_GB2312"/>
          <w:sz w:val="32"/>
          <w:szCs w:val="32"/>
        </w:rPr>
        <w:t>4</w:t>
      </w:r>
      <w:r>
        <w:rPr>
          <w:rFonts w:hint="eastAsia" w:ascii="宋体" w:hAnsi="宋体" w:cs="宋体"/>
          <w:sz w:val="32"/>
          <w:szCs w:val="32"/>
        </w:rPr>
        <w:t>万</w:t>
      </w:r>
      <w:r>
        <w:rPr>
          <w:rFonts w:hint="eastAsia" w:ascii="仿宋_GB2312" w:hAnsi="仿宋_GB2312" w:eastAsia="仿宋_GB2312"/>
          <w:sz w:val="32"/>
          <w:szCs w:val="32"/>
        </w:rPr>
        <w:t>元,</w:t>
      </w:r>
      <w:r>
        <w:rPr>
          <w:rFonts w:hint="eastAsia" w:ascii="宋体" w:hAnsi="宋体" w:cs="宋体"/>
          <w:sz w:val="32"/>
          <w:szCs w:val="32"/>
        </w:rPr>
        <w:t>差异率13641.8</w:t>
      </w:r>
      <w:r>
        <w:rPr>
          <w:rFonts w:hint="eastAsia" w:ascii="仿宋_GB2312" w:hAnsi="仿宋_GB2312" w:eastAsia="仿宋_GB2312"/>
          <w:color w:val="000000"/>
          <w:sz w:val="32"/>
          <w:szCs w:val="32"/>
        </w:rPr>
        <w:t>%</w:t>
      </w:r>
      <w:r>
        <w:rPr>
          <w:rFonts w:hint="eastAsia" w:ascii="仿宋_GB2312" w:hAnsi="仿宋_GB2312" w:eastAsia="仿宋_GB2312"/>
          <w:sz w:val="32"/>
          <w:szCs w:val="32"/>
        </w:rPr>
        <w:t>。</w:t>
      </w:r>
      <w:r>
        <w:rPr>
          <w:rFonts w:hint="eastAsia" w:ascii="仿宋_GB2312" w:hAnsi="仿宋_GB2312" w:eastAsia="仿宋_GB2312"/>
          <w:sz w:val="32"/>
          <w:szCs w:val="32"/>
        </w:rPr>
        <w:drawing>
          <wp:inline distT="0" distB="0" distL="0" distR="0">
            <wp:extent cx="5560060" cy="4114800"/>
            <wp:effectExtent l="19050" t="0" r="21167" b="0"/>
            <wp:docPr id="11"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napToGrid w:val="0"/>
        <w:spacing w:line="520" w:lineRule="exact"/>
        <w:ind w:firstLine="321" w:firstLineChars="100"/>
        <w:rPr>
          <w:rFonts w:ascii="仿宋_GB2312" w:hAnsi="仿宋_GB2312" w:eastAsia="仿宋_GB2312"/>
          <w:b/>
          <w:bCs/>
          <w:sz w:val="32"/>
          <w:szCs w:val="32"/>
        </w:rPr>
      </w:pPr>
    </w:p>
    <w:p>
      <w:pPr>
        <w:snapToGrid w:val="0"/>
        <w:spacing w:line="520" w:lineRule="exact"/>
        <w:ind w:firstLine="321" w:firstLineChars="100"/>
        <w:rPr>
          <w:rFonts w:ascii="仿宋_GB2312" w:hAnsi="仿宋_GB2312" w:eastAsia="仿宋_GB2312"/>
          <w:b/>
          <w:bCs/>
          <w:sz w:val="32"/>
          <w:szCs w:val="32"/>
        </w:rPr>
      </w:pPr>
    </w:p>
    <w:p>
      <w:pPr>
        <w:snapToGrid w:val="0"/>
        <w:spacing w:line="520" w:lineRule="exact"/>
        <w:ind w:firstLine="321" w:firstLineChars="100"/>
        <w:rPr>
          <w:rFonts w:ascii="仿宋_GB2312" w:hAnsi="仿宋_GB2312" w:eastAsia="仿宋_GB2312"/>
          <w:b/>
          <w:bCs/>
          <w:sz w:val="32"/>
          <w:szCs w:val="32"/>
        </w:rPr>
      </w:pPr>
      <w:r>
        <w:rPr>
          <w:rFonts w:hint="eastAsia" w:ascii="仿宋_GB2312" w:hAnsi="仿宋_GB2312" w:eastAsia="仿宋_GB2312"/>
          <w:b/>
          <w:bCs/>
          <w:sz w:val="32"/>
          <w:szCs w:val="32"/>
        </w:rPr>
        <w:t>2．收入支出结构分析。</w:t>
      </w:r>
    </w:p>
    <w:p>
      <w:pPr>
        <w:ind w:firstLine="566" w:firstLineChars="177"/>
        <w:rPr>
          <w:rFonts w:ascii="仿宋_GB2312" w:hAnsi="仿宋_GB2312" w:eastAsia="仿宋_GB2312"/>
          <w:sz w:val="32"/>
          <w:szCs w:val="32"/>
        </w:rPr>
      </w:pPr>
      <w:r>
        <w:rPr>
          <w:rFonts w:hint="eastAsia" w:ascii="宋体" w:hAnsi="宋体" w:cs="宋体"/>
          <w:sz w:val="32"/>
          <w:szCs w:val="32"/>
        </w:rPr>
        <w:t>一、</w:t>
      </w:r>
      <w:r>
        <w:rPr>
          <w:rFonts w:hint="eastAsia" w:ascii="仿宋_GB2312" w:hAnsi="仿宋_GB2312" w:eastAsia="仿宋_GB2312"/>
          <w:sz w:val="32"/>
          <w:szCs w:val="32"/>
        </w:rPr>
        <w:t>本年总收入1308.75元 ，全部为财政拨款收入，财政拨款收入占总收入的100%。</w:t>
      </w:r>
      <w:r>
        <w:rPr>
          <w:rFonts w:hint="eastAsia" w:ascii="宋体" w:hAnsi="宋体" w:cs="宋体"/>
          <w:sz w:val="32"/>
          <w:szCs w:val="32"/>
        </w:rPr>
        <w:t>按功能分类</w:t>
      </w:r>
      <w:r>
        <w:rPr>
          <w:rFonts w:hint="eastAsia" w:ascii="Malgun Gothic Semilight" w:hAnsi="Malgun Gothic Semilight" w:eastAsia="Malgun Gothic Semilight" w:cs="Malgun Gothic Semilight"/>
          <w:sz w:val="32"/>
          <w:szCs w:val="32"/>
        </w:rPr>
        <w:t>：</w:t>
      </w:r>
    </w:p>
    <w:p>
      <w:pPr>
        <w:spacing w:line="600" w:lineRule="exact"/>
        <w:rPr>
          <w:rStyle w:val="8"/>
          <w:rFonts w:ascii="仿宋" w:hAnsi="仿宋" w:eastAsia="仿宋"/>
          <w:b w:val="0"/>
          <w:bCs/>
          <w:color w:val="000000"/>
          <w:sz w:val="32"/>
          <w:szCs w:val="32"/>
        </w:rPr>
      </w:pPr>
      <w:r>
        <w:rPr>
          <w:rStyle w:val="8"/>
          <w:rFonts w:hint="eastAsia" w:ascii="仿宋" w:hAnsi="仿宋" w:eastAsia="仿宋"/>
          <w:b w:val="0"/>
          <w:bCs/>
          <w:color w:val="000000"/>
          <w:sz w:val="32"/>
          <w:szCs w:val="32"/>
        </w:rPr>
        <w:t xml:space="preserve"> 行政运行2012301: 决算为202.28万元，占总收入15.46%。  事业运行2012350: 决算为80.3万元，占总收入6.14%。</w:t>
      </w:r>
    </w:p>
    <w:p>
      <w:pPr>
        <w:spacing w:line="600" w:lineRule="exact"/>
        <w:rPr>
          <w:rStyle w:val="8"/>
          <w:rFonts w:ascii="仿宋" w:hAnsi="仿宋" w:eastAsia="仿宋"/>
          <w:b w:val="0"/>
          <w:bCs/>
          <w:color w:val="000000"/>
          <w:sz w:val="32"/>
          <w:szCs w:val="32"/>
        </w:rPr>
      </w:pPr>
      <w:r>
        <w:rPr>
          <w:rStyle w:val="8"/>
          <w:rFonts w:hint="eastAsia" w:ascii="仿宋" w:hAnsi="仿宋" w:eastAsia="仿宋"/>
          <w:b w:val="0"/>
          <w:bCs/>
          <w:color w:val="000000"/>
          <w:sz w:val="32"/>
          <w:szCs w:val="32"/>
        </w:rPr>
        <w:t>一般行政管理事务2012302：决算为10.14万元，占总收入0.77%。</w:t>
      </w:r>
    </w:p>
    <w:p>
      <w:pPr>
        <w:spacing w:line="600" w:lineRule="exact"/>
        <w:rPr>
          <w:rStyle w:val="8"/>
          <w:rFonts w:ascii="仿宋" w:hAnsi="仿宋" w:eastAsia="仿宋"/>
          <w:b w:val="0"/>
          <w:bCs/>
          <w:color w:val="000000"/>
          <w:sz w:val="32"/>
          <w:szCs w:val="32"/>
        </w:rPr>
      </w:pPr>
      <w:r>
        <w:rPr>
          <w:rStyle w:val="8"/>
          <w:rFonts w:hint="eastAsia" w:ascii="仿宋" w:hAnsi="仿宋" w:eastAsia="仿宋"/>
          <w:b w:val="0"/>
          <w:bCs/>
          <w:color w:val="000000"/>
          <w:sz w:val="32"/>
          <w:szCs w:val="32"/>
        </w:rPr>
        <w:t>民族工作专项</w:t>
      </w:r>
      <w:r>
        <w:rPr>
          <w:rStyle w:val="8"/>
          <w:rFonts w:ascii="仿宋" w:hAnsi="仿宋" w:eastAsia="仿宋"/>
          <w:b w:val="0"/>
          <w:bCs/>
          <w:color w:val="000000"/>
          <w:sz w:val="32"/>
          <w:szCs w:val="32"/>
        </w:rPr>
        <w:t>2012304：决算为14</w:t>
      </w:r>
      <w:r>
        <w:rPr>
          <w:rStyle w:val="8"/>
          <w:rFonts w:hint="eastAsia" w:ascii="仿宋" w:hAnsi="仿宋" w:eastAsia="仿宋"/>
          <w:b w:val="0"/>
          <w:bCs/>
          <w:color w:val="000000"/>
          <w:sz w:val="32"/>
          <w:szCs w:val="32"/>
        </w:rPr>
        <w:t>.</w:t>
      </w:r>
      <w:r>
        <w:rPr>
          <w:rStyle w:val="8"/>
          <w:rFonts w:ascii="仿宋" w:hAnsi="仿宋" w:eastAsia="仿宋"/>
          <w:b w:val="0"/>
          <w:bCs/>
          <w:color w:val="000000"/>
          <w:sz w:val="32"/>
          <w:szCs w:val="32"/>
        </w:rPr>
        <w:t>5</w:t>
      </w:r>
      <w:r>
        <w:rPr>
          <w:rStyle w:val="8"/>
          <w:rFonts w:hint="eastAsia" w:ascii="仿宋" w:hAnsi="仿宋" w:eastAsia="仿宋"/>
          <w:b w:val="0"/>
          <w:bCs/>
          <w:color w:val="000000"/>
          <w:sz w:val="32"/>
          <w:szCs w:val="32"/>
        </w:rPr>
        <w:t>8万元，占总收入1.11%。</w:t>
      </w:r>
    </w:p>
    <w:p>
      <w:pPr>
        <w:spacing w:line="600" w:lineRule="exact"/>
        <w:rPr>
          <w:rStyle w:val="8"/>
          <w:rFonts w:hint="eastAsia" w:ascii="仿宋" w:hAnsi="仿宋" w:eastAsia="仿宋"/>
          <w:b w:val="0"/>
          <w:bCs/>
          <w:color w:val="000000"/>
          <w:sz w:val="32"/>
          <w:szCs w:val="32"/>
        </w:rPr>
      </w:pPr>
      <w:r>
        <w:rPr>
          <w:rStyle w:val="8"/>
          <w:rFonts w:hint="eastAsia" w:ascii="仿宋" w:hAnsi="仿宋"/>
          <w:bCs/>
          <w:color w:val="000000"/>
          <w:sz w:val="32"/>
          <w:szCs w:val="32"/>
        </w:rPr>
        <w:t xml:space="preserve"> </w:t>
      </w:r>
      <w:r>
        <w:rPr>
          <w:rStyle w:val="8"/>
          <w:rFonts w:hint="eastAsia" w:ascii="仿宋" w:hAnsi="仿宋" w:eastAsia="仿宋"/>
          <w:b w:val="0"/>
          <w:bCs/>
          <w:color w:val="000000"/>
          <w:sz w:val="32"/>
          <w:szCs w:val="32"/>
        </w:rPr>
        <w:t xml:space="preserve">  其他民族事务支出2012399：</w:t>
      </w:r>
      <w:r>
        <w:rPr>
          <w:rStyle w:val="8"/>
          <w:rFonts w:ascii="仿宋" w:hAnsi="仿宋" w:eastAsia="仿宋"/>
          <w:b w:val="0"/>
          <w:bCs/>
          <w:color w:val="000000"/>
          <w:sz w:val="32"/>
          <w:szCs w:val="32"/>
        </w:rPr>
        <w:t>决算为</w:t>
      </w:r>
      <w:r>
        <w:rPr>
          <w:rStyle w:val="8"/>
          <w:rFonts w:hint="eastAsia" w:ascii="仿宋" w:hAnsi="仿宋" w:eastAsia="仿宋"/>
          <w:b w:val="0"/>
          <w:bCs/>
          <w:color w:val="000000"/>
          <w:sz w:val="32"/>
          <w:szCs w:val="32"/>
        </w:rPr>
        <w:t>10万元，占总收入0.76%。</w:t>
      </w:r>
    </w:p>
    <w:p>
      <w:pPr>
        <w:spacing w:line="600" w:lineRule="exact"/>
        <w:rPr>
          <w:rStyle w:val="8"/>
          <w:rFonts w:hint="eastAsia" w:ascii="仿宋" w:hAnsi="仿宋" w:eastAsia="仿宋"/>
          <w:b w:val="0"/>
          <w:bCs/>
          <w:color w:val="000000"/>
          <w:sz w:val="32"/>
          <w:szCs w:val="32"/>
        </w:rPr>
      </w:pPr>
      <w:r>
        <w:rPr>
          <w:rStyle w:val="8"/>
          <w:rFonts w:hint="eastAsia" w:ascii="仿宋" w:hAnsi="仿宋" w:eastAsia="仿宋"/>
          <w:b w:val="0"/>
          <w:bCs/>
          <w:color w:val="000000"/>
          <w:sz w:val="32"/>
          <w:szCs w:val="32"/>
        </w:rPr>
        <w:t>其他一般公共服务支出2019999</w:t>
      </w:r>
      <w:r>
        <w:rPr>
          <w:rStyle w:val="8"/>
          <w:rFonts w:hint="eastAsia" w:ascii="仿宋" w:hAnsi="仿宋" w:eastAsia="仿宋"/>
          <w:bCs/>
          <w:color w:val="000000"/>
          <w:sz w:val="32"/>
          <w:szCs w:val="32"/>
        </w:rPr>
        <w:t>：</w:t>
      </w:r>
      <w:r>
        <w:rPr>
          <w:rStyle w:val="8"/>
          <w:rFonts w:ascii="仿宋" w:hAnsi="仿宋" w:eastAsia="仿宋"/>
          <w:b w:val="0"/>
          <w:bCs/>
          <w:color w:val="000000"/>
          <w:sz w:val="32"/>
          <w:szCs w:val="32"/>
        </w:rPr>
        <w:t>决算为</w:t>
      </w:r>
      <w:r>
        <w:rPr>
          <w:rStyle w:val="8"/>
          <w:rFonts w:hint="eastAsia" w:ascii="仿宋" w:hAnsi="仿宋" w:eastAsia="仿宋"/>
          <w:b w:val="0"/>
          <w:bCs/>
          <w:color w:val="000000"/>
          <w:sz w:val="32"/>
          <w:szCs w:val="32"/>
        </w:rPr>
        <w:t>709.8万元，占总收入54.23%。</w:t>
      </w:r>
    </w:p>
    <w:p>
      <w:pPr>
        <w:spacing w:line="600" w:lineRule="exact"/>
        <w:rPr>
          <w:rStyle w:val="8"/>
          <w:rFonts w:hint="eastAsia" w:ascii="仿宋" w:hAnsi="仿宋" w:eastAsia="仿宋"/>
          <w:b w:val="0"/>
          <w:bCs/>
          <w:color w:val="000000"/>
          <w:sz w:val="32"/>
          <w:szCs w:val="32"/>
        </w:rPr>
      </w:pPr>
      <w:r>
        <w:rPr>
          <w:rStyle w:val="8"/>
          <w:rFonts w:hint="eastAsia" w:ascii="仿宋" w:hAnsi="仿宋" w:eastAsia="仿宋"/>
          <w:b w:val="0"/>
          <w:bCs/>
          <w:color w:val="000000"/>
          <w:sz w:val="32"/>
          <w:szCs w:val="32"/>
        </w:rPr>
        <w:t xml:space="preserve">  机关事业单位基本养老保险缴费支出2080505：</w:t>
      </w:r>
      <w:r>
        <w:rPr>
          <w:rStyle w:val="8"/>
          <w:rFonts w:ascii="仿宋" w:hAnsi="仿宋" w:eastAsia="仿宋"/>
          <w:b w:val="0"/>
          <w:bCs/>
          <w:color w:val="000000"/>
          <w:sz w:val="32"/>
          <w:szCs w:val="32"/>
        </w:rPr>
        <w:t>决算为</w:t>
      </w:r>
      <w:r>
        <w:rPr>
          <w:rStyle w:val="8"/>
          <w:rFonts w:hint="eastAsia" w:ascii="仿宋" w:hAnsi="仿宋" w:eastAsia="仿宋"/>
          <w:b w:val="0"/>
          <w:bCs/>
          <w:color w:val="000000"/>
          <w:sz w:val="32"/>
          <w:szCs w:val="32"/>
        </w:rPr>
        <w:t>29.77万元，占总收入2.28%。</w:t>
      </w:r>
    </w:p>
    <w:p>
      <w:pPr>
        <w:spacing w:line="600" w:lineRule="exact"/>
        <w:rPr>
          <w:rStyle w:val="8"/>
          <w:rFonts w:hint="eastAsia" w:ascii="仿宋" w:hAnsi="仿宋" w:eastAsia="仿宋"/>
          <w:b w:val="0"/>
          <w:bCs/>
          <w:color w:val="000000"/>
          <w:sz w:val="32"/>
          <w:szCs w:val="32"/>
        </w:rPr>
      </w:pPr>
      <w:r>
        <w:rPr>
          <w:rStyle w:val="8"/>
          <w:rFonts w:hint="eastAsia" w:ascii="仿宋" w:hAnsi="仿宋" w:eastAsia="仿宋"/>
          <w:b w:val="0"/>
          <w:bCs/>
          <w:color w:val="000000"/>
          <w:sz w:val="32"/>
          <w:szCs w:val="32"/>
        </w:rPr>
        <w:t xml:space="preserve">  机关事业单位职业年金缴费支出2080505：</w:t>
      </w:r>
      <w:r>
        <w:rPr>
          <w:rStyle w:val="8"/>
          <w:rFonts w:ascii="仿宋" w:hAnsi="仿宋" w:eastAsia="仿宋"/>
          <w:b w:val="0"/>
          <w:bCs/>
          <w:color w:val="000000"/>
          <w:sz w:val="32"/>
          <w:szCs w:val="32"/>
        </w:rPr>
        <w:t>决算为</w:t>
      </w:r>
      <w:r>
        <w:rPr>
          <w:rStyle w:val="8"/>
          <w:rFonts w:hint="eastAsia" w:ascii="仿宋" w:hAnsi="仿宋" w:eastAsia="仿宋"/>
          <w:b w:val="0"/>
          <w:bCs/>
          <w:color w:val="000000"/>
          <w:sz w:val="32"/>
          <w:szCs w:val="32"/>
        </w:rPr>
        <w:t>13.65万元，占总收入1.04%。</w:t>
      </w:r>
    </w:p>
    <w:p>
      <w:pPr>
        <w:spacing w:line="600" w:lineRule="exact"/>
        <w:rPr>
          <w:rStyle w:val="8"/>
          <w:rFonts w:hint="eastAsia" w:ascii="仿宋" w:hAnsi="仿宋" w:eastAsia="仿宋"/>
          <w:b w:val="0"/>
          <w:bCs/>
          <w:color w:val="000000"/>
          <w:sz w:val="32"/>
          <w:szCs w:val="32"/>
        </w:rPr>
      </w:pPr>
      <w:r>
        <w:rPr>
          <w:rStyle w:val="8"/>
          <w:rFonts w:hint="eastAsia" w:ascii="仿宋" w:hAnsi="仿宋" w:eastAsia="仿宋"/>
          <w:b w:val="0"/>
          <w:bCs/>
          <w:color w:val="000000"/>
          <w:sz w:val="32"/>
          <w:szCs w:val="32"/>
        </w:rPr>
        <w:t xml:space="preserve">  行政单位医疗2101101：</w:t>
      </w:r>
      <w:r>
        <w:rPr>
          <w:rStyle w:val="8"/>
          <w:rFonts w:ascii="仿宋" w:hAnsi="仿宋" w:eastAsia="仿宋"/>
          <w:b w:val="0"/>
          <w:bCs/>
          <w:color w:val="000000"/>
          <w:sz w:val="32"/>
          <w:szCs w:val="32"/>
        </w:rPr>
        <w:t>决算为</w:t>
      </w:r>
      <w:r>
        <w:rPr>
          <w:rStyle w:val="8"/>
          <w:rFonts w:hint="eastAsia" w:ascii="仿宋" w:hAnsi="仿宋" w:eastAsia="仿宋"/>
          <w:b w:val="0"/>
          <w:bCs/>
          <w:color w:val="000000"/>
          <w:sz w:val="32"/>
          <w:szCs w:val="32"/>
        </w:rPr>
        <w:t>13.36万元，占总收入1.02%。</w:t>
      </w:r>
    </w:p>
    <w:p>
      <w:pPr>
        <w:pStyle w:val="2"/>
        <w:rPr>
          <w:rStyle w:val="8"/>
          <w:rFonts w:hint="eastAsia" w:ascii="仿宋" w:hAnsi="仿宋" w:eastAsia="仿宋" w:cs="Times New Roman"/>
          <w:b w:val="0"/>
          <w:bCs/>
          <w:color w:val="000000"/>
          <w:sz w:val="32"/>
          <w:szCs w:val="32"/>
        </w:rPr>
      </w:pPr>
      <w:r>
        <w:rPr>
          <w:rStyle w:val="8"/>
          <w:rFonts w:hint="eastAsia" w:ascii="仿宋" w:hAnsi="仿宋" w:cs="Times New Roman"/>
          <w:bCs/>
          <w:color w:val="000000"/>
          <w:sz w:val="32"/>
          <w:szCs w:val="32"/>
        </w:rPr>
        <w:t xml:space="preserve"> </w:t>
      </w:r>
      <w:r>
        <w:rPr>
          <w:rStyle w:val="8"/>
          <w:rFonts w:hint="eastAsia" w:ascii="仿宋" w:hAnsi="仿宋" w:eastAsia="仿宋" w:cs="Times New Roman"/>
          <w:b w:val="0"/>
          <w:bCs/>
          <w:color w:val="000000"/>
          <w:sz w:val="32"/>
          <w:szCs w:val="32"/>
        </w:rPr>
        <w:t xml:space="preserve"> 事业单位医疗2101102：</w:t>
      </w:r>
      <w:r>
        <w:rPr>
          <w:rStyle w:val="8"/>
          <w:rFonts w:ascii="仿宋" w:hAnsi="仿宋" w:eastAsia="仿宋" w:cs="Times New Roman"/>
          <w:b w:val="0"/>
          <w:bCs/>
          <w:color w:val="000000"/>
          <w:sz w:val="32"/>
          <w:szCs w:val="32"/>
        </w:rPr>
        <w:t>决算为</w:t>
      </w:r>
      <w:r>
        <w:rPr>
          <w:rStyle w:val="8"/>
          <w:rFonts w:hint="eastAsia" w:ascii="仿宋" w:hAnsi="仿宋" w:eastAsia="仿宋" w:cs="Times New Roman"/>
          <w:b w:val="0"/>
          <w:bCs/>
          <w:color w:val="000000"/>
          <w:sz w:val="32"/>
          <w:szCs w:val="32"/>
        </w:rPr>
        <w:t>3.61万元，占总收入0.28%</w:t>
      </w:r>
    </w:p>
    <w:p>
      <w:pPr>
        <w:rPr>
          <w:rStyle w:val="8"/>
          <w:rFonts w:hint="eastAsia" w:ascii="仿宋" w:hAnsi="仿宋" w:eastAsia="仿宋"/>
          <w:b w:val="0"/>
          <w:bCs/>
          <w:color w:val="000000"/>
          <w:sz w:val="32"/>
          <w:szCs w:val="32"/>
        </w:rPr>
      </w:pPr>
      <w:r>
        <w:rPr>
          <w:rStyle w:val="8"/>
          <w:rFonts w:hint="eastAsia" w:ascii="仿宋" w:hAnsi="仿宋" w:eastAsia="仿宋"/>
          <w:b w:val="0"/>
          <w:bCs/>
          <w:color w:val="000000"/>
          <w:sz w:val="32"/>
          <w:szCs w:val="32"/>
        </w:rPr>
        <w:t xml:space="preserve">  公务员医疗补助2101103：</w:t>
      </w:r>
      <w:r>
        <w:rPr>
          <w:rStyle w:val="8"/>
          <w:rFonts w:ascii="仿宋" w:hAnsi="仿宋" w:eastAsia="仿宋"/>
          <w:b w:val="0"/>
          <w:bCs/>
          <w:color w:val="000000"/>
          <w:sz w:val="32"/>
          <w:szCs w:val="32"/>
        </w:rPr>
        <w:t>决算为</w:t>
      </w:r>
      <w:r>
        <w:rPr>
          <w:rStyle w:val="8"/>
          <w:rFonts w:hint="eastAsia" w:ascii="仿宋" w:hAnsi="仿宋" w:eastAsia="仿宋"/>
          <w:b w:val="0"/>
          <w:bCs/>
          <w:color w:val="000000"/>
          <w:sz w:val="32"/>
          <w:szCs w:val="32"/>
        </w:rPr>
        <w:t>2.82万元，占总收入0.22%</w:t>
      </w:r>
    </w:p>
    <w:p>
      <w:pPr>
        <w:pStyle w:val="2"/>
        <w:rPr>
          <w:rStyle w:val="8"/>
          <w:rFonts w:hint="eastAsia" w:ascii="仿宋" w:hAnsi="仿宋" w:eastAsia="仿宋" w:cs="Times New Roman"/>
          <w:b w:val="0"/>
          <w:bCs/>
          <w:color w:val="000000"/>
          <w:sz w:val="32"/>
          <w:szCs w:val="32"/>
        </w:rPr>
      </w:pPr>
      <w:r>
        <w:rPr>
          <w:rStyle w:val="8"/>
          <w:rFonts w:hint="eastAsia" w:ascii="仿宋" w:hAnsi="仿宋" w:eastAsia="仿宋" w:cs="Times New Roman"/>
          <w:b w:val="0"/>
          <w:bCs/>
          <w:color w:val="000000"/>
          <w:sz w:val="32"/>
          <w:szCs w:val="32"/>
        </w:rPr>
        <w:t xml:space="preserve">  其他行政事业单位医疗支出2101199：</w:t>
      </w:r>
      <w:r>
        <w:rPr>
          <w:rStyle w:val="8"/>
          <w:rFonts w:ascii="仿宋" w:hAnsi="仿宋" w:eastAsia="仿宋" w:cs="Times New Roman"/>
          <w:b w:val="0"/>
          <w:bCs/>
          <w:color w:val="000000"/>
          <w:sz w:val="32"/>
          <w:szCs w:val="32"/>
        </w:rPr>
        <w:t>决算为</w:t>
      </w:r>
      <w:r>
        <w:rPr>
          <w:rStyle w:val="8"/>
          <w:rFonts w:hint="eastAsia" w:ascii="仿宋" w:hAnsi="仿宋" w:eastAsia="仿宋" w:cs="Times New Roman"/>
          <w:b w:val="0"/>
          <w:bCs/>
          <w:color w:val="000000"/>
          <w:sz w:val="32"/>
          <w:szCs w:val="32"/>
        </w:rPr>
        <w:t>9.55万元，占总收入0.73%</w:t>
      </w:r>
    </w:p>
    <w:p>
      <w:pPr>
        <w:pStyle w:val="2"/>
        <w:rPr>
          <w:rStyle w:val="8"/>
          <w:rFonts w:hint="eastAsia" w:ascii="仿宋" w:hAnsi="仿宋" w:eastAsia="仿宋" w:cs="Times New Roman"/>
          <w:b w:val="0"/>
          <w:bCs/>
          <w:color w:val="000000"/>
          <w:sz w:val="32"/>
          <w:szCs w:val="32"/>
        </w:rPr>
      </w:pPr>
      <w:r>
        <w:rPr>
          <w:rStyle w:val="8"/>
          <w:rFonts w:hint="eastAsia" w:ascii="仿宋" w:hAnsi="仿宋" w:eastAsia="仿宋" w:cs="Times New Roman"/>
          <w:b w:val="0"/>
          <w:bCs/>
          <w:color w:val="000000"/>
          <w:sz w:val="32"/>
          <w:szCs w:val="32"/>
        </w:rPr>
        <w:t xml:space="preserve">  生产发展2130505：</w:t>
      </w:r>
      <w:r>
        <w:rPr>
          <w:rStyle w:val="8"/>
          <w:rFonts w:ascii="仿宋" w:hAnsi="仿宋" w:eastAsia="仿宋" w:cs="Times New Roman"/>
          <w:b w:val="0"/>
          <w:bCs/>
          <w:color w:val="000000"/>
          <w:sz w:val="32"/>
          <w:szCs w:val="32"/>
        </w:rPr>
        <w:t>决算为</w:t>
      </w:r>
      <w:r>
        <w:rPr>
          <w:rStyle w:val="8"/>
          <w:rFonts w:hint="eastAsia" w:ascii="仿宋" w:hAnsi="仿宋" w:eastAsia="仿宋" w:cs="Times New Roman"/>
          <w:b w:val="0"/>
          <w:bCs/>
          <w:color w:val="000000"/>
          <w:sz w:val="32"/>
          <w:szCs w:val="32"/>
        </w:rPr>
        <w:t>10万元，占总收入0.76%</w:t>
      </w:r>
    </w:p>
    <w:p>
      <w:pPr>
        <w:rPr>
          <w:rStyle w:val="8"/>
          <w:rFonts w:hint="eastAsia" w:ascii="仿宋" w:hAnsi="仿宋" w:eastAsia="仿宋"/>
          <w:b w:val="0"/>
          <w:bCs/>
          <w:color w:val="000000"/>
          <w:sz w:val="32"/>
          <w:szCs w:val="32"/>
        </w:rPr>
      </w:pPr>
      <w:r>
        <w:rPr>
          <w:rStyle w:val="8"/>
          <w:rFonts w:hint="eastAsia" w:ascii="仿宋" w:hAnsi="仿宋" w:eastAsia="仿宋"/>
          <w:b w:val="0"/>
          <w:bCs/>
          <w:color w:val="000000"/>
          <w:sz w:val="32"/>
          <w:szCs w:val="32"/>
        </w:rPr>
        <w:t xml:space="preserve">  其他扶贫支出2130599:</w:t>
      </w:r>
      <w:r>
        <w:rPr>
          <w:rStyle w:val="8"/>
          <w:rFonts w:ascii="仿宋" w:hAnsi="仿宋" w:eastAsia="仿宋"/>
          <w:b w:val="0"/>
          <w:bCs/>
          <w:color w:val="000000"/>
          <w:sz w:val="32"/>
          <w:szCs w:val="32"/>
        </w:rPr>
        <w:t xml:space="preserve"> 决算为</w:t>
      </w:r>
      <w:r>
        <w:rPr>
          <w:rStyle w:val="8"/>
          <w:rFonts w:hint="eastAsia" w:ascii="仿宋" w:hAnsi="仿宋" w:eastAsia="仿宋"/>
          <w:b w:val="0"/>
          <w:bCs/>
          <w:color w:val="000000"/>
          <w:sz w:val="32"/>
          <w:szCs w:val="32"/>
        </w:rPr>
        <w:t>146.57万元，占总收入11.20%</w:t>
      </w:r>
    </w:p>
    <w:p>
      <w:pPr>
        <w:pStyle w:val="2"/>
        <w:rPr>
          <w:rStyle w:val="8"/>
          <w:rFonts w:hint="eastAsia" w:ascii="仿宋" w:hAnsi="仿宋" w:eastAsia="仿宋" w:cs="Times New Roman"/>
          <w:b w:val="0"/>
          <w:bCs/>
          <w:color w:val="000000"/>
          <w:sz w:val="32"/>
          <w:szCs w:val="32"/>
        </w:rPr>
      </w:pPr>
      <w:r>
        <w:rPr>
          <w:rStyle w:val="8"/>
          <w:rFonts w:hint="eastAsia" w:ascii="仿宋" w:hAnsi="仿宋" w:eastAsia="仿宋" w:cs="Times New Roman"/>
          <w:b w:val="0"/>
          <w:bCs/>
          <w:color w:val="000000"/>
          <w:sz w:val="32"/>
          <w:szCs w:val="32"/>
        </w:rPr>
        <w:t xml:space="preserve">  住房公积金2210201:</w:t>
      </w:r>
      <w:r>
        <w:rPr>
          <w:rStyle w:val="8"/>
          <w:rFonts w:ascii="仿宋" w:hAnsi="仿宋" w:eastAsia="仿宋" w:cs="Times New Roman"/>
          <w:b w:val="0"/>
          <w:bCs/>
          <w:color w:val="000000"/>
          <w:sz w:val="32"/>
          <w:szCs w:val="32"/>
        </w:rPr>
        <w:t xml:space="preserve"> 决算为</w:t>
      </w:r>
      <w:r>
        <w:rPr>
          <w:rStyle w:val="8"/>
          <w:rFonts w:hint="eastAsia" w:ascii="仿宋" w:hAnsi="仿宋" w:eastAsia="仿宋" w:cs="Times New Roman"/>
          <w:b w:val="0"/>
          <w:bCs/>
          <w:color w:val="000000"/>
          <w:sz w:val="32"/>
          <w:szCs w:val="32"/>
        </w:rPr>
        <w:t>25.86万元，占总收入1.98%</w:t>
      </w:r>
    </w:p>
    <w:p>
      <w:pPr>
        <w:pStyle w:val="2"/>
        <w:rPr>
          <w:rStyle w:val="8"/>
          <w:rFonts w:hint="eastAsia" w:ascii="仿宋" w:hAnsi="仿宋" w:eastAsia="仿宋" w:cs="Times New Roman"/>
          <w:b w:val="0"/>
          <w:bCs/>
          <w:color w:val="000000"/>
          <w:sz w:val="32"/>
          <w:szCs w:val="32"/>
        </w:rPr>
      </w:pPr>
      <w:r>
        <w:rPr>
          <w:rStyle w:val="8"/>
          <w:rFonts w:hint="eastAsia" w:ascii="仿宋" w:hAnsi="仿宋" w:eastAsia="仿宋" w:cs="Times New Roman"/>
          <w:b w:val="0"/>
          <w:bCs/>
          <w:color w:val="000000"/>
          <w:sz w:val="32"/>
          <w:szCs w:val="32"/>
        </w:rPr>
        <w:t xml:space="preserve">  其他支出2299901:</w:t>
      </w:r>
      <w:r>
        <w:rPr>
          <w:rStyle w:val="8"/>
          <w:rFonts w:ascii="仿宋" w:hAnsi="仿宋" w:eastAsia="仿宋" w:cs="Times New Roman"/>
          <w:b w:val="0"/>
          <w:bCs/>
          <w:color w:val="000000"/>
          <w:sz w:val="32"/>
          <w:szCs w:val="32"/>
        </w:rPr>
        <w:t xml:space="preserve"> 决算为</w:t>
      </w:r>
      <w:r>
        <w:rPr>
          <w:rStyle w:val="8"/>
          <w:rFonts w:hint="eastAsia" w:ascii="仿宋" w:hAnsi="仿宋" w:eastAsia="仿宋" w:cs="Times New Roman"/>
          <w:b w:val="0"/>
          <w:bCs/>
          <w:color w:val="000000"/>
          <w:sz w:val="32"/>
          <w:szCs w:val="32"/>
        </w:rPr>
        <w:t>35万元，占总收入2.67%</w:t>
      </w:r>
    </w:p>
    <w:p>
      <w:pPr>
        <w:rPr>
          <w:rFonts w:hint="eastAsia"/>
        </w:rPr>
      </w:pPr>
    </w:p>
    <w:p>
      <w:pPr>
        <w:pStyle w:val="2"/>
        <w:rPr>
          <w:rFonts w:hint="eastAsia"/>
        </w:rPr>
      </w:pPr>
    </w:p>
    <w:p>
      <w:pPr>
        <w:rPr>
          <w:rFonts w:hint="eastAsia"/>
        </w:rPr>
      </w:pPr>
      <w:r>
        <w:rPr>
          <w:rFonts w:hint="eastAsia"/>
        </w:rPr>
        <w:drawing>
          <wp:inline distT="0" distB="0" distL="0" distR="0">
            <wp:extent cx="5274310" cy="3076575"/>
            <wp:effectExtent l="19050" t="0" r="2159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ind w:firstLine="321" w:firstLineChars="100"/>
        <w:rPr>
          <w:rFonts w:hint="eastAsia" w:ascii="仿宋_GB2312" w:hAnsi="仿宋_GB2312" w:eastAsia="仿宋_GB2312"/>
          <w:sz w:val="32"/>
          <w:szCs w:val="32"/>
        </w:rPr>
      </w:pPr>
      <w:r>
        <w:rPr>
          <w:rStyle w:val="8"/>
          <w:rFonts w:hint="eastAsia" w:ascii="宋体" w:hAnsi="宋体" w:cs="宋体"/>
          <w:bCs/>
          <w:color w:val="000000"/>
          <w:sz w:val="32"/>
          <w:szCs w:val="32"/>
        </w:rPr>
        <w:t>二、</w:t>
      </w:r>
      <w:r>
        <w:rPr>
          <w:rFonts w:hint="eastAsia" w:ascii="仿宋_GB2312" w:hAnsi="仿宋_GB2312" w:eastAsia="仿宋_GB2312"/>
          <w:sz w:val="32"/>
          <w:szCs w:val="32"/>
        </w:rPr>
        <w:t>本年总支出1464.40</w:t>
      </w:r>
      <w:r>
        <w:rPr>
          <w:rFonts w:hint="eastAsia" w:ascii="宋体" w:hAnsi="宋体" w:cs="宋体"/>
          <w:sz w:val="32"/>
          <w:szCs w:val="32"/>
        </w:rPr>
        <w:t>万</w:t>
      </w:r>
      <w:r>
        <w:rPr>
          <w:rFonts w:hint="eastAsia" w:ascii="仿宋_GB2312" w:hAnsi="仿宋_GB2312" w:eastAsia="仿宋_GB2312"/>
          <w:sz w:val="32"/>
          <w:szCs w:val="32"/>
        </w:rPr>
        <w:t>元。按功能分类：</w:t>
      </w:r>
    </w:p>
    <w:p>
      <w:pPr>
        <w:spacing w:line="600" w:lineRule="exact"/>
        <w:rPr>
          <w:rStyle w:val="8"/>
          <w:rFonts w:ascii="仿宋" w:hAnsi="仿宋" w:eastAsia="仿宋"/>
          <w:b w:val="0"/>
          <w:bCs/>
          <w:color w:val="000000"/>
          <w:sz w:val="32"/>
          <w:szCs w:val="32"/>
        </w:rPr>
      </w:pPr>
      <w:r>
        <w:rPr>
          <w:rStyle w:val="8"/>
          <w:rFonts w:hint="eastAsia" w:ascii="宋体" w:hAnsi="宋体" w:cs="宋体"/>
          <w:b w:val="0"/>
          <w:bCs/>
          <w:color w:val="000000"/>
          <w:sz w:val="32"/>
          <w:szCs w:val="32"/>
        </w:rPr>
        <w:t>行政运行</w:t>
      </w:r>
      <w:r>
        <w:rPr>
          <w:rStyle w:val="8"/>
          <w:rFonts w:hint="eastAsia" w:ascii="仿宋" w:hAnsi="仿宋" w:eastAsia="仿宋"/>
          <w:b w:val="0"/>
          <w:bCs/>
          <w:color w:val="000000"/>
          <w:sz w:val="32"/>
          <w:szCs w:val="32"/>
        </w:rPr>
        <w:t xml:space="preserve">2012301: </w:t>
      </w:r>
      <w:r>
        <w:rPr>
          <w:rStyle w:val="8"/>
          <w:rFonts w:hint="eastAsia" w:ascii="宋体" w:hAnsi="宋体" w:cs="宋体"/>
          <w:b w:val="0"/>
          <w:bCs/>
          <w:color w:val="000000"/>
          <w:sz w:val="32"/>
          <w:szCs w:val="32"/>
        </w:rPr>
        <w:t>决算为</w:t>
      </w:r>
      <w:r>
        <w:rPr>
          <w:rStyle w:val="8"/>
          <w:rFonts w:hint="eastAsia" w:ascii="仿宋" w:hAnsi="仿宋" w:eastAsia="仿宋"/>
          <w:b w:val="0"/>
          <w:bCs/>
          <w:color w:val="000000"/>
          <w:sz w:val="32"/>
          <w:szCs w:val="32"/>
        </w:rPr>
        <w:t>206.28</w:t>
      </w:r>
      <w:r>
        <w:rPr>
          <w:rStyle w:val="8"/>
          <w:rFonts w:hint="eastAsia" w:ascii="宋体" w:hAnsi="宋体" w:cs="宋体"/>
          <w:b w:val="0"/>
          <w:bCs/>
          <w:color w:val="000000"/>
          <w:sz w:val="32"/>
          <w:szCs w:val="32"/>
        </w:rPr>
        <w:t>万元</w:t>
      </w:r>
      <w:r>
        <w:rPr>
          <w:rStyle w:val="8"/>
          <w:rFonts w:hint="eastAsia" w:ascii="Malgun Gothic Semilight" w:hAnsi="Malgun Gothic Semilight" w:eastAsia="Malgun Gothic Semilight" w:cs="Malgun Gothic Semilight"/>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 xml:space="preserve">14.09%。  </w:t>
      </w:r>
      <w:r>
        <w:rPr>
          <w:rStyle w:val="8"/>
          <w:rFonts w:hint="eastAsia" w:ascii="宋体" w:hAnsi="宋体" w:cs="宋体"/>
          <w:b w:val="0"/>
          <w:bCs/>
          <w:color w:val="000000"/>
          <w:sz w:val="32"/>
          <w:szCs w:val="32"/>
        </w:rPr>
        <w:t>事业运行</w:t>
      </w:r>
      <w:r>
        <w:rPr>
          <w:rStyle w:val="8"/>
          <w:rFonts w:hint="eastAsia" w:ascii="仿宋" w:hAnsi="仿宋" w:eastAsia="仿宋"/>
          <w:b w:val="0"/>
          <w:bCs/>
          <w:color w:val="000000"/>
          <w:sz w:val="32"/>
          <w:szCs w:val="32"/>
        </w:rPr>
        <w:t xml:space="preserve">2012350: </w:t>
      </w:r>
      <w:r>
        <w:rPr>
          <w:rStyle w:val="8"/>
          <w:rFonts w:hint="eastAsia" w:ascii="宋体" w:hAnsi="宋体" w:cs="宋体"/>
          <w:b w:val="0"/>
          <w:bCs/>
          <w:color w:val="000000"/>
          <w:sz w:val="32"/>
          <w:szCs w:val="32"/>
        </w:rPr>
        <w:t>决算为</w:t>
      </w:r>
      <w:r>
        <w:rPr>
          <w:rStyle w:val="8"/>
          <w:rFonts w:hint="eastAsia" w:ascii="仿宋" w:hAnsi="仿宋" w:eastAsia="仿宋"/>
          <w:b w:val="0"/>
          <w:bCs/>
          <w:color w:val="000000"/>
          <w:sz w:val="32"/>
          <w:szCs w:val="32"/>
        </w:rPr>
        <w:t>80.3</w:t>
      </w:r>
      <w:r>
        <w:rPr>
          <w:rStyle w:val="8"/>
          <w:rFonts w:hint="eastAsia" w:ascii="宋体" w:hAnsi="宋体" w:cs="宋体"/>
          <w:b w:val="0"/>
          <w:bCs/>
          <w:color w:val="000000"/>
          <w:sz w:val="32"/>
          <w:szCs w:val="32"/>
        </w:rPr>
        <w:t>万元</w:t>
      </w:r>
      <w:r>
        <w:rPr>
          <w:rStyle w:val="8"/>
          <w:rFonts w:hint="eastAsia" w:ascii="Malgun Gothic Semilight" w:hAnsi="Malgun Gothic Semilight" w:eastAsia="Malgun Gothic Semilight" w:cs="Malgun Gothic Semilight"/>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5.48%。</w:t>
      </w:r>
    </w:p>
    <w:p>
      <w:pPr>
        <w:spacing w:line="600" w:lineRule="exact"/>
        <w:rPr>
          <w:rStyle w:val="8"/>
          <w:rFonts w:ascii="仿宋" w:hAnsi="仿宋" w:eastAsia="仿宋"/>
          <w:b w:val="0"/>
          <w:bCs/>
          <w:color w:val="000000"/>
          <w:sz w:val="32"/>
          <w:szCs w:val="32"/>
        </w:rPr>
      </w:pPr>
      <w:r>
        <w:rPr>
          <w:rStyle w:val="8"/>
          <w:rFonts w:hint="eastAsia" w:ascii="宋体" w:hAnsi="宋体" w:cs="宋体"/>
          <w:b w:val="0"/>
          <w:bCs/>
          <w:color w:val="000000"/>
          <w:sz w:val="32"/>
          <w:szCs w:val="32"/>
        </w:rPr>
        <w:t>一般行政管理事务</w:t>
      </w:r>
      <w:r>
        <w:rPr>
          <w:rStyle w:val="8"/>
          <w:rFonts w:hint="eastAsia" w:ascii="仿宋" w:hAnsi="仿宋" w:eastAsia="仿宋"/>
          <w:b w:val="0"/>
          <w:bCs/>
          <w:color w:val="000000"/>
          <w:sz w:val="32"/>
          <w:szCs w:val="32"/>
        </w:rPr>
        <w:t>2012302：</w:t>
      </w:r>
      <w:r>
        <w:rPr>
          <w:rStyle w:val="8"/>
          <w:rFonts w:hint="eastAsia" w:ascii="宋体" w:hAnsi="宋体" w:cs="宋体"/>
          <w:b w:val="0"/>
          <w:bCs/>
          <w:color w:val="000000"/>
          <w:sz w:val="32"/>
          <w:szCs w:val="32"/>
        </w:rPr>
        <w:t>决算为</w:t>
      </w:r>
      <w:r>
        <w:rPr>
          <w:rStyle w:val="8"/>
          <w:rFonts w:hint="eastAsia" w:ascii="仿宋" w:hAnsi="仿宋" w:eastAsia="仿宋"/>
          <w:b w:val="0"/>
          <w:bCs/>
          <w:color w:val="000000"/>
          <w:sz w:val="32"/>
          <w:szCs w:val="32"/>
        </w:rPr>
        <w:t>31.61</w:t>
      </w:r>
      <w:r>
        <w:rPr>
          <w:rStyle w:val="8"/>
          <w:rFonts w:hint="eastAsia" w:ascii="宋体" w:hAnsi="宋体" w:cs="宋体"/>
          <w:b w:val="0"/>
          <w:bCs/>
          <w:color w:val="000000"/>
          <w:sz w:val="32"/>
          <w:szCs w:val="32"/>
        </w:rPr>
        <w:t>万元</w:t>
      </w:r>
      <w:r>
        <w:rPr>
          <w:rStyle w:val="8"/>
          <w:rFonts w:hint="eastAsia" w:ascii="Malgun Gothic Semilight" w:hAnsi="Malgun Gothic Semilight" w:eastAsia="Malgun Gothic Semilight" w:cs="Malgun Gothic Semilight"/>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2.16%。</w:t>
      </w:r>
    </w:p>
    <w:p>
      <w:pPr>
        <w:spacing w:line="600" w:lineRule="exact"/>
        <w:rPr>
          <w:rStyle w:val="8"/>
          <w:rFonts w:ascii="仿宋" w:hAnsi="仿宋" w:eastAsia="仿宋"/>
          <w:b w:val="0"/>
          <w:bCs/>
          <w:color w:val="000000"/>
          <w:sz w:val="32"/>
          <w:szCs w:val="32"/>
        </w:rPr>
      </w:pPr>
      <w:r>
        <w:rPr>
          <w:rStyle w:val="8"/>
          <w:rFonts w:hint="eastAsia" w:ascii="宋体" w:hAnsi="宋体" w:cs="宋体"/>
          <w:b w:val="0"/>
          <w:bCs/>
          <w:color w:val="000000"/>
          <w:sz w:val="32"/>
          <w:szCs w:val="32"/>
        </w:rPr>
        <w:t>民族工作专项</w:t>
      </w:r>
      <w:r>
        <w:rPr>
          <w:rStyle w:val="8"/>
          <w:rFonts w:ascii="仿宋" w:hAnsi="仿宋" w:eastAsia="仿宋"/>
          <w:b w:val="0"/>
          <w:bCs/>
          <w:color w:val="000000"/>
          <w:sz w:val="32"/>
          <w:szCs w:val="32"/>
        </w:rPr>
        <w:t>2012304：</w:t>
      </w:r>
      <w:r>
        <w:rPr>
          <w:rStyle w:val="8"/>
          <w:rFonts w:hint="eastAsia" w:ascii="宋体" w:hAnsi="宋体" w:cs="宋体"/>
          <w:b w:val="0"/>
          <w:bCs/>
          <w:color w:val="000000"/>
          <w:sz w:val="32"/>
          <w:szCs w:val="32"/>
        </w:rPr>
        <w:t>决算68万元</w:t>
      </w:r>
      <w:r>
        <w:rPr>
          <w:rStyle w:val="8"/>
          <w:rFonts w:hint="eastAsia" w:ascii="仿宋" w:hAnsi="仿宋" w:eastAsia="仿宋"/>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4.64%。</w:t>
      </w:r>
    </w:p>
    <w:p>
      <w:pPr>
        <w:spacing w:line="600" w:lineRule="exact"/>
        <w:rPr>
          <w:rStyle w:val="8"/>
          <w:rFonts w:hint="eastAsia" w:ascii="仿宋" w:hAnsi="仿宋" w:eastAsia="仿宋"/>
          <w:b w:val="0"/>
          <w:bCs/>
          <w:color w:val="000000"/>
          <w:sz w:val="32"/>
          <w:szCs w:val="32"/>
        </w:rPr>
      </w:pPr>
      <w:r>
        <w:rPr>
          <w:rStyle w:val="8"/>
          <w:rFonts w:hint="eastAsia" w:ascii="仿宋" w:hAnsi="仿宋" w:eastAsia="仿宋"/>
          <w:b w:val="0"/>
          <w:bCs/>
          <w:color w:val="000000"/>
          <w:sz w:val="32"/>
          <w:szCs w:val="32"/>
        </w:rPr>
        <w:t xml:space="preserve">  </w:t>
      </w:r>
      <w:r>
        <w:rPr>
          <w:rStyle w:val="8"/>
          <w:rFonts w:hint="eastAsia" w:ascii="宋体" w:hAnsi="宋体" w:cs="宋体"/>
          <w:b w:val="0"/>
          <w:bCs/>
          <w:color w:val="000000"/>
          <w:sz w:val="32"/>
          <w:szCs w:val="32"/>
        </w:rPr>
        <w:t>其他民族事务支出</w:t>
      </w:r>
      <w:r>
        <w:rPr>
          <w:rStyle w:val="8"/>
          <w:rFonts w:hint="eastAsia" w:ascii="仿宋" w:hAnsi="仿宋" w:eastAsia="仿宋"/>
          <w:b w:val="0"/>
          <w:bCs/>
          <w:color w:val="000000"/>
          <w:sz w:val="32"/>
          <w:szCs w:val="32"/>
        </w:rPr>
        <w:t>2012399：</w:t>
      </w:r>
      <w:r>
        <w:rPr>
          <w:rStyle w:val="8"/>
          <w:rFonts w:hint="eastAsia" w:ascii="宋体" w:hAnsi="宋体" w:cs="宋体"/>
          <w:b w:val="0"/>
          <w:bCs/>
          <w:color w:val="000000"/>
          <w:sz w:val="32"/>
          <w:szCs w:val="32"/>
        </w:rPr>
        <w:t>决算为</w:t>
      </w:r>
      <w:r>
        <w:rPr>
          <w:rStyle w:val="8"/>
          <w:rFonts w:hint="eastAsia" w:ascii="仿宋" w:hAnsi="仿宋" w:eastAsia="仿宋"/>
          <w:b w:val="0"/>
          <w:bCs/>
          <w:color w:val="000000"/>
          <w:sz w:val="32"/>
          <w:szCs w:val="32"/>
        </w:rPr>
        <w:t>227.04</w:t>
      </w:r>
      <w:r>
        <w:rPr>
          <w:rStyle w:val="8"/>
          <w:rFonts w:hint="eastAsia" w:ascii="宋体" w:hAnsi="宋体" w:cs="宋体"/>
          <w:b w:val="0"/>
          <w:bCs/>
          <w:color w:val="000000"/>
          <w:sz w:val="32"/>
          <w:szCs w:val="32"/>
        </w:rPr>
        <w:t>万元</w:t>
      </w:r>
      <w:r>
        <w:rPr>
          <w:rStyle w:val="8"/>
          <w:rFonts w:hint="eastAsia" w:ascii="仿宋" w:hAnsi="仿宋" w:eastAsia="仿宋"/>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15.50%。</w:t>
      </w:r>
    </w:p>
    <w:p>
      <w:pPr>
        <w:spacing w:line="600" w:lineRule="exact"/>
        <w:rPr>
          <w:rStyle w:val="8"/>
          <w:rFonts w:hint="eastAsia" w:ascii="仿宋" w:hAnsi="仿宋" w:eastAsia="仿宋"/>
          <w:b w:val="0"/>
          <w:bCs/>
          <w:color w:val="000000"/>
          <w:sz w:val="32"/>
          <w:szCs w:val="32"/>
        </w:rPr>
      </w:pPr>
      <w:r>
        <w:rPr>
          <w:rFonts w:hint="eastAsia"/>
        </w:rPr>
        <w:t>宗教事务2013404：</w:t>
      </w:r>
      <w:r>
        <w:rPr>
          <w:rStyle w:val="8"/>
          <w:rFonts w:hint="eastAsia" w:ascii="宋体" w:hAnsi="宋体" w:cs="宋体"/>
          <w:b w:val="0"/>
          <w:bCs/>
          <w:color w:val="000000"/>
          <w:sz w:val="32"/>
          <w:szCs w:val="32"/>
        </w:rPr>
        <w:t>决算为</w:t>
      </w:r>
      <w:r>
        <w:rPr>
          <w:rStyle w:val="8"/>
          <w:rFonts w:hint="eastAsia" w:ascii="仿宋" w:hAnsi="仿宋" w:eastAsia="仿宋"/>
          <w:b w:val="0"/>
          <w:bCs/>
          <w:color w:val="000000"/>
          <w:sz w:val="32"/>
          <w:szCs w:val="32"/>
        </w:rPr>
        <w:t>9.6</w:t>
      </w:r>
      <w:r>
        <w:rPr>
          <w:rStyle w:val="8"/>
          <w:rFonts w:hint="eastAsia" w:ascii="宋体" w:hAnsi="宋体" w:cs="宋体"/>
          <w:b w:val="0"/>
          <w:bCs/>
          <w:color w:val="000000"/>
          <w:sz w:val="32"/>
          <w:szCs w:val="32"/>
        </w:rPr>
        <w:t>万元</w:t>
      </w:r>
      <w:r>
        <w:rPr>
          <w:rStyle w:val="8"/>
          <w:rFonts w:hint="eastAsia" w:ascii="仿宋" w:hAnsi="仿宋" w:eastAsia="仿宋"/>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0.66%。</w:t>
      </w:r>
    </w:p>
    <w:p>
      <w:pPr>
        <w:spacing w:line="600" w:lineRule="exact"/>
        <w:rPr>
          <w:rFonts w:hint="eastAsia" w:ascii="仿宋" w:hAnsi="仿宋" w:eastAsia="仿宋"/>
          <w:bCs/>
          <w:color w:val="000000"/>
          <w:sz w:val="32"/>
          <w:szCs w:val="32"/>
        </w:rPr>
      </w:pPr>
      <w:r>
        <w:rPr>
          <w:rStyle w:val="8"/>
          <w:rFonts w:hint="eastAsia" w:ascii="宋体" w:hAnsi="宋体" w:cs="宋体"/>
          <w:b w:val="0"/>
          <w:bCs/>
          <w:color w:val="000000"/>
          <w:sz w:val="32"/>
          <w:szCs w:val="32"/>
        </w:rPr>
        <w:t>其他统战事务2013499：决算:15.09万元</w:t>
      </w:r>
      <w:r>
        <w:rPr>
          <w:rStyle w:val="8"/>
          <w:rFonts w:hint="eastAsia" w:ascii="仿宋" w:hAnsi="仿宋" w:eastAsia="仿宋"/>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1.03%。</w:t>
      </w:r>
    </w:p>
    <w:p>
      <w:pPr>
        <w:spacing w:line="600" w:lineRule="exact"/>
        <w:rPr>
          <w:rStyle w:val="8"/>
          <w:rFonts w:hint="eastAsia" w:ascii="仿宋" w:hAnsi="仿宋" w:eastAsia="仿宋"/>
          <w:b w:val="0"/>
          <w:bCs/>
          <w:color w:val="000000"/>
          <w:sz w:val="32"/>
          <w:szCs w:val="32"/>
        </w:rPr>
      </w:pPr>
      <w:r>
        <w:rPr>
          <w:rStyle w:val="8"/>
          <w:rFonts w:hint="eastAsia" w:ascii="宋体" w:hAnsi="宋体" w:cs="宋体"/>
          <w:b w:val="0"/>
          <w:bCs/>
          <w:color w:val="000000"/>
          <w:sz w:val="32"/>
          <w:szCs w:val="32"/>
        </w:rPr>
        <w:t>其他一般公共服务支出</w:t>
      </w:r>
      <w:r>
        <w:rPr>
          <w:rStyle w:val="8"/>
          <w:rFonts w:hint="eastAsia" w:ascii="仿宋" w:hAnsi="仿宋" w:eastAsia="仿宋"/>
          <w:b w:val="0"/>
          <w:bCs/>
          <w:color w:val="000000"/>
          <w:sz w:val="32"/>
          <w:szCs w:val="32"/>
        </w:rPr>
        <w:t>2019999</w:t>
      </w:r>
      <w:r>
        <w:rPr>
          <w:rStyle w:val="8"/>
          <w:rFonts w:hint="eastAsia" w:ascii="仿宋" w:hAnsi="仿宋" w:eastAsia="仿宋"/>
          <w:bCs/>
          <w:color w:val="000000"/>
          <w:sz w:val="32"/>
          <w:szCs w:val="32"/>
        </w:rPr>
        <w:t>：</w:t>
      </w:r>
      <w:r>
        <w:rPr>
          <w:rStyle w:val="8"/>
          <w:rFonts w:hint="eastAsia" w:ascii="宋体" w:hAnsi="宋体" w:cs="宋体"/>
          <w:b w:val="0"/>
          <w:bCs/>
          <w:color w:val="000000"/>
          <w:sz w:val="32"/>
          <w:szCs w:val="32"/>
        </w:rPr>
        <w:t>决算为</w:t>
      </w:r>
      <w:r>
        <w:rPr>
          <w:rStyle w:val="8"/>
          <w:rFonts w:hint="eastAsia" w:ascii="仿宋" w:hAnsi="仿宋" w:eastAsia="仿宋"/>
          <w:b w:val="0"/>
          <w:bCs/>
          <w:color w:val="000000"/>
          <w:sz w:val="32"/>
          <w:szCs w:val="32"/>
        </w:rPr>
        <w:t>547.91</w:t>
      </w:r>
      <w:r>
        <w:rPr>
          <w:rStyle w:val="8"/>
          <w:rFonts w:hint="eastAsia" w:ascii="宋体" w:hAnsi="宋体" w:cs="宋体"/>
          <w:b w:val="0"/>
          <w:bCs/>
          <w:color w:val="000000"/>
          <w:sz w:val="32"/>
          <w:szCs w:val="32"/>
        </w:rPr>
        <w:t>万元</w:t>
      </w:r>
      <w:r>
        <w:rPr>
          <w:rStyle w:val="8"/>
          <w:rFonts w:hint="eastAsia" w:ascii="仿宋" w:hAnsi="仿宋" w:eastAsia="仿宋"/>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37.42%。</w:t>
      </w:r>
    </w:p>
    <w:p>
      <w:pPr>
        <w:spacing w:line="600" w:lineRule="exact"/>
        <w:rPr>
          <w:rStyle w:val="8"/>
          <w:rFonts w:hint="eastAsia" w:ascii="仿宋" w:hAnsi="仿宋" w:eastAsia="仿宋"/>
          <w:b w:val="0"/>
          <w:bCs/>
          <w:color w:val="000000"/>
          <w:sz w:val="32"/>
          <w:szCs w:val="32"/>
        </w:rPr>
      </w:pPr>
      <w:r>
        <w:rPr>
          <w:rStyle w:val="8"/>
          <w:rFonts w:hint="eastAsia" w:ascii="仿宋" w:hAnsi="仿宋" w:eastAsia="仿宋"/>
          <w:b w:val="0"/>
          <w:bCs/>
          <w:color w:val="000000"/>
          <w:sz w:val="32"/>
          <w:szCs w:val="32"/>
        </w:rPr>
        <w:t xml:space="preserve">  </w:t>
      </w:r>
      <w:r>
        <w:rPr>
          <w:rStyle w:val="8"/>
          <w:rFonts w:hint="eastAsia" w:ascii="宋体" w:hAnsi="宋体" w:cs="宋体"/>
          <w:b w:val="0"/>
          <w:bCs/>
          <w:color w:val="000000"/>
          <w:sz w:val="32"/>
          <w:szCs w:val="32"/>
        </w:rPr>
        <w:t>机关事业单位基本养老保险缴费支出</w:t>
      </w:r>
      <w:r>
        <w:rPr>
          <w:rStyle w:val="8"/>
          <w:rFonts w:hint="eastAsia" w:ascii="仿宋" w:hAnsi="仿宋" w:eastAsia="仿宋"/>
          <w:b w:val="0"/>
          <w:bCs/>
          <w:color w:val="000000"/>
          <w:sz w:val="32"/>
          <w:szCs w:val="32"/>
        </w:rPr>
        <w:t>2080505：</w:t>
      </w:r>
      <w:r>
        <w:rPr>
          <w:rStyle w:val="8"/>
          <w:rFonts w:hint="eastAsia" w:ascii="宋体" w:hAnsi="宋体" w:cs="宋体"/>
          <w:b w:val="0"/>
          <w:bCs/>
          <w:color w:val="000000"/>
          <w:sz w:val="32"/>
          <w:szCs w:val="32"/>
        </w:rPr>
        <w:t>决算为</w:t>
      </w:r>
      <w:r>
        <w:rPr>
          <w:rStyle w:val="8"/>
          <w:rFonts w:hint="eastAsia" w:ascii="仿宋" w:hAnsi="仿宋" w:eastAsia="仿宋"/>
          <w:b w:val="0"/>
          <w:bCs/>
          <w:color w:val="000000"/>
          <w:sz w:val="32"/>
          <w:szCs w:val="32"/>
        </w:rPr>
        <w:t>29.77</w:t>
      </w:r>
      <w:r>
        <w:rPr>
          <w:rStyle w:val="8"/>
          <w:rFonts w:hint="eastAsia" w:ascii="宋体" w:hAnsi="宋体" w:cs="宋体"/>
          <w:b w:val="0"/>
          <w:bCs/>
          <w:color w:val="000000"/>
          <w:sz w:val="32"/>
          <w:szCs w:val="32"/>
        </w:rPr>
        <w:t>万元</w:t>
      </w:r>
      <w:r>
        <w:rPr>
          <w:rStyle w:val="8"/>
          <w:rFonts w:hint="eastAsia" w:ascii="仿宋" w:hAnsi="仿宋" w:eastAsia="仿宋"/>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2.03%。</w:t>
      </w:r>
    </w:p>
    <w:p>
      <w:pPr>
        <w:spacing w:line="600" w:lineRule="exact"/>
        <w:rPr>
          <w:rStyle w:val="8"/>
          <w:rFonts w:hint="eastAsia" w:ascii="仿宋" w:hAnsi="仿宋" w:eastAsia="仿宋"/>
          <w:b w:val="0"/>
          <w:bCs/>
          <w:color w:val="000000"/>
          <w:sz w:val="32"/>
          <w:szCs w:val="32"/>
        </w:rPr>
      </w:pPr>
      <w:r>
        <w:rPr>
          <w:rStyle w:val="8"/>
          <w:rFonts w:hint="eastAsia" w:ascii="仿宋" w:hAnsi="仿宋" w:eastAsia="仿宋"/>
          <w:b w:val="0"/>
          <w:bCs/>
          <w:color w:val="000000"/>
          <w:sz w:val="32"/>
          <w:szCs w:val="32"/>
        </w:rPr>
        <w:t xml:space="preserve">  </w:t>
      </w:r>
      <w:r>
        <w:rPr>
          <w:rStyle w:val="8"/>
          <w:rFonts w:hint="eastAsia" w:ascii="宋体" w:hAnsi="宋体" w:cs="宋体"/>
          <w:b w:val="0"/>
          <w:bCs/>
          <w:color w:val="000000"/>
          <w:sz w:val="32"/>
          <w:szCs w:val="32"/>
        </w:rPr>
        <w:t>机关事业单位职业年金缴费支出</w:t>
      </w:r>
      <w:r>
        <w:rPr>
          <w:rStyle w:val="8"/>
          <w:rFonts w:hint="eastAsia" w:ascii="仿宋" w:hAnsi="仿宋" w:eastAsia="仿宋"/>
          <w:b w:val="0"/>
          <w:bCs/>
          <w:color w:val="000000"/>
          <w:sz w:val="32"/>
          <w:szCs w:val="32"/>
        </w:rPr>
        <w:t>2080505：</w:t>
      </w:r>
      <w:r>
        <w:rPr>
          <w:rStyle w:val="8"/>
          <w:rFonts w:hint="eastAsia" w:ascii="宋体" w:hAnsi="宋体" w:cs="宋体"/>
          <w:b w:val="0"/>
          <w:bCs/>
          <w:color w:val="000000"/>
          <w:sz w:val="32"/>
          <w:szCs w:val="32"/>
        </w:rPr>
        <w:t>决算为</w:t>
      </w:r>
      <w:r>
        <w:rPr>
          <w:rStyle w:val="8"/>
          <w:rFonts w:hint="eastAsia" w:ascii="仿宋" w:hAnsi="仿宋" w:eastAsia="仿宋"/>
          <w:b w:val="0"/>
          <w:bCs/>
          <w:color w:val="000000"/>
          <w:sz w:val="32"/>
          <w:szCs w:val="32"/>
        </w:rPr>
        <w:t>13.65</w:t>
      </w:r>
      <w:r>
        <w:rPr>
          <w:rStyle w:val="8"/>
          <w:rFonts w:hint="eastAsia" w:ascii="宋体" w:hAnsi="宋体" w:cs="宋体"/>
          <w:b w:val="0"/>
          <w:bCs/>
          <w:color w:val="000000"/>
          <w:sz w:val="32"/>
          <w:szCs w:val="32"/>
        </w:rPr>
        <w:t>万元</w:t>
      </w:r>
      <w:r>
        <w:rPr>
          <w:rStyle w:val="8"/>
          <w:rFonts w:hint="eastAsia" w:ascii="仿宋" w:hAnsi="仿宋" w:eastAsia="仿宋"/>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0.93%。</w:t>
      </w:r>
    </w:p>
    <w:p>
      <w:pPr>
        <w:spacing w:line="600" w:lineRule="exact"/>
        <w:rPr>
          <w:rStyle w:val="8"/>
          <w:rFonts w:hint="eastAsia" w:ascii="仿宋" w:hAnsi="仿宋" w:eastAsia="仿宋"/>
          <w:b w:val="0"/>
          <w:bCs/>
          <w:color w:val="000000"/>
          <w:sz w:val="32"/>
          <w:szCs w:val="32"/>
        </w:rPr>
      </w:pPr>
      <w:r>
        <w:rPr>
          <w:rStyle w:val="8"/>
          <w:rFonts w:hint="eastAsia" w:ascii="仿宋" w:hAnsi="仿宋" w:eastAsia="仿宋"/>
          <w:b w:val="0"/>
          <w:bCs/>
          <w:color w:val="000000"/>
          <w:sz w:val="32"/>
          <w:szCs w:val="32"/>
        </w:rPr>
        <w:t xml:space="preserve">  </w:t>
      </w:r>
      <w:r>
        <w:rPr>
          <w:rStyle w:val="8"/>
          <w:rFonts w:hint="eastAsia" w:ascii="宋体" w:hAnsi="宋体" w:cs="宋体"/>
          <w:b w:val="0"/>
          <w:bCs/>
          <w:color w:val="000000"/>
          <w:sz w:val="32"/>
          <w:szCs w:val="32"/>
        </w:rPr>
        <w:t>行政单位医疗</w:t>
      </w:r>
      <w:r>
        <w:rPr>
          <w:rStyle w:val="8"/>
          <w:rFonts w:hint="eastAsia" w:ascii="仿宋" w:hAnsi="仿宋" w:eastAsia="仿宋"/>
          <w:b w:val="0"/>
          <w:bCs/>
          <w:color w:val="000000"/>
          <w:sz w:val="32"/>
          <w:szCs w:val="32"/>
        </w:rPr>
        <w:t>2101101：</w:t>
      </w:r>
      <w:r>
        <w:rPr>
          <w:rStyle w:val="8"/>
          <w:rFonts w:hint="eastAsia" w:ascii="宋体" w:hAnsi="宋体" w:cs="宋体"/>
          <w:b w:val="0"/>
          <w:bCs/>
          <w:color w:val="000000"/>
          <w:sz w:val="32"/>
          <w:szCs w:val="32"/>
        </w:rPr>
        <w:t>决算为</w:t>
      </w:r>
      <w:r>
        <w:rPr>
          <w:rStyle w:val="8"/>
          <w:rFonts w:hint="eastAsia" w:ascii="仿宋" w:hAnsi="仿宋" w:eastAsia="仿宋"/>
          <w:b w:val="0"/>
          <w:bCs/>
          <w:color w:val="000000"/>
          <w:sz w:val="32"/>
          <w:szCs w:val="32"/>
        </w:rPr>
        <w:t>13.36</w:t>
      </w:r>
      <w:r>
        <w:rPr>
          <w:rStyle w:val="8"/>
          <w:rFonts w:hint="eastAsia" w:ascii="宋体" w:hAnsi="宋体" w:cs="宋体"/>
          <w:b w:val="0"/>
          <w:bCs/>
          <w:color w:val="000000"/>
          <w:sz w:val="32"/>
          <w:szCs w:val="32"/>
        </w:rPr>
        <w:t>万元</w:t>
      </w:r>
      <w:r>
        <w:rPr>
          <w:rStyle w:val="8"/>
          <w:rFonts w:hint="eastAsia" w:ascii="仿宋" w:hAnsi="仿宋" w:eastAsia="仿宋"/>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0.91%。</w:t>
      </w:r>
    </w:p>
    <w:p>
      <w:pPr>
        <w:pStyle w:val="2"/>
        <w:rPr>
          <w:rStyle w:val="8"/>
          <w:rFonts w:hint="eastAsia" w:ascii="仿宋" w:hAnsi="仿宋" w:eastAsia="仿宋" w:cs="Times New Roman"/>
          <w:b w:val="0"/>
          <w:bCs/>
          <w:color w:val="000000"/>
          <w:sz w:val="32"/>
          <w:szCs w:val="32"/>
        </w:rPr>
      </w:pPr>
      <w:r>
        <w:rPr>
          <w:rStyle w:val="8"/>
          <w:rFonts w:hint="eastAsia" w:ascii="仿宋" w:hAnsi="仿宋" w:cs="Times New Roman"/>
          <w:bCs/>
          <w:color w:val="000000"/>
          <w:sz w:val="32"/>
          <w:szCs w:val="32"/>
        </w:rPr>
        <w:t xml:space="preserve"> </w:t>
      </w:r>
      <w:r>
        <w:rPr>
          <w:rStyle w:val="8"/>
          <w:rFonts w:hint="eastAsia" w:ascii="仿宋" w:hAnsi="仿宋" w:eastAsia="仿宋" w:cs="Times New Roman"/>
          <w:b w:val="0"/>
          <w:bCs/>
          <w:color w:val="000000"/>
          <w:sz w:val="32"/>
          <w:szCs w:val="32"/>
        </w:rPr>
        <w:t xml:space="preserve"> </w:t>
      </w:r>
      <w:r>
        <w:rPr>
          <w:rStyle w:val="8"/>
          <w:rFonts w:hint="eastAsia" w:ascii="宋体" w:hAnsi="宋体" w:cs="宋体"/>
          <w:b w:val="0"/>
          <w:bCs/>
          <w:color w:val="000000"/>
          <w:sz w:val="32"/>
          <w:szCs w:val="32"/>
        </w:rPr>
        <w:t>事业单位医疗</w:t>
      </w:r>
      <w:r>
        <w:rPr>
          <w:rStyle w:val="8"/>
          <w:rFonts w:hint="eastAsia" w:ascii="仿宋" w:hAnsi="仿宋" w:eastAsia="仿宋" w:cs="Times New Roman"/>
          <w:b w:val="0"/>
          <w:bCs/>
          <w:color w:val="000000"/>
          <w:sz w:val="32"/>
          <w:szCs w:val="32"/>
        </w:rPr>
        <w:t>2101102：</w:t>
      </w:r>
      <w:r>
        <w:rPr>
          <w:rStyle w:val="8"/>
          <w:rFonts w:hint="eastAsia" w:ascii="宋体" w:hAnsi="宋体" w:cs="宋体"/>
          <w:b w:val="0"/>
          <w:bCs/>
          <w:color w:val="000000"/>
          <w:sz w:val="32"/>
          <w:szCs w:val="32"/>
        </w:rPr>
        <w:t>决算为</w:t>
      </w:r>
      <w:r>
        <w:rPr>
          <w:rStyle w:val="8"/>
          <w:rFonts w:hint="eastAsia" w:ascii="仿宋" w:hAnsi="仿宋" w:eastAsia="仿宋" w:cs="Times New Roman"/>
          <w:b w:val="0"/>
          <w:bCs/>
          <w:color w:val="000000"/>
          <w:sz w:val="32"/>
          <w:szCs w:val="32"/>
        </w:rPr>
        <w:t>3.66</w:t>
      </w:r>
      <w:r>
        <w:rPr>
          <w:rStyle w:val="8"/>
          <w:rFonts w:hint="eastAsia" w:ascii="宋体" w:hAnsi="宋体" w:cs="宋体"/>
          <w:b w:val="0"/>
          <w:bCs/>
          <w:color w:val="000000"/>
          <w:sz w:val="32"/>
          <w:szCs w:val="32"/>
        </w:rPr>
        <w:t>万元</w:t>
      </w:r>
      <w:r>
        <w:rPr>
          <w:rStyle w:val="8"/>
          <w:rFonts w:hint="eastAsia" w:ascii="仿宋" w:hAnsi="仿宋" w:eastAsia="仿宋" w:cs="Times New Roman"/>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cs="Times New Roman"/>
          <w:b w:val="0"/>
          <w:bCs/>
          <w:color w:val="000000"/>
          <w:sz w:val="32"/>
          <w:szCs w:val="32"/>
        </w:rPr>
        <w:t>0.25%</w:t>
      </w:r>
    </w:p>
    <w:p>
      <w:pPr>
        <w:rPr>
          <w:rStyle w:val="8"/>
          <w:rFonts w:hint="eastAsia" w:ascii="仿宋" w:hAnsi="仿宋" w:eastAsia="仿宋"/>
          <w:b w:val="0"/>
          <w:bCs/>
          <w:color w:val="000000"/>
          <w:sz w:val="32"/>
          <w:szCs w:val="32"/>
        </w:rPr>
      </w:pPr>
      <w:r>
        <w:rPr>
          <w:rStyle w:val="8"/>
          <w:rFonts w:hint="eastAsia" w:ascii="仿宋" w:hAnsi="仿宋" w:eastAsia="仿宋"/>
          <w:b w:val="0"/>
          <w:bCs/>
          <w:color w:val="000000"/>
          <w:sz w:val="32"/>
          <w:szCs w:val="32"/>
        </w:rPr>
        <w:t xml:space="preserve">  </w:t>
      </w:r>
      <w:r>
        <w:rPr>
          <w:rStyle w:val="8"/>
          <w:rFonts w:hint="eastAsia" w:ascii="宋体" w:hAnsi="宋体" w:cs="宋体"/>
          <w:b w:val="0"/>
          <w:bCs/>
          <w:color w:val="000000"/>
          <w:sz w:val="32"/>
          <w:szCs w:val="32"/>
        </w:rPr>
        <w:t>公务员医疗补助</w:t>
      </w:r>
      <w:r>
        <w:rPr>
          <w:rStyle w:val="8"/>
          <w:rFonts w:hint="eastAsia" w:ascii="仿宋" w:hAnsi="仿宋" w:eastAsia="仿宋"/>
          <w:b w:val="0"/>
          <w:bCs/>
          <w:color w:val="000000"/>
          <w:sz w:val="32"/>
          <w:szCs w:val="32"/>
        </w:rPr>
        <w:t>2101103：</w:t>
      </w:r>
      <w:r>
        <w:rPr>
          <w:rStyle w:val="8"/>
          <w:rFonts w:hint="eastAsia" w:ascii="宋体" w:hAnsi="宋体" w:cs="宋体"/>
          <w:b w:val="0"/>
          <w:bCs/>
          <w:color w:val="000000"/>
          <w:sz w:val="32"/>
          <w:szCs w:val="32"/>
        </w:rPr>
        <w:t>决算为</w:t>
      </w:r>
      <w:r>
        <w:rPr>
          <w:rStyle w:val="8"/>
          <w:rFonts w:hint="eastAsia" w:ascii="仿宋" w:hAnsi="仿宋" w:eastAsia="仿宋"/>
          <w:b w:val="0"/>
          <w:bCs/>
          <w:color w:val="000000"/>
          <w:sz w:val="32"/>
          <w:szCs w:val="32"/>
        </w:rPr>
        <w:t>2.82</w:t>
      </w:r>
      <w:r>
        <w:rPr>
          <w:rStyle w:val="8"/>
          <w:rFonts w:hint="eastAsia" w:ascii="宋体" w:hAnsi="宋体" w:cs="宋体"/>
          <w:b w:val="0"/>
          <w:bCs/>
          <w:color w:val="000000"/>
          <w:sz w:val="32"/>
          <w:szCs w:val="32"/>
        </w:rPr>
        <w:t>万元</w:t>
      </w:r>
      <w:r>
        <w:rPr>
          <w:rStyle w:val="8"/>
          <w:rFonts w:hint="eastAsia" w:ascii="仿宋" w:hAnsi="仿宋" w:eastAsia="仿宋"/>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0.19%</w:t>
      </w:r>
    </w:p>
    <w:p>
      <w:pPr>
        <w:pStyle w:val="2"/>
        <w:rPr>
          <w:rStyle w:val="8"/>
          <w:rFonts w:hint="eastAsia" w:ascii="仿宋" w:hAnsi="仿宋" w:eastAsia="仿宋" w:cs="Times New Roman"/>
          <w:b w:val="0"/>
          <w:bCs/>
          <w:color w:val="000000"/>
          <w:sz w:val="32"/>
          <w:szCs w:val="32"/>
        </w:rPr>
      </w:pPr>
      <w:r>
        <w:rPr>
          <w:rStyle w:val="8"/>
          <w:rFonts w:hint="eastAsia" w:ascii="仿宋" w:hAnsi="仿宋" w:eastAsia="仿宋" w:cs="Times New Roman"/>
          <w:b w:val="0"/>
          <w:bCs/>
          <w:color w:val="000000"/>
          <w:sz w:val="32"/>
          <w:szCs w:val="32"/>
        </w:rPr>
        <w:t xml:space="preserve">  </w:t>
      </w:r>
      <w:r>
        <w:rPr>
          <w:rStyle w:val="8"/>
          <w:rFonts w:hint="eastAsia" w:ascii="宋体" w:hAnsi="宋体" w:cs="宋体"/>
          <w:b w:val="0"/>
          <w:bCs/>
          <w:color w:val="000000"/>
          <w:sz w:val="32"/>
          <w:szCs w:val="32"/>
        </w:rPr>
        <w:t>其他行政事业单位医疗支出</w:t>
      </w:r>
      <w:r>
        <w:rPr>
          <w:rStyle w:val="8"/>
          <w:rFonts w:hint="eastAsia" w:ascii="仿宋" w:hAnsi="仿宋" w:eastAsia="仿宋" w:cs="Times New Roman"/>
          <w:b w:val="0"/>
          <w:bCs/>
          <w:color w:val="000000"/>
          <w:sz w:val="32"/>
          <w:szCs w:val="32"/>
        </w:rPr>
        <w:t>2101199：</w:t>
      </w:r>
      <w:r>
        <w:rPr>
          <w:rStyle w:val="8"/>
          <w:rFonts w:hint="eastAsia" w:ascii="宋体" w:hAnsi="宋体" w:cs="宋体"/>
          <w:b w:val="0"/>
          <w:bCs/>
          <w:color w:val="000000"/>
          <w:sz w:val="32"/>
          <w:szCs w:val="32"/>
        </w:rPr>
        <w:t>决算为</w:t>
      </w:r>
      <w:r>
        <w:rPr>
          <w:rStyle w:val="8"/>
          <w:rFonts w:hint="eastAsia" w:ascii="仿宋" w:hAnsi="仿宋" w:eastAsia="仿宋" w:cs="Times New Roman"/>
          <w:b w:val="0"/>
          <w:bCs/>
          <w:color w:val="000000"/>
          <w:sz w:val="32"/>
          <w:szCs w:val="32"/>
        </w:rPr>
        <w:t>9.55</w:t>
      </w:r>
      <w:r>
        <w:rPr>
          <w:rStyle w:val="8"/>
          <w:rFonts w:hint="eastAsia" w:ascii="宋体" w:hAnsi="宋体" w:cs="宋体"/>
          <w:b w:val="0"/>
          <w:bCs/>
          <w:color w:val="000000"/>
          <w:sz w:val="32"/>
          <w:szCs w:val="32"/>
        </w:rPr>
        <w:t>万元</w:t>
      </w:r>
      <w:r>
        <w:rPr>
          <w:rStyle w:val="8"/>
          <w:rFonts w:hint="eastAsia" w:ascii="仿宋" w:hAnsi="仿宋" w:eastAsia="仿宋" w:cs="Times New Roman"/>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cs="Times New Roman"/>
          <w:b w:val="0"/>
          <w:bCs/>
          <w:color w:val="000000"/>
          <w:sz w:val="32"/>
          <w:szCs w:val="32"/>
        </w:rPr>
        <w:t>0.65%</w:t>
      </w:r>
    </w:p>
    <w:p>
      <w:pPr>
        <w:pStyle w:val="2"/>
        <w:rPr>
          <w:rStyle w:val="8"/>
          <w:rFonts w:hint="eastAsia" w:ascii="仿宋" w:hAnsi="仿宋" w:eastAsia="仿宋" w:cs="Times New Roman"/>
          <w:b w:val="0"/>
          <w:bCs/>
          <w:color w:val="000000"/>
          <w:sz w:val="32"/>
          <w:szCs w:val="32"/>
        </w:rPr>
      </w:pPr>
      <w:r>
        <w:rPr>
          <w:rStyle w:val="8"/>
          <w:rFonts w:hint="eastAsia" w:ascii="仿宋" w:hAnsi="仿宋" w:eastAsia="仿宋" w:cs="Times New Roman"/>
          <w:b w:val="0"/>
          <w:bCs/>
          <w:color w:val="000000"/>
          <w:sz w:val="32"/>
          <w:szCs w:val="32"/>
        </w:rPr>
        <w:t xml:space="preserve">  </w:t>
      </w:r>
      <w:r>
        <w:rPr>
          <w:rStyle w:val="8"/>
          <w:rFonts w:hint="eastAsia" w:ascii="宋体" w:hAnsi="宋体" w:cs="宋体"/>
          <w:b w:val="0"/>
          <w:bCs/>
          <w:color w:val="000000"/>
          <w:sz w:val="32"/>
          <w:szCs w:val="32"/>
        </w:rPr>
        <w:t>生产发展</w:t>
      </w:r>
      <w:r>
        <w:rPr>
          <w:rStyle w:val="8"/>
          <w:rFonts w:hint="eastAsia" w:ascii="仿宋" w:hAnsi="仿宋" w:eastAsia="仿宋" w:cs="Times New Roman"/>
          <w:b w:val="0"/>
          <w:bCs/>
          <w:color w:val="000000"/>
          <w:sz w:val="32"/>
          <w:szCs w:val="32"/>
        </w:rPr>
        <w:t>2130505：</w:t>
      </w:r>
      <w:r>
        <w:rPr>
          <w:rStyle w:val="8"/>
          <w:rFonts w:hint="eastAsia" w:ascii="宋体" w:hAnsi="宋体" w:cs="宋体"/>
          <w:b w:val="0"/>
          <w:bCs/>
          <w:color w:val="000000"/>
          <w:sz w:val="32"/>
          <w:szCs w:val="32"/>
        </w:rPr>
        <w:t>决算为</w:t>
      </w:r>
      <w:r>
        <w:rPr>
          <w:rStyle w:val="8"/>
          <w:rFonts w:hint="eastAsia" w:ascii="仿宋" w:hAnsi="仿宋" w:eastAsia="仿宋" w:cs="Times New Roman"/>
          <w:b w:val="0"/>
          <w:bCs/>
          <w:color w:val="000000"/>
          <w:sz w:val="32"/>
          <w:szCs w:val="32"/>
        </w:rPr>
        <w:t>9.95</w:t>
      </w:r>
      <w:r>
        <w:rPr>
          <w:rStyle w:val="8"/>
          <w:rFonts w:hint="eastAsia" w:ascii="宋体" w:hAnsi="宋体" w:cs="宋体"/>
          <w:b w:val="0"/>
          <w:bCs/>
          <w:color w:val="000000"/>
          <w:sz w:val="32"/>
          <w:szCs w:val="32"/>
        </w:rPr>
        <w:t>万元</w:t>
      </w:r>
      <w:r>
        <w:rPr>
          <w:rStyle w:val="8"/>
          <w:rFonts w:hint="eastAsia" w:ascii="仿宋" w:hAnsi="仿宋" w:eastAsia="仿宋" w:cs="Times New Roman"/>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cs="Times New Roman"/>
          <w:b w:val="0"/>
          <w:bCs/>
          <w:color w:val="000000"/>
          <w:sz w:val="32"/>
          <w:szCs w:val="32"/>
        </w:rPr>
        <w:t>0.68%</w:t>
      </w:r>
    </w:p>
    <w:p>
      <w:pPr>
        <w:rPr>
          <w:rStyle w:val="8"/>
          <w:rFonts w:hint="eastAsia" w:ascii="仿宋" w:hAnsi="仿宋" w:eastAsia="仿宋"/>
          <w:b w:val="0"/>
          <w:bCs/>
          <w:color w:val="000000"/>
          <w:sz w:val="32"/>
          <w:szCs w:val="32"/>
        </w:rPr>
      </w:pPr>
      <w:r>
        <w:rPr>
          <w:rStyle w:val="8"/>
          <w:rFonts w:hint="eastAsia" w:ascii="仿宋" w:hAnsi="仿宋" w:eastAsia="仿宋"/>
          <w:b w:val="0"/>
          <w:bCs/>
          <w:color w:val="000000"/>
          <w:sz w:val="32"/>
          <w:szCs w:val="32"/>
        </w:rPr>
        <w:t xml:space="preserve">  </w:t>
      </w:r>
      <w:r>
        <w:rPr>
          <w:rStyle w:val="8"/>
          <w:rFonts w:hint="eastAsia" w:ascii="宋体" w:hAnsi="宋体" w:cs="宋体"/>
          <w:b w:val="0"/>
          <w:bCs/>
          <w:color w:val="000000"/>
          <w:sz w:val="32"/>
          <w:szCs w:val="32"/>
        </w:rPr>
        <w:t>其他扶贫支出</w:t>
      </w:r>
      <w:r>
        <w:rPr>
          <w:rStyle w:val="8"/>
          <w:rFonts w:hint="eastAsia" w:ascii="仿宋" w:hAnsi="仿宋" w:eastAsia="仿宋"/>
          <w:b w:val="0"/>
          <w:bCs/>
          <w:color w:val="000000"/>
          <w:sz w:val="32"/>
          <w:szCs w:val="32"/>
        </w:rPr>
        <w:t>2130599:</w:t>
      </w:r>
      <w:r>
        <w:rPr>
          <w:rStyle w:val="8"/>
          <w:rFonts w:ascii="仿宋" w:hAnsi="仿宋" w:eastAsia="仿宋"/>
          <w:b w:val="0"/>
          <w:bCs/>
          <w:color w:val="000000"/>
          <w:sz w:val="32"/>
          <w:szCs w:val="32"/>
        </w:rPr>
        <w:t xml:space="preserve"> </w:t>
      </w:r>
      <w:r>
        <w:rPr>
          <w:rStyle w:val="8"/>
          <w:rFonts w:hint="eastAsia" w:ascii="宋体" w:hAnsi="宋体" w:cs="宋体"/>
          <w:b w:val="0"/>
          <w:bCs/>
          <w:color w:val="000000"/>
          <w:sz w:val="32"/>
          <w:szCs w:val="32"/>
        </w:rPr>
        <w:t>决算为</w:t>
      </w:r>
      <w:r>
        <w:rPr>
          <w:rStyle w:val="8"/>
          <w:rFonts w:hint="eastAsia" w:ascii="仿宋" w:hAnsi="仿宋" w:eastAsia="仿宋"/>
          <w:b w:val="0"/>
          <w:bCs/>
          <w:color w:val="000000"/>
          <w:sz w:val="32"/>
          <w:szCs w:val="32"/>
        </w:rPr>
        <w:t>146.57</w:t>
      </w:r>
      <w:r>
        <w:rPr>
          <w:rStyle w:val="8"/>
          <w:rFonts w:hint="eastAsia" w:ascii="宋体" w:hAnsi="宋体" w:cs="宋体"/>
          <w:b w:val="0"/>
          <w:bCs/>
          <w:color w:val="000000"/>
          <w:sz w:val="32"/>
          <w:szCs w:val="32"/>
        </w:rPr>
        <w:t>万元</w:t>
      </w:r>
      <w:r>
        <w:rPr>
          <w:rStyle w:val="8"/>
          <w:rFonts w:hint="eastAsia" w:ascii="仿宋" w:hAnsi="仿宋" w:eastAsia="仿宋"/>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b w:val="0"/>
          <w:bCs/>
          <w:color w:val="000000"/>
          <w:sz w:val="32"/>
          <w:szCs w:val="32"/>
        </w:rPr>
        <w:t>10.01%</w:t>
      </w:r>
    </w:p>
    <w:p>
      <w:pPr>
        <w:pStyle w:val="2"/>
        <w:rPr>
          <w:rStyle w:val="8"/>
          <w:rFonts w:hint="eastAsia" w:ascii="仿宋" w:hAnsi="仿宋" w:eastAsia="仿宋" w:cs="Times New Roman"/>
          <w:b w:val="0"/>
          <w:bCs/>
          <w:color w:val="000000"/>
          <w:sz w:val="32"/>
          <w:szCs w:val="32"/>
        </w:rPr>
      </w:pPr>
      <w:r>
        <w:rPr>
          <w:rStyle w:val="8"/>
          <w:rFonts w:hint="eastAsia" w:ascii="仿宋" w:hAnsi="仿宋" w:eastAsia="仿宋" w:cs="Times New Roman"/>
          <w:b w:val="0"/>
          <w:bCs/>
          <w:color w:val="000000"/>
          <w:sz w:val="32"/>
          <w:szCs w:val="32"/>
        </w:rPr>
        <w:t xml:space="preserve">  </w:t>
      </w:r>
      <w:r>
        <w:rPr>
          <w:rStyle w:val="8"/>
          <w:rFonts w:hint="eastAsia" w:ascii="宋体" w:hAnsi="宋体" w:cs="宋体"/>
          <w:b w:val="0"/>
          <w:bCs/>
          <w:color w:val="000000"/>
          <w:sz w:val="32"/>
          <w:szCs w:val="32"/>
        </w:rPr>
        <w:t>住房公积金</w:t>
      </w:r>
      <w:r>
        <w:rPr>
          <w:rStyle w:val="8"/>
          <w:rFonts w:hint="eastAsia" w:ascii="仿宋" w:hAnsi="仿宋" w:eastAsia="仿宋" w:cs="Times New Roman"/>
          <w:b w:val="0"/>
          <w:bCs/>
          <w:color w:val="000000"/>
          <w:sz w:val="32"/>
          <w:szCs w:val="32"/>
        </w:rPr>
        <w:t>2210201:</w:t>
      </w:r>
      <w:r>
        <w:rPr>
          <w:rStyle w:val="8"/>
          <w:rFonts w:ascii="仿宋" w:hAnsi="仿宋" w:eastAsia="仿宋" w:cs="Times New Roman"/>
          <w:b w:val="0"/>
          <w:bCs/>
          <w:color w:val="000000"/>
          <w:sz w:val="32"/>
          <w:szCs w:val="32"/>
        </w:rPr>
        <w:t xml:space="preserve"> </w:t>
      </w:r>
      <w:r>
        <w:rPr>
          <w:rStyle w:val="8"/>
          <w:rFonts w:hint="eastAsia" w:ascii="宋体" w:hAnsi="宋体" w:cs="宋体"/>
          <w:b w:val="0"/>
          <w:bCs/>
          <w:color w:val="000000"/>
          <w:sz w:val="32"/>
          <w:szCs w:val="32"/>
        </w:rPr>
        <w:t>决算为</w:t>
      </w:r>
      <w:r>
        <w:rPr>
          <w:rStyle w:val="8"/>
          <w:rFonts w:hint="eastAsia" w:ascii="仿宋" w:hAnsi="仿宋" w:eastAsia="仿宋" w:cs="Times New Roman"/>
          <w:b w:val="0"/>
          <w:bCs/>
          <w:color w:val="000000"/>
          <w:sz w:val="32"/>
          <w:szCs w:val="32"/>
        </w:rPr>
        <w:t>25.86</w:t>
      </w:r>
      <w:r>
        <w:rPr>
          <w:rStyle w:val="8"/>
          <w:rFonts w:hint="eastAsia" w:ascii="宋体" w:hAnsi="宋体" w:cs="宋体"/>
          <w:b w:val="0"/>
          <w:bCs/>
          <w:color w:val="000000"/>
          <w:sz w:val="32"/>
          <w:szCs w:val="32"/>
        </w:rPr>
        <w:t>万元</w:t>
      </w:r>
      <w:r>
        <w:rPr>
          <w:rStyle w:val="8"/>
          <w:rFonts w:hint="eastAsia" w:ascii="仿宋" w:hAnsi="仿宋" w:eastAsia="仿宋" w:cs="Times New Roman"/>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cs="Times New Roman"/>
          <w:b w:val="0"/>
          <w:bCs/>
          <w:color w:val="000000"/>
          <w:sz w:val="32"/>
          <w:szCs w:val="32"/>
        </w:rPr>
        <w:t>1.77%</w:t>
      </w:r>
    </w:p>
    <w:p>
      <w:pPr>
        <w:pStyle w:val="2"/>
        <w:rPr>
          <w:rStyle w:val="8"/>
          <w:rFonts w:hint="eastAsia" w:ascii="仿宋" w:hAnsi="仿宋" w:eastAsia="仿宋" w:cs="Times New Roman"/>
          <w:b w:val="0"/>
          <w:bCs/>
          <w:color w:val="000000"/>
          <w:sz w:val="32"/>
          <w:szCs w:val="32"/>
        </w:rPr>
      </w:pPr>
      <w:r>
        <w:rPr>
          <w:rStyle w:val="8"/>
          <w:rFonts w:hint="eastAsia" w:ascii="仿宋" w:hAnsi="仿宋" w:eastAsia="仿宋" w:cs="Times New Roman"/>
          <w:b w:val="0"/>
          <w:bCs/>
          <w:color w:val="000000"/>
          <w:sz w:val="32"/>
          <w:szCs w:val="32"/>
        </w:rPr>
        <w:t xml:space="preserve">  </w:t>
      </w:r>
      <w:r>
        <w:rPr>
          <w:rStyle w:val="8"/>
          <w:rFonts w:hint="eastAsia" w:ascii="宋体" w:hAnsi="宋体" w:cs="宋体"/>
          <w:b w:val="0"/>
          <w:bCs/>
          <w:color w:val="000000"/>
          <w:sz w:val="32"/>
          <w:szCs w:val="32"/>
        </w:rPr>
        <w:t>其他支出</w:t>
      </w:r>
      <w:r>
        <w:rPr>
          <w:rStyle w:val="8"/>
          <w:rFonts w:hint="eastAsia" w:ascii="仿宋" w:hAnsi="仿宋" w:eastAsia="仿宋" w:cs="Times New Roman"/>
          <w:b w:val="0"/>
          <w:bCs/>
          <w:color w:val="000000"/>
          <w:sz w:val="32"/>
          <w:szCs w:val="32"/>
        </w:rPr>
        <w:t>2299901:</w:t>
      </w:r>
      <w:r>
        <w:rPr>
          <w:rStyle w:val="8"/>
          <w:rFonts w:ascii="仿宋" w:hAnsi="仿宋" w:eastAsia="仿宋" w:cs="Times New Roman"/>
          <w:b w:val="0"/>
          <w:bCs/>
          <w:color w:val="000000"/>
          <w:sz w:val="32"/>
          <w:szCs w:val="32"/>
        </w:rPr>
        <w:t xml:space="preserve"> </w:t>
      </w:r>
      <w:r>
        <w:rPr>
          <w:rStyle w:val="8"/>
          <w:rFonts w:hint="eastAsia" w:ascii="宋体" w:hAnsi="宋体" w:cs="宋体"/>
          <w:b w:val="0"/>
          <w:bCs/>
          <w:color w:val="000000"/>
          <w:sz w:val="32"/>
          <w:szCs w:val="32"/>
        </w:rPr>
        <w:t>决算为</w:t>
      </w:r>
      <w:r>
        <w:rPr>
          <w:rStyle w:val="8"/>
          <w:rFonts w:hint="eastAsia" w:ascii="仿宋" w:hAnsi="仿宋" w:eastAsia="仿宋" w:cs="Times New Roman"/>
          <w:b w:val="0"/>
          <w:bCs/>
          <w:color w:val="000000"/>
          <w:sz w:val="32"/>
          <w:szCs w:val="32"/>
        </w:rPr>
        <w:t>31.97</w:t>
      </w:r>
      <w:r>
        <w:rPr>
          <w:rStyle w:val="8"/>
          <w:rFonts w:hint="eastAsia" w:ascii="宋体" w:hAnsi="宋体" w:cs="宋体"/>
          <w:b w:val="0"/>
          <w:bCs/>
          <w:color w:val="000000"/>
          <w:sz w:val="32"/>
          <w:szCs w:val="32"/>
        </w:rPr>
        <w:t>万元</w:t>
      </w:r>
      <w:r>
        <w:rPr>
          <w:rStyle w:val="8"/>
          <w:rFonts w:hint="eastAsia" w:ascii="仿宋" w:hAnsi="仿宋" w:eastAsia="仿宋" w:cs="Times New Roman"/>
          <w:b w:val="0"/>
          <w:bCs/>
          <w:color w:val="000000"/>
          <w:sz w:val="32"/>
          <w:szCs w:val="32"/>
        </w:rPr>
        <w:t>，</w:t>
      </w:r>
      <w:r>
        <w:rPr>
          <w:rStyle w:val="8"/>
          <w:rFonts w:hint="eastAsia" w:ascii="宋体" w:hAnsi="宋体" w:cs="宋体"/>
          <w:b w:val="0"/>
          <w:bCs/>
          <w:color w:val="000000"/>
          <w:sz w:val="32"/>
          <w:szCs w:val="32"/>
        </w:rPr>
        <w:t>占总</w:t>
      </w:r>
      <w:r>
        <w:rPr>
          <w:rFonts w:hint="eastAsia" w:ascii="宋体" w:hAnsi="宋体" w:cs="宋体"/>
          <w:sz w:val="32"/>
          <w:szCs w:val="32"/>
        </w:rPr>
        <w:t>支出</w:t>
      </w:r>
      <w:r>
        <w:rPr>
          <w:rStyle w:val="8"/>
          <w:rFonts w:hint="eastAsia" w:ascii="仿宋" w:hAnsi="仿宋" w:eastAsia="仿宋" w:cs="Times New Roman"/>
          <w:b w:val="0"/>
          <w:bCs/>
          <w:color w:val="000000"/>
          <w:sz w:val="32"/>
          <w:szCs w:val="32"/>
        </w:rPr>
        <w:t>2.18%</w:t>
      </w:r>
    </w:p>
    <w:p>
      <w:pPr>
        <w:rPr>
          <w:rFonts w:hint="eastAsia"/>
        </w:rPr>
      </w:pPr>
      <w:r>
        <w:rPr>
          <w:rFonts w:hint="eastAsia"/>
        </w:rPr>
        <w:drawing>
          <wp:inline distT="0" distB="0" distL="0" distR="0">
            <wp:extent cx="5274310" cy="3076575"/>
            <wp:effectExtent l="19050" t="0" r="2159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rPr>
          <w:rFonts w:hint="eastAsia"/>
        </w:rPr>
      </w:pPr>
    </w:p>
    <w:p>
      <w:p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3．支出按经济分类科目分析。</w:t>
      </w:r>
    </w:p>
    <w:p>
      <w:pPr>
        <w:ind w:firstLine="566" w:firstLineChars="177"/>
        <w:rPr>
          <w:rFonts w:ascii="仿宋_GB2312" w:hAnsi="仿宋_GB2312" w:eastAsia="仿宋_GB2312"/>
          <w:sz w:val="32"/>
          <w:szCs w:val="32"/>
        </w:rPr>
      </w:pPr>
      <w:r>
        <w:rPr>
          <w:rFonts w:hint="eastAsia" w:ascii="仿宋_GB2312" w:hAnsi="仿宋_GB2312" w:eastAsia="仿宋_GB2312"/>
          <w:sz w:val="32"/>
          <w:szCs w:val="32"/>
        </w:rPr>
        <w:t>（1）“三公”经费支出情况：（1）因公出国（境）经费支出数为零；（2）公务接待费9997元，接待批次4次，接待总人数为199人，人均消费支出为50元；比上年减少1690元。（3）公务用车购置及运行维护费支出数71242.27元，比上年减少51295.71元。</w:t>
      </w:r>
    </w:p>
    <w:p>
      <w:pPr>
        <w:ind w:firstLine="566" w:firstLineChars="177"/>
        <w:rPr>
          <w:rFonts w:ascii="仿宋_GB2312" w:hAnsi="仿宋_GB2312" w:eastAsia="仿宋_GB2312"/>
          <w:sz w:val="32"/>
          <w:szCs w:val="32"/>
        </w:rPr>
      </w:pPr>
      <w:r>
        <w:rPr>
          <w:rFonts w:hint="eastAsia" w:ascii="仿宋_GB2312" w:hAnsi="仿宋_GB2312" w:eastAsia="仿宋_GB2312"/>
          <w:sz w:val="32"/>
          <w:szCs w:val="32"/>
        </w:rPr>
        <w:t>（2）会议费支出0元，比上年多0元，原因。</w:t>
      </w:r>
    </w:p>
    <w:p>
      <w:pPr>
        <w:snapToGrid w:val="0"/>
        <w:spacing w:line="520" w:lineRule="exact"/>
        <w:ind w:left="420" w:leftChars="200"/>
        <w:rPr>
          <w:rFonts w:ascii="仿宋_GB2312" w:hAnsi="仿宋_GB2312" w:eastAsia="仿宋_GB2312"/>
          <w:b/>
          <w:bCs/>
          <w:sz w:val="32"/>
          <w:szCs w:val="32"/>
        </w:rPr>
      </w:pPr>
      <w:r>
        <w:rPr>
          <w:rFonts w:hint="eastAsia" w:ascii="仿宋_GB2312" w:hAnsi="仿宋_GB2312" w:eastAsia="仿宋_GB2312"/>
          <w:b/>
          <w:bCs/>
          <w:sz w:val="32"/>
          <w:szCs w:val="32"/>
        </w:rPr>
        <w:t>4.财政拨款收入、支出分析。</w:t>
      </w:r>
    </w:p>
    <w:p>
      <w:pPr>
        <w:snapToGrid w:val="0"/>
        <w:spacing w:line="520" w:lineRule="exact"/>
        <w:ind w:left="420" w:leftChars="200"/>
        <w:rPr>
          <w:rFonts w:ascii="仿宋_GB2312" w:hAnsi="仿宋_GB2312" w:eastAsia="仿宋_GB2312"/>
          <w:sz w:val="32"/>
          <w:szCs w:val="32"/>
        </w:rPr>
      </w:pPr>
      <w:r>
        <w:rPr>
          <w:rFonts w:hint="eastAsia" w:ascii="仿宋_GB2312" w:hAnsi="仿宋_GB2312" w:eastAsia="仿宋_GB2312"/>
          <w:sz w:val="32"/>
          <w:szCs w:val="32"/>
        </w:rPr>
        <w:t>财政拨款收入为12075828.55元，</w:t>
      </w:r>
      <w:r>
        <w:rPr>
          <w:rFonts w:hint="eastAsia" w:ascii="宋体" w:hAnsi="宋体" w:cs="宋体"/>
          <w:sz w:val="32"/>
          <w:szCs w:val="32"/>
        </w:rPr>
        <w:t>占总收入的</w:t>
      </w:r>
      <w:r>
        <w:rPr>
          <w:rFonts w:hint="eastAsia" w:ascii="仿宋_GB2312" w:hAnsi="仿宋_GB2312" w:eastAsia="仿宋_GB2312"/>
          <w:sz w:val="32"/>
          <w:szCs w:val="32"/>
        </w:rPr>
        <w:t>100%；支出为13632286.73元，</w:t>
      </w:r>
      <w:r>
        <w:rPr>
          <w:rFonts w:hint="eastAsia" w:ascii="宋体" w:hAnsi="宋体" w:cs="宋体"/>
          <w:sz w:val="32"/>
          <w:szCs w:val="32"/>
        </w:rPr>
        <w:t>占总收入的</w:t>
      </w:r>
      <w:r>
        <w:rPr>
          <w:rFonts w:hint="eastAsia" w:ascii="仿宋_GB2312" w:hAnsi="仿宋_GB2312" w:eastAsia="仿宋_GB2312"/>
          <w:sz w:val="32"/>
          <w:szCs w:val="32"/>
        </w:rPr>
        <w:t>100%；其中：基本支出为2754909.22元，</w:t>
      </w:r>
      <w:r>
        <w:rPr>
          <w:rFonts w:hint="eastAsia" w:ascii="宋体" w:hAnsi="宋体" w:cs="宋体"/>
          <w:sz w:val="32"/>
          <w:szCs w:val="32"/>
        </w:rPr>
        <w:t>占总收入的</w:t>
      </w:r>
      <w:r>
        <w:rPr>
          <w:rFonts w:hint="eastAsia" w:ascii="仿宋_GB2312" w:hAnsi="仿宋_GB2312" w:eastAsia="仿宋_GB2312"/>
          <w:color w:val="000000"/>
          <w:sz w:val="32"/>
          <w:szCs w:val="32"/>
        </w:rPr>
        <w:t>22.81</w:t>
      </w:r>
      <w:r>
        <w:rPr>
          <w:rFonts w:hint="eastAsia" w:ascii="仿宋_GB2312" w:hAnsi="仿宋_GB2312" w:eastAsia="仿宋_GB2312"/>
          <w:sz w:val="32"/>
          <w:szCs w:val="32"/>
        </w:rPr>
        <w:t>%；包括人员经费2427064.32元，日常公用经费347844.9元；项目支出为10877377.51元（全部为行政事业类项目支出）。</w:t>
      </w:r>
    </w:p>
    <w:p>
      <w:pPr>
        <w:snapToGrid w:val="0"/>
        <w:spacing w:line="520" w:lineRule="exact"/>
        <w:ind w:left="420" w:leftChars="200"/>
        <w:rPr>
          <w:rFonts w:ascii="仿宋_GB2312" w:hAnsi="仿宋_GB2312" w:eastAsia="仿宋_GB2312"/>
          <w:b/>
          <w:bCs/>
          <w:sz w:val="32"/>
          <w:szCs w:val="32"/>
        </w:rPr>
      </w:pPr>
      <w:r>
        <w:rPr>
          <w:rFonts w:hint="eastAsia" w:ascii="仿宋_GB2312" w:hAnsi="仿宋_GB2312" w:eastAsia="仿宋_GB2312"/>
          <w:b/>
          <w:bCs/>
          <w:sz w:val="32"/>
          <w:szCs w:val="32"/>
        </w:rPr>
        <w:t>（三）年末结转和结余情况。</w:t>
      </w:r>
    </w:p>
    <w:p>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年末结转和结余为财政应返还1866797.97元，为项目资金。</w:t>
      </w:r>
    </w:p>
    <w:p>
      <w:pPr>
        <w:numPr>
          <w:ilvl w:val="0"/>
          <w:numId w:val="3"/>
        </w:num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当年预算执行中存在问题、原因及改进措施。</w:t>
      </w:r>
    </w:p>
    <w:p>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预算执行规范性不强，随意性过大，导致预算资金在执行及支出上与原有编制计划不符，没有强化对预算执行过程的管理和监督，致使偏离了批复的预算，在相关责任落实上跟进不力，影响力预算执行的流畅性和规范性。改进措施：强化对预算管理的重视程度，注重预算编制质量的提升，提升预算的执行力和控制力度。</w:t>
      </w:r>
    </w:p>
    <w:p>
      <w:pPr>
        <w:snapToGrid w:val="0"/>
        <w:spacing w:line="520" w:lineRule="exact"/>
        <w:ind w:firstLine="643" w:firstLineChars="200"/>
        <w:rPr>
          <w:rFonts w:ascii="仿宋_GB2312" w:hAnsi="仿宋_GB2312" w:eastAsia="仿宋_GB2312"/>
          <w:b/>
          <w:bCs/>
          <w:sz w:val="32"/>
          <w:szCs w:val="32"/>
        </w:rPr>
      </w:pPr>
      <w:bookmarkStart w:id="2" w:name="YS060103"/>
      <w:r>
        <w:rPr>
          <w:rFonts w:hint="eastAsia" w:ascii="仿宋_GB2312" w:hAnsi="仿宋_GB2312" w:eastAsia="仿宋_GB2312"/>
          <w:b/>
          <w:bCs/>
          <w:sz w:val="32"/>
          <w:szCs w:val="32"/>
        </w:rPr>
        <w:t>三、资产负债情况分析</w:t>
      </w:r>
    </w:p>
    <w:bookmarkEnd w:id="2"/>
    <w:p>
      <w:pPr>
        <w:ind w:firstLine="566" w:firstLineChars="177"/>
        <w:rPr>
          <w:rFonts w:ascii="仿宋_GB2312" w:hAnsi="仿宋_GB2312" w:eastAsia="仿宋_GB2312"/>
          <w:sz w:val="32"/>
          <w:szCs w:val="32"/>
        </w:rPr>
      </w:pPr>
      <w:r>
        <w:rPr>
          <w:rFonts w:hint="eastAsia" w:ascii="仿宋_GB2312" w:hAnsi="仿宋_GB2312" w:eastAsia="仿宋_GB2312"/>
          <w:sz w:val="32"/>
          <w:szCs w:val="32"/>
        </w:rPr>
        <w:t>本年期末资产总计为2094113.10元，比上年增加1288744.07元，增幅为160.02%，主要是年末结转结余资金财政应返还增加。固定资产</w:t>
      </w:r>
      <w:r>
        <w:rPr>
          <w:rFonts w:ascii="仿宋_GB2312" w:hAnsi="仿宋_GB2312" w:eastAsia="仿宋_GB2312"/>
          <w:sz w:val="32"/>
          <w:szCs w:val="32"/>
        </w:rPr>
        <w:t>200,134.97</w:t>
      </w:r>
      <w:r>
        <w:rPr>
          <w:rFonts w:hint="eastAsia" w:ascii="仿宋_GB2312" w:hAnsi="仿宋_GB2312" w:eastAsia="仿宋_GB2312"/>
          <w:sz w:val="32"/>
          <w:szCs w:val="32"/>
        </w:rPr>
        <w:t>元；本年末财政拨款结转结余1866797.97元，银行存款结余为27180.16元。年末资产合计2094113.10元。</w:t>
      </w:r>
    </w:p>
    <w:p>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hint="eastAsia" w:ascii="仿宋_GB2312" w:hAnsi="仿宋_GB2312" w:eastAsia="仿宋_GB2312"/>
          <w:b/>
          <w:bCs/>
          <w:sz w:val="32"/>
          <w:szCs w:val="32"/>
        </w:rPr>
        <w:t>一）资产负债结构情况。</w:t>
      </w:r>
    </w:p>
    <w:p>
      <w:pPr>
        <w:snapToGrid w:val="0"/>
        <w:spacing w:line="52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单位总资产主要为固定资产，固定资产额为</w:t>
      </w:r>
      <w:r>
        <w:rPr>
          <w:rFonts w:ascii="仿宋_GB2312" w:hAnsi="仿宋_GB2312" w:eastAsia="仿宋_GB2312"/>
          <w:sz w:val="32"/>
          <w:szCs w:val="32"/>
        </w:rPr>
        <w:t>200,134.97</w:t>
      </w:r>
      <w:r>
        <w:rPr>
          <w:rFonts w:hint="eastAsia" w:ascii="仿宋_GB2312" w:hAnsi="仿宋_GB2312" w:eastAsia="仿宋_GB2312"/>
          <w:sz w:val="32"/>
          <w:szCs w:val="32"/>
        </w:rPr>
        <w:t>元，与上年相比0元，</w:t>
      </w:r>
      <w:bookmarkStart w:id="3" w:name="YS060104"/>
    </w:p>
    <w:p>
      <w:pPr>
        <w:snapToGrid w:val="0"/>
        <w:spacing w:line="520" w:lineRule="exact"/>
        <w:ind w:firstLine="643" w:firstLineChars="200"/>
        <w:rPr>
          <w:rFonts w:ascii="仿宋_GB2312" w:hAnsi="仿宋_GB2312" w:eastAsia="仿宋_GB2312"/>
          <w:b/>
          <w:bCs/>
          <w:sz w:val="32"/>
          <w:szCs w:val="32"/>
        </w:rPr>
      </w:pPr>
      <w:r>
        <w:rPr>
          <w:rFonts w:hint="eastAsia" w:ascii="仿宋_GB2312" w:hAnsi="仿宋_GB2312" w:eastAsia="仿宋_GB2312"/>
          <w:b/>
          <w:bCs/>
          <w:sz w:val="32"/>
          <w:szCs w:val="32"/>
        </w:rPr>
        <w:t>四、本年度部门决算等财务工作开展情况</w:t>
      </w:r>
    </w:p>
    <w:bookmarkEnd w:id="3"/>
    <w:p>
      <w:pPr>
        <w:snapToGrid w:val="0"/>
        <w:rPr>
          <w:rFonts w:ascii="仿宋_GB2312" w:hAnsi="仿宋" w:eastAsia="仿宋_GB2312"/>
          <w:sz w:val="32"/>
          <w:szCs w:val="32"/>
        </w:rPr>
      </w:pPr>
      <w:r>
        <w:rPr>
          <w:rFonts w:hint="eastAsia" w:ascii="仿宋_GB2312" w:hAnsi="仿宋_GB2312" w:eastAsia="仿宋_GB2312" w:cs="Arial"/>
          <w:sz w:val="32"/>
          <w:szCs w:val="23"/>
        </w:rPr>
        <w:t>我</w:t>
      </w:r>
      <w:r>
        <w:rPr>
          <w:rFonts w:hint="eastAsia" w:ascii="宋体" w:hAnsi="宋体" w:cs="宋体"/>
          <w:sz w:val="32"/>
          <w:szCs w:val="23"/>
        </w:rPr>
        <w:t>局</w:t>
      </w:r>
      <w:r>
        <w:rPr>
          <w:rFonts w:ascii="仿宋_GB2312" w:hAnsi="仿宋_GB2312" w:eastAsia="仿宋_GB2312" w:cs="Arial"/>
          <w:sz w:val="32"/>
          <w:szCs w:val="23"/>
        </w:rPr>
        <w:t>在</w:t>
      </w:r>
      <w:r>
        <w:rPr>
          <w:rFonts w:hint="eastAsia" w:ascii="仿宋_GB2312" w:hAnsi="仿宋_GB2312" w:eastAsia="仿宋_GB2312" w:cs="Arial"/>
          <w:sz w:val="32"/>
          <w:szCs w:val="23"/>
        </w:rPr>
        <w:t>财务上进行</w:t>
      </w:r>
      <w:r>
        <w:rPr>
          <w:rFonts w:ascii="仿宋_GB2312" w:hAnsi="仿宋_GB2312" w:eastAsia="仿宋_GB2312"/>
          <w:sz w:val="32"/>
        </w:rPr>
        <w:t>合理</w:t>
      </w:r>
      <w:r>
        <w:rPr>
          <w:rFonts w:hint="eastAsia" w:ascii="仿宋_GB2312" w:hAnsi="仿宋_GB2312" w:eastAsia="仿宋_GB2312"/>
          <w:sz w:val="32"/>
        </w:rPr>
        <w:t>安排和运用</w:t>
      </w:r>
      <w:r>
        <w:rPr>
          <w:rFonts w:ascii="仿宋_GB2312" w:hAnsi="仿宋_GB2312" w:eastAsia="仿宋_GB2312"/>
          <w:sz w:val="32"/>
        </w:rPr>
        <w:t>，以“认真、严谨、细致</w:t>
      </w:r>
      <w:r>
        <w:rPr>
          <w:rFonts w:hint="eastAsia" w:ascii="仿宋_GB2312" w:hAnsi="仿宋_GB2312" w:eastAsia="仿宋_GB2312"/>
          <w:sz w:val="32"/>
        </w:rPr>
        <w:t>”精神，做好一切财务工作，</w:t>
      </w:r>
      <w:r>
        <w:rPr>
          <w:rFonts w:ascii="仿宋_GB2312" w:hAnsi="仿宋_GB2312" w:eastAsia="仿宋_GB2312"/>
          <w:sz w:val="32"/>
          <w:szCs w:val="21"/>
        </w:rPr>
        <w:t>财务“收支两条线”是所有财务工作都必须遵循的一个重要的财务纪律，就是所有的财务收入都必须入</w:t>
      </w:r>
      <w:r>
        <w:rPr>
          <w:rFonts w:hint="eastAsia" w:ascii="仿宋_GB2312" w:hAnsi="仿宋_GB2312" w:eastAsia="仿宋_GB2312"/>
          <w:sz w:val="32"/>
          <w:szCs w:val="21"/>
        </w:rPr>
        <w:t>单位</w:t>
      </w:r>
      <w:r>
        <w:rPr>
          <w:rFonts w:ascii="仿宋_GB2312" w:hAnsi="仿宋_GB2312" w:eastAsia="仿宋_GB2312"/>
          <w:sz w:val="32"/>
          <w:szCs w:val="21"/>
        </w:rPr>
        <w:t>统一的财务账务，所有的支出都必须按</w:t>
      </w:r>
      <w:r>
        <w:rPr>
          <w:rFonts w:hint="eastAsia" w:ascii="仿宋_GB2312" w:hAnsi="仿宋_GB2312" w:eastAsia="仿宋_GB2312"/>
          <w:sz w:val="32"/>
          <w:szCs w:val="21"/>
        </w:rPr>
        <w:t>单位</w:t>
      </w:r>
      <w:r>
        <w:rPr>
          <w:rFonts w:ascii="仿宋_GB2312" w:hAnsi="仿宋_GB2312" w:eastAsia="仿宋_GB2312"/>
          <w:sz w:val="32"/>
          <w:szCs w:val="21"/>
        </w:rPr>
        <w:t>事先规定的用款手续办理用款，涉及到财政性资金收支内容的还必须按国家财政性资金收支的规定办理预算外资金的财政专户交存、返还和资产购置、日常大宗消耗的政府采购。做好</w:t>
      </w:r>
      <w:r>
        <w:rPr>
          <w:rFonts w:hint="eastAsia" w:ascii="仿宋_GB2312" w:hAnsi="仿宋_GB2312" w:eastAsia="仿宋_GB2312"/>
          <w:sz w:val="32"/>
          <w:szCs w:val="21"/>
        </w:rPr>
        <w:t>单位</w:t>
      </w:r>
      <w:r>
        <w:rPr>
          <w:rFonts w:ascii="仿宋_GB2312" w:hAnsi="仿宋_GB2312" w:eastAsia="仿宋_GB2312"/>
          <w:sz w:val="32"/>
          <w:szCs w:val="21"/>
        </w:rPr>
        <w:t>的财务票据管理工作就是做好了财务“收支两条线”的源头控制工作</w:t>
      </w:r>
      <w:r>
        <w:rPr>
          <w:rFonts w:hint="eastAsia" w:ascii="仿宋_GB2312" w:hAnsi="仿宋_GB2312" w:eastAsia="仿宋_GB2312"/>
          <w:sz w:val="32"/>
          <w:szCs w:val="21"/>
        </w:rPr>
        <w:t>。</w:t>
      </w:r>
      <w:r>
        <w:rPr>
          <w:rFonts w:ascii="仿宋_GB2312" w:hAnsi="仿宋_GB2312" w:eastAsia="仿宋_GB2312"/>
          <w:sz w:val="32"/>
          <w:szCs w:val="32"/>
        </w:rPr>
        <w:br w:type="page"/>
      </w:r>
      <w:r>
        <w:rPr>
          <w:rFonts w:ascii="仿宋_GB2312" w:hAnsi="仿宋" w:eastAsia="仿宋_GB2312"/>
          <w:sz w:val="32"/>
          <w:szCs w:val="32"/>
        </w:rPr>
        <w:br w:type="page"/>
      </w:r>
      <w:r>
        <w:rPr>
          <w:rFonts w:hint="eastAsia" w:ascii="仿宋_GB2312" w:hAnsi="仿宋" w:eastAsia="仿宋_GB2312"/>
          <w:sz w:val="32"/>
          <w:szCs w:val="32"/>
        </w:rPr>
        <w:t>附：</w:t>
      </w:r>
    </w:p>
    <w:p>
      <w:pPr>
        <w:snapToGrid w:val="0"/>
        <w:ind w:firstLine="640" w:firstLineChars="200"/>
        <w:jc w:val="center"/>
        <w:rPr>
          <w:rFonts w:ascii="华文中宋" w:hAnsi="华文中宋" w:eastAsia="华文中宋"/>
          <w:sz w:val="32"/>
          <w:szCs w:val="32"/>
        </w:rPr>
      </w:pPr>
    </w:p>
    <w:p>
      <w:pPr>
        <w:snapToGrid w:val="0"/>
        <w:ind w:firstLine="640" w:firstLineChars="200"/>
        <w:jc w:val="center"/>
        <w:rPr>
          <w:rFonts w:ascii="华文中宋" w:hAnsi="华文中宋" w:eastAsia="华文中宋"/>
          <w:sz w:val="32"/>
          <w:szCs w:val="32"/>
        </w:rPr>
      </w:pPr>
      <w:r>
        <w:rPr>
          <w:rFonts w:hint="eastAsia" w:ascii="华文中宋" w:hAnsi="华文中宋" w:eastAsia="华文中宋"/>
          <w:sz w:val="32"/>
          <w:szCs w:val="32"/>
        </w:rPr>
        <w:t>行政事业单位财务分析指标</w:t>
      </w:r>
    </w:p>
    <w:p>
      <w:pPr>
        <w:snapToGrid w:val="0"/>
        <w:ind w:firstLine="640" w:firstLineChars="200"/>
        <w:rPr>
          <w:rFonts w:ascii="仿宋_GB2312" w:hAnsi="仿宋" w:eastAsia="仿宋_GB2312"/>
          <w:sz w:val="32"/>
          <w:szCs w:val="32"/>
        </w:rPr>
      </w:pPr>
    </w:p>
    <w:p>
      <w:pPr>
        <w:snapToGrid w:val="0"/>
        <w:ind w:firstLine="640" w:firstLineChars="200"/>
        <w:rPr>
          <w:rFonts w:ascii="黑体" w:hAnsi="黑体" w:eastAsia="黑体"/>
          <w:sz w:val="32"/>
          <w:szCs w:val="32"/>
        </w:rPr>
      </w:pPr>
      <w:r>
        <w:rPr>
          <w:rFonts w:hint="eastAsia" w:ascii="黑体" w:hAnsi="黑体" w:eastAsia="黑体"/>
          <w:sz w:val="32"/>
          <w:szCs w:val="32"/>
        </w:rPr>
        <w:t>一、行政单位财务分析指标</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1.支出增长率，衡量行政单位支出的增长水平。计算公式为：</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支出增长率＝(本期支出总额÷上期支出总额-1)×100%</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2.当年预算支出完成率，衡量行政单位当年支出总预算及分项预算完成的程度。计算公式为：</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当年预算支出完成率＝年终执行数÷（年初预算数±年中预算调整数）×100%</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年终执行数不含上年结转和结余支出数。</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3.人均开支，衡量行政单位人均年消耗经费水平。计算公式为：</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人均开支＝本期支出数÷本期平均在职人员数×100%</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4.项目支出占总支出的比率，衡量行政单位的支出结构。计算公式为：</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项目支出比率=本期项目支出数÷本期支出总数×100%</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5.人员支出、公用支出占总支出的比率，衡量行政单位的支出结构。计算公式为：</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人员支出比率=本期人员支出数÷本期支出总数×100%</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公用支出比率=本期公用支出数÷本期支出总数×100%</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6.人均办公使用面积，衡量行政单位办公用房配备情况。计算公式为：</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人均办公使用面积=本期末单位办公用房使用面积÷本期末在职人员数</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7.人车比例，衡量行政单位公务用车配备情况。计算公式为：</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人车比例=本期末在职人员数÷本期末公务用车实有数:1</w:t>
      </w:r>
    </w:p>
    <w:p>
      <w:pPr>
        <w:snapToGrid w:val="0"/>
        <w:ind w:firstLine="640" w:firstLineChars="200"/>
        <w:rPr>
          <w:rFonts w:ascii="仿宋_GB2312" w:hAnsi="仿宋" w:eastAsia="仿宋_GB2312"/>
          <w:sz w:val="32"/>
          <w:szCs w:val="32"/>
        </w:rPr>
      </w:pPr>
    </w:p>
    <w:p>
      <w:pPr>
        <w:snapToGrid w:val="0"/>
        <w:ind w:firstLine="640" w:firstLineChars="200"/>
        <w:rPr>
          <w:rFonts w:ascii="黑体" w:hAnsi="黑体" w:eastAsia="黑体"/>
          <w:sz w:val="32"/>
          <w:szCs w:val="32"/>
        </w:rPr>
      </w:pPr>
      <w:r>
        <w:rPr>
          <w:rFonts w:hint="eastAsia" w:ascii="黑体" w:hAnsi="黑体" w:eastAsia="黑体"/>
          <w:sz w:val="32"/>
          <w:szCs w:val="32"/>
        </w:rPr>
        <w:t>二、事业单位财务分析指标</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1.预算收入和支出完成率，衡量事业单位收入和支出总预算及分项预算完成的程度。计算公式为：</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预算收入完成率＝年终执行数÷（年初预算数±年中预算调整数）×100%</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年终执行数不含上年结转和结余收入数</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预算支出完成率＝年终执行数÷（年初预算数±年中预算调整数）×100%</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年终执行数不含上年结转和结余支出数</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2.人员支出、公用支出占事业支出的比率，衡量事业单位事业支出结构。计算公式为：</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人员支出比率＝人员支出÷事业支出×100%</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公用支出比率＝公用支出÷事业支出×100%</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3.人均基本支出，衡量事业单位按照实际在编人数平均的基本支出水平。计算公式为：</w:t>
      </w:r>
    </w:p>
    <w:p>
      <w:pPr>
        <w:snapToGrid w:val="0"/>
        <w:ind w:firstLine="640" w:firstLineChars="200"/>
        <w:rPr>
          <w:rFonts w:ascii="仿宋_GB2312" w:hAnsi="仿宋" w:eastAsia="仿宋_GB2312"/>
          <w:b/>
          <w:sz w:val="32"/>
          <w:szCs w:val="32"/>
        </w:rPr>
      </w:pPr>
      <w:r>
        <w:rPr>
          <w:rFonts w:hint="eastAsia" w:ascii="仿宋_GB2312" w:hAnsi="仿宋" w:eastAsia="仿宋_GB2312"/>
          <w:sz w:val="32"/>
          <w:szCs w:val="32"/>
        </w:rPr>
        <w:t>人均基本支出＝（基本支出-离退休人员支出）÷实际在编人数</w:t>
      </w:r>
    </w:p>
    <w:p>
      <w:pPr>
        <w:snapToGrid w:val="0"/>
        <w:ind w:firstLine="640" w:firstLineChars="200"/>
        <w:rPr>
          <w:rFonts w:ascii="仿宋_GB2312" w:hAnsi="仿宋" w:eastAsia="仿宋_GB2312"/>
          <w:sz w:val="32"/>
          <w:szCs w:val="32"/>
        </w:rPr>
      </w:pP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t>此外，行业事业单位还可根据相关财务制度规定和分析需要增加相关分析指标，如：</w:t>
      </w:r>
    </w:p>
    <w:p>
      <w:pPr>
        <w:ind w:firstLine="707" w:firstLineChars="221"/>
        <w:rPr>
          <w:rFonts w:ascii="仿宋_GB2312" w:hAnsi="仿宋" w:eastAsia="仿宋_GB2312"/>
          <w:sz w:val="32"/>
          <w:szCs w:val="32"/>
        </w:rPr>
      </w:pPr>
      <w:r>
        <w:rPr>
          <w:rFonts w:hint="eastAsia" w:ascii="仿宋_GB2312" w:hAnsi="仿宋" w:eastAsia="仿宋_GB2312"/>
          <w:sz w:val="32"/>
          <w:szCs w:val="32"/>
        </w:rPr>
        <w:t>1.财政拨款依存度, 衡量部门（单位）对财政拨款的依赖程度。</w:t>
      </w:r>
    </w:p>
    <w:p>
      <w:pPr>
        <w:widowControl/>
        <w:ind w:firstLine="640" w:firstLineChars="200"/>
        <w:textAlignment w:val="center"/>
        <w:rPr>
          <w:color w:val="0000FF"/>
        </w:rPr>
      </w:pPr>
      <w:r>
        <w:rPr>
          <w:rFonts w:hint="eastAsia" w:ascii="仿宋_GB2312" w:hAnsi="仿宋" w:eastAsia="仿宋_GB2312"/>
          <w:sz w:val="32"/>
          <w:szCs w:val="32"/>
        </w:rPr>
        <w:t>财政拨款依存度＝财政拨款收入÷收入总额×100%</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Malgun Gothic Semilight">
    <w:altName w:val="宋体"/>
    <w:panose1 w:val="020B0502040204020203"/>
    <w:charset w:val="86"/>
    <w:family w:val="swiss"/>
    <w:pitch w:val="default"/>
    <w:sig w:usb0="00000000" w:usb1="00000000" w:usb2="00000012" w:usb3="00000000" w:csb0="003E01BD"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88DF12"/>
    <w:multiLevelType w:val="singleLevel"/>
    <w:tmpl w:val="BF88DF12"/>
    <w:lvl w:ilvl="0" w:tentative="0">
      <w:start w:val="4"/>
      <w:numFmt w:val="chineseCounting"/>
      <w:suff w:val="nothing"/>
      <w:lvlText w:val="（%1）"/>
      <w:lvlJc w:val="left"/>
      <w:rPr>
        <w:rFonts w:hint="eastAsia"/>
      </w:rPr>
    </w:lvl>
  </w:abstractNum>
  <w:abstractNum w:abstractNumId="1">
    <w:nsid w:val="E4161080"/>
    <w:multiLevelType w:val="singleLevel"/>
    <w:tmpl w:val="E4161080"/>
    <w:lvl w:ilvl="0" w:tentative="0">
      <w:start w:val="1"/>
      <w:numFmt w:val="decimal"/>
      <w:suff w:val="nothing"/>
      <w:lvlText w:val="%1．"/>
      <w:lvlJc w:val="left"/>
    </w:lvl>
  </w:abstractNum>
  <w:abstractNum w:abstractNumId="2">
    <w:nsid w:val="54279A04"/>
    <w:multiLevelType w:val="singleLevel"/>
    <w:tmpl w:val="54279A04"/>
    <w:lvl w:ilvl="0" w:tentative="0">
      <w:start w:val="1"/>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DEF"/>
    <w:rsid w:val="00022AED"/>
    <w:rsid w:val="00097548"/>
    <w:rsid w:val="00244EF4"/>
    <w:rsid w:val="0030074F"/>
    <w:rsid w:val="0037617E"/>
    <w:rsid w:val="00397D87"/>
    <w:rsid w:val="003A2C66"/>
    <w:rsid w:val="003A6ED5"/>
    <w:rsid w:val="003D15AE"/>
    <w:rsid w:val="003D7970"/>
    <w:rsid w:val="00423F45"/>
    <w:rsid w:val="00473705"/>
    <w:rsid w:val="005F4716"/>
    <w:rsid w:val="006A65DD"/>
    <w:rsid w:val="006B6E33"/>
    <w:rsid w:val="006C1F4D"/>
    <w:rsid w:val="00741E6B"/>
    <w:rsid w:val="00836722"/>
    <w:rsid w:val="00844412"/>
    <w:rsid w:val="008C6F77"/>
    <w:rsid w:val="008F3257"/>
    <w:rsid w:val="00913ED9"/>
    <w:rsid w:val="00915968"/>
    <w:rsid w:val="00A10977"/>
    <w:rsid w:val="00A30051"/>
    <w:rsid w:val="00BD7DEF"/>
    <w:rsid w:val="00C0431A"/>
    <w:rsid w:val="00CE3D0F"/>
    <w:rsid w:val="00D2606D"/>
    <w:rsid w:val="00D83E34"/>
    <w:rsid w:val="00DB6A54"/>
    <w:rsid w:val="00EF5698"/>
    <w:rsid w:val="00FC5F20"/>
    <w:rsid w:val="00FE05DA"/>
    <w:rsid w:val="02126852"/>
    <w:rsid w:val="111F7999"/>
    <w:rsid w:val="1AA533D9"/>
    <w:rsid w:val="23C80C72"/>
    <w:rsid w:val="46F051E1"/>
    <w:rsid w:val="48536D1A"/>
    <w:rsid w:val="55944CBE"/>
    <w:rsid w:val="581D49FE"/>
    <w:rsid w:val="5F0E7032"/>
    <w:rsid w:val="6C830F74"/>
    <w:rsid w:val="6E7D57A6"/>
    <w:rsid w:val="74402821"/>
    <w:rsid w:val="74736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sz w:val="24"/>
    </w:rPr>
  </w:style>
  <w:style w:type="paragraph" w:styleId="3">
    <w:name w:val="Body Text"/>
    <w:basedOn w:val="1"/>
    <w:qFormat/>
    <w:uiPriority w:val="0"/>
    <w:pPr>
      <w:spacing w:beforeLines="30"/>
    </w:pPr>
    <w:rPr>
      <w:rFonts w:ascii="仿宋_GB2312" w:eastAsia="仿宋_GB2312"/>
      <w:sz w:val="30"/>
    </w:rPr>
  </w:style>
  <w:style w:type="paragraph" w:styleId="4">
    <w:name w:val="Balloon Text"/>
    <w:basedOn w:val="1"/>
    <w:link w:val="9"/>
    <w:uiPriority w:val="0"/>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customStyle="1" w:styleId="9">
    <w:name w:val="批注框文本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solidFill>
                      <a:prstDash val="solid"/>
                      <a:round/>
                    </a:ln>
                    <a:effectLst/>
                  </c:spPr>
                </c15:leaderLines>
              </c:ext>
            </c:extLst>
          </c:dLbls>
          <c:cat>
            <c:strRef>
              <c:f>Sheet1!$A$2:$A$3</c:f>
              <c:strCache>
                <c:ptCount val="2"/>
                <c:pt idx="0">
                  <c:v>预算收入</c:v>
                </c:pt>
                <c:pt idx="1">
                  <c:v>预算支出</c:v>
                </c:pt>
              </c:strCache>
            </c:strRef>
          </c:cat>
          <c:val>
            <c:numRef>
              <c:f>Sheet1!$B$2:$B$3</c:f>
              <c:numCache>
                <c:formatCode>General</c:formatCode>
                <c:ptCount val="2"/>
                <c:pt idx="0">
                  <c:v>432.55</c:v>
                </c:pt>
                <c:pt idx="1">
                  <c:v>371.23</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solidFill>
                      <a:prstDash val="solid"/>
                      <a:round/>
                    </a:ln>
                    <a:effectLst/>
                  </c:spPr>
                </c15:leaderLines>
              </c:ext>
            </c:extLst>
          </c:dLbls>
          <c:cat>
            <c:strRef>
              <c:f>Sheet1!$A$2:$A$3</c:f>
              <c:strCache>
                <c:ptCount val="2"/>
                <c:pt idx="0">
                  <c:v>预算收入</c:v>
                </c:pt>
                <c:pt idx="1">
                  <c:v>预算支出</c:v>
                </c:pt>
              </c:strCache>
            </c:strRef>
          </c:cat>
          <c:val>
            <c:numRef>
              <c:f>Sheet1!$C$2:$C$3</c:f>
              <c:numCache>
                <c:formatCode>General</c:formatCode>
                <c:ptCount val="2"/>
                <c:pt idx="0">
                  <c:v>403.67</c:v>
                </c:pt>
                <c:pt idx="1">
                  <c:v>179.63</c:v>
                </c:pt>
              </c:numCache>
            </c:numRef>
          </c:val>
        </c:ser>
        <c:dLbls>
          <c:showLegendKey val="0"/>
          <c:showVal val="1"/>
          <c:showCatName val="0"/>
          <c:showSerName val="0"/>
          <c:showPercent val="0"/>
          <c:showBubbleSize val="0"/>
        </c:dLbls>
        <c:gapWidth val="150"/>
        <c:axId val="187618048"/>
        <c:axId val="187619584"/>
      </c:barChart>
      <c:catAx>
        <c:axId val="187618048"/>
        <c:scaling>
          <c:orientation val="minMax"/>
        </c:scaling>
        <c:delete val="0"/>
        <c:axPos val="b"/>
        <c:numFmt formatCode="General" sourceLinked="1"/>
        <c:majorTickMark val="out"/>
        <c:minorTickMark val="none"/>
        <c:tickLblPos val="nextTo"/>
        <c:spPr>
          <a:noFill/>
          <a:ln w="6350" cap="flat" cmpd="sng" algn="ctr">
            <a:solidFill>
              <a:schemeClr val="tx1">
                <a:lumMod val="50000"/>
                <a:lumOff val="50000"/>
              </a:scheme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87619584"/>
        <c:crosses val="autoZero"/>
        <c:auto val="1"/>
        <c:lblAlgn val="ctr"/>
        <c:lblOffset val="100"/>
        <c:noMultiLvlLbl val="0"/>
      </c:catAx>
      <c:valAx>
        <c:axId val="187619584"/>
        <c:scaling>
          <c:orientation val="minMax"/>
        </c:scaling>
        <c:delete val="0"/>
        <c:axPos val="l"/>
        <c:majorGridlines>
          <c:spPr>
            <a:ln w="6350" cap="flat" cmpd="sng" algn="ctr">
              <a:solidFill>
                <a:schemeClr val="tx1">
                  <a:lumMod val="50000"/>
                  <a:lumOff val="50000"/>
                </a:schemeClr>
              </a:solidFill>
              <a:prstDash val="solid"/>
              <a:round/>
            </a:ln>
            <a:effectLst/>
          </c:spPr>
        </c:majorGridlines>
        <c:numFmt formatCode="General" sourceLinked="1"/>
        <c:majorTickMark val="out"/>
        <c:minorTickMark val="none"/>
        <c:tickLblPos val="nextTo"/>
        <c:spPr>
          <a:noFill/>
          <a:ln w="6350" cap="flat" cmpd="sng" algn="ctr">
            <a:solidFill>
              <a:schemeClr val="tx1">
                <a:lumMod val="50000"/>
                <a:lumOff val="50000"/>
              </a:scheme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87618048"/>
        <c:crosses val="autoZero"/>
        <c:crossBetween val="between"/>
      </c:valAx>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solidFill>
                      <a:prstDash val="solid"/>
                      <a:round/>
                    </a:ln>
                    <a:effectLst/>
                  </c:spPr>
                </c15:leaderLines>
              </c:ext>
            </c:extLst>
          </c:dLbls>
          <c:cat>
            <c:strRef>
              <c:f>Sheet1!$A$2:$A$3</c:f>
              <c:strCache>
                <c:ptCount val="2"/>
                <c:pt idx="0">
                  <c:v>调整预算收入</c:v>
                </c:pt>
                <c:pt idx="1">
                  <c:v>调整预算支出</c:v>
                </c:pt>
              </c:strCache>
            </c:strRef>
          </c:cat>
          <c:val>
            <c:numRef>
              <c:f>Sheet1!$B$2:$B$3</c:f>
              <c:numCache>
                <c:formatCode>General</c:formatCode>
                <c:ptCount val="2"/>
                <c:pt idx="0">
                  <c:v>432.54</c:v>
                </c:pt>
                <c:pt idx="1">
                  <c:v>179.63</c:v>
                </c:pt>
              </c:numCache>
            </c:numRef>
          </c:val>
        </c:ser>
        <c:ser>
          <c:idx val="1"/>
          <c:order val="1"/>
          <c:tx>
            <c:strRef>
              <c:f>Sheet1!$C$1</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solidFill>
                      <a:prstDash val="solid"/>
                      <a:round/>
                    </a:ln>
                    <a:effectLst/>
                  </c:spPr>
                </c15:leaderLines>
              </c:ext>
            </c:extLst>
          </c:dLbls>
          <c:cat>
            <c:strRef>
              <c:f>Sheet1!$A$2:$A$3</c:f>
              <c:strCache>
                <c:ptCount val="2"/>
                <c:pt idx="0">
                  <c:v>调整预算收入</c:v>
                </c:pt>
                <c:pt idx="1">
                  <c:v>调整预算支出</c:v>
                </c:pt>
              </c:strCache>
            </c:strRef>
          </c:cat>
          <c:val>
            <c:numRef>
              <c:f>Sheet1!$C$2:$C$3</c:f>
              <c:numCache>
                <c:formatCode>General</c:formatCode>
                <c:ptCount val="2"/>
                <c:pt idx="0">
                  <c:v>1308.75</c:v>
                </c:pt>
                <c:pt idx="1">
                  <c:v>1651.08</c:v>
                </c:pt>
              </c:numCache>
            </c:numRef>
          </c:val>
        </c:ser>
        <c:dLbls>
          <c:showLegendKey val="0"/>
          <c:showVal val="1"/>
          <c:showCatName val="0"/>
          <c:showSerName val="0"/>
          <c:showPercent val="0"/>
          <c:showBubbleSize val="0"/>
        </c:dLbls>
        <c:gapWidth val="150"/>
        <c:axId val="188812672"/>
        <c:axId val="188822656"/>
      </c:barChart>
      <c:catAx>
        <c:axId val="188812672"/>
        <c:scaling>
          <c:orientation val="minMax"/>
        </c:scaling>
        <c:delete val="0"/>
        <c:axPos val="b"/>
        <c:numFmt formatCode="General" sourceLinked="1"/>
        <c:majorTickMark val="out"/>
        <c:minorTickMark val="none"/>
        <c:tickLblPos val="nextTo"/>
        <c:spPr>
          <a:noFill/>
          <a:ln w="6350" cap="flat" cmpd="sng" algn="ctr">
            <a:solidFill>
              <a:schemeClr val="tx1">
                <a:lumMod val="50000"/>
                <a:lumOff val="50000"/>
              </a:scheme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88822656"/>
        <c:crosses val="autoZero"/>
        <c:auto val="1"/>
        <c:lblAlgn val="ctr"/>
        <c:lblOffset val="100"/>
        <c:noMultiLvlLbl val="0"/>
      </c:catAx>
      <c:valAx>
        <c:axId val="188822656"/>
        <c:scaling>
          <c:orientation val="minMax"/>
        </c:scaling>
        <c:delete val="0"/>
        <c:axPos val="l"/>
        <c:majorGridlines>
          <c:spPr>
            <a:ln w="6350" cap="flat" cmpd="sng" algn="ctr">
              <a:solidFill>
                <a:schemeClr val="tx1">
                  <a:lumMod val="50000"/>
                  <a:lumOff val="50000"/>
                </a:schemeClr>
              </a:solidFill>
              <a:prstDash val="solid"/>
              <a:round/>
            </a:ln>
            <a:effectLst/>
          </c:spPr>
        </c:majorGridlines>
        <c:numFmt formatCode="General" sourceLinked="1"/>
        <c:majorTickMark val="out"/>
        <c:minorTickMark val="none"/>
        <c:tickLblPos val="nextTo"/>
        <c:spPr>
          <a:noFill/>
          <a:ln w="6350" cap="flat" cmpd="sng" algn="ctr">
            <a:solidFill>
              <a:schemeClr val="tx1">
                <a:lumMod val="50000"/>
                <a:lumOff val="50000"/>
              </a:scheme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88812672"/>
        <c:crosses val="autoZero"/>
        <c:crossBetween val="between"/>
      </c:valAx>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收入支出预决对比分析图</c:v>
                </c:pt>
              </c:strCache>
            </c:strRef>
          </c:tx>
          <c:spPr>
            <a:effectLst/>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olidFill>
                      <a:prstDash val="solid"/>
                      <a:round/>
                    </a:ln>
                    <a:effectLst/>
                  </c:spPr>
                </c15:leaderLines>
              </c:ext>
            </c:extLst>
          </c:dLbls>
          <c:cat>
            <c:strRef>
              <c:f>Sheet1!$A$2:$A$5</c:f>
              <c:strCache>
                <c:ptCount val="4"/>
                <c:pt idx="0">
                  <c:v>预算收入</c:v>
                </c:pt>
                <c:pt idx="1">
                  <c:v>决算收入</c:v>
                </c:pt>
                <c:pt idx="2">
                  <c:v>预算支出</c:v>
                </c:pt>
                <c:pt idx="3">
                  <c:v>决算支出</c:v>
                </c:pt>
              </c:strCache>
            </c:strRef>
          </c:cat>
          <c:val>
            <c:numRef>
              <c:f>Sheet1!$B$2:$B$5</c:f>
              <c:numCache>
                <c:formatCode>General</c:formatCode>
                <c:ptCount val="4"/>
                <c:pt idx="0">
                  <c:v>403.66</c:v>
                </c:pt>
                <c:pt idx="1">
                  <c:v>1308.75</c:v>
                </c:pt>
                <c:pt idx="2">
                  <c:v>403.66</c:v>
                </c:pt>
                <c:pt idx="3">
                  <c:v>1464.4</c:v>
                </c:pt>
              </c:numCache>
            </c:numRef>
          </c:val>
        </c:ser>
        <c:dLbls>
          <c:showLegendKey val="0"/>
          <c:showVal val="1"/>
          <c:showCatName val="0"/>
          <c:showSerName val="0"/>
          <c:showPercent val="0"/>
          <c:showBubbleSize val="0"/>
          <c:showLeaderLines val="1"/>
        </c:dLbls>
        <c:firstSliceAng val="15"/>
      </c:pieChart>
      <c:spPr>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0674685409086686"/>
          <c:y val="0.213932517565145"/>
          <c:w val="0.448533931452645"/>
          <c:h val="0.591898995371678"/>
        </c:manualLayout>
      </c:layout>
      <c:pieChart>
        <c:varyColors val="1"/>
        <c:ser>
          <c:idx val="0"/>
          <c:order val="0"/>
          <c:tx>
            <c:strRef>
              <c:f>'Sheet1'!$B$1</c:f>
              <c:strCache>
                <c:ptCount val="1"/>
                <c:pt idx="0">
                  <c:v>预决支出分析图</c:v>
                </c:pt>
              </c:strCache>
            </c:strRef>
          </c:tx>
          <c:spPr>
            <a:effectLst/>
          </c:spPr>
          <c:explosion val="0"/>
          <c:dPt>
            <c:idx val="0"/>
            <c:bubble3D val="0"/>
            <c:spPr>
              <a:solidFill>
                <a:schemeClr val="accent1">
                  <a:shade val="76667"/>
                </a:schemeClr>
              </a:solidFill>
              <a:ln>
                <a:noFill/>
              </a:ln>
              <a:effectLst/>
            </c:spPr>
          </c:dPt>
          <c:dPt>
            <c:idx val="1"/>
            <c:bubble3D val="0"/>
            <c:spPr>
              <a:solidFill>
                <a:schemeClr val="accent2">
                  <a:shade val="76667"/>
                </a:schemeClr>
              </a:solidFill>
              <a:ln>
                <a:noFill/>
              </a:ln>
              <a:effectLst/>
            </c:spPr>
          </c:dPt>
          <c:dPt>
            <c:idx val="2"/>
            <c:bubble3D val="0"/>
            <c:spPr>
              <a:solidFill>
                <a:schemeClr val="accent3">
                  <a:shade val="76667"/>
                </a:schemeClr>
              </a:solidFill>
              <a:ln>
                <a:noFill/>
              </a:ln>
              <a:effectLst/>
            </c:spPr>
          </c:dPt>
          <c:dPt>
            <c:idx val="3"/>
            <c:bubble3D val="0"/>
            <c:spPr>
              <a:solidFill>
                <a:schemeClr val="accent4">
                  <a:shade val="76667"/>
                </a:schemeClr>
              </a:solidFill>
              <a:ln>
                <a:noFill/>
              </a:ln>
              <a:effectLst/>
            </c:spPr>
          </c:dPt>
          <c:dPt>
            <c:idx val="4"/>
            <c:bubble3D val="0"/>
            <c:spPr>
              <a:solidFill>
                <a:schemeClr val="accent5">
                  <a:shade val="76667"/>
                </a:schemeClr>
              </a:solidFill>
              <a:ln>
                <a:noFill/>
              </a:ln>
              <a:effectLst/>
            </c:spPr>
          </c:dPt>
          <c:dPt>
            <c:idx val="5"/>
            <c:bubble3D val="0"/>
            <c:spPr>
              <a:solidFill>
                <a:schemeClr val="accent6">
                  <a:shade val="76667"/>
                </a:schemeClr>
              </a:solidFill>
              <a:ln>
                <a:noFill/>
              </a:ln>
              <a:effectLst/>
            </c:spPr>
          </c:dPt>
          <c:dPt>
            <c:idx val="6"/>
            <c:bubble3D val="0"/>
            <c:spPr>
              <a:solidFill>
                <a:schemeClr val="accent1">
                  <a:tint val="76667"/>
                </a:schemeClr>
              </a:solidFill>
              <a:ln>
                <a:noFill/>
              </a:ln>
              <a:effectLst/>
            </c:spPr>
          </c:dPt>
          <c:dPt>
            <c:idx val="7"/>
            <c:bubble3D val="0"/>
            <c:spPr>
              <a:solidFill>
                <a:schemeClr val="accent2">
                  <a:tint val="76667"/>
                </a:schemeClr>
              </a:solidFill>
              <a:ln>
                <a:noFill/>
              </a:ln>
              <a:effectLst/>
            </c:spPr>
          </c:dPt>
          <c:dPt>
            <c:idx val="8"/>
            <c:bubble3D val="0"/>
            <c:spPr>
              <a:solidFill>
                <a:schemeClr val="accent3">
                  <a:tint val="76667"/>
                </a:schemeClr>
              </a:solidFill>
              <a:ln>
                <a:noFill/>
              </a:ln>
              <a:effectLst/>
            </c:spPr>
          </c:dPt>
          <c:dPt>
            <c:idx val="9"/>
            <c:bubble3D val="0"/>
            <c:spPr>
              <a:solidFill>
                <a:schemeClr val="accent4">
                  <a:tint val="76667"/>
                </a:schemeClr>
              </a:solidFill>
              <a:ln>
                <a:noFill/>
              </a:ln>
              <a:effectLst/>
            </c:spPr>
          </c:dPt>
          <c:dPt>
            <c:idx val="10"/>
            <c:bubble3D val="0"/>
            <c:spPr>
              <a:solidFill>
                <a:schemeClr val="accent5">
                  <a:tint val="76667"/>
                </a:schemeClr>
              </a:solidFill>
              <a:ln>
                <a:noFill/>
              </a:ln>
              <a:effectLst/>
            </c:spPr>
          </c:dPt>
          <c:dPt>
            <c:idx val="11"/>
            <c:bubble3D val="0"/>
            <c:spPr>
              <a:solidFill>
                <a:schemeClr val="accent6">
                  <a:tint val="76667"/>
                </a:schemeClr>
              </a:solidFill>
              <a:ln>
                <a:noFill/>
              </a:ln>
              <a:effectLst/>
            </c:spPr>
          </c:dPt>
          <c:dLbls>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olidFill>
                      <a:prstDash val="solid"/>
                      <a:round/>
                    </a:ln>
                    <a:effectLst/>
                  </c:spPr>
                </c15:leaderLines>
              </c:ext>
            </c:extLst>
          </c:dLbls>
          <c:cat>
            <c:strRef>
              <c:f>'Sheet1'!$A$2:$A$13</c:f>
              <c:strCache>
                <c:ptCount val="12"/>
                <c:pt idx="0">
                  <c:v>预算一般公共服务支出</c:v>
                </c:pt>
                <c:pt idx="1">
                  <c:v>决算一般公共服务支出</c:v>
                </c:pt>
                <c:pt idx="2">
                  <c:v>预算社会保障和就业支出</c:v>
                </c:pt>
                <c:pt idx="3">
                  <c:v>决算社会保障和就业支出</c:v>
                </c:pt>
                <c:pt idx="4">
                  <c:v>预算医疗卫生与计划生育支出</c:v>
                </c:pt>
                <c:pt idx="5">
                  <c:v>决算医疗卫生与计划生育支出</c:v>
                </c:pt>
                <c:pt idx="6">
                  <c:v>预算住房保障支出</c:v>
                </c:pt>
                <c:pt idx="7">
                  <c:v>预算住房保障支出</c:v>
                </c:pt>
                <c:pt idx="8">
                  <c:v>预算基本支出</c:v>
                </c:pt>
                <c:pt idx="9">
                  <c:v>决算基本支出</c:v>
                </c:pt>
                <c:pt idx="10">
                  <c:v>预算项目支出</c:v>
                </c:pt>
                <c:pt idx="11">
                  <c:v>决算项目支出</c:v>
                </c:pt>
              </c:strCache>
            </c:strRef>
          </c:cat>
          <c:val>
            <c:numRef>
              <c:f>'Sheet1'!$B$2:$B$13</c:f>
              <c:numCache>
                <c:formatCode>General</c:formatCode>
                <c:ptCount val="12"/>
                <c:pt idx="0">
                  <c:v>299.6</c:v>
                </c:pt>
                <c:pt idx="1">
                  <c:v>1185.83</c:v>
                </c:pt>
                <c:pt idx="2">
                  <c:v>55.18</c:v>
                </c:pt>
                <c:pt idx="3">
                  <c:v>43.43</c:v>
                </c:pt>
                <c:pt idx="4">
                  <c:v>17.68</c:v>
                </c:pt>
                <c:pt idx="5">
                  <c:v>20.79</c:v>
                </c:pt>
                <c:pt idx="6">
                  <c:v>31.2</c:v>
                </c:pt>
                <c:pt idx="7">
                  <c:v>25.86</c:v>
                </c:pt>
                <c:pt idx="8">
                  <c:v>375.9</c:v>
                </c:pt>
                <c:pt idx="9">
                  <c:v>376.66</c:v>
                </c:pt>
                <c:pt idx="10">
                  <c:v>27.77</c:v>
                </c:pt>
                <c:pt idx="11">
                  <c:v>1087.74</c:v>
                </c:pt>
              </c:numCache>
            </c:numRef>
          </c:val>
        </c:ser>
        <c:dLbls>
          <c:showLegendKey val="0"/>
          <c:showVal val="1"/>
          <c:showCatName val="0"/>
          <c:showSerName val="0"/>
          <c:showPercent val="0"/>
          <c:showBubbleSize val="0"/>
          <c:showLeaderLines val="1"/>
        </c:dLbls>
        <c:firstSliceAng val="15"/>
      </c:pieChart>
      <c:spPr>
        <a:ln>
          <a:noFill/>
        </a:ln>
        <a:effectLst/>
      </c:spPr>
    </c:plotArea>
    <c:legend>
      <c:legendPos val="r"/>
      <c:layout>
        <c:manualLayout>
          <c:xMode val="edge"/>
          <c:yMode val="edge"/>
          <c:x val="0.67015533785462"/>
          <c:y val="0.22410733326801"/>
          <c:w val="0.32984466214538"/>
          <c:h val="0.77589266673199"/>
        </c:manualLayout>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收人</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Pt>
            <c:idx val="14"/>
            <c:bubble3D val="0"/>
          </c:dPt>
          <c:dPt>
            <c:idx val="1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Sheet1!$A$2:$A$17</c:f>
              <c:strCache>
                <c:ptCount val="16"/>
                <c:pt idx="0">
                  <c:v>行政运行</c:v>
                </c:pt>
                <c:pt idx="1">
                  <c:v>事业运行</c:v>
                </c:pt>
                <c:pt idx="2">
                  <c:v>一般行政管理事务</c:v>
                </c:pt>
                <c:pt idx="3">
                  <c:v>民族工作专项</c:v>
                </c:pt>
                <c:pt idx="4">
                  <c:v>其他民族事务支出</c:v>
                </c:pt>
                <c:pt idx="5">
                  <c:v>其他一般公共服务支出</c:v>
                </c:pt>
                <c:pt idx="6">
                  <c:v>机关事业单位基本养老保险缴费支出</c:v>
                </c:pt>
                <c:pt idx="7">
                  <c:v>机关事业单位职业年金缴费支出</c:v>
                </c:pt>
                <c:pt idx="8">
                  <c:v>行政单位医疗</c:v>
                </c:pt>
                <c:pt idx="9">
                  <c:v>事业单位医疗</c:v>
                </c:pt>
                <c:pt idx="10">
                  <c:v>公务员医疗补助</c:v>
                </c:pt>
                <c:pt idx="11">
                  <c:v>其他行政事业单位医疗支出</c:v>
                </c:pt>
                <c:pt idx="12">
                  <c:v>生产发展</c:v>
                </c:pt>
                <c:pt idx="13">
                  <c:v>其他扶贫支出</c:v>
                </c:pt>
                <c:pt idx="14">
                  <c:v>住房公积金</c:v>
                </c:pt>
                <c:pt idx="15">
                  <c:v>其他支出</c:v>
                </c:pt>
              </c:strCache>
            </c:strRef>
          </c:cat>
          <c:val>
            <c:numRef>
              <c:f>Sheet1!$B$2:$B$17</c:f>
              <c:numCache>
                <c:formatCode>0.00%</c:formatCode>
                <c:ptCount val="16"/>
                <c:pt idx="0">
                  <c:v>0.1546</c:v>
                </c:pt>
                <c:pt idx="1">
                  <c:v>0.0614</c:v>
                </c:pt>
                <c:pt idx="2">
                  <c:v>0.0077</c:v>
                </c:pt>
                <c:pt idx="3">
                  <c:v>0.0111</c:v>
                </c:pt>
                <c:pt idx="4">
                  <c:v>0.0076</c:v>
                </c:pt>
                <c:pt idx="5">
                  <c:v>0.5423</c:v>
                </c:pt>
                <c:pt idx="6">
                  <c:v>0.0228</c:v>
                </c:pt>
                <c:pt idx="7">
                  <c:v>0.0104</c:v>
                </c:pt>
                <c:pt idx="8">
                  <c:v>0.0102</c:v>
                </c:pt>
                <c:pt idx="9">
                  <c:v>0.0028</c:v>
                </c:pt>
                <c:pt idx="10">
                  <c:v>0.0022</c:v>
                </c:pt>
                <c:pt idx="11">
                  <c:v>0.0073</c:v>
                </c:pt>
                <c:pt idx="12">
                  <c:v>0.0076</c:v>
                </c:pt>
                <c:pt idx="13">
                  <c:v>0.112</c:v>
                </c:pt>
                <c:pt idx="14">
                  <c:v>0.0198</c:v>
                </c:pt>
                <c:pt idx="15">
                  <c:v>0.0267</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Pt>
            <c:idx val="14"/>
            <c:bubble3D val="0"/>
          </c:dPt>
          <c:dPt>
            <c:idx val="15"/>
            <c:bubble3D val="0"/>
          </c:dPt>
          <c:dPt>
            <c:idx val="16"/>
            <c:bubble3D val="0"/>
          </c:dPt>
          <c:dPt>
            <c:idx val="17"/>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Sheet1!$A$2:$A$19</c:f>
              <c:strCache>
                <c:ptCount val="18"/>
                <c:pt idx="0">
                  <c:v>行政运行</c:v>
                </c:pt>
                <c:pt idx="1">
                  <c:v>事业运行</c:v>
                </c:pt>
                <c:pt idx="2">
                  <c:v>一般行政管理事务</c:v>
                </c:pt>
                <c:pt idx="3">
                  <c:v>民族工作专项</c:v>
                </c:pt>
                <c:pt idx="4">
                  <c:v>其他民族事务支出</c:v>
                </c:pt>
                <c:pt idx="5">
                  <c:v>其他一般公共服务支出</c:v>
                </c:pt>
                <c:pt idx="6">
                  <c:v>机关事业单位基本养老保险缴费支出</c:v>
                </c:pt>
                <c:pt idx="7">
                  <c:v>机关事业单位职业年金缴费支出</c:v>
                </c:pt>
                <c:pt idx="8">
                  <c:v>行政单位医疗</c:v>
                </c:pt>
                <c:pt idx="9">
                  <c:v>事业单位医疗</c:v>
                </c:pt>
                <c:pt idx="10">
                  <c:v>公务员医疗补助</c:v>
                </c:pt>
                <c:pt idx="11">
                  <c:v>其他行政事业单位医疗支出</c:v>
                </c:pt>
                <c:pt idx="12">
                  <c:v>生产发展</c:v>
                </c:pt>
                <c:pt idx="13">
                  <c:v>其他扶贫支出</c:v>
                </c:pt>
                <c:pt idx="14">
                  <c:v>住房公积金</c:v>
                </c:pt>
                <c:pt idx="15">
                  <c:v>其他支出</c:v>
                </c:pt>
                <c:pt idx="16">
                  <c:v>宗教事务</c:v>
                </c:pt>
                <c:pt idx="17">
                  <c:v>其他统战事务</c:v>
                </c:pt>
              </c:strCache>
            </c:strRef>
          </c:cat>
          <c:val>
            <c:numRef>
              <c:f>Sheet1!$B$2:$B$19</c:f>
              <c:numCache>
                <c:formatCode>0.00%</c:formatCode>
                <c:ptCount val="18"/>
                <c:pt idx="0">
                  <c:v>0.1409</c:v>
                </c:pt>
                <c:pt idx="1">
                  <c:v>0.0548</c:v>
                </c:pt>
                <c:pt idx="2">
                  <c:v>0.0216</c:v>
                </c:pt>
                <c:pt idx="3">
                  <c:v>0.0464</c:v>
                </c:pt>
                <c:pt idx="4">
                  <c:v>0.155</c:v>
                </c:pt>
                <c:pt idx="5">
                  <c:v>0.3742</c:v>
                </c:pt>
                <c:pt idx="6">
                  <c:v>0.0203</c:v>
                </c:pt>
                <c:pt idx="7">
                  <c:v>0.0093</c:v>
                </c:pt>
                <c:pt idx="8">
                  <c:v>0.0091</c:v>
                </c:pt>
                <c:pt idx="9">
                  <c:v>0.0025</c:v>
                </c:pt>
                <c:pt idx="10">
                  <c:v>0.0019</c:v>
                </c:pt>
                <c:pt idx="11">
                  <c:v>0.0065</c:v>
                </c:pt>
                <c:pt idx="12">
                  <c:v>0.0068</c:v>
                </c:pt>
                <c:pt idx="13">
                  <c:v>0.1001</c:v>
                </c:pt>
                <c:pt idx="14">
                  <c:v>0.0177</c:v>
                </c:pt>
                <c:pt idx="15">
                  <c:v>0.0218</c:v>
                </c:pt>
                <c:pt idx="16">
                  <c:v>0.0066</c:v>
                </c:pt>
                <c:pt idx="17">
                  <c:v>0.0103</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3327</Words>
  <Characters>1083</Characters>
  <Lines>9</Lines>
  <Paragraphs>8</Paragraphs>
  <TotalTime>0</TotalTime>
  <ScaleCrop>false</ScaleCrop>
  <LinksUpToDate>false</LinksUpToDate>
  <CharactersWithSpaces>4402</CharactersWithSpaces>
  <Application>WPS Office_11.1.0.9141_F1E327BC-269C-435d-A152-05C5408002CA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2019-09-04T14:45:00Z</dcterms:created>
  <dc:creator>admin</dc:creator>
  <cp:lastModifiedBy>Administrator</cp:lastModifiedBy>
  <dcterms:modified xsi:type="dcterms:W3CDTF">2021-12-02T04:42:40Z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2052-11.1.0.9141</vt:lpwstr>
  </property>
</Properties>
</file>