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480" w:lineRule="exact"/>
        <w:ind w:firstLine="600" w:firstLineChars="200"/>
        <w:rPr>
          <w:rFonts w:ascii="仿宋" w:eastAsia="仿宋"/>
          <w:sz w:val="30"/>
          <w:szCs w:val="30"/>
        </w:rPr>
      </w:pPr>
      <w:bookmarkStart w:id="0" w:name="_GoBack"/>
      <w:bookmarkEnd w:id="0"/>
    </w:p>
    <w:p>
      <w:pPr>
        <w:pStyle w:val="8"/>
        <w:spacing w:line="480" w:lineRule="exact"/>
        <w:ind w:firstLine="600" w:firstLineChars="200"/>
        <w:rPr>
          <w:rFonts w:ascii="仿宋" w:eastAsia="仿宋"/>
          <w:sz w:val="30"/>
          <w:szCs w:val="30"/>
        </w:rPr>
      </w:pPr>
    </w:p>
    <w:p>
      <w:pPr>
        <w:pStyle w:val="8"/>
        <w:spacing w:line="480" w:lineRule="exact"/>
        <w:ind w:firstLine="600" w:firstLineChars="200"/>
        <w:rPr>
          <w:rFonts w:ascii="仿宋" w:eastAsia="仿宋"/>
          <w:sz w:val="30"/>
          <w:szCs w:val="30"/>
        </w:rPr>
      </w:pPr>
    </w:p>
    <w:p>
      <w:pPr>
        <w:pStyle w:val="8"/>
        <w:spacing w:line="480" w:lineRule="exact"/>
        <w:ind w:firstLine="600" w:firstLineChars="200"/>
        <w:rPr>
          <w:rFonts w:ascii="仿宋" w:eastAsia="仿宋"/>
          <w:sz w:val="30"/>
          <w:szCs w:val="30"/>
        </w:rPr>
      </w:pPr>
    </w:p>
    <w:p>
      <w:pPr>
        <w:pStyle w:val="8"/>
        <w:spacing w:line="480" w:lineRule="exact"/>
        <w:rPr>
          <w:rFonts w:ascii="仿宋_GB2312" w:hAnsi="仿宋_GB2312" w:eastAsia="仿宋_GB2312"/>
          <w:sz w:val="30"/>
          <w:szCs w:val="30"/>
        </w:rPr>
      </w:pPr>
    </w:p>
    <w:p>
      <w:pPr>
        <w:tabs>
          <w:tab w:val="left" w:pos="7920"/>
          <w:tab w:val="left" w:pos="8100"/>
        </w:tabs>
        <w:spacing w:line="560" w:lineRule="exact"/>
        <w:rPr>
          <w:rFonts w:ascii="仿宋_GB2312" w:eastAsia="仿宋_GB2312"/>
          <w:sz w:val="24"/>
        </w:rPr>
      </w:pPr>
    </w:p>
    <w:p>
      <w:pPr>
        <w:keepNext w:val="0"/>
        <w:keepLines w:val="0"/>
        <w:pageBreakBefore w:val="0"/>
        <w:widowControl w:val="0"/>
        <w:tabs>
          <w:tab w:val="left" w:pos="7920"/>
          <w:tab w:val="left" w:pos="8100"/>
        </w:tabs>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ascii="楷体" w:hAnsi="楷体" w:eastAsia="楷体"/>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红财〔20</w:t>
      </w:r>
      <w:r>
        <w:rPr>
          <w:rFonts w:hint="eastAsia" w:ascii="仿宋_GB2312" w:eastAsia="仿宋_GB2312"/>
          <w:sz w:val="32"/>
          <w:szCs w:val="32"/>
          <w:lang w:val="en-US" w:eastAsia="zh-CN"/>
        </w:rPr>
        <w:t>21</w:t>
      </w:r>
      <w:r>
        <w:rPr>
          <w:rFonts w:hint="eastAsia" w:ascii="仿宋_GB2312" w:eastAsia="仿宋_GB2312"/>
          <w:sz w:val="32"/>
          <w:szCs w:val="32"/>
        </w:rPr>
        <w:t>〕</w:t>
      </w:r>
      <w:r>
        <w:rPr>
          <w:rFonts w:hint="eastAsia" w:ascii="仿宋_GB2312" w:eastAsia="仿宋_GB2312"/>
          <w:sz w:val="32"/>
          <w:szCs w:val="32"/>
          <w:lang w:val="en-US" w:eastAsia="zh-CN"/>
        </w:rPr>
        <w:t>85</w:t>
      </w:r>
      <w:r>
        <w:rPr>
          <w:rFonts w:hint="eastAsia" w:ascii="仿宋_GB2312" w:eastAsia="仿宋_GB2312"/>
          <w:sz w:val="32"/>
          <w:szCs w:val="32"/>
        </w:rPr>
        <w:t xml:space="preserve">号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签发人：</w:t>
      </w:r>
      <w:r>
        <w:rPr>
          <w:rFonts w:hint="eastAsia" w:ascii="楷体" w:hAnsi="楷体" w:eastAsia="楷体"/>
          <w:b/>
          <w:sz w:val="32"/>
          <w:szCs w:val="32"/>
        </w:rPr>
        <w:t>欧小明</w:t>
      </w:r>
    </w:p>
    <w:p>
      <w:pPr>
        <w:spacing w:line="540" w:lineRule="exact"/>
        <w:rPr>
          <w:rFonts w:ascii="方正小标宋简体" w:hAnsi="方正小标宋简体" w:eastAsia="方正小标宋简体" w:cs="方正小标宋简体"/>
          <w:color w:val="000000" w:themeColor="text1"/>
          <w:kern w:val="0"/>
          <w:sz w:val="18"/>
          <w:szCs w:val="18"/>
          <w14:textFill>
            <w14:solidFill>
              <w14:schemeClr w14:val="tx1"/>
            </w14:solidFill>
          </w14:textFill>
        </w:rPr>
      </w:pPr>
    </w:p>
    <w:p>
      <w:pPr>
        <w:spacing w:line="540" w:lineRule="exact"/>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红原县财政局</w:t>
      </w:r>
    </w:p>
    <w:p>
      <w:pPr>
        <w:spacing w:line="540" w:lineRule="exact"/>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关于提请审议《红原县202</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1</w:t>
      </w: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年财政预算</w:t>
      </w: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中期</w:t>
      </w:r>
    </w:p>
    <w:p>
      <w:pPr>
        <w:spacing w:line="540" w:lineRule="exact"/>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调整方案（草案）》的请示</w:t>
      </w:r>
    </w:p>
    <w:p>
      <w:pPr>
        <w:spacing w:line="540" w:lineRule="exact"/>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县人民政府：</w:t>
      </w:r>
    </w:p>
    <w:p>
      <w:pPr>
        <w:spacing w:line="540" w:lineRule="exact"/>
        <w:ind w:firstLine="640"/>
        <w:rPr>
          <w:rFonts w:ascii="仿宋_GB2312" w:hAnsi="仿宋_GB2312" w:eastAsia="仿宋_GB2312" w:cs="仿宋_GB2312"/>
          <w:spacing w:val="0"/>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pacing w:val="0"/>
          <w:sz w:val="32"/>
          <w:szCs w:val="32"/>
        </w:rPr>
        <w:t>进一步落实我县经济和社会发展目标任务，根据《预算法》的规定，结合我县202</w:t>
      </w: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rPr>
        <w:t>年财政预算执行实际情况，按照“统筹兼顾、收支平衡”的原则，县财政局编制了《红原县202</w:t>
      </w: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rPr>
        <w:t>年财政预算</w:t>
      </w:r>
      <w:r>
        <w:rPr>
          <w:rFonts w:hint="eastAsia" w:ascii="仿宋_GB2312" w:hAnsi="仿宋_GB2312" w:eastAsia="仿宋_GB2312" w:cs="仿宋_GB2312"/>
          <w:spacing w:val="0"/>
          <w:sz w:val="32"/>
          <w:szCs w:val="32"/>
          <w:lang w:eastAsia="zh-CN"/>
        </w:rPr>
        <w:t>中期</w:t>
      </w:r>
      <w:r>
        <w:rPr>
          <w:rFonts w:hint="eastAsia" w:ascii="仿宋_GB2312" w:hAnsi="仿宋_GB2312" w:eastAsia="仿宋_GB2312" w:cs="仿宋_GB2312"/>
          <w:spacing w:val="0"/>
          <w:sz w:val="32"/>
          <w:szCs w:val="32"/>
        </w:rPr>
        <w:t>调整方案（草案）》，现将方案提请县政府常务会审议。</w:t>
      </w:r>
    </w:p>
    <w:p>
      <w:pPr>
        <w:spacing w:line="54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特此请示。</w:t>
      </w:r>
    </w:p>
    <w:p>
      <w:pPr>
        <w:spacing w:line="540" w:lineRule="exact"/>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                            </w:t>
      </w:r>
    </w:p>
    <w:p>
      <w:pPr>
        <w:spacing w:line="540" w:lineRule="exact"/>
        <w:ind w:firstLine="640" w:firstLineChars="200"/>
        <w:rPr>
          <w:rFonts w:ascii="仿宋_GB2312" w:hAnsi="仿宋_GB2312" w:eastAsia="仿宋_GB2312" w:cs="仿宋_GB2312"/>
          <w:color w:val="333333"/>
          <w:sz w:val="32"/>
          <w:szCs w:val="32"/>
          <w:shd w:val="clear" w:color="auto" w:fill="FFFFFF"/>
        </w:rPr>
      </w:pP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sz w:val="32"/>
          <w:szCs w:val="32"/>
        </w:rPr>
        <w:t>红原县财政局</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p>
    <w:p>
      <w:pPr>
        <w:spacing w:line="540" w:lineRule="exact"/>
        <w:jc w:val="center"/>
        <w:rPr>
          <w:rFonts w:ascii="方正小标宋简体" w:hAnsi="方正小标宋简体" w:eastAsia="方正小标宋简体" w:cs="方正小标宋简体"/>
          <w:sz w:val="44"/>
          <w:szCs w:val="44"/>
        </w:rPr>
        <w:sectPr>
          <w:footerReference r:id="rId3" w:type="default"/>
          <w:pgSz w:w="11906" w:h="16838"/>
          <w:pgMar w:top="2098" w:right="1531" w:bottom="1701" w:left="1531" w:header="851" w:footer="992" w:gutter="0"/>
          <w:pgNumType w:fmt="numberInDash" w:start="1"/>
          <w:cols w:space="0" w:num="1"/>
          <w:docGrid w:type="lines" w:linePitch="318" w:charSpace="0"/>
        </w:sect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红原县202</w:t>
      </w:r>
      <w:r>
        <w:rPr>
          <w:rFonts w:hint="eastAsia" w:ascii="方正小标宋简体" w:hAnsi="方正小标宋简体" w:eastAsia="方正小标宋简体" w:cs="方正小标宋简体"/>
          <w:sz w:val="44"/>
          <w:szCs w:val="44"/>
          <w:lang w:val="en-US" w:eastAsia="zh-CN"/>
        </w:rPr>
        <w:t>1</w:t>
      </w:r>
      <w:r>
        <w:rPr>
          <w:rFonts w:hint="eastAsia" w:ascii="方正小标宋简体" w:hAnsi="方正小标宋简体" w:eastAsia="方正小标宋简体" w:cs="方正小标宋简体"/>
          <w:sz w:val="44"/>
          <w:szCs w:val="44"/>
        </w:rPr>
        <w:t>年财政预算</w:t>
      </w:r>
      <w:r>
        <w:rPr>
          <w:rFonts w:hint="eastAsia" w:ascii="方正小标宋简体" w:hAnsi="方正小标宋简体" w:eastAsia="方正小标宋简体" w:cs="方正小标宋简体"/>
          <w:sz w:val="44"/>
          <w:szCs w:val="44"/>
          <w:lang w:eastAsia="zh-CN"/>
        </w:rPr>
        <w:t>中期</w:t>
      </w:r>
      <w:r>
        <w:rPr>
          <w:rFonts w:hint="eastAsia" w:ascii="方正小标宋简体" w:hAnsi="方正小标宋简体" w:eastAsia="方正小标宋简体" w:cs="方正小标宋简体"/>
          <w:sz w:val="44"/>
          <w:szCs w:val="44"/>
        </w:rPr>
        <w:t>调整方案（草案）</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hAnsi="方正小标宋简体" w:eastAsia="方正小标宋简体" w:cs="方正小标宋简体"/>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left"/>
        <w:textAlignment w:val="auto"/>
        <w:outlineLvl w:val="9"/>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 xml:space="preserve">    根据《预算法》第六十七条“在执行中需要增加或者减少预算总支出的，需要调入预算稳定调节基金的，需要增加举借债务数额的，应当进行预算调整，编制预算调整方案，提请同级人民代表大会常务委员会审查和批准”的规定，现将我县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年财政收支预算在</w:t>
      </w:r>
      <w:r>
        <w:rPr>
          <w:rFonts w:hint="eastAsia" w:ascii="仿宋_GB2312" w:hAnsi="方正仿宋简体" w:eastAsia="仿宋_GB2312" w:cs="方正仿宋简体"/>
          <w:sz w:val="32"/>
          <w:szCs w:val="32"/>
        </w:rPr>
        <w:t>县十四届人大第</w:t>
      </w:r>
      <w:r>
        <w:rPr>
          <w:rFonts w:hint="eastAsia" w:ascii="仿宋_GB2312" w:hAnsi="仿宋_GB2312" w:eastAsia="仿宋_GB2312" w:cs="仿宋_GB2312"/>
          <w:sz w:val="32"/>
          <w:szCs w:val="32"/>
          <w:lang w:val="en-US" w:eastAsia="zh-CN"/>
        </w:rPr>
        <w:t>五</w:t>
      </w:r>
      <w:r>
        <w:rPr>
          <w:rFonts w:hint="eastAsia" w:ascii="仿宋_GB2312" w:hAnsi="方正仿宋简体" w:eastAsia="仿宋_GB2312" w:cs="方正仿宋简体"/>
          <w:sz w:val="32"/>
          <w:szCs w:val="32"/>
        </w:rPr>
        <w:t>次会议批准的基础上调整如下</w:t>
      </w:r>
      <w:r>
        <w:rPr>
          <w:rFonts w:hint="eastAsia" w:ascii="仿宋_GB2312" w:hAnsi="方正仿宋简体" w:eastAsia="仿宋_GB2312" w:cs="方正仿宋简体"/>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一、202</w:t>
      </w:r>
      <w:r>
        <w:rPr>
          <w:rFonts w:hint="eastAsia" w:ascii="黑体" w:hAnsi="黑体" w:eastAsia="黑体" w:cs="黑体"/>
          <w:sz w:val="32"/>
          <w:szCs w:val="32"/>
          <w:lang w:val="en-US" w:eastAsia="zh-CN"/>
        </w:rPr>
        <w:t>1</w:t>
      </w:r>
      <w:r>
        <w:rPr>
          <w:rFonts w:hint="eastAsia" w:ascii="黑体" w:hAnsi="黑体" w:eastAsia="黑体" w:cs="黑体"/>
          <w:sz w:val="32"/>
          <w:szCs w:val="32"/>
        </w:rPr>
        <w:t>年地方政府债券举借规模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i w:val="0"/>
          <w:caps w:val="0"/>
          <w:color w:val="000000"/>
          <w:spacing w:val="0"/>
          <w:sz w:val="32"/>
          <w:szCs w:val="32"/>
          <w:shd w:val="clear" w:fill="FFFFFF"/>
          <w:lang w:val="en-US" w:eastAsia="zh-CN"/>
        </w:rPr>
        <w:t xml:space="preserve">    截止</w:t>
      </w:r>
      <w:r>
        <w:rPr>
          <w:rFonts w:hint="eastAsia" w:ascii="仿宋_GB2312" w:hAnsi="仿宋_GB2312" w:eastAsia="仿宋_GB2312" w:cs="仿宋_GB2312"/>
          <w:i w:val="0"/>
          <w:caps w:val="0"/>
          <w:color w:val="000000"/>
          <w:spacing w:val="0"/>
          <w:sz w:val="32"/>
          <w:szCs w:val="32"/>
          <w:shd w:val="clear" w:fill="FFFFFF"/>
        </w:rPr>
        <w:t>目前</w:t>
      </w:r>
      <w:r>
        <w:rPr>
          <w:rFonts w:hint="eastAsia" w:ascii="仿宋_GB2312" w:hAnsi="仿宋_GB2312" w:eastAsia="仿宋_GB2312" w:cs="仿宋_GB2312"/>
          <w:i w:val="0"/>
          <w:caps w:val="0"/>
          <w:color w:val="000000"/>
          <w:spacing w:val="0"/>
          <w:sz w:val="32"/>
          <w:szCs w:val="32"/>
          <w:shd w:val="clear" w:fill="FFFFFF"/>
          <w:lang w:val="en-US" w:eastAsia="zh-CN"/>
        </w:rPr>
        <w:t>，</w:t>
      </w:r>
      <w:r>
        <w:rPr>
          <w:rFonts w:hint="eastAsia" w:ascii="仿宋_GB2312" w:hAnsi="仿宋_GB2312" w:eastAsia="仿宋_GB2312" w:cs="仿宋_GB2312"/>
          <w:sz w:val="32"/>
          <w:szCs w:val="32"/>
          <w:lang w:val="zh-CN"/>
        </w:rPr>
        <w:t>我县</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lang w:val="zh-CN"/>
        </w:rPr>
        <w:t>新增再融资债券</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lang w:val="zh-CN"/>
        </w:rPr>
        <w:t>万元，按照财政部关于地方政府债券收入安排的支出纳入地方各级财政预算管理的要求，调增我县一般公共预算支出</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lang w:val="zh-CN"/>
        </w:rPr>
        <w:t>万元按规定全部用于偿还到期地方政府债券本金。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2020年末</w:t>
      </w:r>
      <w:r>
        <w:rPr>
          <w:rFonts w:hint="eastAsia" w:ascii="仿宋_GB2312" w:hAnsi="仿宋_GB2312" w:eastAsia="仿宋_GB2312" w:cs="仿宋_GB2312"/>
          <w:sz w:val="32"/>
          <w:szCs w:val="32"/>
          <w:lang w:val="zh-CN" w:eastAsia="zh-CN"/>
        </w:rPr>
        <w:t>我县</w:t>
      </w:r>
      <w:r>
        <w:rPr>
          <w:rFonts w:hint="eastAsia" w:ascii="仿宋_GB2312" w:hAnsi="仿宋_GB2312" w:eastAsia="仿宋_GB2312" w:cs="仿宋_GB2312"/>
          <w:sz w:val="32"/>
          <w:szCs w:val="32"/>
          <w:lang w:val="zh-CN"/>
        </w:rPr>
        <w:t>地方政府债务余额为</w:t>
      </w:r>
      <w:r>
        <w:rPr>
          <w:rFonts w:hint="eastAsia" w:ascii="仿宋_GB2312" w:hAnsi="仿宋_GB2312" w:eastAsia="仿宋_GB2312" w:cs="仿宋_GB2312"/>
          <w:sz w:val="32"/>
          <w:szCs w:val="32"/>
          <w:lang w:val="en-US" w:eastAsia="zh-CN"/>
        </w:rPr>
        <w:t>16231万</w:t>
      </w:r>
      <w:r>
        <w:rPr>
          <w:rFonts w:hint="eastAsia" w:ascii="仿宋_GB2312" w:hAnsi="仿宋_GB2312" w:eastAsia="仿宋_GB2312" w:cs="仿宋_GB2312"/>
          <w:sz w:val="32"/>
          <w:szCs w:val="32"/>
          <w:lang w:val="zh-CN"/>
        </w:rPr>
        <w:t>元，加上</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lang w:val="zh-CN" w:eastAsia="zh-CN"/>
        </w:rPr>
        <w:t>新增</w:t>
      </w:r>
      <w:r>
        <w:rPr>
          <w:rFonts w:hint="eastAsia" w:ascii="仿宋_GB2312" w:hAnsi="仿宋_GB2312" w:eastAsia="仿宋_GB2312" w:cs="仿宋_GB2312"/>
          <w:sz w:val="32"/>
          <w:szCs w:val="32"/>
          <w:lang w:val="zh-CN"/>
        </w:rPr>
        <w:t>再融资债券</w:t>
      </w:r>
      <w:r>
        <w:rPr>
          <w:rFonts w:hint="eastAsia" w:ascii="仿宋_GB2312" w:hAnsi="仿宋_GB2312" w:eastAsia="仿宋_GB2312" w:cs="仿宋_GB2312"/>
          <w:sz w:val="32"/>
          <w:szCs w:val="32"/>
          <w:lang w:val="en-US" w:eastAsia="zh-CN"/>
        </w:rPr>
        <w:t>1500万</w:t>
      </w:r>
      <w:r>
        <w:rPr>
          <w:rFonts w:hint="eastAsia" w:ascii="仿宋_GB2312" w:hAnsi="仿宋_GB2312" w:eastAsia="仿宋_GB2312" w:cs="仿宋_GB2312"/>
          <w:sz w:val="32"/>
          <w:szCs w:val="32"/>
          <w:lang w:val="zh-CN"/>
        </w:rPr>
        <w:t>元，</w:t>
      </w:r>
      <w:r>
        <w:rPr>
          <w:rFonts w:hint="eastAsia" w:ascii="仿宋_GB2312" w:hAnsi="仿宋_GB2312" w:eastAsia="仿宋_GB2312" w:cs="仿宋_GB2312"/>
          <w:i w:val="0"/>
          <w:caps w:val="0"/>
          <w:color w:val="000000"/>
          <w:spacing w:val="0"/>
          <w:sz w:val="32"/>
          <w:szCs w:val="32"/>
          <w:shd w:val="clear" w:fill="FFFFFF"/>
        </w:rPr>
        <w:t>减去偿还到期地方政府债务</w:t>
      </w:r>
      <w:r>
        <w:rPr>
          <w:rFonts w:hint="eastAsia" w:ascii="仿宋_GB2312" w:hAnsi="仿宋_GB2312" w:eastAsia="仿宋_GB2312" w:cs="仿宋_GB2312"/>
          <w:i w:val="0"/>
          <w:caps w:val="0"/>
          <w:color w:val="000000"/>
          <w:spacing w:val="0"/>
          <w:sz w:val="32"/>
          <w:szCs w:val="32"/>
          <w:shd w:val="clear" w:fill="FFFFFF"/>
          <w:lang w:val="en-US" w:eastAsia="zh-CN"/>
        </w:rPr>
        <w:t>1500</w:t>
      </w:r>
      <w:r>
        <w:rPr>
          <w:rFonts w:hint="eastAsia" w:ascii="仿宋_GB2312" w:hAnsi="仿宋_GB2312" w:eastAsia="仿宋_GB2312" w:cs="仿宋_GB2312"/>
          <w:i w:val="0"/>
          <w:caps w:val="0"/>
          <w:color w:val="000000"/>
          <w:spacing w:val="0"/>
          <w:sz w:val="32"/>
          <w:szCs w:val="32"/>
          <w:shd w:val="clear" w:fill="FFFFFF"/>
          <w:lang w:eastAsia="zh-CN"/>
        </w:rPr>
        <w:t>万</w:t>
      </w:r>
      <w:r>
        <w:rPr>
          <w:rFonts w:hint="eastAsia" w:ascii="仿宋_GB2312" w:hAnsi="仿宋_GB2312" w:eastAsia="仿宋_GB2312" w:cs="仿宋_GB2312"/>
          <w:i w:val="0"/>
          <w:caps w:val="0"/>
          <w:color w:val="000000"/>
          <w:spacing w:val="0"/>
          <w:sz w:val="32"/>
          <w:szCs w:val="32"/>
          <w:shd w:val="clear" w:fill="FFFFFF"/>
        </w:rPr>
        <w:t>元，</w:t>
      </w:r>
      <w:r>
        <w:rPr>
          <w:rFonts w:hint="eastAsia" w:ascii="仿宋_GB2312" w:hAnsi="仿宋_GB2312" w:eastAsia="仿宋_GB2312" w:cs="仿宋_GB2312"/>
          <w:i w:val="0"/>
          <w:caps w:val="0"/>
          <w:color w:val="000000"/>
          <w:spacing w:val="0"/>
          <w:sz w:val="32"/>
          <w:szCs w:val="32"/>
          <w:shd w:val="clear" w:fill="FFFFFF"/>
          <w:lang w:eastAsia="zh-CN"/>
        </w:rPr>
        <w:t>全县</w:t>
      </w:r>
      <w:r>
        <w:rPr>
          <w:rFonts w:hint="eastAsia" w:ascii="仿宋_GB2312" w:hAnsi="仿宋_GB2312" w:eastAsia="仿宋_GB2312" w:cs="仿宋_GB2312"/>
          <w:i w:val="0"/>
          <w:caps w:val="0"/>
          <w:color w:val="000000"/>
          <w:spacing w:val="0"/>
          <w:sz w:val="32"/>
          <w:szCs w:val="32"/>
          <w:shd w:val="clear" w:fill="FFFFFF"/>
        </w:rPr>
        <w:t>地方政府债务余额</w:t>
      </w:r>
      <w:r>
        <w:rPr>
          <w:rFonts w:hint="eastAsia" w:ascii="仿宋_GB2312" w:hAnsi="仿宋_GB2312" w:eastAsia="仿宋_GB2312" w:cs="仿宋_GB2312"/>
          <w:i w:val="0"/>
          <w:caps w:val="0"/>
          <w:color w:val="000000"/>
          <w:spacing w:val="0"/>
          <w:sz w:val="32"/>
          <w:szCs w:val="32"/>
          <w:shd w:val="clear" w:fill="FFFFFF"/>
          <w:lang w:eastAsia="zh-CN"/>
        </w:rPr>
        <w:t>不变</w:t>
      </w:r>
      <w:r>
        <w:rPr>
          <w:rFonts w:hint="eastAsia" w:ascii="仿宋_GB2312" w:hAnsi="仿宋_GB2312" w:eastAsia="仿宋_GB2312" w:cs="仿宋_GB2312"/>
          <w:i w:val="0"/>
          <w:caps w:val="0"/>
          <w:color w:val="000000"/>
          <w:spacing w:val="0"/>
          <w:sz w:val="32"/>
          <w:szCs w:val="32"/>
          <w:shd w:val="clear" w:fill="FFFFFF"/>
        </w:rPr>
        <w:t>，距目前我</w:t>
      </w:r>
      <w:r>
        <w:rPr>
          <w:rFonts w:hint="eastAsia" w:ascii="仿宋_GB2312" w:hAnsi="仿宋_GB2312" w:eastAsia="仿宋_GB2312" w:cs="仿宋_GB2312"/>
          <w:i w:val="0"/>
          <w:caps w:val="0"/>
          <w:color w:val="000000"/>
          <w:spacing w:val="0"/>
          <w:sz w:val="32"/>
          <w:szCs w:val="32"/>
          <w:shd w:val="clear" w:fill="FFFFFF"/>
          <w:lang w:eastAsia="zh-CN"/>
        </w:rPr>
        <w:t>县</w:t>
      </w:r>
      <w:r>
        <w:rPr>
          <w:rFonts w:hint="eastAsia" w:ascii="仿宋_GB2312" w:hAnsi="仿宋_GB2312" w:eastAsia="仿宋_GB2312" w:cs="仿宋_GB2312"/>
          <w:i w:val="0"/>
          <w:caps w:val="0"/>
          <w:color w:val="000000"/>
          <w:spacing w:val="0"/>
          <w:sz w:val="32"/>
          <w:szCs w:val="32"/>
          <w:shd w:val="clear" w:fill="FFFFFF"/>
        </w:rPr>
        <w:t>地方政府债务限额1</w:t>
      </w:r>
      <w:r>
        <w:rPr>
          <w:rFonts w:hint="eastAsia" w:ascii="仿宋_GB2312" w:hAnsi="仿宋_GB2312" w:eastAsia="仿宋_GB2312" w:cs="仿宋_GB2312"/>
          <w:i w:val="0"/>
          <w:caps w:val="0"/>
          <w:color w:val="000000"/>
          <w:spacing w:val="0"/>
          <w:sz w:val="32"/>
          <w:szCs w:val="32"/>
          <w:shd w:val="clear" w:fill="FFFFFF"/>
          <w:lang w:val="en-US" w:eastAsia="zh-CN"/>
        </w:rPr>
        <w:t>9044万</w:t>
      </w:r>
      <w:r>
        <w:rPr>
          <w:rFonts w:hint="eastAsia" w:ascii="仿宋_GB2312" w:hAnsi="仿宋_GB2312" w:eastAsia="仿宋_GB2312" w:cs="仿宋_GB2312"/>
          <w:i w:val="0"/>
          <w:caps w:val="0"/>
          <w:color w:val="000000"/>
          <w:spacing w:val="0"/>
          <w:sz w:val="32"/>
          <w:szCs w:val="32"/>
          <w:shd w:val="clear" w:fill="FFFFFF"/>
        </w:rPr>
        <w:t>元尚有</w:t>
      </w:r>
      <w:r>
        <w:rPr>
          <w:rFonts w:hint="eastAsia" w:ascii="仿宋_GB2312" w:hAnsi="仿宋_GB2312" w:eastAsia="仿宋_GB2312" w:cs="仿宋_GB2312"/>
          <w:i w:val="0"/>
          <w:caps w:val="0"/>
          <w:color w:val="000000"/>
          <w:spacing w:val="0"/>
          <w:sz w:val="32"/>
          <w:szCs w:val="32"/>
          <w:shd w:val="clear" w:fill="FFFFFF"/>
          <w:lang w:val="en-US" w:eastAsia="zh-CN"/>
        </w:rPr>
        <w:t>2813万</w:t>
      </w:r>
      <w:r>
        <w:rPr>
          <w:rFonts w:hint="eastAsia" w:ascii="仿宋_GB2312" w:hAnsi="仿宋_GB2312" w:eastAsia="仿宋_GB2312" w:cs="仿宋_GB2312"/>
          <w:i w:val="0"/>
          <w:caps w:val="0"/>
          <w:color w:val="000000"/>
          <w:spacing w:val="0"/>
          <w:sz w:val="32"/>
          <w:szCs w:val="32"/>
          <w:shd w:val="clear" w:fill="FFFFFF"/>
        </w:rPr>
        <w:t>元空间，债务风险继续处于可控范围。</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二、202</w:t>
      </w:r>
      <w:r>
        <w:rPr>
          <w:rFonts w:hint="eastAsia" w:ascii="黑体" w:hAnsi="黑体" w:eastAsia="黑体" w:cs="黑体"/>
          <w:sz w:val="32"/>
          <w:szCs w:val="32"/>
          <w:lang w:val="en-US" w:eastAsia="zh-CN"/>
        </w:rPr>
        <w:t>1</w:t>
      </w:r>
      <w:r>
        <w:rPr>
          <w:rFonts w:hint="eastAsia" w:ascii="黑体" w:hAnsi="黑体" w:eastAsia="黑体" w:cs="黑体"/>
          <w:sz w:val="32"/>
          <w:szCs w:val="32"/>
        </w:rPr>
        <w:t>年预算调整方案</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    （一）一般公共预算</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kern w:val="2"/>
          <w:sz w:val="32"/>
          <w:szCs w:val="32"/>
          <w:lang w:val="en-US" w:eastAsia="zh-CN" w:bidi="ar"/>
        </w:rPr>
      </w:pP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1.</w:t>
      </w:r>
      <w:r>
        <w:rPr>
          <w:rFonts w:hint="eastAsia" w:ascii="仿宋_GB2312" w:hAnsi="仿宋_GB2312" w:eastAsia="仿宋_GB2312" w:cs="仿宋_GB2312"/>
          <w:b/>
          <w:bCs/>
          <w:sz w:val="32"/>
          <w:szCs w:val="32"/>
        </w:rPr>
        <w:t>年初预算。</w:t>
      </w:r>
      <w:r>
        <w:rPr>
          <w:rFonts w:hint="eastAsia" w:ascii="仿宋_GB2312" w:hAnsi="仿宋_GB2312" w:eastAsia="仿宋_GB2312" w:cs="仿宋_GB2312"/>
          <w:sz w:val="32"/>
          <w:szCs w:val="32"/>
        </w:rPr>
        <w:t>经县第</w:t>
      </w:r>
      <w:r>
        <w:rPr>
          <w:rFonts w:hint="eastAsia" w:ascii="仿宋_GB2312" w:hAnsi="仿宋_GB2312" w:eastAsia="仿宋_GB2312" w:cs="仿宋_GB2312"/>
          <w:sz w:val="32"/>
          <w:szCs w:val="32"/>
          <w:lang w:val="en-US" w:eastAsia="zh-CN"/>
        </w:rPr>
        <w:t>十四届人民代表大会第五次</w:t>
      </w:r>
      <w:r>
        <w:rPr>
          <w:rFonts w:hint="eastAsia" w:ascii="仿宋_GB2312" w:hAnsi="仿宋_GB2312" w:eastAsia="仿宋_GB2312" w:cs="仿宋_GB2312"/>
          <w:sz w:val="32"/>
          <w:szCs w:val="32"/>
        </w:rPr>
        <w:t>审查批准，</w:t>
      </w:r>
      <w:r>
        <w:rPr>
          <w:rFonts w:hint="eastAsia" w:ascii="仿宋_GB2312" w:hAnsi="仿宋_GB2312" w:eastAsia="仿宋_GB2312" w:cs="仿宋_GB2312"/>
          <w:kern w:val="2"/>
          <w:sz w:val="32"/>
          <w:szCs w:val="32"/>
          <w:lang w:val="en-US" w:eastAsia="zh-CN" w:bidi="ar"/>
        </w:rPr>
        <w:t>2021年一般公共预算收入预计完成5523万元，加上上级财政补助收入76238万元、动用预算稳定调节基金293万元、从国有资本经营预算调入19万元、上年结余1886万元，收入总量预计完成83959万元。2021年一般公共预算支出预计完成82187万元,加上地方政府债券还本支出1500万元、专项上解支出272万元（税务经费上解266万元、专项上解6万元），支出总量预计完成83959万元，实现收支平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b/>
          <w:bCs/>
          <w:sz w:val="32"/>
          <w:szCs w:val="32"/>
        </w:rPr>
        <w:t>2.调整科目及原因。</w:t>
      </w:r>
      <w:r>
        <w:rPr>
          <w:rFonts w:hint="eastAsia" w:ascii="仿宋_GB2312" w:hAnsi="仿宋_GB2312" w:eastAsia="仿宋_GB2312" w:cs="仿宋_GB2312"/>
          <w:sz w:val="32"/>
          <w:szCs w:val="32"/>
        </w:rPr>
        <w:t>较年初预算，202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年地方一般公共预算收入保持不变，一般公共财政预算总收入调整总额为</w:t>
      </w:r>
      <w:r>
        <w:rPr>
          <w:rFonts w:hint="eastAsia" w:ascii="仿宋_GB2312" w:hAnsi="仿宋_GB2312" w:eastAsia="仿宋_GB2312" w:cs="仿宋_GB2312"/>
          <w:sz w:val="32"/>
          <w:szCs w:val="32"/>
          <w:lang w:val="en-US" w:eastAsia="zh-CN"/>
        </w:rPr>
        <w:t>70002</w:t>
      </w:r>
      <w:r>
        <w:rPr>
          <w:rFonts w:hint="eastAsia" w:ascii="仿宋_GB2312" w:hAnsi="仿宋_GB2312" w:eastAsia="仿宋_GB2312" w:cs="仿宋_GB2312"/>
          <w:sz w:val="32"/>
          <w:szCs w:val="32"/>
        </w:rPr>
        <w:t>万元。调整原因为：</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上级补助收入增加</w:t>
      </w:r>
      <w:r>
        <w:rPr>
          <w:rFonts w:hint="eastAsia" w:ascii="仿宋_GB2312" w:hAnsi="仿宋_GB2312" w:eastAsia="仿宋_GB2312" w:cs="仿宋_GB2312"/>
          <w:sz w:val="32"/>
          <w:szCs w:val="32"/>
          <w:lang w:val="en-US" w:eastAsia="zh-CN"/>
        </w:rPr>
        <w:t>60478</w:t>
      </w:r>
      <w:r>
        <w:rPr>
          <w:rFonts w:hint="eastAsia" w:ascii="仿宋_GB2312" w:hAnsi="仿宋_GB2312" w:eastAsia="仿宋_GB2312" w:cs="仿宋_GB2312"/>
          <w:sz w:val="32"/>
          <w:szCs w:val="32"/>
        </w:rPr>
        <w:t>万元，其中：一般性转移支付收入增加</w:t>
      </w:r>
      <w:r>
        <w:rPr>
          <w:rFonts w:hint="eastAsia" w:ascii="仿宋_GB2312" w:hAnsi="仿宋_GB2312" w:eastAsia="仿宋_GB2312" w:cs="仿宋_GB2312"/>
          <w:sz w:val="32"/>
          <w:szCs w:val="32"/>
          <w:lang w:val="en-US" w:eastAsia="zh-CN"/>
        </w:rPr>
        <w:t>41756</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均衡性转移支付</w:t>
      </w:r>
      <w:r>
        <w:rPr>
          <w:rFonts w:hint="eastAsia" w:ascii="仿宋_GB2312" w:hAnsi="仿宋_GB2312" w:eastAsia="仿宋_GB2312" w:cs="仿宋_GB2312"/>
          <w:sz w:val="32"/>
          <w:szCs w:val="32"/>
          <w:lang w:eastAsia="zh-CN"/>
        </w:rPr>
        <w:t>、重点生态功能区转移支付收入</w:t>
      </w:r>
      <w:r>
        <w:rPr>
          <w:rFonts w:hint="eastAsia" w:ascii="仿宋_GB2312" w:hAnsi="仿宋_GB2312" w:eastAsia="仿宋_GB2312" w:cs="仿宋_GB2312"/>
          <w:sz w:val="32"/>
          <w:szCs w:val="32"/>
          <w:lang w:val="en-US" w:eastAsia="zh-CN"/>
        </w:rPr>
        <w:t>、公共安全共同财政事权转移支付收入</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专项转移支付收入增加</w:t>
      </w:r>
      <w:r>
        <w:rPr>
          <w:rFonts w:hint="eastAsia" w:ascii="仿宋_GB2312" w:hAnsi="仿宋_GB2312" w:eastAsia="仿宋_GB2312" w:cs="仿宋_GB2312"/>
          <w:sz w:val="32"/>
          <w:szCs w:val="32"/>
          <w:lang w:val="en-US" w:eastAsia="zh-CN"/>
        </w:rPr>
        <w:t>18722</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为2021年农村危房改造补助、2021年农业绿色发展专项（长江经济带和黄河流域农业面源污染治理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等项目资金</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接受其他地区援助收入</w:t>
      </w:r>
      <w:r>
        <w:rPr>
          <w:rFonts w:hint="eastAsia" w:ascii="仿宋_GB2312" w:hAnsi="仿宋_GB2312" w:eastAsia="仿宋_GB2312" w:cs="仿宋_GB2312"/>
          <w:sz w:val="32"/>
          <w:szCs w:val="32"/>
          <w:lang w:val="en-US" w:eastAsia="zh-CN"/>
        </w:rPr>
        <w:t>8024</w:t>
      </w:r>
      <w:r>
        <w:rPr>
          <w:rFonts w:hint="eastAsia" w:ascii="仿宋_GB2312" w:hAnsi="仿宋_GB2312" w:eastAsia="仿宋_GB2312" w:cs="仿宋_GB2312"/>
          <w:sz w:val="32"/>
          <w:szCs w:val="32"/>
        </w:rPr>
        <w:t>万元（接受绵阳市援建资金</w:t>
      </w:r>
      <w:r>
        <w:rPr>
          <w:rFonts w:hint="eastAsia" w:ascii="仿宋_GB2312" w:hAnsi="仿宋_GB2312" w:eastAsia="仿宋_GB2312" w:cs="仿宋_GB2312"/>
          <w:sz w:val="32"/>
          <w:szCs w:val="32"/>
          <w:lang w:val="en-US" w:eastAsia="zh-CN"/>
        </w:rPr>
        <w:t>3524</w:t>
      </w:r>
      <w:r>
        <w:rPr>
          <w:rFonts w:hint="eastAsia" w:ascii="仿宋_GB2312" w:hAnsi="仿宋_GB2312" w:eastAsia="仿宋_GB2312" w:cs="仿宋_GB2312"/>
          <w:sz w:val="32"/>
          <w:szCs w:val="32"/>
        </w:rPr>
        <w:t>万元、接受浙江省援建资金</w:t>
      </w:r>
      <w:r>
        <w:rPr>
          <w:rFonts w:hint="eastAsia" w:ascii="仿宋_GB2312" w:hAnsi="仿宋_GB2312" w:eastAsia="仿宋_GB2312" w:cs="仿宋_GB2312"/>
          <w:sz w:val="32"/>
          <w:szCs w:val="32"/>
          <w:lang w:val="en-US" w:eastAsia="zh-CN"/>
        </w:rPr>
        <w:t>4500</w:t>
      </w:r>
      <w:r>
        <w:rPr>
          <w:rFonts w:hint="eastAsia" w:ascii="仿宋_GB2312" w:hAnsi="仿宋_GB2312" w:eastAsia="仿宋_GB2312" w:cs="仿宋_GB2312"/>
          <w:sz w:val="32"/>
          <w:szCs w:val="32"/>
        </w:rPr>
        <w:t>万元）</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债务转贷收入增加</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用于偿还到期地方政府债券本金</w:t>
      </w:r>
      <w:r>
        <w:rPr>
          <w:rFonts w:hint="eastAsia" w:ascii="仿宋_GB2312" w:hAnsi="仿宋_GB2312" w:eastAsia="仿宋_GB2312" w:cs="仿宋_GB2312"/>
          <w:sz w:val="32"/>
          <w:szCs w:val="32"/>
        </w:rPr>
        <w:t>。根据收支平衡原则，对应新增支出</w:t>
      </w:r>
      <w:r>
        <w:rPr>
          <w:rFonts w:hint="eastAsia" w:ascii="仿宋_GB2312" w:hAnsi="仿宋_GB2312" w:eastAsia="仿宋_GB2312" w:cs="仿宋_GB2312"/>
          <w:sz w:val="32"/>
          <w:szCs w:val="32"/>
          <w:lang w:val="en-US" w:eastAsia="zh-CN"/>
        </w:rPr>
        <w:t>70002</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3.调整后方案。</w:t>
      </w:r>
      <w:r>
        <w:rPr>
          <w:rFonts w:hint="eastAsia" w:ascii="仿宋_GB2312" w:hAnsi="仿宋_GB2312" w:eastAsia="仿宋_GB2312" w:cs="仿宋_GB2312"/>
          <w:sz w:val="32"/>
          <w:szCs w:val="32"/>
        </w:rPr>
        <w:t>综述调整事由，</w:t>
      </w:r>
      <w:r>
        <w:rPr>
          <w:rFonts w:hint="eastAsia" w:ascii="仿宋_GB2312" w:hAnsi="仿宋_GB2312" w:eastAsia="仿宋_GB2312" w:cs="仿宋_GB2312"/>
          <w:kern w:val="2"/>
          <w:sz w:val="32"/>
          <w:szCs w:val="32"/>
          <w:lang w:val="en-US" w:eastAsia="zh-CN" w:bidi="ar"/>
        </w:rPr>
        <w:t>2021年一般公共预算收入预计完成5523万元，加上上级财政补助收入136716万元、动用预算稳定调节基金293万元、从国有资本经营预算调入19万元、上年结余1886万元、债务转贷收入1500万元、</w:t>
      </w:r>
      <w:r>
        <w:rPr>
          <w:rFonts w:hint="eastAsia" w:ascii="仿宋_GB2312" w:hAnsi="仿宋_GB2312" w:eastAsia="仿宋_GB2312" w:cs="仿宋_GB2312"/>
          <w:sz w:val="32"/>
          <w:szCs w:val="32"/>
        </w:rPr>
        <w:t>接受其他地区援助收入</w:t>
      </w:r>
      <w:r>
        <w:rPr>
          <w:rFonts w:hint="eastAsia" w:ascii="仿宋_GB2312" w:hAnsi="仿宋_GB2312" w:eastAsia="仿宋_GB2312" w:cs="仿宋_GB2312"/>
          <w:sz w:val="32"/>
          <w:szCs w:val="32"/>
          <w:lang w:val="en-US" w:eastAsia="zh-CN"/>
        </w:rPr>
        <w:t>8024</w:t>
      </w:r>
      <w:r>
        <w:rPr>
          <w:rFonts w:hint="eastAsia" w:ascii="仿宋_GB2312" w:hAnsi="仿宋_GB2312" w:eastAsia="仿宋_GB2312" w:cs="仿宋_GB2312"/>
          <w:sz w:val="32"/>
          <w:szCs w:val="32"/>
        </w:rPr>
        <w:t>万元</w:t>
      </w:r>
      <w:r>
        <w:rPr>
          <w:rFonts w:hint="eastAsia" w:ascii="仿宋_GB2312" w:hAnsi="仿宋_GB2312" w:eastAsia="仿宋_GB2312" w:cs="仿宋_GB2312"/>
          <w:kern w:val="2"/>
          <w:sz w:val="32"/>
          <w:szCs w:val="32"/>
          <w:lang w:val="en-US" w:eastAsia="zh-CN" w:bidi="ar"/>
        </w:rPr>
        <w:t>，收入总量预计完成153961万元。</w:t>
      </w:r>
      <w:r>
        <w:rPr>
          <w:rFonts w:hint="eastAsia" w:ascii="仿宋_GB2312" w:hAnsi="仿宋_GB2312" w:eastAsia="仿宋_GB2312" w:cs="仿宋_GB2312"/>
          <w:sz w:val="32"/>
          <w:szCs w:val="32"/>
        </w:rPr>
        <w:t>根据收支平衡原则，202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年我县一般公共财政预算总支出拟调整为</w:t>
      </w:r>
      <w:r>
        <w:rPr>
          <w:rFonts w:hint="eastAsia" w:ascii="仿宋_GB2312" w:hAnsi="仿宋_GB2312" w:eastAsia="仿宋_GB2312" w:cs="仿宋_GB2312"/>
          <w:sz w:val="32"/>
          <w:szCs w:val="32"/>
          <w:lang w:val="en-US" w:eastAsia="zh-CN"/>
        </w:rPr>
        <w:t>153961</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另需特别说明的是今年动用预备费</w:t>
      </w:r>
      <w:r>
        <w:rPr>
          <w:rFonts w:hint="eastAsia" w:ascii="仿宋_GB2312" w:hAnsi="仿宋_GB2312" w:eastAsia="仿宋_GB2312" w:cs="仿宋_GB2312"/>
          <w:sz w:val="32"/>
          <w:szCs w:val="32"/>
          <w:lang w:val="en-US" w:eastAsia="zh-CN"/>
        </w:rPr>
        <w:t>855</w:t>
      </w:r>
      <w:r>
        <w:rPr>
          <w:rFonts w:hint="eastAsia" w:ascii="仿宋_GB2312" w:hAnsi="仿宋_GB2312" w:eastAsia="仿宋_GB2312" w:cs="仿宋_GB2312"/>
          <w:sz w:val="32"/>
          <w:szCs w:val="32"/>
        </w:rPr>
        <w:t>万元用于</w:t>
      </w:r>
      <w:r>
        <w:rPr>
          <w:rFonts w:hint="eastAsia" w:ascii="仿宋_GB2312" w:hAnsi="仿宋_GB2312" w:eastAsia="仿宋_GB2312" w:cs="仿宋_GB2312"/>
          <w:sz w:val="32"/>
          <w:szCs w:val="32"/>
          <w:lang w:eastAsia="zh-CN"/>
        </w:rPr>
        <w:t>全州文旅大会筹备、生态环保问题整改</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   （二）政府性基金预算</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1.年初预算。</w:t>
      </w:r>
      <w:r>
        <w:rPr>
          <w:rFonts w:hint="eastAsia" w:ascii="仿宋_GB2312" w:hAnsi="仿宋_GB2312" w:eastAsia="仿宋_GB2312" w:cs="仿宋_GB2312"/>
          <w:sz w:val="32"/>
          <w:szCs w:val="32"/>
        </w:rPr>
        <w:t>经县十四届人大第</w:t>
      </w:r>
      <w:r>
        <w:rPr>
          <w:rFonts w:hint="eastAsia" w:ascii="仿宋_GB2312" w:hAnsi="仿宋_GB2312" w:eastAsia="仿宋_GB2312" w:cs="仿宋_GB2312"/>
          <w:sz w:val="32"/>
          <w:szCs w:val="32"/>
          <w:lang w:val="en-US" w:eastAsia="zh-CN"/>
        </w:rPr>
        <w:t>五次</w:t>
      </w:r>
      <w:r>
        <w:rPr>
          <w:rFonts w:hint="eastAsia" w:ascii="仿宋_GB2312" w:hAnsi="仿宋_GB2312" w:eastAsia="仿宋_GB2312" w:cs="仿宋_GB2312"/>
          <w:sz w:val="32"/>
          <w:szCs w:val="32"/>
        </w:rPr>
        <w:t>会议批准，202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年政府性基金预算收入预计完成125万元，</w:t>
      </w:r>
      <w:r>
        <w:rPr>
          <w:rFonts w:hint="eastAsia" w:ascii="仿宋_GB2312" w:hAnsi="仿宋_GB2312" w:eastAsia="仿宋_GB2312" w:cs="仿宋_GB2312"/>
          <w:sz w:val="32"/>
          <w:szCs w:val="32"/>
          <w:lang w:eastAsia="zh-CN"/>
        </w:rPr>
        <w:t>主要为</w:t>
      </w:r>
      <w:r>
        <w:rPr>
          <w:rFonts w:hint="eastAsia" w:ascii="仿宋_GB2312" w:hAnsi="仿宋_GB2312" w:eastAsia="仿宋_GB2312" w:cs="仿宋_GB2312"/>
          <w:sz w:val="32"/>
          <w:szCs w:val="32"/>
        </w:rPr>
        <w:t>国有土地使用权出让收入</w:t>
      </w:r>
      <w:r>
        <w:rPr>
          <w:rFonts w:hint="eastAsia" w:ascii="仿宋_GB2312" w:hAnsi="仿宋_GB2312" w:eastAsia="仿宋_GB2312" w:cs="仿宋_GB2312"/>
          <w:sz w:val="32"/>
          <w:szCs w:val="32"/>
          <w:lang w:val="en-US" w:eastAsia="zh-CN"/>
        </w:rPr>
        <w:t>125</w:t>
      </w:r>
      <w:r>
        <w:rPr>
          <w:rFonts w:hint="eastAsia" w:ascii="仿宋_GB2312" w:hAnsi="仿宋_GB2312" w:eastAsia="仿宋_GB2312" w:cs="仿宋_GB2312"/>
          <w:sz w:val="32"/>
          <w:szCs w:val="32"/>
        </w:rPr>
        <w:t>万元。对应安排政府性基金预算支出125万元。</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2.调整科目及原因。</w:t>
      </w:r>
      <w:r>
        <w:rPr>
          <w:rFonts w:hint="eastAsia" w:ascii="仿宋_GB2312" w:hAnsi="仿宋_GB2312" w:eastAsia="仿宋_GB2312" w:cs="仿宋_GB2312"/>
          <w:sz w:val="32"/>
          <w:szCs w:val="32"/>
        </w:rPr>
        <w:t>较年初预算，202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年政府性基金预算收入调整总额</w:t>
      </w:r>
      <w:r>
        <w:rPr>
          <w:rFonts w:hint="eastAsia" w:ascii="仿宋_GB2312" w:hAnsi="仿宋_GB2312" w:eastAsia="仿宋_GB2312" w:cs="仿宋_GB2312"/>
          <w:sz w:val="32"/>
          <w:szCs w:val="32"/>
          <w:lang w:val="en-US" w:eastAsia="zh-CN"/>
        </w:rPr>
        <w:t>420</w:t>
      </w:r>
      <w:r>
        <w:rPr>
          <w:rFonts w:hint="eastAsia" w:ascii="仿宋_GB2312" w:hAnsi="仿宋_GB2312" w:eastAsia="仿宋_GB2312" w:cs="仿宋_GB2312"/>
          <w:sz w:val="32"/>
          <w:szCs w:val="32"/>
        </w:rPr>
        <w:t>万元。调整原因为：</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地方政府性基金预算收入增加</w:t>
      </w:r>
      <w:r>
        <w:rPr>
          <w:rFonts w:hint="eastAsia" w:ascii="仿宋_GB2312" w:hAnsi="仿宋_GB2312" w:eastAsia="仿宋_GB2312" w:cs="仿宋_GB2312"/>
          <w:sz w:val="32"/>
          <w:szCs w:val="32"/>
          <w:lang w:val="en-US" w:eastAsia="zh-CN"/>
        </w:rPr>
        <w:t>343</w:t>
      </w:r>
      <w:r>
        <w:rPr>
          <w:rFonts w:hint="eastAsia" w:ascii="仿宋_GB2312" w:hAnsi="仿宋_GB2312" w:eastAsia="仿宋_GB2312" w:cs="仿宋_GB2312"/>
          <w:sz w:val="32"/>
          <w:szCs w:val="32"/>
        </w:rPr>
        <w:t>万元，其中：国有土地收益基金收入增加</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万元、农业土地开发资金收入增加</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万元、国有土地使用权出让收入增加</w:t>
      </w:r>
      <w:r>
        <w:rPr>
          <w:rFonts w:hint="eastAsia" w:ascii="仿宋_GB2312" w:hAnsi="仿宋_GB2312" w:eastAsia="仿宋_GB2312" w:cs="仿宋_GB2312"/>
          <w:sz w:val="32"/>
          <w:szCs w:val="32"/>
          <w:lang w:val="en-US" w:eastAsia="zh-CN"/>
        </w:rPr>
        <w:t>158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、城市基础设施配套费收入</w:t>
      </w:r>
      <w:r>
        <w:rPr>
          <w:rFonts w:hint="eastAsia" w:ascii="仿宋_GB2312" w:hAnsi="仿宋_GB2312" w:eastAsia="仿宋_GB2312" w:cs="仿宋_GB2312"/>
          <w:sz w:val="32"/>
          <w:szCs w:val="32"/>
          <w:lang w:val="en-US" w:eastAsia="zh-CN"/>
        </w:rPr>
        <w:t>110万元</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上级补助收入增加</w:t>
      </w:r>
      <w:r>
        <w:rPr>
          <w:rFonts w:hint="eastAsia" w:ascii="仿宋_GB2312" w:hAnsi="仿宋_GB2312" w:eastAsia="仿宋_GB2312" w:cs="仿宋_GB2312"/>
          <w:sz w:val="32"/>
          <w:szCs w:val="32"/>
          <w:lang w:val="en-US" w:eastAsia="zh-CN"/>
        </w:rPr>
        <w:t>77</w:t>
      </w:r>
      <w:r>
        <w:rPr>
          <w:rFonts w:hint="eastAsia" w:ascii="仿宋_GB2312" w:hAnsi="仿宋_GB2312" w:eastAsia="仿宋_GB2312" w:cs="仿宋_GB2312"/>
          <w:sz w:val="32"/>
          <w:szCs w:val="32"/>
        </w:rPr>
        <w:t>万元，主要为彩票公益金支持乡村学校少年宫等项目。根据收支平衡原则，对应安排新增支出</w:t>
      </w:r>
      <w:r>
        <w:rPr>
          <w:rFonts w:hint="eastAsia" w:ascii="仿宋_GB2312" w:hAnsi="仿宋_GB2312" w:eastAsia="仿宋_GB2312" w:cs="仿宋_GB2312"/>
          <w:sz w:val="32"/>
          <w:szCs w:val="32"/>
          <w:lang w:val="en-US" w:eastAsia="zh-CN"/>
        </w:rPr>
        <w:t>420</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3.调整后方案。</w:t>
      </w:r>
      <w:r>
        <w:rPr>
          <w:rFonts w:hint="eastAsia" w:ascii="仿宋_GB2312" w:hAnsi="仿宋_GB2312" w:eastAsia="仿宋_GB2312" w:cs="仿宋_GB2312"/>
          <w:sz w:val="32"/>
          <w:szCs w:val="32"/>
        </w:rPr>
        <w:t>综述调整事由，我县202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年政府性基金预算总收入拟调整为</w:t>
      </w:r>
      <w:r>
        <w:rPr>
          <w:rFonts w:hint="eastAsia" w:ascii="仿宋_GB2312" w:hAnsi="仿宋_GB2312" w:eastAsia="仿宋_GB2312" w:cs="仿宋_GB2312"/>
          <w:sz w:val="32"/>
          <w:szCs w:val="32"/>
          <w:lang w:val="en-US" w:eastAsia="zh-CN"/>
        </w:rPr>
        <w:t>545</w:t>
      </w:r>
      <w:r>
        <w:rPr>
          <w:rFonts w:hint="eastAsia" w:ascii="仿宋_GB2312" w:hAnsi="仿宋_GB2312" w:eastAsia="仿宋_GB2312" w:cs="仿宋_GB2312"/>
          <w:sz w:val="32"/>
          <w:szCs w:val="32"/>
        </w:rPr>
        <w:t>万元，其中：地方性基金收入</w:t>
      </w:r>
      <w:r>
        <w:rPr>
          <w:rFonts w:hint="eastAsia" w:ascii="仿宋_GB2312" w:hAnsi="仿宋_GB2312" w:eastAsia="仿宋_GB2312" w:cs="仿宋_GB2312"/>
          <w:sz w:val="32"/>
          <w:szCs w:val="32"/>
          <w:lang w:val="en-US" w:eastAsia="zh-CN"/>
        </w:rPr>
        <w:t>468</w:t>
      </w:r>
      <w:r>
        <w:rPr>
          <w:rFonts w:hint="eastAsia" w:ascii="仿宋_GB2312" w:hAnsi="仿宋_GB2312" w:eastAsia="仿宋_GB2312" w:cs="仿宋_GB2312"/>
          <w:sz w:val="32"/>
          <w:szCs w:val="32"/>
        </w:rPr>
        <w:t>万元（国有土地收益基金收入</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万元、农业土地开发资金收入</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万元、国有土地出让权收入</w:t>
      </w:r>
      <w:r>
        <w:rPr>
          <w:rFonts w:hint="eastAsia" w:ascii="仿宋_GB2312" w:hAnsi="仿宋_GB2312" w:eastAsia="仿宋_GB2312" w:cs="仿宋_GB2312"/>
          <w:sz w:val="32"/>
          <w:szCs w:val="32"/>
          <w:lang w:val="en-US" w:eastAsia="zh-CN"/>
        </w:rPr>
        <w:t>283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、城市基础设施配套费收入</w:t>
      </w:r>
      <w:r>
        <w:rPr>
          <w:rFonts w:hint="eastAsia" w:ascii="仿宋_GB2312" w:hAnsi="仿宋_GB2312" w:eastAsia="仿宋_GB2312" w:cs="仿宋_GB2312"/>
          <w:sz w:val="32"/>
          <w:szCs w:val="32"/>
          <w:lang w:val="en-US" w:eastAsia="zh-CN"/>
        </w:rPr>
        <w:t>110万元</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77</w:t>
      </w:r>
      <w:r>
        <w:rPr>
          <w:rFonts w:hint="eastAsia" w:ascii="仿宋_GB2312" w:hAnsi="仿宋_GB2312" w:eastAsia="仿宋_GB2312" w:cs="仿宋_GB2312"/>
          <w:sz w:val="32"/>
          <w:szCs w:val="32"/>
        </w:rPr>
        <w:t>万元。根据收支平衡原</w:t>
      </w:r>
      <w:r>
        <w:rPr>
          <w:rFonts w:hint="eastAsia" w:ascii="仿宋_GB2312" w:hAnsi="仿宋_GB2312" w:eastAsia="仿宋_GB2312" w:cs="仿宋_GB2312"/>
          <w:sz w:val="32"/>
          <w:szCs w:val="32"/>
          <w:lang w:eastAsia="zh-CN"/>
        </w:rPr>
        <w:t>则，20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年我县政府性基金预算总支出拟调整为</w:t>
      </w:r>
      <w:r>
        <w:rPr>
          <w:rFonts w:hint="eastAsia" w:ascii="仿宋_GB2312" w:hAnsi="仿宋_GB2312" w:eastAsia="仿宋_GB2312" w:cs="仿宋_GB2312"/>
          <w:sz w:val="32"/>
          <w:szCs w:val="32"/>
          <w:lang w:val="en-US" w:eastAsia="zh-CN"/>
        </w:rPr>
        <w:t>545</w:t>
      </w:r>
      <w:r>
        <w:rPr>
          <w:rFonts w:hint="eastAsia" w:ascii="仿宋_GB2312" w:hAnsi="仿宋_GB2312" w:eastAsia="仿宋_GB2312" w:cs="仿宋_GB2312"/>
          <w:sz w:val="32"/>
          <w:szCs w:val="32"/>
          <w:lang w:eastAsia="zh-CN"/>
        </w:rPr>
        <w:t>万元。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b/>
          <w:sz w:val="32"/>
          <w:szCs w:val="32"/>
        </w:rPr>
        <w:t xml:space="preserve"> </w:t>
      </w:r>
      <w:r>
        <w:rPr>
          <w:rFonts w:hint="eastAsia" w:ascii="楷体_GB2312" w:hAnsi="楷体_GB2312" w:eastAsia="楷体_GB2312" w:cs="楷体_GB2312"/>
          <w:b/>
          <w:i w:val="0"/>
          <w:caps w:val="0"/>
          <w:color w:val="000000"/>
          <w:spacing w:val="0"/>
          <w:sz w:val="32"/>
          <w:szCs w:val="32"/>
          <w:shd w:val="clear" w:fill="FFFFFF"/>
        </w:rPr>
        <w:t>（三）国有资本经营预算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方正仿宋简体" w:eastAsia="仿宋_GB2312" w:cs="方正仿宋简体"/>
          <w:sz w:val="32"/>
          <w:szCs w:val="32"/>
        </w:rPr>
        <w:t>县十四届人大第</w:t>
      </w:r>
      <w:r>
        <w:rPr>
          <w:rFonts w:hint="eastAsia" w:ascii="仿宋_GB2312" w:hAnsi="仿宋_GB2312" w:eastAsia="仿宋_GB2312" w:cs="仿宋_GB2312"/>
          <w:sz w:val="32"/>
          <w:szCs w:val="32"/>
          <w:lang w:val="en-US" w:eastAsia="zh-CN"/>
        </w:rPr>
        <w:t>五次</w:t>
      </w:r>
      <w:r>
        <w:rPr>
          <w:rFonts w:hint="eastAsia" w:ascii="仿宋_GB2312" w:hAnsi="方正仿宋简体" w:eastAsia="仿宋_GB2312" w:cs="方正仿宋简体"/>
          <w:sz w:val="32"/>
          <w:szCs w:val="32"/>
        </w:rPr>
        <w:t>会议</w:t>
      </w:r>
      <w:r>
        <w:rPr>
          <w:rFonts w:hint="eastAsia" w:ascii="仿宋_GB2312" w:hAnsi="仿宋_GB2312" w:eastAsia="仿宋_GB2312" w:cs="仿宋_GB2312"/>
          <w:i w:val="0"/>
          <w:caps w:val="0"/>
          <w:color w:val="000000"/>
          <w:spacing w:val="0"/>
          <w:sz w:val="32"/>
          <w:szCs w:val="32"/>
          <w:shd w:val="clear" w:fill="FFFFFF"/>
        </w:rPr>
        <w:t>以来，</w:t>
      </w:r>
      <w:r>
        <w:rPr>
          <w:rFonts w:hint="eastAsia" w:ascii="仿宋_GB2312" w:hAnsi="仿宋_GB2312" w:eastAsia="仿宋_GB2312" w:cs="仿宋_GB2312"/>
          <w:i w:val="0"/>
          <w:caps w:val="0"/>
          <w:color w:val="000000"/>
          <w:spacing w:val="0"/>
          <w:sz w:val="32"/>
          <w:szCs w:val="32"/>
          <w:shd w:val="clear" w:fill="FFFFFF"/>
          <w:lang w:eastAsia="zh-CN"/>
        </w:rPr>
        <w:t>我县</w:t>
      </w:r>
      <w:r>
        <w:rPr>
          <w:rFonts w:hint="eastAsia" w:ascii="仿宋_GB2312" w:hAnsi="仿宋_GB2312" w:eastAsia="仿宋_GB2312" w:cs="仿宋_GB2312"/>
          <w:i w:val="0"/>
          <w:caps w:val="0"/>
          <w:color w:val="000000"/>
          <w:spacing w:val="0"/>
          <w:sz w:val="32"/>
          <w:szCs w:val="32"/>
          <w:shd w:val="clear" w:fill="FFFFFF"/>
        </w:rPr>
        <w:t>国有资本经营预算收入预算未发生调整，</w:t>
      </w:r>
      <w:r>
        <w:rPr>
          <w:rFonts w:hint="eastAsia" w:ascii="仿宋_GB2312" w:hAnsi="仿宋_GB2312" w:eastAsia="仿宋_GB2312" w:cs="仿宋_GB2312"/>
          <w:b w:val="0"/>
          <w:bCs w:val="0"/>
          <w:sz w:val="32"/>
          <w:szCs w:val="32"/>
          <w:lang w:val="en-US" w:eastAsia="zh-CN"/>
        </w:rPr>
        <w:t>2021年国有资本经营预算上级补助收入预计完成19万元，向一般公共预算调出19万元，预算收支平衡。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楷体_GB2312" w:hAnsi="楷体_GB2312" w:eastAsia="楷体_GB2312" w:cs="楷体_GB2312"/>
          <w:sz w:val="32"/>
          <w:szCs w:val="32"/>
        </w:rPr>
      </w:pPr>
      <w:r>
        <w:rPr>
          <w:rFonts w:hint="eastAsia" w:ascii="仿宋_GB2312" w:hAnsi="仿宋_GB2312" w:eastAsia="仿宋_GB2312" w:cs="仿宋_GB2312"/>
          <w:b/>
          <w:i w:val="0"/>
          <w:caps w:val="0"/>
          <w:color w:val="000000"/>
          <w:spacing w:val="0"/>
          <w:sz w:val="32"/>
          <w:szCs w:val="32"/>
          <w:shd w:val="clear" w:fill="FFFFFF"/>
          <w:lang w:val="en-US" w:eastAsia="zh-CN"/>
        </w:rPr>
        <w:t xml:space="preserve"> </w:t>
      </w:r>
      <w:r>
        <w:rPr>
          <w:rFonts w:hint="eastAsia" w:ascii="楷体_GB2312" w:hAnsi="楷体_GB2312" w:eastAsia="楷体_GB2312" w:cs="楷体_GB2312"/>
          <w:b/>
          <w:i w:val="0"/>
          <w:caps w:val="0"/>
          <w:color w:val="000000"/>
          <w:spacing w:val="0"/>
          <w:sz w:val="32"/>
          <w:szCs w:val="32"/>
          <w:shd w:val="clear" w:fill="FFFFFF"/>
        </w:rPr>
        <w:t>（四）社会保险基金预算</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县十四届人大第</w:t>
      </w:r>
      <w:r>
        <w:rPr>
          <w:rFonts w:hint="eastAsia" w:ascii="仿宋_GB2312" w:hAnsi="仿宋_GB2312" w:eastAsia="仿宋_GB2312" w:cs="仿宋_GB2312"/>
          <w:sz w:val="32"/>
          <w:szCs w:val="32"/>
          <w:lang w:val="en-US" w:eastAsia="zh-CN"/>
        </w:rPr>
        <w:t>五次</w:t>
      </w:r>
      <w:r>
        <w:rPr>
          <w:rFonts w:hint="eastAsia" w:ascii="仿宋_GB2312" w:hAnsi="仿宋_GB2312" w:eastAsia="仿宋_GB2312" w:cs="仿宋_GB2312"/>
          <w:sz w:val="32"/>
          <w:szCs w:val="32"/>
        </w:rPr>
        <w:t>会议以来，</w:t>
      </w:r>
      <w:r>
        <w:rPr>
          <w:rFonts w:hint="eastAsia" w:ascii="仿宋_GB2312" w:hAnsi="仿宋_GB2312" w:eastAsia="仿宋_GB2312" w:cs="仿宋_GB2312"/>
          <w:sz w:val="32"/>
          <w:szCs w:val="32"/>
          <w:lang w:eastAsia="zh-CN"/>
        </w:rPr>
        <w:t>我县</w:t>
      </w:r>
      <w:r>
        <w:rPr>
          <w:rFonts w:hint="eastAsia" w:ascii="仿宋_GB2312" w:hAnsi="仿宋_GB2312" w:eastAsia="仿宋_GB2312" w:cs="仿宋_GB2312"/>
          <w:sz w:val="32"/>
          <w:szCs w:val="32"/>
        </w:rPr>
        <w:t>社会保险基金收支预算均未发生调整。</w:t>
      </w:r>
      <w:r>
        <w:rPr>
          <w:rFonts w:hint="eastAsia" w:ascii="仿宋_GB2312" w:hAnsi="仿宋_GB2312" w:eastAsia="仿宋_GB2312" w:cs="仿宋_GB2312"/>
          <w:sz w:val="32"/>
          <w:szCs w:val="32"/>
          <w:lang w:val="en-US" w:eastAsia="zh-CN"/>
        </w:rPr>
        <w:t>2021年社会保险基金预算收入预计完成623万元，上年结余1455万元，支出445万元，滚存结余1633万元，预算收支平衡。</w:t>
      </w:r>
    </w:p>
    <w:p>
      <w:pPr>
        <w:pStyle w:val="2"/>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548" w:firstLineChars="200"/>
        <w:textAlignment w:val="auto"/>
        <w:outlineLvl w:val="9"/>
        <w:rPr>
          <w:rFonts w:ascii="仿宋_GB2312" w:hAnsi="仿宋_GB2312" w:eastAsia="仿宋_GB2312" w:cs="仿宋_GB2312"/>
          <w:spacing w:val="-15"/>
          <w:sz w:val="32"/>
          <w:szCs w:val="32"/>
        </w:rPr>
      </w:pPr>
      <w:r>
        <w:rPr>
          <w:rFonts w:hint="eastAsia" w:ascii="仿宋_GB2312" w:hAnsi="仿宋_GB2312" w:eastAsia="仿宋_GB2312" w:cs="仿宋_GB2312"/>
          <w:spacing w:val="-23"/>
          <w:sz w:val="32"/>
          <w:szCs w:val="32"/>
        </w:rPr>
        <w:t>附件：</w:t>
      </w:r>
      <w:r>
        <w:rPr>
          <w:rFonts w:hint="eastAsia" w:ascii="仿宋_GB2312" w:hAnsi="仿宋_GB2312" w:eastAsia="仿宋_GB2312" w:cs="仿宋_GB2312"/>
          <w:spacing w:val="-15"/>
          <w:sz w:val="32"/>
          <w:szCs w:val="32"/>
        </w:rPr>
        <w:t>1.</w:t>
      </w:r>
      <w:r>
        <w:rPr>
          <w:rFonts w:hint="eastAsia" w:ascii="仿宋_GB2312" w:hAnsi="仿宋_GB2312" w:eastAsia="仿宋_GB2312" w:cs="仿宋_GB2312"/>
          <w:b w:val="0"/>
          <w:bCs w:val="0"/>
          <w:sz w:val="32"/>
          <w:szCs w:val="32"/>
          <w:lang w:val="en-US" w:eastAsia="zh-CN"/>
        </w:rPr>
        <w:t>2021</w:t>
      </w:r>
      <w:r>
        <w:rPr>
          <w:rFonts w:hint="eastAsia" w:ascii="仿宋_GB2312" w:hAnsi="仿宋_GB2312" w:eastAsia="仿宋_GB2312" w:cs="仿宋_GB2312"/>
          <w:spacing w:val="-15"/>
          <w:sz w:val="32"/>
          <w:szCs w:val="32"/>
        </w:rPr>
        <w:t>年</w:t>
      </w:r>
      <w:r>
        <w:rPr>
          <w:rFonts w:hint="eastAsia" w:ascii="仿宋_GB2312" w:hAnsi="仿宋_GB2312" w:eastAsia="仿宋_GB2312" w:cs="仿宋_GB2312"/>
          <w:sz w:val="32"/>
          <w:szCs w:val="32"/>
          <w:lang w:val="en-US" w:eastAsia="zh-CN"/>
        </w:rPr>
        <w:t>红原县一般公共预算中期调整收支平衡表</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8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15"/>
          <w:sz w:val="32"/>
          <w:szCs w:val="32"/>
        </w:rPr>
        <w:t xml:space="preserve">      2.</w:t>
      </w:r>
      <w:r>
        <w:rPr>
          <w:rFonts w:hint="eastAsia" w:ascii="仿宋_GB2312" w:hAnsi="仿宋_GB2312" w:eastAsia="仿宋_GB2312" w:cs="仿宋_GB2312"/>
          <w:b w:val="0"/>
          <w:bCs w:val="0"/>
          <w:sz w:val="32"/>
          <w:szCs w:val="32"/>
          <w:lang w:val="en-US" w:eastAsia="zh-CN"/>
        </w:rPr>
        <w:t>2021年</w:t>
      </w:r>
      <w:r>
        <w:rPr>
          <w:rFonts w:hint="eastAsia" w:ascii="仿宋_GB2312" w:hAnsi="仿宋_GB2312" w:eastAsia="仿宋_GB2312" w:cs="仿宋_GB2312"/>
          <w:sz w:val="32"/>
          <w:szCs w:val="32"/>
          <w:lang w:val="en-US" w:eastAsia="zh-CN"/>
        </w:rPr>
        <w:t>红原县政府性基金中期调整收支平衡表</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rPr>
          <w:rFonts w:ascii="仿宋_GB2312" w:hAnsi="仿宋_GB2312" w:eastAsia="仿宋_GB2312" w:cs="仿宋_GB2312"/>
          <w:spacing w:val="-15"/>
          <w:sz w:val="32"/>
          <w:szCs w:val="32"/>
        </w:rPr>
      </w:pPr>
    </w:p>
    <w:p>
      <w:pPr>
        <w:pStyle w:val="2"/>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210" w:firstLineChars="100"/>
        <w:textAlignment w:val="auto"/>
        <w:outlineLvl w:val="9"/>
      </w:pPr>
      <w:r>
        <w:rPr>
          <w:rFonts w:hint="eastAsia" w:ascii="仿宋_GB2312" w:eastAsia="仿宋_GB2312"/>
        </w:rPr>
        <w:drawing>
          <wp:anchor distT="0" distB="0" distL="114300" distR="114300" simplePos="0" relativeHeight="251657216" behindDoc="0" locked="0" layoutInCell="1" allowOverlap="1">
            <wp:simplePos x="0" y="0"/>
            <wp:positionH relativeFrom="column">
              <wp:posOffset>9525</wp:posOffset>
            </wp:positionH>
            <wp:positionV relativeFrom="paragraph">
              <wp:posOffset>333375</wp:posOffset>
            </wp:positionV>
            <wp:extent cx="5543550" cy="19050"/>
            <wp:effectExtent l="0" t="0" r="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6" cstate="print"/>
                    <a:srcRect/>
                    <a:stretch>
                      <a:fillRect/>
                    </a:stretch>
                  </pic:blipFill>
                  <pic:spPr>
                    <a:xfrm>
                      <a:off x="0" y="0"/>
                      <a:ext cx="5543550" cy="19050"/>
                    </a:xfrm>
                    <a:prstGeom prst="rect">
                      <a:avLst/>
                    </a:prstGeom>
                    <a:noFill/>
                    <a:ln w="9525">
                      <a:noFill/>
                      <a:miter lim="800000"/>
                      <a:headEnd/>
                      <a:tailEnd/>
                    </a:ln>
                  </pic:spPr>
                </pic:pic>
              </a:graphicData>
            </a:graphic>
          </wp:anchor>
        </w:drawing>
      </w:r>
      <w:r>
        <w:rPr>
          <w:rFonts w:hint="eastAsia" w:ascii="仿宋_GB2312" w:eastAsia="仿宋_GB2312"/>
        </w:rPr>
        <w:drawing>
          <wp:anchor distT="0" distB="0" distL="114300" distR="114300" simplePos="0" relativeHeight="251658240" behindDoc="0" locked="0" layoutInCell="1" allowOverlap="1">
            <wp:simplePos x="0" y="0"/>
            <wp:positionH relativeFrom="column">
              <wp:posOffset>9525</wp:posOffset>
            </wp:positionH>
            <wp:positionV relativeFrom="paragraph">
              <wp:posOffset>57150</wp:posOffset>
            </wp:positionV>
            <wp:extent cx="5543550" cy="19050"/>
            <wp:effectExtent l="0" t="0" r="0"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7" cstate="print"/>
                    <a:srcRect/>
                    <a:stretch>
                      <a:fillRect/>
                    </a:stretch>
                  </pic:blipFill>
                  <pic:spPr>
                    <a:xfrm>
                      <a:off x="0" y="0"/>
                      <a:ext cx="5543550" cy="19050"/>
                    </a:xfrm>
                    <a:prstGeom prst="rect">
                      <a:avLst/>
                    </a:prstGeom>
                    <a:noFill/>
                    <a:ln w="9525">
                      <a:noFill/>
                      <a:miter lim="800000"/>
                      <a:headEnd/>
                      <a:tailEnd/>
                    </a:ln>
                  </pic:spPr>
                </pic:pic>
              </a:graphicData>
            </a:graphic>
          </wp:anchor>
        </w:drawing>
      </w:r>
      <w:r>
        <w:rPr>
          <w:rFonts w:hint="eastAsia" w:ascii="仿宋_GB2312" w:eastAsia="仿宋_GB2312"/>
          <w:sz w:val="28"/>
          <w:szCs w:val="28"/>
        </w:rPr>
        <w:t>红原县财政局办公室                      202</w:t>
      </w:r>
      <w:r>
        <w:rPr>
          <w:rFonts w:hint="eastAsia" w:ascii="仿宋_GB2312" w:eastAsia="仿宋_GB2312"/>
          <w:sz w:val="28"/>
          <w:szCs w:val="28"/>
          <w:lang w:val="en-US" w:eastAsia="zh-CN"/>
        </w:rPr>
        <w:t>1</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eastAsia" w:ascii="仿宋_GB2312" w:eastAsia="仿宋_GB2312"/>
          <w:sz w:val="28"/>
          <w:szCs w:val="28"/>
          <w:lang w:val="en-US" w:eastAsia="zh-CN"/>
        </w:rPr>
        <w:t>22</w:t>
      </w:r>
      <w:r>
        <w:rPr>
          <w:rFonts w:hint="eastAsia" w:ascii="仿宋_GB2312" w:eastAsia="仿宋_GB2312"/>
          <w:sz w:val="28"/>
          <w:szCs w:val="28"/>
        </w:rPr>
        <w:t xml:space="preserve">日印发  </w:t>
      </w:r>
    </w:p>
    <w:sectPr>
      <w:footerReference r:id="rId4" w:type="default"/>
      <w:pgSz w:w="11906" w:h="16838"/>
      <w:pgMar w:top="2098" w:right="1531" w:bottom="1701" w:left="1531" w:header="851" w:footer="992" w:gutter="0"/>
      <w:pgNumType w:fmt="numberInDash"/>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altName w:val="Arial Unicode MS"/>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Cambria Math">
    <w:panose1 w:val="02040503050406030204"/>
    <w:charset w:val="01"/>
    <w:family w:val="auto"/>
    <w:pitch w:val="default"/>
    <w:sig w:usb0="E00002FF" w:usb1="420024FF" w:usb2="00000000" w:usb3="00000000" w:csb0="2000019F" w:csb1="00000000"/>
  </w:font>
  <w:font w:name="@楷体_GB2312">
    <w:altName w:val="宋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_GBK">
    <w:altName w:val="Arial Unicode MS"/>
    <w:panose1 w:val="03000509000000000000"/>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-76200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pt;height:144pt;width:144pt;mso-position-horizontal:outside;mso-position-horizontal-relative:margin;mso-wrap-style:none;z-index:251675648;mso-width-relative:page;mso-height-relative:page;" filled="f" stroked="f" coordsize="21600,21600" o:gfxdata="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s4XRTUAAAACAEAAA8AAAAAAAAAAQAg&#10;AAAAIgAAAGRycy9kb3ducmV2LnhtbFBLAQIUABQAAAAIAIdO4kBK283/EgIAABMEAAAOAAAAAAAA&#10;AAEAIAAAACMBAABkcnMvZTJvRG9jLnhtbFBLBQYAAAAABgAGAFkBAACn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-76200</wp:posOffset>
              </wp:positionV>
              <wp:extent cx="451485" cy="240665"/>
              <wp:effectExtent l="0" t="0" r="0" b="0"/>
              <wp:wrapNone/>
              <wp:docPr id="6" name="文本框 6"/>
              <wp:cNvGraphicFramePr/>
              <a:graphic xmlns:a="http://schemas.openxmlformats.org/drawingml/2006/main">
                <a:graphicData uri="http://schemas.microsoft.com/office/word/2010/wordprocessingShape">
                  <wps:wsp>
                    <wps:cNvSpPr txBox="1"/>
                    <wps:spPr>
                      <a:xfrm>
                        <a:off x="0" y="0"/>
                        <a:ext cx="451485" cy="240665"/>
                      </a:xfrm>
                      <a:prstGeom prst="rect">
                        <a:avLst/>
                      </a:prstGeom>
                      <a:noFill/>
                      <a:ln w="6350">
                        <a:noFill/>
                      </a:ln>
                      <a:effectLst/>
                    </wps:spPr>
                    <wps:txbx>
                      <w:txbxContent>
                        <w:p>
                          <w:pPr>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- 2 -</w:t>
                          </w:r>
                          <w:r>
                            <w:rPr>
                              <w:rFonts w:hint="eastAsia" w:asciiTheme="majorEastAsia" w:hAnsiTheme="majorEastAsia" w:eastAsiaTheme="majorEastAsia" w:cstheme="majorEastAsia"/>
                              <w:sz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pt;height:18.95pt;width:35.55pt;mso-position-horizontal:outside;mso-position-horizontal-relative:margin;z-index:251674624;mso-width-relative:page;mso-height-relative:page;" filled="f" stroked="f" coordsize="21600,21600" o:gfxdata="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n4OLD1QAA&#10;AAYBAAAPAAAAAAAAAAEAIAAAACIAAABkcnMvZG93bnJldi54bWxQSwECFAAUAAAACACHTuJAYjGc&#10;iiECAAAhBAAADgAAAAAAAAABACAAAAAkAQAAZHJzL2Uyb0RvYy54bWxQSwUGAAAAAAYABgBZAQAA&#10;twUAAAAA&#10;">
              <v:fill on="f" focussize="0,0"/>
              <v:stroke on="f" weight="0.5pt"/>
              <v:imagedata o:title=""/>
              <o:lock v:ext="edit" aspectratio="f"/>
              <v:textbox inset="0mm,0mm,0mm,0mm">
                <w:txbxContent>
                  <w:p>
                    <w:pPr>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- 2 -</w:t>
                    </w:r>
                    <w:r>
                      <w:rPr>
                        <w:rFonts w:hint="eastAsia" w:asciiTheme="majorEastAsia" w:hAnsiTheme="majorEastAsia" w:eastAsiaTheme="majorEastAsia" w:cstheme="majorEastAsia"/>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677F11"/>
    <w:rsid w:val="00C77FF4"/>
    <w:rsid w:val="010821BF"/>
    <w:rsid w:val="0DFB6F1B"/>
    <w:rsid w:val="240C18D0"/>
    <w:rsid w:val="253152E6"/>
    <w:rsid w:val="33F5396C"/>
    <w:rsid w:val="41A160F2"/>
    <w:rsid w:val="505B0F0C"/>
    <w:rsid w:val="5A546C5E"/>
    <w:rsid w:val="5DC70337"/>
    <w:rsid w:val="66E01237"/>
    <w:rsid w:val="68677F11"/>
    <w:rsid w:val="707E03DE"/>
    <w:rsid w:val="72A656FA"/>
    <w:rsid w:val="75EC48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2">
    <w:name w:val="Body Text"/>
    <w:basedOn w:val="1"/>
    <w:link w:val="9"/>
    <w:qFormat/>
    <w:uiPriority w:val="0"/>
    <w:pPr>
      <w:spacing w:after="120" w:afterLines="0" w:afterAutospacing="0"/>
    </w:pPr>
  </w:style>
  <w:style w:type="paragraph" w:styleId="3">
    <w:name w:val="footer"/>
    <w:basedOn w:val="1"/>
    <w:qFormat/>
    <w:uiPriority w:val="0"/>
    <w:pPr>
      <w:tabs>
        <w:tab w:val="center" w:pos="4153"/>
        <w:tab w:val="right" w:pos="8306"/>
      </w:tabs>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p0"/>
    <w:basedOn w:val="1"/>
    <w:qFormat/>
    <w:uiPriority w:val="0"/>
    <w:pPr>
      <w:widowControl/>
    </w:pPr>
    <w:rPr>
      <w:rFonts w:ascii="Times New Roman" w:hAnsi="Times New Roman"/>
      <w:kern w:val="0"/>
      <w:szCs w:val="21"/>
    </w:rPr>
  </w:style>
  <w:style w:type="character" w:customStyle="1" w:styleId="9">
    <w:name w:val="正文文本 Char"/>
    <w:basedOn w:val="6"/>
    <w:link w:val="2"/>
    <w:qFormat/>
    <w:uiPriority w:val="0"/>
    <w:rPr>
      <w:rFonts w:hint="default" w:ascii="Calibri" w:hAnsi="Calibri" w:cs="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2021-08-30T08:41:00Z</dcterms:created>
  <dc:creator>Administrator</dc:creator>
  <cp:lastModifiedBy>投资股-李仕昂</cp:lastModifiedBy>
  <cp:lastPrinted>2021-11-15T01:46:00Z</cp:lastPrinted>
  <dcterms:modified xsi:type="dcterms:W3CDTF">2021-12-17T02:20:29Z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