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shd w:val="clear" w:color="auto" w:fill="FFFFFF"/>
        <w:jc w:val="center"/>
        <w:rPr>
          <w:rStyle w:val="9"/>
          <w:rFonts w:hint="eastAsia"/>
          <w:sz w:val="52"/>
          <w:szCs w:val="52"/>
        </w:rPr>
      </w:pPr>
    </w:p>
    <w:p>
      <w:pPr>
        <w:pStyle w:val="6"/>
        <w:shd w:val="clear" w:color="auto" w:fill="FFFFFF"/>
        <w:jc w:val="center"/>
        <w:rPr>
          <w:rStyle w:val="9"/>
          <w:rFonts w:hint="eastAsia"/>
          <w:sz w:val="52"/>
          <w:szCs w:val="52"/>
        </w:rPr>
      </w:pPr>
    </w:p>
    <w:p>
      <w:pPr>
        <w:pStyle w:val="6"/>
        <w:shd w:val="clear" w:color="auto" w:fill="FFFFFF"/>
        <w:jc w:val="center"/>
        <w:rPr>
          <w:rStyle w:val="9"/>
          <w:rFonts w:hint="eastAsia"/>
          <w:sz w:val="52"/>
          <w:szCs w:val="52"/>
        </w:rPr>
      </w:pPr>
    </w:p>
    <w:p>
      <w:pPr>
        <w:pStyle w:val="6"/>
        <w:shd w:val="clear" w:color="auto" w:fill="FFFFFF"/>
        <w:jc w:val="center"/>
        <w:rPr>
          <w:rStyle w:val="9"/>
          <w:rFonts w:hint="eastAsia"/>
          <w:sz w:val="52"/>
          <w:szCs w:val="52"/>
        </w:rPr>
      </w:pPr>
    </w:p>
    <w:p>
      <w:pPr>
        <w:pStyle w:val="6"/>
        <w:shd w:val="clear" w:color="auto" w:fill="FFFFFF"/>
        <w:jc w:val="center"/>
        <w:rPr>
          <w:sz w:val="52"/>
          <w:szCs w:val="52"/>
        </w:rPr>
      </w:pPr>
      <w:r>
        <w:rPr>
          <w:rStyle w:val="9"/>
          <w:sz w:val="52"/>
          <w:szCs w:val="52"/>
        </w:rPr>
        <w:t>2020年度</w:t>
      </w:r>
    </w:p>
    <w:p>
      <w:pPr>
        <w:pStyle w:val="6"/>
        <w:shd w:val="clear" w:color="auto" w:fill="FFFFFF"/>
        <w:ind w:firstLine="1305" w:firstLineChars="250"/>
        <w:rPr>
          <w:rStyle w:val="9"/>
          <w:rFonts w:hint="eastAsia"/>
          <w:sz w:val="52"/>
          <w:szCs w:val="52"/>
        </w:rPr>
      </w:pPr>
      <w:r>
        <w:rPr>
          <w:rStyle w:val="9"/>
          <w:sz w:val="52"/>
          <w:szCs w:val="52"/>
        </w:rPr>
        <w:t>阿坝州红原县</w:t>
      </w:r>
      <w:r>
        <w:rPr>
          <w:rStyle w:val="9"/>
          <w:rFonts w:hint="eastAsia"/>
          <w:sz w:val="52"/>
          <w:szCs w:val="52"/>
        </w:rPr>
        <w:t>住房和城乡</w:t>
      </w:r>
    </w:p>
    <w:p>
      <w:pPr>
        <w:pStyle w:val="6"/>
        <w:shd w:val="clear" w:color="auto" w:fill="FFFFFF"/>
        <w:ind w:left="3858" w:hanging="3858" w:hangingChars="739"/>
        <w:jc w:val="center"/>
        <w:rPr>
          <w:sz w:val="52"/>
          <w:szCs w:val="52"/>
        </w:rPr>
      </w:pPr>
      <w:r>
        <w:rPr>
          <w:rStyle w:val="9"/>
          <w:rFonts w:hint="eastAsia"/>
          <w:sz w:val="52"/>
          <w:szCs w:val="52"/>
        </w:rPr>
        <w:t>建设</w:t>
      </w:r>
      <w:r>
        <w:rPr>
          <w:rStyle w:val="9"/>
          <w:sz w:val="52"/>
          <w:szCs w:val="52"/>
        </w:rPr>
        <w:t>局部门决算</w:t>
      </w:r>
    </w:p>
    <w:p>
      <w:pPr>
        <w:pStyle w:val="6"/>
        <w:shd w:val="clear" w:color="auto" w:fill="FFFFFF"/>
        <w:jc w:val="center"/>
      </w:pPr>
      <w:r>
        <w:t> </w:t>
      </w:r>
    </w:p>
    <w:p>
      <w:pPr>
        <w:pStyle w:val="6"/>
        <w:shd w:val="clear" w:color="auto" w:fill="FFFFFF"/>
        <w:jc w:val="center"/>
      </w:pPr>
      <w:r>
        <w:t> </w:t>
      </w:r>
    </w:p>
    <w:p>
      <w:pPr>
        <w:pStyle w:val="6"/>
        <w:shd w:val="clear" w:color="auto" w:fill="FFFFFF"/>
        <w:jc w:val="center"/>
      </w:pPr>
      <w:r>
        <w:t> </w:t>
      </w:r>
    </w:p>
    <w:p>
      <w:pPr>
        <w:pStyle w:val="6"/>
        <w:shd w:val="clear" w:color="auto" w:fill="FFFFFF"/>
        <w:jc w:val="center"/>
      </w:pPr>
      <w:r>
        <w:t> </w:t>
      </w:r>
    </w:p>
    <w:p>
      <w:pPr>
        <w:pStyle w:val="6"/>
        <w:shd w:val="clear" w:color="auto" w:fill="FFFFFF"/>
        <w:jc w:val="center"/>
      </w:pPr>
      <w:r>
        <w:t> </w:t>
      </w:r>
    </w:p>
    <w:p>
      <w:pPr>
        <w:pStyle w:val="6"/>
        <w:shd w:val="clear" w:color="auto" w:fill="FFFFFF"/>
        <w:jc w:val="center"/>
        <w:rPr>
          <w:rFonts w:hint="eastAsia"/>
        </w:rPr>
      </w:pPr>
      <w:r>
        <w:t> </w:t>
      </w:r>
    </w:p>
    <w:p>
      <w:pPr>
        <w:pStyle w:val="6"/>
        <w:shd w:val="clear" w:color="auto" w:fill="FFFFFF"/>
      </w:pPr>
      <w:r>
        <w:rPr>
          <w:sz w:val="32"/>
          <w:szCs w:val="32"/>
        </w:rPr>
        <w:t xml:space="preserve"> 保密审查情况：已审查，内容审定</w:t>
      </w:r>
    </w:p>
    <w:p>
      <w:pPr>
        <w:pStyle w:val="6"/>
        <w:shd w:val="clear" w:color="auto" w:fill="FFFFFF"/>
        <w:rPr>
          <w:sz w:val="32"/>
          <w:szCs w:val="32"/>
        </w:rPr>
      </w:pPr>
      <w:r>
        <w:rPr>
          <w:sz w:val="32"/>
          <w:szCs w:val="32"/>
        </w:rPr>
        <w:t>部门主要负责人审签情况：已审签，同意对外公开</w:t>
      </w:r>
    </w:p>
    <w:p>
      <w:pPr>
        <w:pStyle w:val="6"/>
        <w:shd w:val="clear" w:color="auto" w:fill="FFFFFF"/>
        <w:spacing w:line="560" w:lineRule="exact"/>
        <w:jc w:val="center"/>
        <w:rPr>
          <w:sz w:val="52"/>
          <w:szCs w:val="52"/>
        </w:rPr>
      </w:pPr>
      <w:r>
        <w:rPr>
          <w:rStyle w:val="9"/>
          <w:sz w:val="52"/>
          <w:szCs w:val="52"/>
        </w:rPr>
        <w:t>目   录</w:t>
      </w:r>
    </w:p>
    <w:p>
      <w:pPr>
        <w:pStyle w:val="6"/>
        <w:shd w:val="clear" w:color="auto" w:fill="FFFFFF"/>
        <w:spacing w:line="560" w:lineRule="exact"/>
        <w:jc w:val="center"/>
        <w:rPr>
          <w:sz w:val="32"/>
          <w:szCs w:val="32"/>
        </w:rPr>
      </w:pPr>
      <w:r>
        <w:rPr>
          <w:rFonts w:hint="eastAsia"/>
          <w:sz w:val="32"/>
          <w:szCs w:val="32"/>
        </w:rPr>
        <w:t xml:space="preserve"> </w:t>
      </w:r>
      <w:r>
        <w:rPr>
          <w:sz w:val="32"/>
          <w:szCs w:val="32"/>
        </w:rPr>
        <w:t xml:space="preserve">公开时间：2021年 </w:t>
      </w:r>
      <w:r>
        <w:rPr>
          <w:rFonts w:hint="eastAsia"/>
          <w:sz w:val="32"/>
          <w:szCs w:val="32"/>
          <w:lang w:val="en-US" w:eastAsia="zh-CN"/>
        </w:rPr>
        <w:t>12</w:t>
      </w:r>
      <w:r>
        <w:rPr>
          <w:sz w:val="32"/>
          <w:szCs w:val="32"/>
        </w:rPr>
        <w:t xml:space="preserve">月 </w:t>
      </w:r>
      <w:r>
        <w:rPr>
          <w:rFonts w:hint="eastAsia"/>
          <w:sz w:val="32"/>
          <w:szCs w:val="32"/>
          <w:lang w:val="en-US" w:eastAsia="zh-CN"/>
        </w:rPr>
        <w:t>1</w:t>
      </w:r>
      <w:r>
        <w:rPr>
          <w:sz w:val="32"/>
          <w:szCs w:val="32"/>
        </w:rPr>
        <w:t xml:space="preserve"> 日</w:t>
      </w:r>
    </w:p>
    <w:p>
      <w:pPr>
        <w:pStyle w:val="6"/>
        <w:shd w:val="clear" w:color="auto" w:fill="FFFFFF"/>
        <w:spacing w:line="560" w:lineRule="exact"/>
        <w:ind w:firstLine="2891" w:firstLineChars="900"/>
        <w:rPr>
          <w:b/>
          <w:bCs/>
          <w:sz w:val="32"/>
          <w:szCs w:val="32"/>
        </w:rPr>
      </w:pPr>
      <w:r>
        <w:rPr>
          <w:b/>
          <w:bCs/>
          <w:sz w:val="32"/>
          <w:szCs w:val="32"/>
        </w:rPr>
        <w:t>第一部分 部门概况</w:t>
      </w:r>
    </w:p>
    <w:p>
      <w:pPr>
        <w:pStyle w:val="6"/>
        <w:shd w:val="clear" w:color="auto" w:fill="FFFFFF"/>
        <w:spacing w:line="560" w:lineRule="exact"/>
        <w:rPr>
          <w:sz w:val="32"/>
          <w:szCs w:val="32"/>
        </w:rPr>
      </w:pPr>
      <w:r>
        <w:rPr>
          <w:sz w:val="32"/>
          <w:szCs w:val="32"/>
        </w:rPr>
        <w:t>一、基本职能及主要工作</w:t>
      </w:r>
    </w:p>
    <w:p>
      <w:pPr>
        <w:pStyle w:val="6"/>
        <w:shd w:val="clear" w:color="auto" w:fill="FFFFFF"/>
        <w:spacing w:line="560" w:lineRule="exact"/>
        <w:rPr>
          <w:sz w:val="32"/>
          <w:szCs w:val="32"/>
        </w:rPr>
      </w:pPr>
      <w:r>
        <w:rPr>
          <w:sz w:val="32"/>
          <w:szCs w:val="32"/>
        </w:rPr>
        <w:t>（一）主要职能。</w:t>
      </w:r>
    </w:p>
    <w:p>
      <w:pPr>
        <w:pStyle w:val="6"/>
        <w:shd w:val="clear" w:color="auto" w:fill="FFFFFF"/>
        <w:spacing w:line="560" w:lineRule="exact"/>
        <w:rPr>
          <w:sz w:val="32"/>
          <w:szCs w:val="32"/>
        </w:rPr>
      </w:pPr>
      <w:r>
        <w:rPr>
          <w:sz w:val="32"/>
          <w:szCs w:val="32"/>
        </w:rPr>
        <w:t>（二）2020年重点工作完成情况。</w:t>
      </w:r>
    </w:p>
    <w:p>
      <w:pPr>
        <w:pStyle w:val="6"/>
        <w:shd w:val="clear" w:color="auto" w:fill="FFFFFF"/>
        <w:spacing w:line="560" w:lineRule="exact"/>
        <w:rPr>
          <w:sz w:val="32"/>
          <w:szCs w:val="32"/>
        </w:rPr>
      </w:pPr>
      <w:r>
        <w:rPr>
          <w:sz w:val="32"/>
          <w:szCs w:val="32"/>
        </w:rPr>
        <w:t>二、机构设置</w:t>
      </w:r>
    </w:p>
    <w:p>
      <w:pPr>
        <w:pStyle w:val="6"/>
        <w:shd w:val="clear" w:color="auto" w:fill="FFFFFF"/>
        <w:spacing w:line="560" w:lineRule="exact"/>
        <w:ind w:firstLine="1606" w:firstLineChars="500"/>
        <w:rPr>
          <w:b/>
          <w:bCs/>
          <w:sz w:val="32"/>
          <w:szCs w:val="32"/>
        </w:rPr>
      </w:pPr>
      <w:r>
        <w:rPr>
          <w:b/>
          <w:bCs/>
          <w:sz w:val="32"/>
          <w:szCs w:val="32"/>
        </w:rPr>
        <w:t>第二部分 2020年度部门决算情况说明</w:t>
      </w:r>
    </w:p>
    <w:p>
      <w:pPr>
        <w:pStyle w:val="6"/>
        <w:shd w:val="clear" w:color="auto" w:fill="FFFFFF"/>
        <w:spacing w:line="560" w:lineRule="exact"/>
        <w:rPr>
          <w:sz w:val="32"/>
          <w:szCs w:val="32"/>
        </w:rPr>
      </w:pPr>
      <w:r>
        <w:rPr>
          <w:sz w:val="32"/>
          <w:szCs w:val="32"/>
        </w:rPr>
        <w:t>一、收入支出决算总体情况说明</w:t>
      </w:r>
    </w:p>
    <w:p>
      <w:pPr>
        <w:pStyle w:val="6"/>
        <w:shd w:val="clear" w:color="auto" w:fill="FFFFFF"/>
        <w:spacing w:line="560" w:lineRule="exact"/>
        <w:rPr>
          <w:sz w:val="32"/>
          <w:szCs w:val="32"/>
        </w:rPr>
      </w:pPr>
      <w:r>
        <w:rPr>
          <w:sz w:val="32"/>
          <w:szCs w:val="32"/>
        </w:rPr>
        <w:t>二、收入决算情况说明</w:t>
      </w:r>
    </w:p>
    <w:p>
      <w:pPr>
        <w:pStyle w:val="6"/>
        <w:shd w:val="clear" w:color="auto" w:fill="FFFFFF"/>
        <w:spacing w:line="560" w:lineRule="exact"/>
        <w:rPr>
          <w:sz w:val="32"/>
          <w:szCs w:val="32"/>
        </w:rPr>
      </w:pPr>
      <w:r>
        <w:rPr>
          <w:sz w:val="32"/>
          <w:szCs w:val="32"/>
        </w:rPr>
        <w:t>三、支出决算情况说明</w:t>
      </w:r>
    </w:p>
    <w:p>
      <w:pPr>
        <w:pStyle w:val="6"/>
        <w:shd w:val="clear" w:color="auto" w:fill="FFFFFF"/>
        <w:spacing w:line="560" w:lineRule="exact"/>
        <w:rPr>
          <w:sz w:val="32"/>
          <w:szCs w:val="32"/>
        </w:rPr>
      </w:pPr>
      <w:r>
        <w:rPr>
          <w:sz w:val="32"/>
          <w:szCs w:val="32"/>
        </w:rPr>
        <w:t>四、财政拨款收入支出决算总体情况说明</w:t>
      </w:r>
    </w:p>
    <w:p>
      <w:pPr>
        <w:pStyle w:val="6"/>
        <w:shd w:val="clear" w:color="auto" w:fill="FFFFFF"/>
        <w:spacing w:line="560" w:lineRule="exact"/>
        <w:rPr>
          <w:sz w:val="32"/>
          <w:szCs w:val="32"/>
        </w:rPr>
      </w:pPr>
      <w:r>
        <w:rPr>
          <w:sz w:val="32"/>
          <w:szCs w:val="32"/>
        </w:rPr>
        <w:t>五、</w:t>
      </w:r>
      <w:r>
        <w:rPr>
          <w:rStyle w:val="9"/>
          <w:sz w:val="32"/>
          <w:szCs w:val="32"/>
        </w:rPr>
        <w:t>一</w:t>
      </w:r>
      <w:r>
        <w:rPr>
          <w:sz w:val="32"/>
          <w:szCs w:val="32"/>
        </w:rPr>
        <w:t>般公共预算财政拨款支出决算情况说明</w:t>
      </w:r>
    </w:p>
    <w:p>
      <w:pPr>
        <w:pStyle w:val="6"/>
        <w:shd w:val="clear" w:color="auto" w:fill="FFFFFF"/>
        <w:spacing w:line="560" w:lineRule="exact"/>
        <w:rPr>
          <w:b w:val="0"/>
          <w:bCs w:val="0"/>
          <w:sz w:val="32"/>
          <w:szCs w:val="32"/>
        </w:rPr>
      </w:pPr>
      <w:r>
        <w:rPr>
          <w:rStyle w:val="9"/>
          <w:b w:val="0"/>
          <w:bCs w:val="0"/>
          <w:sz w:val="32"/>
          <w:szCs w:val="32"/>
        </w:rPr>
        <w:t>（一）一般公共预算财政拨款支出决算总体情况</w:t>
      </w:r>
    </w:p>
    <w:p>
      <w:pPr>
        <w:pStyle w:val="6"/>
        <w:shd w:val="clear" w:color="auto" w:fill="FFFFFF"/>
        <w:spacing w:line="560" w:lineRule="exact"/>
        <w:rPr>
          <w:b w:val="0"/>
          <w:bCs w:val="0"/>
          <w:sz w:val="32"/>
          <w:szCs w:val="32"/>
        </w:rPr>
      </w:pPr>
      <w:r>
        <w:rPr>
          <w:rStyle w:val="9"/>
          <w:b w:val="0"/>
          <w:bCs w:val="0"/>
          <w:sz w:val="32"/>
          <w:szCs w:val="32"/>
        </w:rPr>
        <w:t>（二）一般公共预算财政拨款支出决算结构情况</w:t>
      </w:r>
    </w:p>
    <w:p>
      <w:pPr>
        <w:pStyle w:val="6"/>
        <w:shd w:val="clear" w:color="auto" w:fill="FFFFFF"/>
        <w:spacing w:line="560" w:lineRule="exact"/>
        <w:rPr>
          <w:b w:val="0"/>
          <w:bCs w:val="0"/>
          <w:sz w:val="32"/>
          <w:szCs w:val="32"/>
        </w:rPr>
      </w:pPr>
      <w:r>
        <w:rPr>
          <w:rStyle w:val="9"/>
          <w:b w:val="0"/>
          <w:bCs w:val="0"/>
          <w:sz w:val="32"/>
          <w:szCs w:val="32"/>
        </w:rPr>
        <w:t>（三）一般公共预算财政拨款支出决算具体情况</w:t>
      </w:r>
    </w:p>
    <w:p>
      <w:pPr>
        <w:pStyle w:val="6"/>
        <w:shd w:val="clear" w:color="auto" w:fill="FFFFFF"/>
        <w:spacing w:line="560" w:lineRule="exact"/>
        <w:rPr>
          <w:sz w:val="32"/>
          <w:szCs w:val="32"/>
        </w:rPr>
      </w:pPr>
      <w:r>
        <w:rPr>
          <w:sz w:val="32"/>
          <w:szCs w:val="32"/>
        </w:rPr>
        <w:t>六</w:t>
      </w:r>
      <w:r>
        <w:rPr>
          <w:rStyle w:val="9"/>
          <w:sz w:val="32"/>
          <w:szCs w:val="32"/>
        </w:rPr>
        <w:t>、一</w:t>
      </w:r>
      <w:r>
        <w:rPr>
          <w:sz w:val="32"/>
          <w:szCs w:val="32"/>
        </w:rPr>
        <w:t>般公共预算财政拨款基本支出决算情况说明</w:t>
      </w:r>
    </w:p>
    <w:p>
      <w:pPr>
        <w:pStyle w:val="6"/>
        <w:shd w:val="clear" w:color="auto" w:fill="FFFFFF"/>
        <w:spacing w:line="560" w:lineRule="exact"/>
        <w:rPr>
          <w:sz w:val="32"/>
          <w:szCs w:val="32"/>
        </w:rPr>
      </w:pPr>
      <w:r>
        <w:rPr>
          <w:sz w:val="32"/>
          <w:szCs w:val="32"/>
        </w:rPr>
        <w:t>七、</w:t>
      </w:r>
      <w:r>
        <w:rPr>
          <w:rStyle w:val="9"/>
          <w:sz w:val="32"/>
          <w:szCs w:val="32"/>
        </w:rPr>
        <w:t>“</w:t>
      </w:r>
      <w:r>
        <w:rPr>
          <w:sz w:val="32"/>
          <w:szCs w:val="32"/>
        </w:rPr>
        <w:t>三公”经费财政拨款支出决算情况说明</w:t>
      </w:r>
    </w:p>
    <w:p>
      <w:pPr>
        <w:pStyle w:val="6"/>
        <w:shd w:val="clear" w:color="auto" w:fill="FFFFFF"/>
        <w:spacing w:line="560" w:lineRule="exact"/>
        <w:rPr>
          <w:b w:val="0"/>
          <w:bCs w:val="0"/>
          <w:sz w:val="32"/>
          <w:szCs w:val="32"/>
        </w:rPr>
      </w:pPr>
      <w:r>
        <w:rPr>
          <w:rStyle w:val="9"/>
          <w:b w:val="0"/>
          <w:bCs w:val="0"/>
          <w:sz w:val="32"/>
          <w:szCs w:val="32"/>
        </w:rPr>
        <w:t>（一）“三公”经费财政拨款支出决算总体情况说明</w:t>
      </w:r>
    </w:p>
    <w:p>
      <w:pPr>
        <w:pStyle w:val="6"/>
        <w:shd w:val="clear" w:color="auto" w:fill="FFFFFF"/>
        <w:spacing w:line="560" w:lineRule="exact"/>
        <w:rPr>
          <w:b w:val="0"/>
          <w:bCs w:val="0"/>
          <w:sz w:val="32"/>
          <w:szCs w:val="32"/>
        </w:rPr>
      </w:pPr>
      <w:r>
        <w:rPr>
          <w:rStyle w:val="9"/>
          <w:b w:val="0"/>
          <w:bCs w:val="0"/>
          <w:sz w:val="32"/>
          <w:szCs w:val="32"/>
        </w:rPr>
        <w:t>（二）“三公”经费财政拨款支出决算具体情况说明</w:t>
      </w:r>
    </w:p>
    <w:p>
      <w:pPr>
        <w:pStyle w:val="6"/>
        <w:shd w:val="clear" w:color="auto" w:fill="FFFFFF"/>
        <w:spacing w:line="560" w:lineRule="exact"/>
        <w:rPr>
          <w:sz w:val="32"/>
          <w:szCs w:val="32"/>
        </w:rPr>
      </w:pPr>
      <w:r>
        <w:rPr>
          <w:sz w:val="32"/>
          <w:szCs w:val="32"/>
        </w:rPr>
        <w:t>八、政府性基金预算支出决算情况说明</w:t>
      </w:r>
    </w:p>
    <w:p>
      <w:pPr>
        <w:pStyle w:val="6"/>
        <w:shd w:val="clear" w:color="auto" w:fill="FFFFFF"/>
        <w:spacing w:line="560" w:lineRule="exact"/>
        <w:rPr>
          <w:sz w:val="32"/>
          <w:szCs w:val="32"/>
        </w:rPr>
      </w:pPr>
      <w:r>
        <w:rPr>
          <w:sz w:val="32"/>
          <w:szCs w:val="32"/>
        </w:rPr>
        <w:t>九、 国有资本经营预算支出决算情况说明</w:t>
      </w:r>
    </w:p>
    <w:p>
      <w:pPr>
        <w:pStyle w:val="6"/>
        <w:shd w:val="clear" w:color="auto" w:fill="FFFFFF"/>
        <w:spacing w:line="560" w:lineRule="exact"/>
        <w:rPr>
          <w:sz w:val="32"/>
          <w:szCs w:val="32"/>
        </w:rPr>
      </w:pPr>
      <w:r>
        <w:rPr>
          <w:sz w:val="32"/>
          <w:szCs w:val="32"/>
        </w:rPr>
        <w:t>十</w:t>
      </w:r>
      <w:r>
        <w:rPr>
          <w:rStyle w:val="9"/>
          <w:sz w:val="32"/>
          <w:szCs w:val="32"/>
        </w:rPr>
        <w:t>、</w:t>
      </w:r>
      <w:r>
        <w:rPr>
          <w:sz w:val="32"/>
          <w:szCs w:val="32"/>
        </w:rPr>
        <w:t>其他重要事项的情况说明</w:t>
      </w:r>
    </w:p>
    <w:p>
      <w:pPr>
        <w:pStyle w:val="6"/>
        <w:shd w:val="clear" w:color="auto" w:fill="FFFFFF"/>
        <w:spacing w:line="560" w:lineRule="exact"/>
        <w:rPr>
          <w:b w:val="0"/>
          <w:bCs w:val="0"/>
          <w:sz w:val="32"/>
          <w:szCs w:val="32"/>
        </w:rPr>
      </w:pPr>
      <w:r>
        <w:rPr>
          <w:rStyle w:val="9"/>
          <w:b w:val="0"/>
          <w:bCs w:val="0"/>
          <w:sz w:val="32"/>
          <w:szCs w:val="32"/>
        </w:rPr>
        <w:t>（一）机关运行经费支出情况</w:t>
      </w:r>
    </w:p>
    <w:p>
      <w:pPr>
        <w:pStyle w:val="6"/>
        <w:shd w:val="clear" w:color="auto" w:fill="FFFFFF"/>
        <w:spacing w:line="560" w:lineRule="exact"/>
        <w:rPr>
          <w:b w:val="0"/>
          <w:bCs w:val="0"/>
          <w:sz w:val="32"/>
          <w:szCs w:val="32"/>
        </w:rPr>
      </w:pPr>
      <w:r>
        <w:rPr>
          <w:rStyle w:val="9"/>
          <w:b w:val="0"/>
          <w:bCs w:val="0"/>
          <w:sz w:val="32"/>
          <w:szCs w:val="32"/>
        </w:rPr>
        <w:t>（二）政府采购支出情况</w:t>
      </w:r>
    </w:p>
    <w:p>
      <w:pPr>
        <w:pStyle w:val="6"/>
        <w:shd w:val="clear" w:color="auto" w:fill="FFFFFF"/>
        <w:spacing w:line="560" w:lineRule="exact"/>
        <w:rPr>
          <w:b w:val="0"/>
          <w:bCs w:val="0"/>
          <w:sz w:val="32"/>
          <w:szCs w:val="32"/>
        </w:rPr>
      </w:pPr>
      <w:r>
        <w:rPr>
          <w:rStyle w:val="9"/>
          <w:b w:val="0"/>
          <w:bCs w:val="0"/>
          <w:sz w:val="32"/>
          <w:szCs w:val="32"/>
        </w:rPr>
        <w:t>（三）国有资产占有使用情况</w:t>
      </w:r>
    </w:p>
    <w:p>
      <w:pPr>
        <w:pStyle w:val="6"/>
        <w:shd w:val="clear" w:color="auto" w:fill="FFFFFF"/>
        <w:spacing w:line="560" w:lineRule="exact"/>
        <w:rPr>
          <w:b w:val="0"/>
          <w:bCs w:val="0"/>
          <w:sz w:val="32"/>
          <w:szCs w:val="32"/>
        </w:rPr>
      </w:pPr>
      <w:r>
        <w:rPr>
          <w:rStyle w:val="9"/>
          <w:b w:val="0"/>
          <w:bCs w:val="0"/>
          <w:sz w:val="32"/>
          <w:szCs w:val="32"/>
        </w:rPr>
        <w:t>（四）预算绩效管理情况。</w:t>
      </w:r>
    </w:p>
    <w:p>
      <w:pPr>
        <w:pStyle w:val="6"/>
        <w:shd w:val="clear" w:color="auto" w:fill="FFFFFF"/>
        <w:spacing w:line="560" w:lineRule="exact"/>
        <w:ind w:firstLine="2891" w:firstLineChars="900"/>
        <w:rPr>
          <w:b/>
          <w:bCs/>
          <w:sz w:val="32"/>
          <w:szCs w:val="32"/>
        </w:rPr>
      </w:pPr>
      <w:r>
        <w:rPr>
          <w:b/>
          <w:bCs/>
          <w:sz w:val="32"/>
          <w:szCs w:val="32"/>
        </w:rPr>
        <w:t>第三部分 名词解释</w:t>
      </w:r>
    </w:p>
    <w:p>
      <w:pPr>
        <w:pStyle w:val="6"/>
        <w:shd w:val="clear" w:color="auto" w:fill="FFFFFF"/>
        <w:spacing w:line="560" w:lineRule="exact"/>
        <w:ind w:firstLine="2891" w:firstLineChars="900"/>
        <w:rPr>
          <w:b/>
          <w:bCs/>
          <w:sz w:val="32"/>
          <w:szCs w:val="32"/>
        </w:rPr>
      </w:pPr>
      <w:r>
        <w:rPr>
          <w:b/>
          <w:bCs/>
          <w:sz w:val="32"/>
          <w:szCs w:val="32"/>
        </w:rPr>
        <w:t>第四部分 附件</w:t>
      </w:r>
    </w:p>
    <w:p>
      <w:pPr>
        <w:pStyle w:val="6"/>
        <w:shd w:val="clear" w:color="auto" w:fill="FFFFFF"/>
        <w:spacing w:line="560" w:lineRule="exact"/>
        <w:rPr>
          <w:sz w:val="32"/>
          <w:szCs w:val="32"/>
        </w:rPr>
      </w:pPr>
      <w:r>
        <w:rPr>
          <w:sz w:val="32"/>
          <w:szCs w:val="32"/>
        </w:rPr>
        <w:t>附件1</w:t>
      </w:r>
    </w:p>
    <w:p>
      <w:pPr>
        <w:pStyle w:val="6"/>
        <w:shd w:val="clear" w:color="auto" w:fill="FFFFFF"/>
        <w:spacing w:line="560" w:lineRule="exact"/>
        <w:rPr>
          <w:sz w:val="32"/>
          <w:szCs w:val="32"/>
        </w:rPr>
      </w:pPr>
      <w:r>
        <w:rPr>
          <w:rFonts w:hint="eastAsia"/>
          <w:sz w:val="32"/>
          <w:szCs w:val="32"/>
          <w:lang w:val="en-US" w:eastAsia="zh-CN"/>
        </w:rPr>
        <w:t>红原县住房和城乡建设局</w:t>
      </w:r>
      <w:r>
        <w:rPr>
          <w:sz w:val="32"/>
          <w:szCs w:val="32"/>
        </w:rPr>
        <w:t>部门2020年部门整体支出绩效评价报告</w:t>
      </w:r>
    </w:p>
    <w:p>
      <w:pPr>
        <w:pStyle w:val="6"/>
        <w:shd w:val="clear" w:color="auto" w:fill="FFFFFF"/>
        <w:spacing w:line="560" w:lineRule="exact"/>
        <w:rPr>
          <w:sz w:val="32"/>
          <w:szCs w:val="32"/>
        </w:rPr>
      </w:pPr>
      <w:r>
        <w:rPr>
          <w:sz w:val="32"/>
          <w:szCs w:val="32"/>
        </w:rPr>
        <w:t>附件2</w:t>
      </w:r>
    </w:p>
    <w:p>
      <w:pPr>
        <w:pStyle w:val="6"/>
        <w:shd w:val="clear" w:color="auto" w:fill="FFFFFF"/>
        <w:spacing w:line="560" w:lineRule="exact"/>
        <w:rPr>
          <w:sz w:val="32"/>
          <w:szCs w:val="32"/>
        </w:rPr>
      </w:pPr>
      <w:r>
        <w:rPr>
          <w:rFonts w:hint="eastAsia"/>
          <w:sz w:val="32"/>
          <w:szCs w:val="32"/>
          <w:lang w:val="en-US" w:eastAsia="zh-CN"/>
        </w:rPr>
        <w:t>红原县住房和城乡建设局</w:t>
      </w:r>
      <w:r>
        <w:rPr>
          <w:sz w:val="32"/>
          <w:szCs w:val="32"/>
        </w:rPr>
        <w:t>项目2020年绩效评价报告</w:t>
      </w:r>
    </w:p>
    <w:p>
      <w:pPr>
        <w:pStyle w:val="6"/>
        <w:shd w:val="clear" w:color="auto" w:fill="FFFFFF"/>
        <w:spacing w:line="560" w:lineRule="exact"/>
        <w:ind w:firstLine="2891" w:firstLineChars="900"/>
        <w:rPr>
          <w:b/>
          <w:bCs/>
          <w:sz w:val="32"/>
          <w:szCs w:val="32"/>
        </w:rPr>
      </w:pPr>
      <w:r>
        <w:rPr>
          <w:b/>
          <w:bCs/>
          <w:sz w:val="32"/>
          <w:szCs w:val="32"/>
        </w:rPr>
        <w:t>第五部分 附表</w:t>
      </w:r>
    </w:p>
    <w:p>
      <w:pPr>
        <w:pStyle w:val="6"/>
        <w:shd w:val="clear" w:color="auto" w:fill="FFFFFF"/>
        <w:spacing w:line="560" w:lineRule="exact"/>
        <w:rPr>
          <w:sz w:val="32"/>
          <w:szCs w:val="32"/>
        </w:rPr>
      </w:pPr>
      <w:r>
        <w:rPr>
          <w:sz w:val="32"/>
          <w:szCs w:val="32"/>
        </w:rPr>
        <w:t>一、收入支出决算总表</w:t>
      </w:r>
    </w:p>
    <w:p>
      <w:pPr>
        <w:pStyle w:val="6"/>
        <w:shd w:val="clear" w:color="auto" w:fill="FFFFFF"/>
        <w:spacing w:line="560" w:lineRule="exact"/>
        <w:rPr>
          <w:sz w:val="32"/>
          <w:szCs w:val="32"/>
        </w:rPr>
      </w:pPr>
      <w:r>
        <w:rPr>
          <w:sz w:val="32"/>
          <w:szCs w:val="32"/>
        </w:rPr>
        <w:t>二、收入决算表</w:t>
      </w:r>
    </w:p>
    <w:p>
      <w:pPr>
        <w:pStyle w:val="6"/>
        <w:shd w:val="clear" w:color="auto" w:fill="FFFFFF"/>
        <w:spacing w:line="560" w:lineRule="exact"/>
        <w:rPr>
          <w:sz w:val="32"/>
          <w:szCs w:val="32"/>
        </w:rPr>
      </w:pPr>
      <w:r>
        <w:rPr>
          <w:sz w:val="32"/>
          <w:szCs w:val="32"/>
        </w:rPr>
        <w:t>三、支出决算表</w:t>
      </w:r>
    </w:p>
    <w:p>
      <w:pPr>
        <w:pStyle w:val="6"/>
        <w:shd w:val="clear" w:color="auto" w:fill="FFFFFF"/>
        <w:spacing w:line="560" w:lineRule="exact"/>
        <w:rPr>
          <w:sz w:val="32"/>
          <w:szCs w:val="32"/>
        </w:rPr>
      </w:pPr>
      <w:r>
        <w:rPr>
          <w:sz w:val="32"/>
          <w:szCs w:val="32"/>
        </w:rPr>
        <w:t>四、财政拨款收入支出决算总表</w:t>
      </w:r>
    </w:p>
    <w:p>
      <w:pPr>
        <w:pStyle w:val="6"/>
        <w:shd w:val="clear" w:color="auto" w:fill="FFFFFF"/>
        <w:spacing w:line="560" w:lineRule="exact"/>
        <w:rPr>
          <w:sz w:val="32"/>
          <w:szCs w:val="32"/>
        </w:rPr>
      </w:pPr>
      <w:r>
        <w:rPr>
          <w:sz w:val="32"/>
          <w:szCs w:val="32"/>
        </w:rPr>
        <w:t>五、财政拨款支出决算明细表</w:t>
      </w:r>
    </w:p>
    <w:p>
      <w:pPr>
        <w:pStyle w:val="6"/>
        <w:shd w:val="clear" w:color="auto" w:fill="FFFFFF"/>
        <w:spacing w:line="560" w:lineRule="exact"/>
        <w:rPr>
          <w:sz w:val="32"/>
          <w:szCs w:val="32"/>
        </w:rPr>
      </w:pPr>
      <w:r>
        <w:rPr>
          <w:sz w:val="32"/>
          <w:szCs w:val="32"/>
        </w:rPr>
        <w:t>六、一般公共预算财政拨款支出决算表</w:t>
      </w:r>
    </w:p>
    <w:p>
      <w:pPr>
        <w:pStyle w:val="6"/>
        <w:shd w:val="clear" w:color="auto" w:fill="FFFFFF"/>
        <w:spacing w:line="560" w:lineRule="exact"/>
        <w:rPr>
          <w:sz w:val="32"/>
          <w:szCs w:val="32"/>
        </w:rPr>
      </w:pPr>
      <w:r>
        <w:rPr>
          <w:sz w:val="32"/>
          <w:szCs w:val="32"/>
        </w:rPr>
        <w:t>七、一般公共预算财政拨款支出决算明细表</w:t>
      </w:r>
    </w:p>
    <w:p>
      <w:pPr>
        <w:pStyle w:val="6"/>
        <w:shd w:val="clear" w:color="auto" w:fill="FFFFFF"/>
        <w:spacing w:line="560" w:lineRule="exact"/>
        <w:rPr>
          <w:sz w:val="32"/>
          <w:szCs w:val="32"/>
        </w:rPr>
      </w:pPr>
      <w:r>
        <w:rPr>
          <w:sz w:val="32"/>
          <w:szCs w:val="32"/>
        </w:rPr>
        <w:t>八、一般公共预算财政拨款基本支出决算表</w:t>
      </w:r>
    </w:p>
    <w:p>
      <w:pPr>
        <w:pStyle w:val="6"/>
        <w:shd w:val="clear" w:color="auto" w:fill="FFFFFF"/>
        <w:spacing w:line="560" w:lineRule="exact"/>
        <w:rPr>
          <w:sz w:val="32"/>
          <w:szCs w:val="32"/>
        </w:rPr>
      </w:pPr>
      <w:r>
        <w:rPr>
          <w:sz w:val="32"/>
          <w:szCs w:val="32"/>
        </w:rPr>
        <w:t>九、一般公共预算财政拨款项目支出决算表</w:t>
      </w:r>
    </w:p>
    <w:p>
      <w:pPr>
        <w:pStyle w:val="6"/>
        <w:shd w:val="clear" w:color="auto" w:fill="FFFFFF"/>
        <w:spacing w:line="560" w:lineRule="exact"/>
        <w:rPr>
          <w:sz w:val="32"/>
          <w:szCs w:val="32"/>
        </w:rPr>
      </w:pPr>
      <w:r>
        <w:rPr>
          <w:sz w:val="32"/>
          <w:szCs w:val="32"/>
        </w:rPr>
        <w:t>十、一般公共预算财政拨款“三公”经费支出决算表</w:t>
      </w:r>
    </w:p>
    <w:p>
      <w:pPr>
        <w:pStyle w:val="6"/>
        <w:shd w:val="clear" w:color="auto" w:fill="FFFFFF"/>
        <w:spacing w:line="560" w:lineRule="exact"/>
        <w:rPr>
          <w:sz w:val="32"/>
          <w:szCs w:val="32"/>
        </w:rPr>
      </w:pPr>
      <w:r>
        <w:rPr>
          <w:sz w:val="32"/>
          <w:szCs w:val="32"/>
        </w:rPr>
        <w:t>十一、政府性基金预算财政拨款收入支出决算表</w:t>
      </w:r>
    </w:p>
    <w:p>
      <w:pPr>
        <w:pStyle w:val="6"/>
        <w:shd w:val="clear" w:color="auto" w:fill="FFFFFF"/>
        <w:spacing w:line="560" w:lineRule="exact"/>
        <w:rPr>
          <w:sz w:val="32"/>
          <w:szCs w:val="32"/>
        </w:rPr>
      </w:pPr>
      <w:r>
        <w:rPr>
          <w:sz w:val="32"/>
          <w:szCs w:val="32"/>
        </w:rPr>
        <w:t>十二、政府性基金预算财政拨款“三公”经费支出决算表</w:t>
      </w:r>
    </w:p>
    <w:p>
      <w:pPr>
        <w:pStyle w:val="6"/>
        <w:shd w:val="clear" w:color="auto" w:fill="FFFFFF"/>
        <w:spacing w:line="560" w:lineRule="exact"/>
        <w:rPr>
          <w:sz w:val="32"/>
          <w:szCs w:val="32"/>
        </w:rPr>
      </w:pPr>
      <w:r>
        <w:rPr>
          <w:sz w:val="32"/>
          <w:szCs w:val="32"/>
        </w:rPr>
        <w:t>十三、</w:t>
      </w:r>
      <w:r>
        <w:rPr>
          <w:rFonts w:hint="eastAsia"/>
          <w:sz w:val="32"/>
          <w:szCs w:val="32"/>
        </w:rPr>
        <w:t>国有资本经营预算财政拨款收入支出决算表</w:t>
      </w:r>
    </w:p>
    <w:p>
      <w:pPr>
        <w:pStyle w:val="6"/>
        <w:shd w:val="clear" w:color="auto" w:fill="FFFFFF"/>
        <w:spacing w:line="560" w:lineRule="exact"/>
        <w:rPr>
          <w:sz w:val="32"/>
          <w:szCs w:val="32"/>
        </w:rPr>
      </w:pPr>
      <w:r>
        <w:rPr>
          <w:sz w:val="32"/>
          <w:szCs w:val="32"/>
        </w:rPr>
        <w:t>十四、国有资本经营预算财政拨款支出决算表 </w:t>
      </w:r>
    </w:p>
    <w:p>
      <w:pPr>
        <w:spacing w:line="560" w:lineRule="exact"/>
        <w:ind w:firstLine="2409" w:firstLineChars="600"/>
        <w:rPr>
          <w:sz w:val="40"/>
          <w:szCs w:val="40"/>
        </w:rPr>
      </w:pPr>
      <w:r>
        <w:rPr>
          <w:b/>
          <w:bCs/>
          <w:sz w:val="40"/>
          <w:szCs w:val="40"/>
        </w:rPr>
        <w:t>第一部分 部门概况</w:t>
      </w:r>
    </w:p>
    <w:p>
      <w:pPr>
        <w:spacing w:line="560" w:lineRule="exact"/>
        <w:ind w:firstLine="640" w:firstLineChars="200"/>
        <w:rPr>
          <w:sz w:val="32"/>
          <w:szCs w:val="32"/>
        </w:rPr>
      </w:pPr>
      <w:r>
        <w:rPr>
          <w:sz w:val="32"/>
          <w:szCs w:val="32"/>
        </w:rPr>
        <w:t> </w:t>
      </w:r>
    </w:p>
    <w:p>
      <w:pPr>
        <w:keepNext w:val="0"/>
        <w:keepLines w:val="0"/>
        <w:pageBreakBefore w:val="0"/>
        <w:widowControl/>
        <w:kinsoku/>
        <w:wordWrap/>
        <w:overflowPunct/>
        <w:topLinePunct w:val="0"/>
        <w:autoSpaceDE/>
        <w:autoSpaceDN/>
        <w:bidi w:val="0"/>
        <w:adjustRightInd/>
        <w:snapToGrid/>
        <w:spacing w:line="560" w:lineRule="exact"/>
        <w:textAlignment w:val="auto"/>
        <w:rPr>
          <w:sz w:val="32"/>
          <w:szCs w:val="32"/>
        </w:rPr>
      </w:pPr>
      <w:r>
        <w:rPr>
          <w:b/>
          <w:bCs/>
          <w:sz w:val="32"/>
          <w:szCs w:val="32"/>
        </w:rPr>
        <w:t>一、基本职能及主要工作</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（一）主要职能。</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1、贯彻执行国家、省、州有关住房和城乡建设、城市管理、市政园林工作的方针政策和法律、法规、规章，实施有关相对集中行政处罚权的地方性法规、规章和政策。</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2、负责住房保障工作，拟订全县住房保障发展规划和年度规划并组织实施；会同有关部门加强住房保障资金的管理，推进住房改革与发展。</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3、负责房地产市场监督管理工作，拟订房地产业的行业发展规划、发展计划和房地产市场监督管理措施，并监督执行。</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4、负责建筑市场监督管理工作，指导全县建筑活动，核发《建设工程施工许可证》，指导监督建设工程标准定额的实施。</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5、负责建设工程质量安全监督管理和竣工验收备案管理，组织或参与工程质量安全事故的调查处理。</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6、指导农村住房建设及危房改造和村镇人居生态环境的改善工作。</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7、负责县政府交办的建设工程的组织实施工作。</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8、负责推进行业科学发展和建筑节能工作，推广应用新技术、新材料、新工艺。</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9、负责房地产市场和建筑市场动态巡查工作，协助有关部门查处房地产市场和建筑市场违法案件。</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10、指导城市建设档案管理。</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11、行使市容环境卫生管理、城市规划管理、城市绿化管理、市政管理、城市燃气管理、供水管理、户外广告设施设置管理方面的法律、法规、规章规定的行政处罚权；</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12、负责市政设施、园林绿化、环境卫生、城市照明、城市燃气和户外广告设施的行业管理，承担安全监督管理责任；指导协调市容市貌和环境卫生工作，组织协调专项治理等重大活动。</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13、拟订城市维护费和专项经费的年度计划及资金划拨计划，并对使用情况实施监督。</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14、组织实施市政、环卫、照明等城市基础设施的建设和维修改造，负责全县地下管线的综合协调工作。</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15、承办县政府和上级部门交办的其他事项。</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（二）2020年重点工作完成情况。 </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细化工作举措，切实做好疫情防控。作为环境治理（景区管理）组牵头单位，于2月11日起立即组织城区所有单位和社区建立疫情防控志愿服务点全面开展疫情防控排查，并按照各级部门要求，督促全县切实做好废弃口罩、农村生活垃圾收集处置和环卫系统“消杀灭”工作。同时，联合人社、疾控等相关单位严格审核新建、续建项目开（复）工前置条件，确保了全县31个建筑工地“零风险”开工、防疫无死角。由志愿服务点工作人员逐户上门排查并填写信息登记表，累计入户并签订疫情防控责任书903户、1981人，落实楼长栋长、业主委员会责任制度，对中风险以上区域人员持续跟进摸排，进行严密监管。</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提前谋划部署，全力推进重点项目。今年我局的重点项目主要分脱贫攻坚、东西部协作及绵阳援建、市政基础设施建设、续建项目和招商引资建设项目五大类，全局上下紧盯项目前期，成立项目专班、落实责任到人，在全县率先开展项目建设，所有项目均按照倒排工期达到项目进度和资金拨付比例要求。</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加强监管，全面规范建筑领域行为。按照《阿坝州促进建筑业高质量发展的实施意见》相关要求，全面做好了以下工作：一是常态化开展建筑市场行为监督执法检查。二是规范施工许可管理制度。三是本县建筑企业服务管理工作。四是维护建筑工人合法权益。五是持续开展建筑领域“扫黑除恶”专项行动，切实维护了建筑领域健康有序发展。六是住建系统维护稳定和处置突发事件工作。七是持续推进“最多跑一次”行政审批改革，提高办事效率和群众满意度。</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狠抓隐患排查整治，筑牢安全生产防线。一是通过与建筑施工企业、燃气经营企业、市政公用公司签订安全生产目标责任书、召开住建领域安全生产工作会等方式严格落实安全生产责任制。二是会同县安委会成员单位在复工复产前、汛期、重要节日、重大活动期间对住建领域开展安全隐患排查、加大治理力度，确保了建设系统安全平稳。三是常态加强城镇基础设施监管、维修维护工作力度，确保了各类市政设施安全无障碍运行。四是组织16台次大型挖掘机、洒水车顺利完成瓦切草原灭火工作。</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开展挂牌督战，全面做好住房保障工作。一是按照省、州检查发现的问题和相关文件要求，已督促指导全县1346户建档立卡贫困户完成住房安全信息系统录入工作，7月通过了脱贫攻坚普查验收工作；二是严格实行“乡镇一日一巡、住建局三日一查”工作制度，完成了瓦切镇、阿木乡的6户特殊困难户建房任务并投入使用。三是分门别类销号工作要求完成了历次巡视巡察、审计、绩效考核、上级督导等发现的住房安全保障问题，并形成了问题整改清零专卷。</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狠抓党建落实，全力推进学习教育。一是全面落实“三会一课”制度，从严管理党员、严肃党内组织生活。二是坚持把纪律和规矩挺在前面，严格落实党风廉政建设责任制，筑牢了廉洁底线。三是加强干部职工的政治理论、业务知识、法制知识等教育培训，干部职工的整体得到较大提高。四是充分发挥党建引领作用，深入开展“两联一进”和驻村帮扶工作，脱贫攻坚工作有序推进、群众基础不断巩固。</w:t>
      </w:r>
    </w:p>
    <w:p>
      <w:pPr>
        <w:keepNext w:val="0"/>
        <w:keepLines w:val="0"/>
        <w:pageBreakBefore w:val="0"/>
        <w:widowControl/>
        <w:kinsoku/>
        <w:wordWrap/>
        <w:overflowPunct/>
        <w:topLinePunct w:val="0"/>
        <w:autoSpaceDE/>
        <w:autoSpaceDN/>
        <w:bidi w:val="0"/>
        <w:adjustRightInd/>
        <w:snapToGrid/>
        <w:spacing w:line="560" w:lineRule="exact"/>
        <w:textAlignment w:val="auto"/>
        <w:rPr>
          <w:sz w:val="32"/>
          <w:szCs w:val="32"/>
        </w:rPr>
      </w:pPr>
      <w:r>
        <w:rPr>
          <w:b/>
          <w:bCs/>
          <w:sz w:val="32"/>
          <w:szCs w:val="32"/>
        </w:rPr>
        <w:t>二、机构设置</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红原县住房和城乡建设局下属二级单位1个，其中行政单位0个，参照公务员法管理的事业单位1个，其他事业单位0个。</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纳入红原县住房和城乡建设局2020年度部门决算编制范围的二级预算单位包括：</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bookmarkStart w:id="0" w:name="_Toc15377202"/>
      <w:bookmarkStart w:id="1" w:name="_Toc15378449"/>
      <w:bookmarkStart w:id="2" w:name="_Toc15306276"/>
      <w:bookmarkStart w:id="3" w:name="_Toc15377433"/>
      <w:r>
        <w:rPr>
          <w:rFonts w:hint="eastAsia" w:ascii="仿宋_GB2312" w:hAnsi="仿宋_GB2312" w:eastAsia="仿宋_GB2312" w:cs="仿宋_GB2312"/>
          <w:sz w:val="32"/>
          <w:szCs w:val="32"/>
        </w:rPr>
        <w:t>红原县</w:t>
      </w:r>
      <w:bookmarkEnd w:id="0"/>
      <w:bookmarkEnd w:id="1"/>
      <w:bookmarkEnd w:id="2"/>
      <w:bookmarkEnd w:id="3"/>
      <w:r>
        <w:rPr>
          <w:rFonts w:hint="eastAsia" w:ascii="仿宋_GB2312" w:hAnsi="仿宋_GB2312" w:eastAsia="仿宋_GB2312" w:cs="仿宋_GB2312"/>
          <w:sz w:val="32"/>
          <w:szCs w:val="32"/>
        </w:rPr>
        <w:t>城乡公共服务管理局</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sz w:val="32"/>
          <w:szCs w:val="32"/>
        </w:rPr>
      </w:pPr>
      <w:r>
        <w:rPr>
          <w:sz w:val="32"/>
          <w:szCs w:val="32"/>
        </w:rPr>
        <w:t> </w:t>
      </w:r>
    </w:p>
    <w:p>
      <w:pPr>
        <w:spacing w:line="560" w:lineRule="exact"/>
        <w:ind w:firstLine="1205" w:firstLineChars="300"/>
        <w:rPr>
          <w:sz w:val="32"/>
          <w:szCs w:val="32"/>
        </w:rPr>
      </w:pPr>
      <w:r>
        <w:rPr>
          <w:b/>
          <w:bCs/>
          <w:sz w:val="40"/>
          <w:szCs w:val="40"/>
        </w:rPr>
        <w:t>第二部分 2020年度部门决算情况说明</w:t>
      </w:r>
    </w:p>
    <w:p>
      <w:pPr>
        <w:spacing w:line="560" w:lineRule="exact"/>
        <w:ind w:firstLine="640" w:firstLineChars="200"/>
        <w:rPr>
          <w:rFonts w:hint="eastAsia"/>
          <w:sz w:val="32"/>
          <w:szCs w:val="32"/>
        </w:rPr>
      </w:pPr>
      <w:r>
        <w:rPr>
          <w:sz w:val="32"/>
          <w:szCs w:val="32"/>
        </w:rPr>
        <w:t> </w:t>
      </w:r>
    </w:p>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一、 收入支出决算总体情况说明</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2020年度收、支总计12,613.60万元。与2019年相比，收、支总计各增加 -2,198.56万元，增长 -14.84%。主要变动原因是2019年财政应返还资金额度较大。</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drawing>
          <wp:anchor distT="0" distB="0" distL="114300" distR="114300" simplePos="0" relativeHeight="251691008" behindDoc="0" locked="0" layoutInCell="1" allowOverlap="1">
            <wp:simplePos x="0" y="0"/>
            <wp:positionH relativeFrom="column">
              <wp:posOffset>-8255</wp:posOffset>
            </wp:positionH>
            <wp:positionV relativeFrom="paragraph">
              <wp:posOffset>22225</wp:posOffset>
            </wp:positionV>
            <wp:extent cx="5518150" cy="3448050"/>
            <wp:effectExtent l="4445" t="4445" r="20955" b="14605"/>
            <wp:wrapSquare wrapText="bothSides"/>
            <wp:docPr id="47" name="图表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anchor>
        </w:drawing>
      </w:r>
      <w:r>
        <w:rPr>
          <w:rFonts w:hint="eastAsia" w:ascii="仿宋_GB2312" w:hAnsi="仿宋_GB2312" w:eastAsia="仿宋_GB2312" w:cs="仿宋_GB2312"/>
          <w:sz w:val="32"/>
          <w:szCs w:val="32"/>
        </w:rPr>
        <w:t> </w:t>
      </w:r>
    </w:p>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二、收入决算情况说明</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2020年本年收入合计9,196.39万元，其中：一般公共预算财政拨款收入9,048.00万元，占 98.39%；政府性基金预算财政拨款收入148.39万元，占 1.61%；国有资本经营预算财政拨款收入0.00万元，占 0.00%;上级补助收入0.00万元，占 0.00%；事业收入0.00万元，占 0.00%；经营收入0.00万元，占 0.00%；附属单位上缴收入0.00万元，占 0.00%；其他收入0.00万元，占 0.00%。</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drawing>
          <wp:anchor distT="0" distB="0" distL="114300" distR="114300" simplePos="0" relativeHeight="251692032" behindDoc="0" locked="0" layoutInCell="1" allowOverlap="1">
            <wp:simplePos x="0" y="0"/>
            <wp:positionH relativeFrom="column">
              <wp:posOffset>20320</wp:posOffset>
            </wp:positionH>
            <wp:positionV relativeFrom="paragraph">
              <wp:posOffset>257175</wp:posOffset>
            </wp:positionV>
            <wp:extent cx="5470525" cy="2867025"/>
            <wp:effectExtent l="4445" t="4445" r="11430" b="5080"/>
            <wp:wrapSquare wrapText="bothSides"/>
            <wp:docPr id="48" name="图表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hint="eastAsia" w:ascii="仿宋_GB2312" w:hAnsi="仿宋_GB2312" w:eastAsia="仿宋_GB2312" w:cs="仿宋_GB2312"/>
          <w:sz w:val="32"/>
          <w:szCs w:val="32"/>
        </w:rPr>
        <w:t> </w:t>
      </w:r>
    </w:p>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三、支出决算情况说明</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2020年本年支出合计7,184.03万元，其中：基本支出627.45万元，占 8.73%；项目支出6,556.58万元，占 91.27%；上缴上级支出0.00万元，占 0.00%；经营支出0.00万元，占 0.00%；对附属单位补助支出0.00万元，占 0.00%。</w:t>
      </w:r>
    </w:p>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drawing>
          <wp:anchor distT="0" distB="0" distL="114300" distR="114300" simplePos="0" relativeHeight="251693056" behindDoc="0" locked="0" layoutInCell="1" allowOverlap="1">
            <wp:simplePos x="0" y="0"/>
            <wp:positionH relativeFrom="column">
              <wp:posOffset>115570</wp:posOffset>
            </wp:positionH>
            <wp:positionV relativeFrom="paragraph">
              <wp:posOffset>92075</wp:posOffset>
            </wp:positionV>
            <wp:extent cx="5080000" cy="2639060"/>
            <wp:effectExtent l="4445" t="4445" r="20955" b="23495"/>
            <wp:wrapSquare wrapText="bothSides"/>
            <wp:docPr id="51" name="图表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hint="eastAsia" w:ascii="仿宋_GB2312" w:hAnsi="仿宋_GB2312" w:eastAsia="仿宋_GB2312" w:cs="仿宋_GB2312"/>
          <w:sz w:val="32"/>
          <w:szCs w:val="32"/>
        </w:rPr>
        <w:t>  </w:t>
      </w:r>
    </w:p>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四、财政拨款收入支出决算总体情况说明</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2020年财政拨款收、支总计占12,613.60万元。与2019年相比，财政拨款收、支总计各增加56.16万元，增长5.11%。主要变动原因是项目资金增多。</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财政拨款收、支总计</w:t>
      </w:r>
      <w:r>
        <w:rPr>
          <w:rFonts w:hint="eastAsia" w:ascii="仿宋_GB2312" w:hAnsi="仿宋_GB2312" w:eastAsia="仿宋_GB2312" w:cs="仿宋_GB2312"/>
          <w:sz w:val="32"/>
          <w:szCs w:val="32"/>
          <w:lang w:eastAsia="zh-CN"/>
        </w:rPr>
        <w:drawing>
          <wp:anchor distT="0" distB="0" distL="114300" distR="114300" simplePos="0" relativeHeight="251694080" behindDoc="0" locked="0" layoutInCell="1" allowOverlap="1">
            <wp:simplePos x="0" y="0"/>
            <wp:positionH relativeFrom="column">
              <wp:posOffset>144780</wp:posOffset>
            </wp:positionH>
            <wp:positionV relativeFrom="paragraph">
              <wp:posOffset>76200</wp:posOffset>
            </wp:positionV>
            <wp:extent cx="4928235" cy="3086735"/>
            <wp:effectExtent l="4445" t="4445" r="20320" b="13970"/>
            <wp:wrapSquare wrapText="bothSides"/>
            <wp:docPr id="52" name="图表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hint="eastAsia" w:ascii="仿宋_GB2312" w:hAnsi="仿宋_GB2312" w:eastAsia="仿宋_GB2312" w:cs="仿宋_GB2312"/>
          <w:sz w:val="32"/>
          <w:szCs w:val="32"/>
        </w:rPr>
        <w:t>  </w:t>
      </w:r>
    </w:p>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五、一般公共预算财政拨款支出决算情况说明</w:t>
      </w:r>
    </w:p>
    <w:p>
      <w:pPr>
        <w:keepNext w:val="0"/>
        <w:keepLines w:val="0"/>
        <w:pageBreakBefore w:val="0"/>
        <w:widowControl/>
        <w:kinsoku/>
        <w:wordWrap/>
        <w:overflowPunct/>
        <w:topLinePunct w:val="0"/>
        <w:autoSpaceDE/>
        <w:autoSpaceDN/>
        <w:bidi w:val="0"/>
        <w:spacing w:line="560" w:lineRule="exact"/>
        <w:ind w:firstLine="472" w:firstLineChars="147"/>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（一）一般公共预算财政拨款支出决算总体情况</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2020年一般公共预算财政拨款支出6,985.54万元，占本年支出合计的 97.24%。与2019年相比，一般公共预算财政拨款增加 -3,145.83万元，增长-31.05%。主要变动原因是2019年财返资金额度较多。</w:t>
      </w:r>
    </w:p>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sz w:val="32"/>
          <w:szCs w:val="32"/>
        </w:rPr>
      </w:pP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drawing>
          <wp:anchor distT="0" distB="0" distL="114300" distR="114300" simplePos="0" relativeHeight="251695104" behindDoc="0" locked="0" layoutInCell="1" allowOverlap="1">
            <wp:simplePos x="0" y="0"/>
            <wp:positionH relativeFrom="column">
              <wp:posOffset>-93980</wp:posOffset>
            </wp:positionH>
            <wp:positionV relativeFrom="paragraph">
              <wp:posOffset>92075</wp:posOffset>
            </wp:positionV>
            <wp:extent cx="5356225" cy="3049905"/>
            <wp:effectExtent l="4445" t="4445" r="11430" b="12700"/>
            <wp:wrapSquare wrapText="bothSides"/>
            <wp:docPr id="53" name="图表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（二）一般公共预算财政拨款支出决算结构情况</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2020年一般公共预算财政拨款支出6,985.54万元，主要用于以下方面:</w:t>
      </w:r>
      <w:r>
        <w:rPr>
          <w:rFonts w:hint="eastAsia" w:ascii="仿宋_GB2312" w:hAnsi="仿宋_GB2312" w:eastAsia="仿宋_GB2312" w:cs="仿宋_GB2312"/>
          <w:b/>
          <w:bCs/>
          <w:sz w:val="32"/>
          <w:szCs w:val="32"/>
        </w:rPr>
        <w:t>一般公共服务（类）支出</w:t>
      </w:r>
      <w:r>
        <w:rPr>
          <w:rFonts w:hint="eastAsia" w:ascii="仿宋_GB2312" w:hAnsi="仿宋_GB2312" w:eastAsia="仿宋_GB2312" w:cs="仿宋_GB2312"/>
          <w:sz w:val="32"/>
          <w:szCs w:val="32"/>
        </w:rPr>
        <w:t>0.00万元，占0.00%；</w:t>
      </w:r>
      <w:r>
        <w:rPr>
          <w:rFonts w:hint="eastAsia" w:ascii="仿宋_GB2312" w:hAnsi="仿宋_GB2312" w:eastAsia="仿宋_GB2312" w:cs="仿宋_GB2312"/>
          <w:b/>
          <w:bCs/>
          <w:sz w:val="32"/>
          <w:szCs w:val="32"/>
        </w:rPr>
        <w:t>外交支出（类）</w:t>
      </w:r>
      <w:r>
        <w:rPr>
          <w:rFonts w:hint="eastAsia" w:ascii="仿宋_GB2312" w:hAnsi="仿宋_GB2312" w:eastAsia="仿宋_GB2312" w:cs="仿宋_GB2312"/>
          <w:sz w:val="32"/>
          <w:szCs w:val="32"/>
        </w:rPr>
        <w:t>0.00万元</w:t>
      </w:r>
      <w:r>
        <w:rPr>
          <w:rFonts w:hint="eastAsia" w:ascii="仿宋_GB2312" w:hAnsi="仿宋_GB2312" w:eastAsia="仿宋_GB2312" w:cs="仿宋_GB2312"/>
          <w:b/>
          <w:bCs/>
          <w:sz w:val="32"/>
          <w:szCs w:val="32"/>
        </w:rPr>
        <w:t>，占</w:t>
      </w:r>
      <w:r>
        <w:rPr>
          <w:rFonts w:hint="eastAsia" w:ascii="仿宋_GB2312" w:hAnsi="仿宋_GB2312" w:eastAsia="仿宋_GB2312" w:cs="仿宋_GB2312"/>
          <w:sz w:val="32"/>
          <w:szCs w:val="32"/>
        </w:rPr>
        <w:t>0.00%</w:t>
      </w:r>
      <w:r>
        <w:rPr>
          <w:rFonts w:hint="eastAsia" w:ascii="仿宋_GB2312" w:hAnsi="仿宋_GB2312" w:eastAsia="仿宋_GB2312" w:cs="仿宋_GB2312"/>
          <w:b/>
          <w:bCs/>
          <w:sz w:val="32"/>
          <w:szCs w:val="32"/>
        </w:rPr>
        <w:t>，国防支出（类）</w:t>
      </w:r>
      <w:r>
        <w:rPr>
          <w:rFonts w:hint="eastAsia" w:ascii="仿宋_GB2312" w:hAnsi="仿宋_GB2312" w:eastAsia="仿宋_GB2312" w:cs="仿宋_GB2312"/>
          <w:sz w:val="32"/>
          <w:szCs w:val="32"/>
        </w:rPr>
        <w:t>0.00万元，占0.00%</w:t>
      </w:r>
      <w:r>
        <w:rPr>
          <w:rFonts w:hint="eastAsia" w:ascii="仿宋_GB2312" w:hAnsi="仿宋_GB2312" w:eastAsia="仿宋_GB2312" w:cs="仿宋_GB2312"/>
          <w:b/>
          <w:bCs/>
          <w:sz w:val="32"/>
          <w:szCs w:val="32"/>
        </w:rPr>
        <w:t>；公共安全支出（类</w:t>
      </w:r>
      <w:r>
        <w:rPr>
          <w:rFonts w:hint="eastAsia" w:ascii="仿宋_GB2312" w:hAnsi="仿宋_GB2312" w:eastAsia="仿宋_GB2312" w:cs="仿宋_GB2312"/>
          <w:sz w:val="32"/>
          <w:szCs w:val="32"/>
        </w:rPr>
        <w:t>）0.00万元，占0.00%</w:t>
      </w:r>
      <w:r>
        <w:rPr>
          <w:rFonts w:hint="eastAsia" w:ascii="仿宋_GB2312" w:hAnsi="仿宋_GB2312" w:eastAsia="仿宋_GB2312" w:cs="仿宋_GB2312"/>
          <w:b/>
          <w:bCs/>
          <w:sz w:val="32"/>
          <w:szCs w:val="32"/>
        </w:rPr>
        <w:t>；教育支出（类）</w:t>
      </w:r>
      <w:r>
        <w:rPr>
          <w:rFonts w:hint="eastAsia" w:ascii="仿宋_GB2312" w:hAnsi="仿宋_GB2312" w:eastAsia="仿宋_GB2312" w:cs="仿宋_GB2312"/>
          <w:sz w:val="32"/>
          <w:szCs w:val="32"/>
        </w:rPr>
        <w:t>0.00万元，占0.00%；</w:t>
      </w:r>
      <w:r>
        <w:rPr>
          <w:rFonts w:hint="eastAsia" w:ascii="仿宋_GB2312" w:hAnsi="仿宋_GB2312" w:eastAsia="仿宋_GB2312" w:cs="仿宋_GB2312"/>
          <w:b/>
          <w:bCs/>
          <w:sz w:val="32"/>
          <w:szCs w:val="32"/>
        </w:rPr>
        <w:t>科学技术（类）</w:t>
      </w:r>
      <w:r>
        <w:rPr>
          <w:rFonts w:hint="eastAsia" w:ascii="仿宋_GB2312" w:hAnsi="仿宋_GB2312" w:eastAsia="仿宋_GB2312" w:cs="仿宋_GB2312"/>
          <w:sz w:val="32"/>
          <w:szCs w:val="32"/>
        </w:rPr>
        <w:t>支出0.00万元，占0.00%；</w:t>
      </w:r>
      <w:r>
        <w:rPr>
          <w:rFonts w:hint="eastAsia" w:ascii="仿宋_GB2312" w:hAnsi="仿宋_GB2312" w:eastAsia="仿宋_GB2312" w:cs="仿宋_GB2312"/>
          <w:b/>
          <w:bCs/>
          <w:sz w:val="32"/>
          <w:szCs w:val="32"/>
        </w:rPr>
        <w:t>文化旅游体育与传媒（类）支出</w:t>
      </w:r>
      <w:r>
        <w:rPr>
          <w:rFonts w:hint="eastAsia" w:ascii="仿宋_GB2312" w:hAnsi="仿宋_GB2312" w:eastAsia="仿宋_GB2312" w:cs="仿宋_GB2312"/>
          <w:sz w:val="32"/>
          <w:szCs w:val="32"/>
        </w:rPr>
        <w:t>0.00万元，占0.00%；</w:t>
      </w:r>
      <w:r>
        <w:rPr>
          <w:rFonts w:hint="eastAsia" w:ascii="仿宋_GB2312" w:hAnsi="仿宋_GB2312" w:eastAsia="仿宋_GB2312" w:cs="仿宋_GB2312"/>
          <w:b/>
          <w:bCs/>
          <w:sz w:val="32"/>
          <w:szCs w:val="32"/>
        </w:rPr>
        <w:t>社会保障和就业（类）</w:t>
      </w:r>
      <w:r>
        <w:rPr>
          <w:rFonts w:hint="eastAsia" w:ascii="仿宋_GB2312" w:hAnsi="仿宋_GB2312" w:eastAsia="仿宋_GB2312" w:cs="仿宋_GB2312"/>
          <w:sz w:val="32"/>
          <w:szCs w:val="32"/>
        </w:rPr>
        <w:t>支出80.60万元，占1.15%；</w:t>
      </w:r>
      <w:r>
        <w:rPr>
          <w:rFonts w:hint="eastAsia" w:ascii="仿宋_GB2312" w:hAnsi="仿宋_GB2312" w:eastAsia="仿宋_GB2312" w:cs="仿宋_GB2312"/>
          <w:b/>
          <w:bCs/>
          <w:sz w:val="32"/>
          <w:szCs w:val="32"/>
        </w:rPr>
        <w:t>卫生健康支出（类）</w:t>
      </w:r>
      <w:r>
        <w:rPr>
          <w:rFonts w:hint="eastAsia" w:ascii="仿宋_GB2312" w:hAnsi="仿宋_GB2312" w:eastAsia="仿宋_GB2312" w:cs="仿宋_GB2312"/>
          <w:sz w:val="32"/>
          <w:szCs w:val="32"/>
        </w:rPr>
        <w:t>59.41万元，占0.85%%；</w:t>
      </w:r>
      <w:r>
        <w:rPr>
          <w:rFonts w:hint="eastAsia" w:ascii="仿宋_GB2312" w:hAnsi="仿宋_GB2312" w:eastAsia="仿宋_GB2312" w:cs="仿宋_GB2312"/>
          <w:b/>
          <w:bCs/>
          <w:sz w:val="32"/>
          <w:szCs w:val="32"/>
        </w:rPr>
        <w:t>节能环保支出（类）</w:t>
      </w:r>
      <w:r>
        <w:rPr>
          <w:rFonts w:hint="eastAsia" w:ascii="仿宋_GB2312" w:hAnsi="仿宋_GB2312" w:eastAsia="仿宋_GB2312" w:cs="仿宋_GB2312"/>
          <w:sz w:val="32"/>
          <w:szCs w:val="32"/>
        </w:rPr>
        <w:t>1,180.87万元，占16.90%；</w:t>
      </w:r>
      <w:r>
        <w:rPr>
          <w:rFonts w:hint="eastAsia" w:ascii="仿宋_GB2312" w:hAnsi="仿宋_GB2312" w:eastAsia="仿宋_GB2312" w:cs="仿宋_GB2312"/>
          <w:b/>
          <w:bCs/>
          <w:sz w:val="32"/>
          <w:szCs w:val="32"/>
        </w:rPr>
        <w:t>城乡社区支出（类）</w:t>
      </w:r>
      <w:r>
        <w:rPr>
          <w:rFonts w:hint="eastAsia" w:ascii="仿宋_GB2312" w:hAnsi="仿宋_GB2312" w:eastAsia="仿宋_GB2312" w:cs="仿宋_GB2312"/>
          <w:sz w:val="32"/>
          <w:szCs w:val="32"/>
        </w:rPr>
        <w:t>3,657.64万元，占52.36%；</w:t>
      </w:r>
      <w:r>
        <w:rPr>
          <w:rFonts w:hint="eastAsia" w:ascii="仿宋_GB2312" w:hAnsi="仿宋_GB2312" w:eastAsia="仿宋_GB2312" w:cs="仿宋_GB2312"/>
          <w:b/>
          <w:bCs/>
          <w:sz w:val="32"/>
          <w:szCs w:val="32"/>
        </w:rPr>
        <w:t>农林水支出（类）</w:t>
      </w:r>
      <w:r>
        <w:rPr>
          <w:rFonts w:hint="eastAsia" w:ascii="仿宋_GB2312" w:hAnsi="仿宋_GB2312" w:eastAsia="仿宋_GB2312" w:cs="仿宋_GB2312"/>
          <w:sz w:val="32"/>
          <w:szCs w:val="32"/>
        </w:rPr>
        <w:t>1,956.08万元，占28.00%；</w:t>
      </w:r>
      <w:r>
        <w:rPr>
          <w:rFonts w:hint="eastAsia" w:ascii="仿宋_GB2312" w:hAnsi="仿宋_GB2312" w:eastAsia="仿宋_GB2312" w:cs="仿宋_GB2312"/>
          <w:b/>
          <w:bCs/>
          <w:sz w:val="32"/>
          <w:szCs w:val="32"/>
        </w:rPr>
        <w:t>交通运输支出（类）</w:t>
      </w:r>
      <w:r>
        <w:rPr>
          <w:rFonts w:hint="eastAsia" w:ascii="仿宋_GB2312" w:hAnsi="仿宋_GB2312" w:eastAsia="仿宋_GB2312" w:cs="仿宋_GB2312"/>
          <w:sz w:val="32"/>
          <w:szCs w:val="32"/>
        </w:rPr>
        <w:t>0.00万元，占0.00%；</w:t>
      </w:r>
      <w:r>
        <w:rPr>
          <w:rFonts w:hint="eastAsia" w:ascii="仿宋_GB2312" w:hAnsi="仿宋_GB2312" w:eastAsia="仿宋_GB2312" w:cs="仿宋_GB2312"/>
          <w:b/>
          <w:bCs/>
          <w:sz w:val="32"/>
          <w:szCs w:val="32"/>
        </w:rPr>
        <w:t>资源勘探信息等支出（类）</w:t>
      </w:r>
      <w:r>
        <w:rPr>
          <w:rFonts w:hint="eastAsia" w:ascii="仿宋_GB2312" w:hAnsi="仿宋_GB2312" w:eastAsia="仿宋_GB2312" w:cs="仿宋_GB2312"/>
          <w:sz w:val="32"/>
          <w:szCs w:val="32"/>
        </w:rPr>
        <w:t>0.00万元，占0.00%；</w:t>
      </w:r>
      <w:r>
        <w:rPr>
          <w:rFonts w:hint="eastAsia" w:ascii="仿宋_GB2312" w:hAnsi="仿宋_GB2312" w:eastAsia="仿宋_GB2312" w:cs="仿宋_GB2312"/>
          <w:b/>
          <w:bCs/>
          <w:sz w:val="32"/>
          <w:szCs w:val="32"/>
        </w:rPr>
        <w:t>商业服务业等支出（类）</w:t>
      </w:r>
      <w:r>
        <w:rPr>
          <w:rFonts w:hint="eastAsia" w:ascii="仿宋_GB2312" w:hAnsi="仿宋_GB2312" w:eastAsia="仿宋_GB2312" w:cs="仿宋_GB2312"/>
          <w:sz w:val="32"/>
          <w:szCs w:val="32"/>
        </w:rPr>
        <w:t>0.00万元，占0.00%；</w:t>
      </w:r>
      <w:r>
        <w:rPr>
          <w:rFonts w:hint="eastAsia" w:ascii="仿宋_GB2312" w:hAnsi="仿宋_GB2312" w:eastAsia="仿宋_GB2312" w:cs="仿宋_GB2312"/>
          <w:b/>
          <w:bCs/>
          <w:sz w:val="32"/>
          <w:szCs w:val="32"/>
        </w:rPr>
        <w:t>金融支出（类）</w:t>
      </w:r>
      <w:r>
        <w:rPr>
          <w:rFonts w:hint="eastAsia" w:ascii="仿宋_GB2312" w:hAnsi="仿宋_GB2312" w:eastAsia="仿宋_GB2312" w:cs="仿宋_GB2312"/>
          <w:sz w:val="32"/>
          <w:szCs w:val="32"/>
        </w:rPr>
        <w:t>0.00万元，占0.00%；</w:t>
      </w:r>
      <w:r>
        <w:rPr>
          <w:rFonts w:hint="eastAsia" w:ascii="仿宋_GB2312" w:hAnsi="仿宋_GB2312" w:eastAsia="仿宋_GB2312" w:cs="仿宋_GB2312"/>
          <w:b/>
          <w:bCs/>
          <w:sz w:val="32"/>
          <w:szCs w:val="32"/>
        </w:rPr>
        <w:t>援助其他地区支出（类）</w:t>
      </w:r>
      <w:r>
        <w:rPr>
          <w:rFonts w:hint="eastAsia" w:ascii="仿宋_GB2312" w:hAnsi="仿宋_GB2312" w:eastAsia="仿宋_GB2312" w:cs="仿宋_GB2312"/>
          <w:sz w:val="32"/>
          <w:szCs w:val="32"/>
        </w:rPr>
        <w:t>0.00万元，占0.00%；</w:t>
      </w:r>
      <w:r>
        <w:rPr>
          <w:rFonts w:hint="eastAsia" w:ascii="仿宋_GB2312" w:hAnsi="仿宋_GB2312" w:eastAsia="仿宋_GB2312" w:cs="仿宋_GB2312"/>
          <w:b/>
          <w:bCs/>
          <w:sz w:val="32"/>
          <w:szCs w:val="32"/>
        </w:rPr>
        <w:t>自然资源海洋气象等支出（类）</w:t>
      </w:r>
      <w:r>
        <w:rPr>
          <w:rFonts w:hint="eastAsia" w:ascii="仿宋_GB2312" w:hAnsi="仿宋_GB2312" w:eastAsia="仿宋_GB2312" w:cs="仿宋_GB2312"/>
          <w:sz w:val="32"/>
          <w:szCs w:val="32"/>
        </w:rPr>
        <w:t>0.00万元，占0.00%；</w:t>
      </w:r>
      <w:r>
        <w:rPr>
          <w:rFonts w:hint="eastAsia" w:ascii="仿宋_GB2312" w:hAnsi="仿宋_GB2312" w:eastAsia="仿宋_GB2312" w:cs="仿宋_GB2312"/>
          <w:b/>
          <w:bCs/>
          <w:sz w:val="32"/>
          <w:szCs w:val="32"/>
        </w:rPr>
        <w:t>住房保障支出（类）</w:t>
      </w:r>
      <w:r>
        <w:rPr>
          <w:rFonts w:hint="eastAsia" w:ascii="仿宋_GB2312" w:hAnsi="仿宋_GB2312" w:eastAsia="仿宋_GB2312" w:cs="仿宋_GB2312"/>
          <w:sz w:val="32"/>
          <w:szCs w:val="32"/>
        </w:rPr>
        <w:t>50.94万元，占0.73%；</w:t>
      </w:r>
      <w:r>
        <w:rPr>
          <w:rFonts w:hint="eastAsia" w:ascii="仿宋_GB2312" w:hAnsi="仿宋_GB2312" w:eastAsia="仿宋_GB2312" w:cs="仿宋_GB2312"/>
          <w:b/>
          <w:bCs/>
          <w:sz w:val="32"/>
          <w:szCs w:val="32"/>
        </w:rPr>
        <w:t>粮油物资储备支出（类）</w:t>
      </w:r>
      <w:r>
        <w:rPr>
          <w:rFonts w:hint="eastAsia" w:ascii="仿宋_GB2312" w:hAnsi="仿宋_GB2312" w:eastAsia="仿宋_GB2312" w:cs="仿宋_GB2312"/>
          <w:sz w:val="32"/>
          <w:szCs w:val="32"/>
        </w:rPr>
        <w:t>0.00万元，占0.00%；</w:t>
      </w:r>
      <w:r>
        <w:rPr>
          <w:rFonts w:hint="eastAsia" w:ascii="仿宋_GB2312" w:hAnsi="仿宋_GB2312" w:eastAsia="仿宋_GB2312" w:cs="仿宋_GB2312"/>
          <w:b/>
          <w:bCs/>
          <w:sz w:val="32"/>
          <w:szCs w:val="32"/>
        </w:rPr>
        <w:t>国有资本经营预算支出（类）</w:t>
      </w:r>
      <w:r>
        <w:rPr>
          <w:rFonts w:hint="eastAsia" w:ascii="仿宋_GB2312" w:hAnsi="仿宋_GB2312" w:eastAsia="仿宋_GB2312" w:cs="仿宋_GB2312"/>
          <w:sz w:val="32"/>
          <w:szCs w:val="32"/>
        </w:rPr>
        <w:t>0.00万元，占0.00%；</w:t>
      </w:r>
      <w:r>
        <w:rPr>
          <w:rFonts w:hint="eastAsia" w:ascii="仿宋_GB2312" w:hAnsi="仿宋_GB2312" w:eastAsia="仿宋_GB2312" w:cs="仿宋_GB2312"/>
          <w:b/>
          <w:bCs/>
          <w:sz w:val="32"/>
          <w:szCs w:val="32"/>
        </w:rPr>
        <w:t>灾害防治及应急管理支出（类）</w:t>
      </w:r>
      <w:r>
        <w:rPr>
          <w:rFonts w:hint="eastAsia" w:ascii="仿宋_GB2312" w:hAnsi="仿宋_GB2312" w:eastAsia="仿宋_GB2312" w:cs="仿宋_GB2312"/>
          <w:sz w:val="32"/>
          <w:szCs w:val="32"/>
        </w:rPr>
        <w:t>0.00万元，占0.00%；</w:t>
      </w:r>
      <w:r>
        <w:rPr>
          <w:rFonts w:hint="eastAsia" w:ascii="仿宋_GB2312" w:hAnsi="仿宋_GB2312" w:eastAsia="仿宋_GB2312" w:cs="仿宋_GB2312"/>
          <w:b/>
          <w:bCs/>
          <w:sz w:val="32"/>
          <w:szCs w:val="32"/>
        </w:rPr>
        <w:t>其他支出（类）</w:t>
      </w:r>
      <w:r>
        <w:rPr>
          <w:rFonts w:hint="eastAsia" w:ascii="仿宋_GB2312" w:hAnsi="仿宋_GB2312" w:eastAsia="仿宋_GB2312" w:cs="仿宋_GB2312"/>
          <w:sz w:val="32"/>
          <w:szCs w:val="32"/>
        </w:rPr>
        <w:t>0.00万元，占0.00%；</w:t>
      </w:r>
      <w:r>
        <w:rPr>
          <w:rFonts w:hint="eastAsia" w:ascii="仿宋_GB2312" w:hAnsi="仿宋_GB2312" w:eastAsia="仿宋_GB2312" w:cs="仿宋_GB2312"/>
          <w:b/>
          <w:bCs/>
          <w:sz w:val="32"/>
          <w:szCs w:val="32"/>
        </w:rPr>
        <w:t>债务还本支出（类）</w:t>
      </w:r>
      <w:r>
        <w:rPr>
          <w:rFonts w:hint="eastAsia" w:ascii="仿宋_GB2312" w:hAnsi="仿宋_GB2312" w:eastAsia="仿宋_GB2312" w:cs="仿宋_GB2312"/>
          <w:sz w:val="32"/>
          <w:szCs w:val="32"/>
        </w:rPr>
        <w:t>0.00万元，占0.00%；</w:t>
      </w:r>
      <w:r>
        <w:rPr>
          <w:rFonts w:hint="eastAsia" w:ascii="仿宋_GB2312" w:hAnsi="仿宋_GB2312" w:eastAsia="仿宋_GB2312" w:cs="仿宋_GB2312"/>
          <w:b/>
          <w:bCs/>
          <w:sz w:val="32"/>
          <w:szCs w:val="32"/>
        </w:rPr>
        <w:t>债务付息支出（类）</w:t>
      </w:r>
      <w:r>
        <w:rPr>
          <w:rFonts w:hint="eastAsia" w:ascii="仿宋_GB2312" w:hAnsi="仿宋_GB2312" w:eastAsia="仿宋_GB2312" w:cs="仿宋_GB2312"/>
          <w:sz w:val="32"/>
          <w:szCs w:val="32"/>
        </w:rPr>
        <w:t>0.00万元，占0.00%；</w:t>
      </w:r>
      <w:r>
        <w:rPr>
          <w:rFonts w:hint="eastAsia" w:ascii="仿宋_GB2312" w:hAnsi="仿宋_GB2312" w:eastAsia="仿宋_GB2312" w:cs="仿宋_GB2312"/>
          <w:b/>
          <w:bCs/>
          <w:sz w:val="32"/>
          <w:szCs w:val="32"/>
        </w:rPr>
        <w:t>抗役特别国债安排的支出（类）</w:t>
      </w:r>
      <w:r>
        <w:rPr>
          <w:rFonts w:hint="eastAsia" w:ascii="仿宋_GB2312" w:hAnsi="仿宋_GB2312" w:eastAsia="仿宋_GB2312" w:cs="仿宋_GB2312"/>
          <w:sz w:val="32"/>
          <w:szCs w:val="32"/>
        </w:rPr>
        <w:t>0.00万元，占0.00%。</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drawing>
          <wp:anchor distT="0" distB="0" distL="114300" distR="114300" simplePos="0" relativeHeight="251696128" behindDoc="0" locked="0" layoutInCell="1" allowOverlap="1">
            <wp:simplePos x="0" y="0"/>
            <wp:positionH relativeFrom="column">
              <wp:posOffset>156845</wp:posOffset>
            </wp:positionH>
            <wp:positionV relativeFrom="paragraph">
              <wp:posOffset>254635</wp:posOffset>
            </wp:positionV>
            <wp:extent cx="5213350" cy="3456305"/>
            <wp:effectExtent l="4445" t="4445" r="20955" b="6350"/>
            <wp:wrapSquare wrapText="bothSides"/>
            <wp:docPr id="54" name="图表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eastAsia" w:ascii="仿宋_GB2312" w:hAnsi="仿宋_GB2312" w:eastAsia="仿宋_GB2312" w:cs="仿宋_GB2312"/>
          <w:sz w:val="32"/>
          <w:szCs w:val="32"/>
        </w:rPr>
        <w:t> </w:t>
      </w:r>
    </w:p>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（三）一般公共预算财政拨款支出决算具体情况</w:t>
      </w:r>
    </w:p>
    <w:p>
      <w:pPr>
        <w:keepNext w:val="0"/>
        <w:keepLines w:val="0"/>
        <w:pageBreakBefore w:val="0"/>
        <w:widowControl/>
        <w:kinsoku/>
        <w:wordWrap/>
        <w:overflowPunct/>
        <w:topLinePunct w:val="0"/>
        <w:autoSpaceDE/>
        <w:autoSpaceDN/>
        <w:bidi w:val="0"/>
        <w:spacing w:line="560" w:lineRule="exact"/>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2020年一般公共预算支出决算数为6,985.54，完成预算56.27%。其中：</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1.社会保障和就业208: 支出决算为805995.32万元，其中机关事业单位基本养老保险缴费支出2080505，支出决算为536934.84万元，  机关事业单位职业年金缴费支出2080506，支出决算为269060.48万元，完成预算100%，决算数等于预算数。</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2.卫生健康201:支出决算为218849万元，其中重大公共卫生服务2010409：支出决算为218849万元，完成预算100%，决算数等于预算数。</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3.行政事业单位医疗21011：支出决算为375230.86万元，其中行政单位医疗2101101，支出决算为127832.22万元，其中事业单位医疗2101102，支出决算为172383.5万元，其中  公务员医疗补助2101103，支出决算为36866.06万元，其中其他行政事业单位医疗支出2101199，支出决算为38149.08万元，完成预算100%，决算数等于预算数。</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污染防治21103：支出决算为4208632.5万元，其中水体2110302，支出决算为1924546.38万元，其中固体废弃物与化学品2110304，支出决算为250000万元，其中其他污染防治支出2110399，支出决算为2034086.12万元，完成预算100%，决算数等于预算数。</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5.自然生态保护21104：支出决算为7600111.47万元，其中生态保护2110401，支出决算为7399472.45万元，其中农村环境保护2110402，支出决算为200639.02万元，完成预算100%，决算数等于预算数。</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6.城乡社区管理事务21201：支出决算为4583890.25万元，其中行政运行2120101支出决算为2023771.99万元，其中城管执法2120104，支出决算为2560118.26万元，完成预算100%，决算数等于预算数。</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7.城乡社区公共设施21203：支出决算为8197106.99万元，其中其他城乡社区公共设施支出2120399，支出决算为8197106.99万元，完成预算100%，决算数等于预算数。</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8.城乡社区环境卫生21205：支出决算为8421195.48万元，其中城乡社区环境卫生2120501，支出决算为8421195.48万元，完成预算100%，决算数等于预算数。</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9.其他城乡社区支出21299：支出决算为15374199.77万元，其中其他城乡社区支出2129901，支出决算为15374199.77万元，完成预算100%，决算数等于预算数。</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10.扶贫21305 ：支出决算为18171552.68万元，其中农村基础设施建设2130504支出决算为17163892.12万元，其中其他扶贫支出2130599，支出决算为1007660.56万元，完成预算100%，决算数等于预算数。</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 其他农林水支出21399：支出决算为1389255.01万元，其中其他农林水支出2139999，支出决算为1389255.01万元，完成预算100%，决算数等于预算数。</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 住房保障支出221，支出决算为509406万元，其中  住房公积金2210201，支出决算为509406万元，完成预算100%，决算数等于预算数。</w:t>
      </w:r>
    </w:p>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六、一般公共预算财政拨款基本支出决算情况说明</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2020年一般公共预算财政拨款基本支出627.45万元，其中：</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人员经费585.18万元，主要包括：基本工资、津贴补贴、奖金、伙食补助费、绩效工资、机关事业单位基本养老保险缴费、职业年金缴费、 其他社会保障缴费、其他工资福利支出、离休费、退休费、抚恤金、生活补助、医疗费补助、奖励金、住房公积金、其他对个人和家庭的补助支出等。</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日常公用经费42.26万元，主要包括：办公费、印刷费、咨询费、手续费、水费、电费、邮电费、取暖费、物业管理费、差旅费、因公出国 （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七、“三公”经费财政拨款支出决算情况说明</w:t>
      </w:r>
    </w:p>
    <w:p>
      <w:pPr>
        <w:keepNext w:val="0"/>
        <w:keepLines w:val="0"/>
        <w:pageBreakBefore w:val="0"/>
        <w:widowControl/>
        <w:kinsoku/>
        <w:wordWrap/>
        <w:overflowPunct/>
        <w:topLinePunct w:val="0"/>
        <w:autoSpaceDE/>
        <w:autoSpaceDN/>
        <w:bidi w:val="0"/>
        <w:spacing w:line="560" w:lineRule="exact"/>
        <w:ind w:firstLine="472" w:firstLineChars="147"/>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（一）“三公”经费财政拨款支出决算总体情况说明</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2020年“三公”经费财政拨款支出决算为5.90万元，完成预算100.00%，决算数小于预算数，的主要原因是公务用车修理金额及次数减少。</w:t>
      </w:r>
    </w:p>
    <w:p>
      <w:pPr>
        <w:keepNext w:val="0"/>
        <w:keepLines w:val="0"/>
        <w:pageBreakBefore w:val="0"/>
        <w:widowControl/>
        <w:kinsoku/>
        <w:wordWrap/>
        <w:overflowPunct/>
        <w:topLinePunct w:val="0"/>
        <w:autoSpaceDE/>
        <w:autoSpaceDN/>
        <w:bidi w:val="0"/>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（二）“三公”经费财政拨款支出决算具体情况说明</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2020年“三公”经费财政拨款支出决算中，因公出国（境）费支出决算0.00万元，占 0.00%；公务用车购置及运行维护费支出决算5.24万元，占 0.89%；公务接待费支出决算0.66万元，占 0.11%。具体情况如下：</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drawing>
          <wp:anchor distT="0" distB="0" distL="114300" distR="114300" simplePos="0" relativeHeight="251697152" behindDoc="0" locked="0" layoutInCell="1" allowOverlap="1">
            <wp:simplePos x="0" y="0"/>
            <wp:positionH relativeFrom="column">
              <wp:posOffset>1270</wp:posOffset>
            </wp:positionH>
            <wp:positionV relativeFrom="paragraph">
              <wp:posOffset>285750</wp:posOffset>
            </wp:positionV>
            <wp:extent cx="5080000" cy="3486150"/>
            <wp:effectExtent l="4445" t="4445" r="20955" b="14605"/>
            <wp:wrapSquare wrapText="bothSides"/>
            <wp:docPr id="55" name="图表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keepNext w:val="0"/>
        <w:keepLines w:val="0"/>
        <w:pageBreakBefore w:val="0"/>
        <w:widowControl/>
        <w:kinsoku/>
        <w:wordWrap/>
        <w:overflowPunct/>
        <w:topLinePunct w:val="0"/>
        <w:autoSpaceDE/>
        <w:autoSpaceDN/>
        <w:bidi w:val="0"/>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1.因公出国（境）经费支出</w:t>
      </w:r>
      <w:r>
        <w:rPr>
          <w:rFonts w:hint="eastAsia" w:ascii="仿宋_GB2312" w:hAnsi="仿宋_GB2312" w:eastAsia="仿宋_GB2312" w:cs="仿宋_GB2312"/>
          <w:sz w:val="32"/>
          <w:szCs w:val="32"/>
        </w:rPr>
        <w:t>0.00</w:t>
      </w:r>
      <w:r>
        <w:rPr>
          <w:rFonts w:hint="eastAsia" w:ascii="仿宋_GB2312" w:hAnsi="仿宋_GB2312" w:eastAsia="仿宋_GB2312" w:cs="仿宋_GB2312"/>
          <w:b/>
          <w:bCs/>
          <w:sz w:val="32"/>
          <w:szCs w:val="32"/>
        </w:rPr>
        <w:t>万元，完成预算</w:t>
      </w:r>
      <w:r>
        <w:rPr>
          <w:rFonts w:hint="eastAsia" w:ascii="仿宋_GB2312" w:hAnsi="仿宋_GB2312" w:eastAsia="仿宋_GB2312" w:cs="仿宋_GB2312"/>
          <w:sz w:val="32"/>
          <w:szCs w:val="32"/>
        </w:rPr>
        <w:t>0.00</w:t>
      </w:r>
      <w:r>
        <w:rPr>
          <w:rFonts w:hint="eastAsia" w:ascii="仿宋_GB2312" w:hAnsi="仿宋_GB2312" w:eastAsia="仿宋_GB2312" w:cs="仿宋_GB2312"/>
          <w:b/>
          <w:bCs/>
          <w:sz w:val="32"/>
          <w:szCs w:val="32"/>
        </w:rPr>
        <w:t>%。</w:t>
      </w:r>
      <w:r>
        <w:rPr>
          <w:rFonts w:hint="eastAsia" w:ascii="仿宋_GB2312" w:hAnsi="仿宋_GB2312" w:eastAsia="仿宋_GB2312" w:cs="仿宋_GB2312"/>
          <w:sz w:val="32"/>
          <w:szCs w:val="32"/>
        </w:rPr>
        <w:t>全年安排因公出国（境）团组0个，出国（境）0人。因公出国（境）支出决算比2019年增加 0.00万元，增长-100.00%。主要原因是无因公出国（境）事项。</w:t>
      </w:r>
    </w:p>
    <w:p>
      <w:pPr>
        <w:keepNext w:val="0"/>
        <w:keepLines w:val="0"/>
        <w:pageBreakBefore w:val="0"/>
        <w:widowControl/>
        <w:kinsoku/>
        <w:wordWrap/>
        <w:overflowPunct/>
        <w:topLinePunct w:val="0"/>
        <w:autoSpaceDE/>
        <w:autoSpaceDN/>
        <w:bidi w:val="0"/>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2.公务用车购置及运行维护费支出</w:t>
      </w:r>
      <w:r>
        <w:rPr>
          <w:rFonts w:hint="eastAsia" w:ascii="仿宋_GB2312" w:hAnsi="仿宋_GB2312" w:eastAsia="仿宋_GB2312" w:cs="仿宋_GB2312"/>
          <w:sz w:val="32"/>
          <w:szCs w:val="32"/>
        </w:rPr>
        <w:t>5.24</w:t>
      </w:r>
      <w:r>
        <w:rPr>
          <w:rFonts w:hint="eastAsia" w:ascii="仿宋_GB2312" w:hAnsi="仿宋_GB2312" w:eastAsia="仿宋_GB2312" w:cs="仿宋_GB2312"/>
          <w:b/>
          <w:bCs/>
          <w:sz w:val="32"/>
          <w:szCs w:val="32"/>
        </w:rPr>
        <w:t>万元,完成预算</w:t>
      </w:r>
      <w:r>
        <w:rPr>
          <w:rFonts w:hint="eastAsia" w:ascii="仿宋_GB2312" w:hAnsi="仿宋_GB2312" w:eastAsia="仿宋_GB2312" w:cs="仿宋_GB2312"/>
          <w:sz w:val="32"/>
          <w:szCs w:val="32"/>
        </w:rPr>
        <w:t>100.00</w:t>
      </w:r>
      <w:r>
        <w:rPr>
          <w:rFonts w:hint="eastAsia" w:ascii="仿宋_GB2312" w:hAnsi="仿宋_GB2312" w:eastAsia="仿宋_GB2312" w:cs="仿宋_GB2312"/>
          <w:b/>
          <w:bCs/>
          <w:sz w:val="32"/>
          <w:szCs w:val="32"/>
        </w:rPr>
        <w:t>%。</w:t>
      </w:r>
      <w:r>
        <w:rPr>
          <w:rFonts w:hint="eastAsia" w:ascii="仿宋_GB2312" w:hAnsi="仿宋_GB2312" w:eastAsia="仿宋_GB2312" w:cs="仿宋_GB2312"/>
          <w:sz w:val="32"/>
          <w:szCs w:val="32"/>
        </w:rPr>
        <w:t>公务用车购置及运行维护费支出决算比2019年增加1.81万元，增长52.90%。主要原因是公务用车老化较为严重，维修维护费用增加</w:t>
      </w:r>
      <w:r>
        <w:rPr>
          <w:rFonts w:hint="eastAsia" w:ascii="仿宋_GB2312" w:hAnsi="仿宋_GB2312" w:eastAsia="仿宋_GB2312" w:cs="仿宋_GB2312"/>
          <w:b/>
          <w:bCs/>
          <w:sz w:val="32"/>
          <w:szCs w:val="32"/>
        </w:rPr>
        <w:t>，</w:t>
      </w:r>
      <w:r>
        <w:rPr>
          <w:rFonts w:hint="eastAsia" w:ascii="仿宋_GB2312" w:hAnsi="仿宋_GB2312" w:eastAsia="仿宋_GB2312" w:cs="仿宋_GB2312"/>
          <w:sz w:val="32"/>
          <w:szCs w:val="32"/>
        </w:rPr>
        <w:t>其中：</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b/>
          <w:bCs/>
          <w:sz w:val="32"/>
          <w:szCs w:val="32"/>
        </w:rPr>
        <w:t>公务用车购置支出</w:t>
      </w:r>
      <w:r>
        <w:rPr>
          <w:rFonts w:hint="eastAsia" w:ascii="仿宋_GB2312" w:hAnsi="仿宋_GB2312" w:eastAsia="仿宋_GB2312" w:cs="仿宋_GB2312"/>
          <w:sz w:val="32"/>
          <w:szCs w:val="32"/>
        </w:rPr>
        <w:t>0.00</w:t>
      </w:r>
      <w:r>
        <w:rPr>
          <w:rFonts w:hint="eastAsia" w:ascii="仿宋_GB2312" w:hAnsi="仿宋_GB2312" w:eastAsia="仿宋_GB2312" w:cs="仿宋_GB2312"/>
          <w:b/>
          <w:bCs/>
          <w:sz w:val="32"/>
          <w:szCs w:val="32"/>
        </w:rPr>
        <w:t>万元。</w:t>
      </w:r>
      <w:r>
        <w:rPr>
          <w:rFonts w:hint="eastAsia" w:ascii="仿宋_GB2312" w:hAnsi="仿宋_GB2312" w:eastAsia="仿宋_GB2312" w:cs="仿宋_GB2312"/>
          <w:sz w:val="32"/>
          <w:szCs w:val="32"/>
        </w:rPr>
        <w:t>全年按规定更新购置公务用车0辆，金额0.00万元。截至2020年12月底，单位共有公务用车 5辆，其中：主要领导干部用车0辆、机要通信用车0辆、应 急保障用车5辆、执法执勤用车0辆、特种专业技术用车0 辆、离退休干部用车0辆、其他用车0辆。</w:t>
      </w:r>
    </w:p>
    <w:p>
      <w:pPr>
        <w:keepNext w:val="0"/>
        <w:keepLines w:val="0"/>
        <w:pageBreakBefore w:val="0"/>
        <w:widowControl/>
        <w:kinsoku/>
        <w:wordWrap/>
        <w:overflowPunct/>
        <w:topLinePunct w:val="0"/>
        <w:autoSpaceDE/>
        <w:autoSpaceDN/>
        <w:bidi w:val="0"/>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2.公务用车运行维护费支出</w:t>
      </w:r>
      <w:r>
        <w:rPr>
          <w:rFonts w:hint="eastAsia" w:ascii="仿宋_GB2312" w:hAnsi="仿宋_GB2312" w:eastAsia="仿宋_GB2312" w:cs="仿宋_GB2312"/>
          <w:sz w:val="32"/>
          <w:szCs w:val="32"/>
        </w:rPr>
        <w:t>5.24</w:t>
      </w:r>
      <w:r>
        <w:rPr>
          <w:rFonts w:hint="eastAsia" w:ascii="仿宋_GB2312" w:hAnsi="仿宋_GB2312" w:eastAsia="仿宋_GB2312" w:cs="仿宋_GB2312"/>
          <w:b/>
          <w:bCs/>
          <w:sz w:val="32"/>
          <w:szCs w:val="32"/>
        </w:rPr>
        <w:t>万元。</w:t>
      </w:r>
      <w:r>
        <w:rPr>
          <w:rFonts w:hint="eastAsia" w:ascii="仿宋_GB2312" w:hAnsi="仿宋_GB2312" w:eastAsia="仿宋_GB2312" w:cs="仿宋_GB2312"/>
          <w:sz w:val="32"/>
          <w:szCs w:val="32"/>
        </w:rPr>
        <w:t>主要用于车辆日常维修维护，等所需的公务用车燃料费、维修费、过路过桥费、保险费等支出。</w:t>
      </w:r>
    </w:p>
    <w:p>
      <w:pPr>
        <w:keepNext w:val="0"/>
        <w:keepLines w:val="0"/>
        <w:pageBreakBefore w:val="0"/>
        <w:widowControl/>
        <w:kinsoku/>
        <w:wordWrap/>
        <w:overflowPunct/>
        <w:topLinePunct w:val="0"/>
        <w:autoSpaceDE/>
        <w:autoSpaceDN/>
        <w:bidi w:val="0"/>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3.公务接待费支出</w:t>
      </w:r>
      <w:r>
        <w:rPr>
          <w:rFonts w:hint="eastAsia" w:ascii="仿宋_GB2312" w:hAnsi="仿宋_GB2312" w:eastAsia="仿宋_GB2312" w:cs="仿宋_GB2312"/>
          <w:sz w:val="32"/>
          <w:szCs w:val="32"/>
        </w:rPr>
        <w:t>0.66</w:t>
      </w:r>
      <w:r>
        <w:rPr>
          <w:rFonts w:hint="eastAsia" w:ascii="仿宋_GB2312" w:hAnsi="仿宋_GB2312" w:eastAsia="仿宋_GB2312" w:cs="仿宋_GB2312"/>
          <w:b/>
          <w:bCs/>
          <w:sz w:val="32"/>
          <w:szCs w:val="32"/>
        </w:rPr>
        <w:t>万元，完成预算</w:t>
      </w:r>
      <w:r>
        <w:rPr>
          <w:rFonts w:hint="eastAsia" w:ascii="仿宋_GB2312" w:hAnsi="仿宋_GB2312" w:eastAsia="仿宋_GB2312" w:cs="仿宋_GB2312"/>
          <w:sz w:val="32"/>
          <w:szCs w:val="32"/>
        </w:rPr>
        <w:t>100</w:t>
      </w:r>
      <w:r>
        <w:rPr>
          <w:rFonts w:hint="eastAsia" w:ascii="仿宋_GB2312" w:hAnsi="仿宋_GB2312" w:eastAsia="仿宋_GB2312" w:cs="仿宋_GB2312"/>
          <w:b/>
          <w:bCs/>
          <w:sz w:val="32"/>
          <w:szCs w:val="32"/>
        </w:rPr>
        <w:t>%。</w:t>
      </w:r>
      <w:r>
        <w:rPr>
          <w:rFonts w:hint="eastAsia" w:ascii="仿宋_GB2312" w:hAnsi="仿宋_GB2312" w:eastAsia="仿宋_GB2312" w:cs="仿宋_GB2312"/>
          <w:sz w:val="32"/>
          <w:szCs w:val="32"/>
        </w:rPr>
        <w:t>公务接待费支出决算比2019年增加-0.03万元，增长-4.29%。主要原因是公务接待次数以及人次较2019年有所减少。</w:t>
      </w:r>
    </w:p>
    <w:p>
      <w:pPr>
        <w:keepNext w:val="0"/>
        <w:keepLines w:val="0"/>
        <w:pageBreakBefore w:val="0"/>
        <w:widowControl/>
        <w:kinsoku/>
        <w:wordWrap/>
        <w:overflowPunct/>
        <w:topLinePunct w:val="0"/>
        <w:autoSpaceDE/>
        <w:autoSpaceDN/>
        <w:bidi w:val="0"/>
        <w:spacing w:line="560" w:lineRule="exact"/>
        <w:ind w:firstLine="643" w:firstLineChars="200"/>
        <w:rPr>
          <w:rFonts w:hint="eastAsia" w:ascii="仿宋_GB2312" w:hAnsi="仿宋_GB2312" w:eastAsia="仿宋_GB2312" w:cs="仿宋_GB2312"/>
          <w:color w:val="FF0000"/>
          <w:sz w:val="32"/>
          <w:szCs w:val="32"/>
        </w:rPr>
      </w:pPr>
      <w:r>
        <w:rPr>
          <w:rFonts w:hint="eastAsia" w:ascii="仿宋_GB2312" w:hAnsi="仿宋_GB2312" w:eastAsia="仿宋_GB2312" w:cs="仿宋_GB2312"/>
          <w:b/>
          <w:bCs/>
          <w:sz w:val="32"/>
          <w:szCs w:val="32"/>
        </w:rPr>
        <w:t>4.国内公务接待支出</w:t>
      </w:r>
      <w:r>
        <w:rPr>
          <w:rFonts w:hint="eastAsia" w:ascii="仿宋_GB2312" w:hAnsi="仿宋_GB2312" w:eastAsia="仿宋_GB2312" w:cs="仿宋_GB2312"/>
          <w:sz w:val="32"/>
          <w:szCs w:val="32"/>
        </w:rPr>
        <w:t>0.66万元，主要用于</w:t>
      </w:r>
      <w:r>
        <w:rPr>
          <w:rFonts w:hint="eastAsia" w:ascii="仿宋_GB2312" w:hAnsi="仿宋_GB2312" w:eastAsia="仿宋_GB2312" w:cs="仿宋_GB2312"/>
          <w:sz w:val="32"/>
          <w:szCs w:val="32"/>
          <w:lang w:val="en-US" w:eastAsia="zh-CN"/>
        </w:rPr>
        <w:t>州级考察调研、绵阳市交叉检查用餐费</w:t>
      </w:r>
      <w:r>
        <w:rPr>
          <w:rFonts w:hint="eastAsia" w:ascii="仿宋_GB2312" w:hAnsi="仿宋_GB2312" w:eastAsia="仿宋_GB2312" w:cs="仿宋_GB2312"/>
          <w:sz w:val="32"/>
          <w:szCs w:val="32"/>
        </w:rPr>
        <w:t>。国内公务接待4批 次，82人次（不包括陪同人员），共计支出0.66万元，具体内容包括：</w:t>
      </w:r>
      <w:r>
        <w:rPr>
          <w:rFonts w:hint="eastAsia" w:ascii="仿宋_GB2312" w:hAnsi="仿宋_GB2312" w:eastAsia="仿宋_GB2312" w:cs="仿宋_GB2312"/>
          <w:color w:val="auto"/>
          <w:sz w:val="32"/>
          <w:szCs w:val="32"/>
          <w:lang w:val="en-US" w:eastAsia="zh-CN"/>
        </w:rPr>
        <w:t>1.2020年政策和项目支出绩效评价检查接待费1229元;2.州局到我先开展脱贫攻坚住房安全有保障检验抽查调研接待费1015元；3.州局开展综合督导检查接待费1358元；4.绵阳市交叉检查工程质量安全接待费2973元。</w:t>
      </w:r>
    </w:p>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八、政府性基金预算支出决算情况说明</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2020年政府性基金预算拨款支出198.49万元。 </w:t>
      </w:r>
    </w:p>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九、国有资本经营预算支出决算情况说明</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2020年国有资本经营预算拨款支出0.00万元。</w:t>
      </w:r>
    </w:p>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十、其他重要事项的情况说明</w:t>
      </w:r>
    </w:p>
    <w:p>
      <w:pPr>
        <w:keepNext w:val="0"/>
        <w:keepLines w:val="0"/>
        <w:pageBreakBefore w:val="0"/>
        <w:widowControl/>
        <w:kinsoku/>
        <w:wordWrap/>
        <w:overflowPunct/>
        <w:topLinePunct w:val="0"/>
        <w:autoSpaceDE/>
        <w:autoSpaceDN/>
        <w:bidi w:val="0"/>
        <w:spacing w:line="560" w:lineRule="exact"/>
        <w:ind w:firstLine="472" w:firstLineChars="147"/>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（一）机关运行经费支出情况</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2020年，阿坝州红原县住房和城乡建设局机关运行经费支出20.24万元，比2019年增加 -37.62万元，增长 -65.02%。主要原因是我局提倡环保节约意识，总结上年经验，办公经费相应减少。</w:t>
      </w:r>
    </w:p>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（二）政府采购支出情况</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2020年，阿坝州红原县住房和城乡建设局政府采购支出总额0.00万元，其中：政府采购货物支出 0.00万元、政府采购工程支出0.00万元、政府采购服务支出0.00万元。授予中小企 业合同金额0.00万元，占政府采购支出总额的0.00%，其中：授予小微企业合同金额0.00万元，占政府采购支出总额的0.00%。</w:t>
      </w:r>
    </w:p>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（三）国有资产占有使用情况</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截 至2020年12月31日，阿坝州红原县住房和城乡建设局（汇总）共有车辆5辆，其中：主要领导干部用车0 辆、机要通信用车0辆、应急保障用车5辆、执法执勤用车0 辆、特种专业技术用车0辆、离退休干部用车0辆、其他用车0辆。单价50万元以上通用设备0台（套），单价100万元以上专用设备0台（套）。</w:t>
      </w:r>
    </w:p>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FF0000"/>
          <w:sz w:val="32"/>
          <w:szCs w:val="32"/>
        </w:rPr>
      </w:pPr>
      <w:r>
        <w:rPr>
          <w:rFonts w:hint="eastAsia" w:ascii="仿宋_GB2312" w:hAnsi="仿宋_GB2312" w:eastAsia="仿宋_GB2312" w:cs="仿宋_GB2312"/>
          <w:b/>
          <w:bCs/>
          <w:color w:val="auto"/>
          <w:sz w:val="32"/>
          <w:szCs w:val="32"/>
        </w:rPr>
        <w:t>（四）预算绩效管理情况。</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根据预算绩效管理要求，本部门（单位）在年初预算编制阶段，组织对红原县乡村振兴示范镇（村）市政基础设施建设项目</w:t>
      </w:r>
      <w:r>
        <w:rPr>
          <w:rFonts w:hint="eastAsia" w:ascii="仿宋_GB2312" w:hAnsi="仿宋_GB2312" w:eastAsia="仿宋_GB2312" w:cs="仿宋_GB2312"/>
          <w:sz w:val="32"/>
          <w:szCs w:val="32"/>
          <w:lang w:eastAsia="zh-CN"/>
        </w:rPr>
        <w:t>、藏区新居建设</w:t>
      </w:r>
      <w:r>
        <w:rPr>
          <w:rFonts w:hint="eastAsia" w:ascii="仿宋_GB2312" w:hAnsi="仿宋_GB2312" w:eastAsia="仿宋_GB2312" w:cs="仿宋_GB2312"/>
          <w:sz w:val="32"/>
          <w:szCs w:val="32"/>
          <w:lang w:val="en-US" w:eastAsia="zh-CN"/>
        </w:rPr>
        <w:t>等</w:t>
      </w:r>
      <w:r>
        <w:rPr>
          <w:rFonts w:hint="eastAsia" w:ascii="仿宋_GB2312" w:hAnsi="仿宋_GB2312" w:eastAsia="仿宋_GB2312" w:cs="仿宋_GB2312"/>
          <w:sz w:val="32"/>
          <w:szCs w:val="32"/>
        </w:rPr>
        <w:t>项目开展了预算事前绩效评估，对</w:t>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个项目开展了绩效目标完成情况自评。</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本部门按要求对2020年部门整体支出开展绩效自评，从评价情况来看整体完成情况较好。本部门还自行组织了</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个项目支出绩效评价，从评价情况来看通过项目实施，投产后有效提高城市人民的生活质量，改善环境及促进城市的经济建设将产生深远的影响；若未开展项目支出绩效评价，则说明未开展情况。</w:t>
      </w:r>
    </w:p>
    <w:p>
      <w:pPr>
        <w:keepNext w:val="0"/>
        <w:keepLines w:val="0"/>
        <w:pageBreakBefore w:val="0"/>
        <w:widowControl/>
        <w:numPr>
          <w:ilvl w:val="0"/>
          <w:numId w:val="1"/>
        </w:numPr>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项目绩效目标完成情况。</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本部门在2020年度部门决算中反映红原县乡村振兴示范镇（村）市政基础设施建设项目</w:t>
      </w:r>
      <w:r>
        <w:rPr>
          <w:rFonts w:hint="eastAsia" w:ascii="仿宋_GB2312" w:hAnsi="仿宋_GB2312" w:eastAsia="仿宋_GB2312" w:cs="仿宋_GB2312"/>
          <w:sz w:val="32"/>
          <w:szCs w:val="32"/>
          <w:lang w:eastAsia="zh-CN"/>
        </w:rPr>
        <w:t>、藏区新居建设</w:t>
      </w:r>
      <w:r>
        <w:rPr>
          <w:rFonts w:hint="eastAsia" w:ascii="仿宋_GB2312" w:hAnsi="仿宋_GB2312" w:eastAsia="仿宋_GB2312" w:cs="仿宋_GB2312"/>
          <w:sz w:val="32"/>
          <w:szCs w:val="32"/>
          <w:lang w:val="en-US" w:eastAsia="zh-CN"/>
        </w:rPr>
        <w:t>等11</w:t>
      </w:r>
      <w:r>
        <w:rPr>
          <w:rFonts w:hint="eastAsia" w:ascii="仿宋_GB2312" w:hAnsi="仿宋_GB2312" w:eastAsia="仿宋_GB2312" w:cs="仿宋_GB2312"/>
          <w:sz w:val="32"/>
          <w:szCs w:val="32"/>
        </w:rPr>
        <w:t>个项目绩效目标实际完成情况。</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红原县乡村振兴示范镇（村）市政基础设施建设项目绩效目标完成情况综述。项目全年预算数1099.7万元，执行数为1099.7万元，完成预算的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w:t>
      </w:r>
      <w:r>
        <w:rPr>
          <w:rFonts w:hint="eastAsia" w:ascii="仿宋_GB2312" w:hAnsi="仿宋_GB2312" w:eastAsia="仿宋_GB2312" w:cs="仿宋_GB2312"/>
          <w:sz w:val="32"/>
          <w:szCs w:val="32"/>
          <w:lang w:val="en-US" w:eastAsia="zh-CN"/>
        </w:rPr>
        <w:t>提升了生活质量，</w:t>
      </w:r>
      <w:r>
        <w:rPr>
          <w:rFonts w:hint="eastAsia" w:ascii="仿宋_GB2312" w:hAnsi="仿宋_GB2312" w:eastAsia="仿宋_GB2312" w:cs="仿宋_GB2312"/>
          <w:sz w:val="32"/>
          <w:szCs w:val="32"/>
        </w:rPr>
        <w:t>项目运行过程已经建立起比较完善的管理体系，运行手册、环境安全自律体系手册、应急预案等相关运行监管体系不断完备，污水处理运行更加规范化、透明化，污水处理工作向着更加利于生态环境保护、方便社会监督的方向发展。发现的主要问题：</w:t>
      </w:r>
      <w:r>
        <w:rPr>
          <w:rFonts w:hint="eastAsia" w:ascii="仿宋_GB2312" w:hAnsi="仿宋_GB2312" w:eastAsia="仿宋_GB2312" w:cs="仿宋_GB2312"/>
          <w:kern w:val="2"/>
          <w:sz w:val="32"/>
          <w:szCs w:val="32"/>
        </w:rPr>
        <w:t>由于项目投资额度大，资金组成复杂导致该笔资金使用缓慢等客观因素影响，导致一部分资金与年初安排计划存在一定偏差，已申请到项目账户的资金，若部分未使用，建议限额结转下一年度，可及时用于来年拨付资金。</w:t>
      </w:r>
      <w:r>
        <w:rPr>
          <w:rFonts w:hint="eastAsia" w:ascii="仿宋_GB2312" w:hAnsi="仿宋_GB2312" w:eastAsia="仿宋_GB2312" w:cs="仿宋_GB2312"/>
          <w:sz w:val="32"/>
          <w:szCs w:val="32"/>
        </w:rPr>
        <w:t>下一步改进措施：进一步健全和完善财务管理制度及内部控制制度，创新管理手段，用新思路、新方法，改进完善财务管理方法。 （二）按照财政支出绩效管理的要求，建立科学的财政资金效益考评制度体系，不断提高财政资金使用管理的水平和效率。（三）完善管理机制，明确责任。项目实施完成移交后，要加大对专项项目基础设施保护工作的关注和重视，构建一个职责分明、科学规范、具有可操作性的管理长效机制。</w:t>
      </w:r>
    </w:p>
    <w:tbl>
      <w:tblPr>
        <w:tblStyle w:val="7"/>
        <w:tblW w:w="8310" w:type="dxa"/>
        <w:tblInd w:w="6" w:type="dxa"/>
        <w:tblLayout w:type="autofit"/>
        <w:tblCellMar>
          <w:top w:w="0" w:type="dxa"/>
          <w:left w:w="0" w:type="dxa"/>
          <w:bottom w:w="0" w:type="dxa"/>
          <w:right w:w="0" w:type="dxa"/>
        </w:tblCellMar>
      </w:tblPr>
      <w:tblGrid>
        <w:gridCol w:w="630"/>
        <w:gridCol w:w="783"/>
        <w:gridCol w:w="1002"/>
        <w:gridCol w:w="736"/>
        <w:gridCol w:w="1130"/>
        <w:gridCol w:w="1677"/>
        <w:gridCol w:w="1553"/>
        <w:gridCol w:w="799"/>
      </w:tblGrid>
      <w:tr>
        <w:tblPrEx>
          <w:tblCellMar>
            <w:top w:w="0" w:type="dxa"/>
            <w:left w:w="0" w:type="dxa"/>
            <w:bottom w:w="0" w:type="dxa"/>
            <w:right w:w="0" w:type="dxa"/>
          </w:tblCellMar>
        </w:tblPrEx>
        <w:trPr>
          <w:trHeight w:val="555" w:hRule="atLeast"/>
        </w:trPr>
        <w:tc>
          <w:tcPr>
            <w:tcW w:w="8310" w:type="dxa"/>
            <w:gridSpan w:val="8"/>
            <w:tcBorders>
              <w:top w:val="nil"/>
              <w:left w:val="nil"/>
              <w:bottom w:val="nil"/>
              <w:right w:val="nil"/>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textAlignment w:val="center"/>
              <w:rPr>
                <w:rFonts w:hint="eastAsia" w:ascii="仿宋_GB2312" w:hAnsi="仿宋_GB2312" w:eastAsia="仿宋_GB2312" w:cs="仿宋_GB2312"/>
                <w:color w:val="000000"/>
                <w:kern w:val="0"/>
                <w:sz w:val="32"/>
                <w:szCs w:val="32"/>
              </w:rPr>
            </w:pPr>
          </w:p>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b/>
                <w:bCs/>
                <w:color w:val="000000"/>
                <w:kern w:val="0"/>
                <w:sz w:val="32"/>
                <w:szCs w:val="32"/>
              </w:rPr>
              <w:t>项目支出绩效目标完成情况表</w:t>
            </w:r>
            <w:r>
              <w:rPr>
                <w:rFonts w:hint="eastAsia" w:ascii="仿宋_GB2312" w:hAnsi="仿宋_GB2312" w:eastAsia="仿宋_GB2312" w:cs="仿宋_GB2312"/>
                <w:b/>
                <w:bCs/>
                <w:color w:val="000000"/>
                <w:kern w:val="0"/>
                <w:sz w:val="32"/>
                <w:szCs w:val="32"/>
                <w:lang w:val="en-US" w:eastAsia="zh-CN"/>
              </w:rPr>
              <w:t>2020年度</w:t>
            </w:r>
          </w:p>
        </w:tc>
      </w:tr>
      <w:tr>
        <w:tblPrEx>
          <w:tblCellMar>
            <w:top w:w="0" w:type="dxa"/>
            <w:left w:w="0" w:type="dxa"/>
            <w:bottom w:w="0" w:type="dxa"/>
            <w:right w:w="0" w:type="dxa"/>
          </w:tblCellMar>
        </w:tblPrEx>
        <w:trPr>
          <w:trHeight w:val="555" w:hRule="atLeast"/>
        </w:trPr>
        <w:tc>
          <w:tcPr>
            <w:tcW w:w="241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项目名称</w:t>
            </w:r>
          </w:p>
        </w:tc>
        <w:tc>
          <w:tcPr>
            <w:tcW w:w="589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sz w:val="32"/>
                <w:szCs w:val="32"/>
              </w:rPr>
              <w:t>红原县乡村振兴示范镇（村）市政基础设施建设项目 </w:t>
            </w:r>
          </w:p>
        </w:tc>
      </w:tr>
      <w:tr>
        <w:tblPrEx>
          <w:tblCellMar>
            <w:top w:w="0" w:type="dxa"/>
            <w:left w:w="0" w:type="dxa"/>
            <w:bottom w:w="0" w:type="dxa"/>
            <w:right w:w="0" w:type="dxa"/>
          </w:tblCellMar>
        </w:tblPrEx>
        <w:trPr>
          <w:trHeight w:val="555" w:hRule="atLeast"/>
        </w:trPr>
        <w:tc>
          <w:tcPr>
            <w:tcW w:w="241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预算单位</w:t>
            </w:r>
          </w:p>
        </w:tc>
        <w:tc>
          <w:tcPr>
            <w:tcW w:w="589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红原县住房和城乡建设局</w:t>
            </w:r>
          </w:p>
        </w:tc>
      </w:tr>
      <w:tr>
        <w:tblPrEx>
          <w:tblCellMar>
            <w:top w:w="0" w:type="dxa"/>
            <w:left w:w="0" w:type="dxa"/>
            <w:bottom w:w="0" w:type="dxa"/>
            <w:right w:w="0" w:type="dxa"/>
          </w:tblCellMar>
        </w:tblPrEx>
        <w:trPr>
          <w:trHeight w:val="555" w:hRule="atLeast"/>
        </w:trPr>
        <w:tc>
          <w:tcPr>
            <w:tcW w:w="63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预算执行情况(万元</w:t>
            </w:r>
          </w:p>
        </w:tc>
        <w:tc>
          <w:tcPr>
            <w:tcW w:w="178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预算数:</w:t>
            </w:r>
          </w:p>
        </w:tc>
        <w:tc>
          <w:tcPr>
            <w:tcW w:w="1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sz w:val="32"/>
                <w:szCs w:val="32"/>
              </w:rPr>
              <w:t>1099.7</w:t>
            </w:r>
          </w:p>
        </w:tc>
        <w:tc>
          <w:tcPr>
            <w:tcW w:w="1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执行数:</w:t>
            </w:r>
          </w:p>
        </w:tc>
        <w:tc>
          <w:tcPr>
            <w:tcW w:w="235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sz w:val="32"/>
                <w:szCs w:val="32"/>
              </w:rPr>
              <w:t>1099.7</w:t>
            </w:r>
          </w:p>
        </w:tc>
      </w:tr>
      <w:tr>
        <w:tblPrEx>
          <w:tblCellMar>
            <w:top w:w="0" w:type="dxa"/>
            <w:left w:w="0" w:type="dxa"/>
            <w:bottom w:w="0" w:type="dxa"/>
            <w:right w:w="0" w:type="dxa"/>
          </w:tblCellMar>
        </w:tblPrEx>
        <w:trPr>
          <w:trHeight w:val="55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p>
        </w:tc>
        <w:tc>
          <w:tcPr>
            <w:tcW w:w="178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其中-财政拨款:</w:t>
            </w:r>
          </w:p>
        </w:tc>
        <w:tc>
          <w:tcPr>
            <w:tcW w:w="1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sz w:val="32"/>
                <w:szCs w:val="32"/>
              </w:rPr>
              <w:t>1099.7</w:t>
            </w:r>
          </w:p>
        </w:tc>
        <w:tc>
          <w:tcPr>
            <w:tcW w:w="1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其中-财政拨款:</w:t>
            </w:r>
          </w:p>
        </w:tc>
        <w:tc>
          <w:tcPr>
            <w:tcW w:w="235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sz w:val="32"/>
                <w:szCs w:val="32"/>
              </w:rPr>
              <w:t>1099.7</w:t>
            </w:r>
          </w:p>
        </w:tc>
      </w:tr>
      <w:tr>
        <w:tblPrEx>
          <w:tblCellMar>
            <w:top w:w="0" w:type="dxa"/>
            <w:left w:w="0" w:type="dxa"/>
            <w:bottom w:w="0" w:type="dxa"/>
            <w:right w:w="0" w:type="dxa"/>
          </w:tblCellMar>
        </w:tblPrEx>
        <w:trPr>
          <w:trHeight w:val="55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p>
        </w:tc>
        <w:tc>
          <w:tcPr>
            <w:tcW w:w="178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其它资金:</w:t>
            </w:r>
          </w:p>
        </w:tc>
        <w:tc>
          <w:tcPr>
            <w:tcW w:w="1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0</w:t>
            </w:r>
          </w:p>
        </w:tc>
        <w:tc>
          <w:tcPr>
            <w:tcW w:w="1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其它资金:</w:t>
            </w:r>
          </w:p>
        </w:tc>
        <w:tc>
          <w:tcPr>
            <w:tcW w:w="235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0</w:t>
            </w:r>
          </w:p>
        </w:tc>
      </w:tr>
      <w:tr>
        <w:tblPrEx>
          <w:tblCellMar>
            <w:top w:w="0" w:type="dxa"/>
            <w:left w:w="0" w:type="dxa"/>
            <w:bottom w:w="0" w:type="dxa"/>
            <w:right w:w="0" w:type="dxa"/>
          </w:tblCellMar>
        </w:tblPrEx>
        <w:trPr>
          <w:trHeight w:val="555" w:hRule="atLeast"/>
        </w:trPr>
        <w:tc>
          <w:tcPr>
            <w:tcW w:w="63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年度目标完成情况</w:t>
            </w:r>
          </w:p>
        </w:tc>
        <w:tc>
          <w:tcPr>
            <w:tcW w:w="252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预期目标</w:t>
            </w:r>
          </w:p>
        </w:tc>
        <w:tc>
          <w:tcPr>
            <w:tcW w:w="515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实际完成目标</w:t>
            </w:r>
          </w:p>
        </w:tc>
      </w:tr>
      <w:tr>
        <w:tblPrEx>
          <w:tblCellMar>
            <w:top w:w="0" w:type="dxa"/>
            <w:left w:w="0" w:type="dxa"/>
            <w:bottom w:w="0" w:type="dxa"/>
            <w:right w:w="0" w:type="dxa"/>
          </w:tblCellMar>
        </w:tblPrEx>
        <w:trPr>
          <w:trHeight w:val="1920"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p>
        </w:tc>
        <w:tc>
          <w:tcPr>
            <w:tcW w:w="252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sz w:val="32"/>
                <w:szCs w:val="32"/>
              </w:rPr>
              <w:t>红原县乡村振兴示范镇（村）市政基础设施建设项目新建日处理规模80t/d的“一体化”污水处理厂一座，铺设截污主干管HDPEDN300管7.343km；改造提升污水多户分散处理710户；公共厕所8座；户内厕所新建或提升改造1156座。为助力国家生态湿地保护区建设、改善藏区群众的生活环境、保护旅游资源，提升城市形象、满足城乡发展需要。</w:t>
            </w:r>
          </w:p>
        </w:tc>
        <w:tc>
          <w:tcPr>
            <w:tcW w:w="515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已完成所有建设内容，并投入使用。各项指标均达到预期目标</w:t>
            </w:r>
          </w:p>
        </w:tc>
      </w:tr>
      <w:tr>
        <w:tblPrEx>
          <w:tblCellMar>
            <w:top w:w="0" w:type="dxa"/>
            <w:left w:w="0" w:type="dxa"/>
            <w:bottom w:w="0" w:type="dxa"/>
            <w:right w:w="0" w:type="dxa"/>
          </w:tblCellMar>
        </w:tblPrEx>
        <w:trPr>
          <w:trHeight w:val="555" w:hRule="atLeast"/>
        </w:trPr>
        <w:tc>
          <w:tcPr>
            <w:tcW w:w="63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绩效指标完成情况</w:t>
            </w:r>
          </w:p>
        </w:tc>
        <w:tc>
          <w:tcPr>
            <w:tcW w:w="78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p>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p>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p>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p>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p>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p>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p>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p>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drawing>
                <wp:anchor distT="0" distB="0" distL="114300" distR="114300" simplePos="0" relativeHeight="251666432"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23" name="直接连接符_10"/>
                  <wp:cNvGraphicFramePr/>
                  <a:graphic xmlns:a="http://schemas.openxmlformats.org/drawingml/2006/main">
                    <a:graphicData uri="http://schemas.openxmlformats.org/drawingml/2006/picture">
                      <pic:pic xmlns:pic="http://schemas.openxmlformats.org/drawingml/2006/picture">
                        <pic:nvPicPr>
                          <pic:cNvPr id="23" name="直接连接符_10"/>
                          <pic:cNvPicPr/>
                        </pic:nvPicPr>
                        <pic:blipFill>
                          <a:blip r:embed="rId12"/>
                          <a:stretch>
                            <a:fillRect/>
                          </a:stretch>
                        </pic:blipFill>
                        <pic:spPr>
                          <a:xfrm>
                            <a:off x="0" y="0"/>
                            <a:ext cx="9525" cy="9525"/>
                          </a:xfrm>
                          <a:prstGeom prst="rect">
                            <a:avLst/>
                          </a:prstGeom>
                          <a:noFill/>
                          <a:ln>
                            <a:noFill/>
                          </a:ln>
                        </pic:spPr>
                      </pic:pic>
                    </a:graphicData>
                  </a:graphic>
                </wp:anchor>
              </w:drawing>
            </w:r>
            <w:r>
              <w:rPr>
                <w:rFonts w:hint="eastAsia" w:ascii="仿宋_GB2312" w:hAnsi="仿宋_GB2312" w:eastAsia="仿宋_GB2312" w:cs="仿宋_GB2312"/>
                <w:color w:val="000000"/>
                <w:kern w:val="0"/>
                <w:sz w:val="32"/>
                <w:szCs w:val="32"/>
              </w:rPr>
              <w:drawing>
                <wp:anchor distT="0" distB="0" distL="114300" distR="114300" simplePos="0" relativeHeight="251667456"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24" name="直接连接符_8"/>
                  <wp:cNvGraphicFramePr/>
                  <a:graphic xmlns:a="http://schemas.openxmlformats.org/drawingml/2006/main">
                    <a:graphicData uri="http://schemas.openxmlformats.org/drawingml/2006/picture">
                      <pic:pic xmlns:pic="http://schemas.openxmlformats.org/drawingml/2006/picture">
                        <pic:nvPicPr>
                          <pic:cNvPr id="24" name="直接连接符_8"/>
                          <pic:cNvPicPr/>
                        </pic:nvPicPr>
                        <pic:blipFill>
                          <a:blip r:embed="rId12"/>
                          <a:stretch>
                            <a:fillRect/>
                          </a:stretch>
                        </pic:blipFill>
                        <pic:spPr>
                          <a:xfrm>
                            <a:off x="0" y="0"/>
                            <a:ext cx="9525" cy="9525"/>
                          </a:xfrm>
                          <a:prstGeom prst="rect">
                            <a:avLst/>
                          </a:prstGeom>
                          <a:noFill/>
                          <a:ln>
                            <a:noFill/>
                          </a:ln>
                        </pic:spPr>
                      </pic:pic>
                    </a:graphicData>
                  </a:graphic>
                </wp:anchor>
              </w:drawing>
            </w:r>
            <w:r>
              <w:rPr>
                <w:rFonts w:hint="eastAsia" w:ascii="仿宋_GB2312" w:hAnsi="仿宋_GB2312" w:eastAsia="仿宋_GB2312" w:cs="仿宋_GB2312"/>
                <w:color w:val="000000"/>
                <w:kern w:val="0"/>
                <w:sz w:val="32"/>
                <w:szCs w:val="32"/>
              </w:rPr>
              <w:drawing>
                <wp:anchor distT="0" distB="0" distL="114300" distR="114300" simplePos="0" relativeHeight="251668480"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25" name="直接连接符_9"/>
                  <wp:cNvGraphicFramePr/>
                  <a:graphic xmlns:a="http://schemas.openxmlformats.org/drawingml/2006/main">
                    <a:graphicData uri="http://schemas.openxmlformats.org/drawingml/2006/picture">
                      <pic:pic xmlns:pic="http://schemas.openxmlformats.org/drawingml/2006/picture">
                        <pic:nvPicPr>
                          <pic:cNvPr id="25" name="直接连接符_9"/>
                          <pic:cNvPicPr/>
                        </pic:nvPicPr>
                        <pic:blipFill>
                          <a:blip r:embed="rId12"/>
                          <a:stretch>
                            <a:fillRect/>
                          </a:stretch>
                        </pic:blipFill>
                        <pic:spPr>
                          <a:xfrm>
                            <a:off x="0" y="0"/>
                            <a:ext cx="9525" cy="9525"/>
                          </a:xfrm>
                          <a:prstGeom prst="rect">
                            <a:avLst/>
                          </a:prstGeom>
                          <a:noFill/>
                          <a:ln>
                            <a:noFill/>
                          </a:ln>
                        </pic:spPr>
                      </pic:pic>
                    </a:graphicData>
                  </a:graphic>
                </wp:anchor>
              </w:drawing>
            </w:r>
            <w:r>
              <w:rPr>
                <w:rFonts w:hint="eastAsia" w:ascii="仿宋_GB2312" w:hAnsi="仿宋_GB2312" w:eastAsia="仿宋_GB2312" w:cs="仿宋_GB2312"/>
                <w:color w:val="000000"/>
                <w:kern w:val="0"/>
                <w:sz w:val="32"/>
                <w:szCs w:val="32"/>
              </w:rPr>
              <w:drawing>
                <wp:anchor distT="0" distB="0" distL="114300" distR="114300" simplePos="0" relativeHeight="251669504"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26" name="直接连接符_7"/>
                  <wp:cNvGraphicFramePr/>
                  <a:graphic xmlns:a="http://schemas.openxmlformats.org/drawingml/2006/main">
                    <a:graphicData uri="http://schemas.openxmlformats.org/drawingml/2006/picture">
                      <pic:pic xmlns:pic="http://schemas.openxmlformats.org/drawingml/2006/picture">
                        <pic:nvPicPr>
                          <pic:cNvPr id="26" name="直接连接符_7"/>
                          <pic:cNvPicPr/>
                        </pic:nvPicPr>
                        <pic:blipFill>
                          <a:blip r:embed="rId12"/>
                          <a:stretch>
                            <a:fillRect/>
                          </a:stretch>
                        </pic:blipFill>
                        <pic:spPr>
                          <a:xfrm>
                            <a:off x="0" y="0"/>
                            <a:ext cx="9525" cy="9525"/>
                          </a:xfrm>
                          <a:prstGeom prst="rect">
                            <a:avLst/>
                          </a:prstGeom>
                          <a:noFill/>
                          <a:ln>
                            <a:noFill/>
                          </a:ln>
                        </pic:spPr>
                      </pic:pic>
                    </a:graphicData>
                  </a:graphic>
                </wp:anchor>
              </w:drawing>
            </w:r>
            <w:r>
              <w:rPr>
                <w:rFonts w:hint="eastAsia" w:ascii="仿宋_GB2312" w:hAnsi="仿宋_GB2312" w:eastAsia="仿宋_GB2312" w:cs="仿宋_GB2312"/>
                <w:color w:val="000000"/>
                <w:kern w:val="0"/>
                <w:sz w:val="32"/>
                <w:szCs w:val="32"/>
              </w:rPr>
              <w:t>一级指标</w:t>
            </w: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二级指标</w:t>
            </w:r>
          </w:p>
        </w:tc>
        <w:tc>
          <w:tcPr>
            <w:tcW w:w="7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三级指标</w:t>
            </w:r>
          </w:p>
        </w:tc>
        <w:tc>
          <w:tcPr>
            <w:tcW w:w="280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both"/>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指标评价内容</w:t>
            </w:r>
          </w:p>
        </w:tc>
        <w:tc>
          <w:tcPr>
            <w:tcW w:w="155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both"/>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预期指标值(包含数字及文字描述)</w:t>
            </w:r>
          </w:p>
        </w:tc>
        <w:tc>
          <w:tcPr>
            <w:tcW w:w="79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实际完成指标值(包含数字及文字描述)</w:t>
            </w:r>
          </w:p>
        </w:tc>
      </w:tr>
      <w:tr>
        <w:tblPrEx>
          <w:tblCellMar>
            <w:top w:w="0" w:type="dxa"/>
            <w:left w:w="0" w:type="dxa"/>
            <w:bottom w:w="0" w:type="dxa"/>
            <w:right w:w="0" w:type="dxa"/>
          </w:tblCellMar>
        </w:tblPrEx>
        <w:trPr>
          <w:trHeight w:val="55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b/>
                <w:color w:val="000000"/>
                <w:sz w:val="32"/>
                <w:szCs w:val="32"/>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b/>
                <w:color w:val="000000"/>
                <w:sz w:val="32"/>
                <w:szCs w:val="32"/>
              </w:rPr>
            </w:pPr>
          </w:p>
        </w:tc>
        <w:tc>
          <w:tcPr>
            <w:tcW w:w="7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b/>
                <w:color w:val="000000"/>
                <w:sz w:val="32"/>
                <w:szCs w:val="32"/>
              </w:rPr>
            </w:pPr>
          </w:p>
        </w:tc>
        <w:tc>
          <w:tcPr>
            <w:tcW w:w="280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b/>
                <w:color w:val="000000"/>
                <w:sz w:val="32"/>
                <w:szCs w:val="32"/>
              </w:rPr>
            </w:pPr>
          </w:p>
        </w:tc>
        <w:tc>
          <w:tcPr>
            <w:tcW w:w="1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b/>
                <w:color w:val="000000"/>
                <w:sz w:val="32"/>
                <w:szCs w:val="32"/>
              </w:rPr>
            </w:pPr>
          </w:p>
        </w:tc>
        <w:tc>
          <w:tcPr>
            <w:tcW w:w="79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b/>
                <w:color w:val="000000"/>
                <w:sz w:val="32"/>
                <w:szCs w:val="32"/>
              </w:rPr>
            </w:pPr>
          </w:p>
        </w:tc>
      </w:tr>
      <w:tr>
        <w:tblPrEx>
          <w:tblCellMar>
            <w:top w:w="0" w:type="dxa"/>
            <w:left w:w="0" w:type="dxa"/>
            <w:bottom w:w="0" w:type="dxa"/>
            <w:right w:w="0" w:type="dxa"/>
          </w:tblCellMar>
        </w:tblPrEx>
        <w:trPr>
          <w:trHeight w:val="2990"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b/>
                <w:color w:val="000000"/>
                <w:sz w:val="32"/>
                <w:szCs w:val="32"/>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b/>
                <w:color w:val="000000"/>
                <w:sz w:val="32"/>
                <w:szCs w:val="32"/>
              </w:rPr>
            </w:pPr>
          </w:p>
        </w:tc>
        <w:tc>
          <w:tcPr>
            <w:tcW w:w="7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b/>
                <w:color w:val="000000"/>
                <w:sz w:val="32"/>
                <w:szCs w:val="32"/>
              </w:rPr>
            </w:pPr>
          </w:p>
        </w:tc>
        <w:tc>
          <w:tcPr>
            <w:tcW w:w="280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b/>
                <w:color w:val="000000"/>
                <w:sz w:val="32"/>
                <w:szCs w:val="32"/>
              </w:rPr>
            </w:pPr>
          </w:p>
        </w:tc>
        <w:tc>
          <w:tcPr>
            <w:tcW w:w="1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b/>
                <w:color w:val="000000"/>
                <w:sz w:val="32"/>
                <w:szCs w:val="32"/>
              </w:rPr>
            </w:pPr>
          </w:p>
        </w:tc>
        <w:tc>
          <w:tcPr>
            <w:tcW w:w="79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b/>
                <w:color w:val="000000"/>
                <w:sz w:val="32"/>
                <w:szCs w:val="32"/>
              </w:rPr>
            </w:pPr>
          </w:p>
        </w:tc>
      </w:tr>
      <w:tr>
        <w:tblPrEx>
          <w:tblCellMar>
            <w:top w:w="0" w:type="dxa"/>
            <w:left w:w="0" w:type="dxa"/>
            <w:bottom w:w="0" w:type="dxa"/>
            <w:right w:w="0" w:type="dxa"/>
          </w:tblCellMar>
        </w:tblPrEx>
        <w:trPr>
          <w:trHeight w:val="76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jc w:val="left"/>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项目决策</w:t>
            </w: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绩效目标</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目标内容</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项目预期提供的产品、服务、效益或其他目标明确,即绩效目标实际明确个数/应当明确个数×100%</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完成建设内容</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完成建设内容</w:t>
            </w:r>
          </w:p>
        </w:tc>
      </w:tr>
      <w:tr>
        <w:tblPrEx>
          <w:tblCellMar>
            <w:top w:w="0" w:type="dxa"/>
            <w:left w:w="0" w:type="dxa"/>
            <w:bottom w:w="0" w:type="dxa"/>
            <w:right w:w="0" w:type="dxa"/>
          </w:tblCellMar>
        </w:tblPrEx>
        <w:trPr>
          <w:trHeight w:val="64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进度计划</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项目计划实施进度明确</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按照工期进度表进行</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按时完工</w:t>
            </w:r>
          </w:p>
        </w:tc>
      </w:tr>
      <w:tr>
        <w:tblPrEx>
          <w:tblCellMar>
            <w:top w:w="0" w:type="dxa"/>
            <w:left w:w="0" w:type="dxa"/>
            <w:bottom w:w="0" w:type="dxa"/>
            <w:right w:w="0" w:type="dxa"/>
          </w:tblCellMar>
        </w:tblPrEx>
        <w:trPr>
          <w:trHeight w:val="690"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目标匹配</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绩效目标设定符合实际需求的抽样项目点个数/抽样项目点总数×100%</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w:t>
            </w:r>
          </w:p>
        </w:tc>
      </w:tr>
      <w:tr>
        <w:tblPrEx>
          <w:tblCellMar>
            <w:top w:w="0" w:type="dxa"/>
            <w:left w:w="0" w:type="dxa"/>
            <w:bottom w:w="0" w:type="dxa"/>
            <w:right w:w="0" w:type="dxa"/>
          </w:tblCellMar>
        </w:tblPrEx>
        <w:trPr>
          <w:trHeight w:val="76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决策依据</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政策依据</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项目符合党中央、国务院和省委、省政府决策部署；符合当前经济社会发展需要</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符合</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符合</w:t>
            </w:r>
          </w:p>
        </w:tc>
      </w:tr>
      <w:tr>
        <w:tblPrEx>
          <w:tblCellMar>
            <w:top w:w="0" w:type="dxa"/>
            <w:left w:w="0" w:type="dxa"/>
            <w:bottom w:w="0" w:type="dxa"/>
            <w:right w:w="0" w:type="dxa"/>
          </w:tblCellMar>
        </w:tblPrEx>
        <w:trPr>
          <w:trHeight w:val="55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实施规划</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连续性项目根据需要制定中长期实施规划</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已制定</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已制定</w:t>
            </w:r>
          </w:p>
        </w:tc>
      </w:tr>
      <w:tr>
        <w:tblPrEx>
          <w:tblCellMar>
            <w:top w:w="0" w:type="dxa"/>
            <w:left w:w="0" w:type="dxa"/>
            <w:bottom w:w="0" w:type="dxa"/>
            <w:right w:w="0" w:type="dxa"/>
          </w:tblCellMar>
        </w:tblPrEx>
        <w:trPr>
          <w:trHeight w:val="55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实施规划符合实际，并根据情况变化适时调整</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r>
      <w:tr>
        <w:tblPrEx>
          <w:tblCellMar>
            <w:top w:w="0" w:type="dxa"/>
            <w:left w:w="0" w:type="dxa"/>
            <w:bottom w:w="0" w:type="dxa"/>
            <w:right w:w="0" w:type="dxa"/>
          </w:tblCellMar>
        </w:tblPrEx>
        <w:trPr>
          <w:trHeight w:val="55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管理制度</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制定项目资金管理办法</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已制定</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已制定</w:t>
            </w:r>
          </w:p>
        </w:tc>
      </w:tr>
      <w:tr>
        <w:tblPrEx>
          <w:tblCellMar>
            <w:top w:w="0" w:type="dxa"/>
            <w:left w:w="0" w:type="dxa"/>
            <w:bottom w:w="0" w:type="dxa"/>
            <w:right w:w="0" w:type="dxa"/>
          </w:tblCellMar>
        </w:tblPrEx>
        <w:trPr>
          <w:trHeight w:val="750"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项目资金分配决策程序明确</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r>
      <w:tr>
        <w:tblPrEx>
          <w:tblCellMar>
            <w:top w:w="0" w:type="dxa"/>
            <w:left w:w="0" w:type="dxa"/>
            <w:bottom w:w="0" w:type="dxa"/>
            <w:right w:w="0" w:type="dxa"/>
          </w:tblCellMar>
        </w:tblPrEx>
        <w:trPr>
          <w:trHeight w:val="82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资金分配</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分配方法</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资金分配方法是否科学合理</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r>
      <w:tr>
        <w:tblPrEx>
          <w:tblCellMar>
            <w:top w:w="0" w:type="dxa"/>
            <w:left w:w="0" w:type="dxa"/>
            <w:bottom w:w="0" w:type="dxa"/>
            <w:right w:w="0" w:type="dxa"/>
          </w:tblCellMar>
        </w:tblPrEx>
        <w:trPr>
          <w:trHeight w:val="55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分配过程</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分配过程符合相关规定</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r>
      <w:tr>
        <w:tblPrEx>
          <w:tblCellMar>
            <w:top w:w="0" w:type="dxa"/>
            <w:left w:w="0" w:type="dxa"/>
            <w:bottom w:w="0" w:type="dxa"/>
            <w:right w:w="0" w:type="dxa"/>
          </w:tblCellMar>
        </w:tblPrEx>
        <w:trPr>
          <w:trHeight w:val="76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分配结果</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审核把关</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符合申报条件的抽样项目点个数/抽样项目点总数×100%</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2个</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2个</w:t>
            </w:r>
          </w:p>
        </w:tc>
      </w:tr>
      <w:tr>
        <w:tblPrEx>
          <w:tblCellMar>
            <w:top w:w="0" w:type="dxa"/>
            <w:left w:w="0" w:type="dxa"/>
            <w:bottom w:w="0" w:type="dxa"/>
            <w:right w:w="0" w:type="dxa"/>
          </w:tblCellMar>
        </w:tblPrEx>
        <w:trPr>
          <w:trHeight w:val="1020"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资金集中</w:t>
            </w:r>
          </w:p>
        </w:tc>
        <w:tc>
          <w:tcPr>
            <w:tcW w:w="11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集中</w:t>
            </w:r>
          </w:p>
        </w:tc>
        <w:tc>
          <w:tcPr>
            <w:tcW w:w="1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财政资金占项目资金总额比重较小项目个数/项目总数×100%</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100%</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100%</w:t>
            </w:r>
          </w:p>
        </w:tc>
      </w:tr>
      <w:tr>
        <w:tblPrEx>
          <w:tblCellMar>
            <w:top w:w="0" w:type="dxa"/>
            <w:left w:w="0" w:type="dxa"/>
            <w:bottom w:w="0" w:type="dxa"/>
            <w:right w:w="0" w:type="dxa"/>
          </w:tblCellMar>
        </w:tblPrEx>
        <w:trPr>
          <w:trHeight w:val="73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（均衡）</w:t>
            </w:r>
          </w:p>
        </w:tc>
        <w:tc>
          <w:tcPr>
            <w:tcW w:w="11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均衡</w:t>
            </w:r>
          </w:p>
        </w:tc>
        <w:tc>
          <w:tcPr>
            <w:tcW w:w="1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按实际分配结果选择客观因素测算验证资金分配方法制定、分配要素设定、基础数据应用、测算依据选取等是否科学合理（2分）</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r>
      <w:tr>
        <w:tblPrEx>
          <w:tblCellMar>
            <w:top w:w="0" w:type="dxa"/>
            <w:left w:w="0" w:type="dxa"/>
            <w:bottom w:w="0" w:type="dxa"/>
            <w:right w:w="0" w:type="dxa"/>
          </w:tblCellMar>
        </w:tblPrEx>
        <w:trPr>
          <w:trHeight w:val="540"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jc w:val="left"/>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项目管理</w:t>
            </w: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 xml:space="preserve"> 资金到位</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分配时效</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县级主管部门按规定及时分配资金</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r>
      <w:tr>
        <w:tblPrEx>
          <w:tblCellMar>
            <w:top w:w="0" w:type="dxa"/>
            <w:left w:w="0" w:type="dxa"/>
            <w:bottom w:w="0" w:type="dxa"/>
            <w:right w:w="0" w:type="dxa"/>
          </w:tblCellMar>
        </w:tblPrEx>
        <w:trPr>
          <w:trHeight w:val="744"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资金拨付</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按规定及时拨付资金</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r>
      <w:tr>
        <w:tblPrEx>
          <w:tblCellMar>
            <w:top w:w="0" w:type="dxa"/>
            <w:left w:w="0" w:type="dxa"/>
            <w:bottom w:w="0" w:type="dxa"/>
            <w:right w:w="0" w:type="dxa"/>
          </w:tblCellMar>
        </w:tblPrEx>
        <w:trPr>
          <w:trHeight w:val="55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 xml:space="preserve">资金管理  </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使用范围</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资金使用是否合规</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r>
      <w:tr>
        <w:tblPrEx>
          <w:tblCellMar>
            <w:top w:w="0" w:type="dxa"/>
            <w:left w:w="0" w:type="dxa"/>
            <w:bottom w:w="0" w:type="dxa"/>
            <w:right w:w="0" w:type="dxa"/>
          </w:tblCellMar>
        </w:tblPrEx>
        <w:trPr>
          <w:trHeight w:val="55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支付依据</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资金支付依据符合规定，即支付依旧合规资金量/资金总量×100%</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r>
      <w:tr>
        <w:tblPrEx>
          <w:tblCellMar>
            <w:top w:w="0" w:type="dxa"/>
            <w:left w:w="0" w:type="dxa"/>
            <w:bottom w:w="0" w:type="dxa"/>
            <w:right w:w="0" w:type="dxa"/>
          </w:tblCellMar>
        </w:tblPrEx>
        <w:trPr>
          <w:trHeight w:val="55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开支标准</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资金开支标准符合规定，即开支标准合规资金量/资金总量×100%</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r>
      <w:tr>
        <w:tblPrEx>
          <w:tblCellMar>
            <w:top w:w="0" w:type="dxa"/>
            <w:left w:w="0" w:type="dxa"/>
            <w:bottom w:w="0" w:type="dxa"/>
            <w:right w:w="0" w:type="dxa"/>
          </w:tblCellMar>
        </w:tblPrEx>
        <w:trPr>
          <w:trHeight w:val="73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财务管理</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财务制度</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财务制度健全，管理规范</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r>
      <w:tr>
        <w:tblPrEx>
          <w:tblCellMar>
            <w:top w:w="0" w:type="dxa"/>
            <w:left w:w="0" w:type="dxa"/>
            <w:bottom w:w="0" w:type="dxa"/>
            <w:right w:w="0" w:type="dxa"/>
          </w:tblCellMar>
        </w:tblPrEx>
        <w:trPr>
          <w:trHeight w:val="55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会计核算</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会计核算规范</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r>
      <w:tr>
        <w:tblPrEx>
          <w:tblCellMar>
            <w:top w:w="0" w:type="dxa"/>
            <w:left w:w="0" w:type="dxa"/>
            <w:bottom w:w="0" w:type="dxa"/>
            <w:right w:w="0" w:type="dxa"/>
          </w:tblCellMar>
        </w:tblPrEx>
        <w:trPr>
          <w:trHeight w:val="55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组织实施（4分）</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项目调整</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项目调整严格履行相关手续</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r>
      <w:tr>
        <w:tblPrEx>
          <w:tblCellMar>
            <w:top w:w="0" w:type="dxa"/>
            <w:left w:w="0" w:type="dxa"/>
            <w:bottom w:w="0" w:type="dxa"/>
            <w:right w:w="0" w:type="dxa"/>
          </w:tblCellMar>
        </w:tblPrEx>
        <w:trPr>
          <w:trHeight w:val="85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投资变更</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项目投资变更额/项目总投入×100%</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r>
      <w:tr>
        <w:tblPrEx>
          <w:tblCellMar>
            <w:top w:w="0" w:type="dxa"/>
            <w:left w:w="0" w:type="dxa"/>
            <w:bottom w:w="0" w:type="dxa"/>
            <w:right w:w="0" w:type="dxa"/>
          </w:tblCellMar>
        </w:tblPrEx>
        <w:trPr>
          <w:trHeight w:val="76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制度执行</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严格执行项目有关制度规定</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r>
      <w:tr>
        <w:tblPrEx>
          <w:tblCellMar>
            <w:top w:w="0" w:type="dxa"/>
            <w:left w:w="0" w:type="dxa"/>
            <w:bottom w:w="0" w:type="dxa"/>
            <w:right w:w="0" w:type="dxa"/>
          </w:tblCellMar>
        </w:tblPrEx>
        <w:trPr>
          <w:trHeight w:val="555" w:hRule="atLeast"/>
        </w:trPr>
        <w:tc>
          <w:tcPr>
            <w:tcW w:w="63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jc w:val="left"/>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bdr w:val="single" w:color="000000" w:sz="4" w:space="0"/>
              </w:rPr>
              <w:drawing>
                <wp:anchor distT="0" distB="0" distL="114300" distR="114300" simplePos="0" relativeHeight="251670528" behindDoc="0" locked="0" layoutInCell="1" allowOverlap="1">
                  <wp:simplePos x="0" y="0"/>
                  <wp:positionH relativeFrom="column">
                    <wp:posOffset>0</wp:posOffset>
                  </wp:positionH>
                  <wp:positionV relativeFrom="paragraph">
                    <wp:posOffset>3432175</wp:posOffset>
                  </wp:positionV>
                  <wp:extent cx="28575" cy="9525"/>
                  <wp:effectExtent l="0" t="0" r="0" b="0"/>
                  <wp:wrapNone/>
                  <wp:docPr id="27" name="直接连接符_6"/>
                  <wp:cNvGraphicFramePr/>
                  <a:graphic xmlns:a="http://schemas.openxmlformats.org/drawingml/2006/main">
                    <a:graphicData uri="http://schemas.openxmlformats.org/drawingml/2006/picture">
                      <pic:pic xmlns:pic="http://schemas.openxmlformats.org/drawingml/2006/picture">
                        <pic:nvPicPr>
                          <pic:cNvPr id="27" name="直接连接符_6"/>
                          <pic:cNvPicPr/>
                        </pic:nvPicPr>
                        <pic:blipFill>
                          <a:blip r:embed="rId13"/>
                          <a:stretch>
                            <a:fillRect/>
                          </a:stretch>
                        </pic:blipFill>
                        <pic:spPr>
                          <a:xfrm>
                            <a:off x="0" y="0"/>
                            <a:ext cx="28575" cy="9525"/>
                          </a:xfrm>
                          <a:prstGeom prst="rect">
                            <a:avLst/>
                          </a:prstGeom>
                          <a:noFill/>
                          <a:ln>
                            <a:noFill/>
                          </a:ln>
                        </pic:spPr>
                      </pic:pic>
                    </a:graphicData>
                  </a:graphic>
                </wp:anchor>
              </w:drawing>
            </w:r>
            <w:r>
              <w:rPr>
                <w:rFonts w:hint="eastAsia" w:ascii="仿宋_GB2312" w:hAnsi="仿宋_GB2312" w:eastAsia="仿宋_GB2312" w:cs="仿宋_GB2312"/>
                <w:color w:val="000000"/>
                <w:kern w:val="0"/>
                <w:sz w:val="32"/>
                <w:szCs w:val="32"/>
                <w:bdr w:val="single" w:color="000000" w:sz="4" w:space="0"/>
              </w:rPr>
              <w:drawing>
                <wp:anchor distT="0" distB="0" distL="114300" distR="114300" simplePos="0" relativeHeight="251671552" behindDoc="0" locked="0" layoutInCell="1" allowOverlap="1">
                  <wp:simplePos x="0" y="0"/>
                  <wp:positionH relativeFrom="column">
                    <wp:posOffset>381000</wp:posOffset>
                  </wp:positionH>
                  <wp:positionV relativeFrom="paragraph">
                    <wp:posOffset>3432175</wp:posOffset>
                  </wp:positionV>
                  <wp:extent cx="9525" cy="9525"/>
                  <wp:effectExtent l="0" t="0" r="0" b="0"/>
                  <wp:wrapNone/>
                  <wp:docPr id="28" name="直接连接符_5"/>
                  <wp:cNvGraphicFramePr/>
                  <a:graphic xmlns:a="http://schemas.openxmlformats.org/drawingml/2006/main">
                    <a:graphicData uri="http://schemas.openxmlformats.org/drawingml/2006/picture">
                      <pic:pic xmlns:pic="http://schemas.openxmlformats.org/drawingml/2006/picture">
                        <pic:nvPicPr>
                          <pic:cNvPr id="28" name="直接连接符_5"/>
                          <pic:cNvPicPr/>
                        </pic:nvPicPr>
                        <pic:blipFill>
                          <a:blip r:embed="rId14"/>
                          <a:stretch>
                            <a:fillRect/>
                          </a:stretch>
                        </pic:blipFill>
                        <pic:spPr>
                          <a:xfrm>
                            <a:off x="0" y="0"/>
                            <a:ext cx="9525" cy="9525"/>
                          </a:xfrm>
                          <a:prstGeom prst="rect">
                            <a:avLst/>
                          </a:prstGeom>
                          <a:noFill/>
                          <a:ln>
                            <a:noFill/>
                          </a:ln>
                        </pic:spPr>
                      </pic:pic>
                    </a:graphicData>
                  </a:graphic>
                </wp:anchor>
              </w:drawing>
            </w:r>
            <w:r>
              <w:rPr>
                <w:rFonts w:hint="eastAsia" w:ascii="仿宋_GB2312" w:hAnsi="仿宋_GB2312" w:eastAsia="仿宋_GB2312" w:cs="仿宋_GB2312"/>
                <w:color w:val="000000"/>
                <w:kern w:val="0"/>
                <w:sz w:val="32"/>
                <w:szCs w:val="32"/>
              </w:rPr>
              <w:t>项目绩效</w:t>
            </w: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项目完成</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完成数量</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实际完成任务量/绩效目标设定任务量×100%</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100%</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100%</w:t>
            </w:r>
          </w:p>
        </w:tc>
      </w:tr>
      <w:tr>
        <w:tblPrEx>
          <w:tblCellMar>
            <w:top w:w="0" w:type="dxa"/>
            <w:left w:w="0" w:type="dxa"/>
            <w:bottom w:w="0" w:type="dxa"/>
            <w:right w:w="0" w:type="dxa"/>
          </w:tblCellMar>
        </w:tblPrEx>
        <w:trPr>
          <w:trHeight w:val="55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完成质量</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符合绩效目标设定的验收标准，达到行业基准水平</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符合</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符合</w:t>
            </w:r>
          </w:p>
        </w:tc>
      </w:tr>
      <w:tr>
        <w:tblPrEx>
          <w:tblCellMar>
            <w:top w:w="0" w:type="dxa"/>
            <w:left w:w="0" w:type="dxa"/>
            <w:bottom w:w="0" w:type="dxa"/>
            <w:right w:w="0" w:type="dxa"/>
          </w:tblCellMar>
        </w:tblPrEx>
        <w:trPr>
          <w:trHeight w:val="800"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完成时效</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（实际完成时间-绩效目标设定完成时间）/绩效目标设定完成时间×100%</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100%</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100%</w:t>
            </w:r>
          </w:p>
        </w:tc>
      </w:tr>
      <w:tr>
        <w:tblPrEx>
          <w:tblCellMar>
            <w:top w:w="0" w:type="dxa"/>
            <w:left w:w="0" w:type="dxa"/>
            <w:bottom w:w="0" w:type="dxa"/>
            <w:right w:w="0" w:type="dxa"/>
          </w:tblCellMar>
        </w:tblPrEx>
        <w:trPr>
          <w:trHeight w:val="55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完成成本</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（实际完成成本-预计完成成本）/预计完成成本×100%</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100%</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100%</w:t>
            </w:r>
          </w:p>
        </w:tc>
      </w:tr>
      <w:tr>
        <w:tblPrEx>
          <w:tblCellMar>
            <w:top w:w="0" w:type="dxa"/>
            <w:left w:w="0" w:type="dxa"/>
            <w:bottom w:w="0" w:type="dxa"/>
            <w:right w:w="0" w:type="dxa"/>
          </w:tblCellMar>
        </w:tblPrEx>
        <w:trPr>
          <w:trHeight w:val="720"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项目效益</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经济效益</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反映相关产出对经济社会发展带来的影响和效果，根据项目实际细化具体指标。</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提升人居生活环境及生活质量</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提升人居生活环境及生活质量</w:t>
            </w:r>
          </w:p>
        </w:tc>
      </w:tr>
      <w:tr>
        <w:tblPrEx>
          <w:tblCellMar>
            <w:top w:w="0" w:type="dxa"/>
            <w:left w:w="0" w:type="dxa"/>
            <w:bottom w:w="0" w:type="dxa"/>
            <w:right w:w="0" w:type="dxa"/>
          </w:tblCellMar>
        </w:tblPrEx>
        <w:trPr>
          <w:trHeight w:val="1276"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社会效益</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反映相关产出对社会发展带来的影响和效果，根据项目实际细化具体指标。</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城市的整体形象得以提高，人居生活条件得以改善</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城市的整体形象得以提高，人居生活条件得以改善</w:t>
            </w:r>
          </w:p>
        </w:tc>
      </w:tr>
      <w:tr>
        <w:tblPrEx>
          <w:tblCellMar>
            <w:top w:w="0" w:type="dxa"/>
            <w:left w:w="0" w:type="dxa"/>
            <w:bottom w:w="0" w:type="dxa"/>
            <w:right w:w="0" w:type="dxa"/>
          </w:tblCellMar>
        </w:tblPrEx>
        <w:trPr>
          <w:trHeight w:val="720"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生态效益</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反映相关产出对自然环境带来的影响和效果，根据项目实际细化具体指标。</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rPr>
              <w:t>乡村</w:t>
            </w:r>
            <w:r>
              <w:rPr>
                <w:rFonts w:hint="eastAsia" w:ascii="仿宋_GB2312" w:hAnsi="仿宋_GB2312" w:eastAsia="仿宋_GB2312" w:cs="仿宋_GB2312"/>
                <w:color w:val="000000"/>
                <w:kern w:val="0"/>
                <w:sz w:val="32"/>
                <w:szCs w:val="32"/>
              </w:rPr>
              <w:t>的整体形象得以提高，</w:t>
            </w:r>
            <w:r>
              <w:rPr>
                <w:rFonts w:hint="eastAsia" w:ascii="仿宋_GB2312" w:hAnsi="仿宋_GB2312" w:eastAsia="仿宋_GB2312" w:cs="仿宋_GB2312"/>
                <w:color w:val="000000"/>
                <w:kern w:val="0"/>
                <w:sz w:val="32"/>
                <w:szCs w:val="32"/>
                <w:lang w:val="en-US" w:eastAsia="zh-CN"/>
              </w:rPr>
              <w:t>牧民</w:t>
            </w:r>
            <w:r>
              <w:rPr>
                <w:rFonts w:hint="eastAsia" w:ascii="仿宋_GB2312" w:hAnsi="仿宋_GB2312" w:eastAsia="仿宋_GB2312" w:cs="仿宋_GB2312"/>
                <w:color w:val="000000"/>
                <w:kern w:val="0"/>
                <w:sz w:val="32"/>
                <w:szCs w:val="32"/>
              </w:rPr>
              <w:t>生活条件得以改善</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rPr>
              <w:t>乡村</w:t>
            </w:r>
            <w:r>
              <w:rPr>
                <w:rFonts w:hint="eastAsia" w:ascii="仿宋_GB2312" w:hAnsi="仿宋_GB2312" w:eastAsia="仿宋_GB2312" w:cs="仿宋_GB2312"/>
                <w:color w:val="000000"/>
                <w:kern w:val="0"/>
                <w:sz w:val="32"/>
                <w:szCs w:val="32"/>
              </w:rPr>
              <w:t>的整体形象得以提高，人居生活条件得以改善</w:t>
            </w:r>
          </w:p>
        </w:tc>
      </w:tr>
      <w:tr>
        <w:tblPrEx>
          <w:tblCellMar>
            <w:top w:w="0" w:type="dxa"/>
            <w:left w:w="0" w:type="dxa"/>
            <w:bottom w:w="0" w:type="dxa"/>
            <w:right w:w="0" w:type="dxa"/>
          </w:tblCellMar>
        </w:tblPrEx>
        <w:trPr>
          <w:trHeight w:val="1080"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left"/>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满意度</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服务对象满意度</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left"/>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反映服务对象或项目受益人对相关产出及其影响的认可程度，根据项目实际细化具体指标。</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群众满意度高，使用效益高</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群众满意度高，使用效益高</w:t>
            </w:r>
          </w:p>
        </w:tc>
      </w:tr>
    </w:tbl>
    <w:p>
      <w:pPr>
        <w:pStyle w:val="6"/>
        <w:keepNext w:val="0"/>
        <w:keepLines w:val="0"/>
        <w:pageBreakBefore w:val="0"/>
        <w:widowControl/>
        <w:numPr>
          <w:ilvl w:val="0"/>
          <w:numId w:val="0"/>
        </w:numPr>
        <w:kinsoku/>
        <w:wordWrap/>
        <w:overflowPunct/>
        <w:topLinePunct w:val="0"/>
        <w:autoSpaceDE/>
        <w:autoSpaceDN/>
        <w:bidi w:val="0"/>
        <w:spacing w:before="0" w:beforeAutospacing="0" w:after="0" w:afterAutospacing="0" w:line="560" w:lineRule="exact"/>
        <w:jc w:val="both"/>
        <w:rPr>
          <w:rFonts w:hint="eastAsia" w:ascii="仿宋_GB2312" w:hAnsi="仿宋_GB2312" w:eastAsia="仿宋_GB2312" w:cs="仿宋_GB2312"/>
          <w:sz w:val="32"/>
          <w:szCs w:val="32"/>
        </w:rPr>
      </w:pPr>
    </w:p>
    <w:p>
      <w:pPr>
        <w:keepNext w:val="0"/>
        <w:keepLines w:val="0"/>
        <w:pageBreakBefore w:val="0"/>
        <w:widowControl/>
        <w:numPr>
          <w:ilvl w:val="0"/>
          <w:numId w:val="2"/>
        </w:numPr>
        <w:kinsoku/>
        <w:wordWrap/>
        <w:overflowPunct/>
        <w:topLinePunct w:val="0"/>
        <w:autoSpaceDE/>
        <w:autoSpaceDN/>
        <w:bidi w:val="0"/>
        <w:adjustRightInd w:val="0"/>
        <w:snapToGrid w:val="0"/>
        <w:spacing w:line="560" w:lineRule="exact"/>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藏区新居建设</w:t>
      </w:r>
      <w:r>
        <w:rPr>
          <w:rFonts w:hint="eastAsia" w:ascii="仿宋_GB2312" w:hAnsi="仿宋_GB2312" w:eastAsia="仿宋_GB2312" w:cs="仿宋_GB2312"/>
          <w:sz w:val="32"/>
          <w:szCs w:val="32"/>
        </w:rPr>
        <w:t>项目绩效目标完成情况综述。项目全年预算数210万元，执行数为210万元，完成预算的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藏区新居建设项目为我县牧民解决了住房困难问题，减轻了牧民经济在住房上的投入。修建完后，房屋若存在相关问题，我县还对其进行维修改造，使群众在生活中不用烦恼住房问题。这有利于藏区社会稳定，群众也对藏区新居建设项目满意。，发现的主要问题：</w:t>
      </w:r>
      <w:r>
        <w:rPr>
          <w:rFonts w:hint="eastAsia" w:ascii="仿宋_GB2312" w:hAnsi="仿宋_GB2312" w:eastAsia="仿宋_GB2312" w:cs="仿宋_GB2312"/>
          <w:sz w:val="32"/>
          <w:szCs w:val="32"/>
          <w:lang w:val="zh-CN"/>
        </w:rPr>
        <w:t>存在有的乡镇在收到补助资金后，在通知牧民后直接将资金拨付给施工队，由于牧民不了解政策情况，在审计局等单位调查时，反映未收到补助资金。</w:t>
      </w:r>
      <w:r>
        <w:rPr>
          <w:rFonts w:hint="eastAsia" w:ascii="仿宋_GB2312" w:hAnsi="仿宋_GB2312" w:eastAsia="仿宋_GB2312" w:cs="仿宋_GB2312"/>
          <w:sz w:val="32"/>
          <w:szCs w:val="32"/>
        </w:rPr>
        <w:t>下一步改进措施：建议在乡镇收到补助资金后，通知施工方和牧民一起去取款，当着双方的面将资金拨付给施工方，并要求双方签字按手印。这样既不会造成双方矛盾，也让牧民了解了相关情况。</w:t>
      </w:r>
    </w:p>
    <w:tbl>
      <w:tblPr>
        <w:tblStyle w:val="7"/>
        <w:tblW w:w="8310" w:type="dxa"/>
        <w:tblInd w:w="6" w:type="dxa"/>
        <w:tblLayout w:type="autofit"/>
        <w:tblCellMar>
          <w:top w:w="0" w:type="dxa"/>
          <w:left w:w="0" w:type="dxa"/>
          <w:bottom w:w="0" w:type="dxa"/>
          <w:right w:w="0" w:type="dxa"/>
        </w:tblCellMar>
      </w:tblPr>
      <w:tblGrid>
        <w:gridCol w:w="630"/>
        <w:gridCol w:w="783"/>
        <w:gridCol w:w="1002"/>
        <w:gridCol w:w="736"/>
        <w:gridCol w:w="1130"/>
        <w:gridCol w:w="1677"/>
        <w:gridCol w:w="1553"/>
        <w:gridCol w:w="799"/>
      </w:tblGrid>
      <w:tr>
        <w:tblPrEx>
          <w:tblCellMar>
            <w:top w:w="0" w:type="dxa"/>
            <w:left w:w="0" w:type="dxa"/>
            <w:bottom w:w="0" w:type="dxa"/>
            <w:right w:w="0" w:type="dxa"/>
          </w:tblCellMar>
        </w:tblPrEx>
        <w:trPr>
          <w:trHeight w:val="555" w:hRule="atLeast"/>
        </w:trPr>
        <w:tc>
          <w:tcPr>
            <w:tcW w:w="8310" w:type="dxa"/>
            <w:gridSpan w:val="8"/>
            <w:tcBorders>
              <w:top w:val="nil"/>
              <w:left w:val="nil"/>
              <w:bottom w:val="nil"/>
              <w:right w:val="nil"/>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textAlignment w:val="center"/>
              <w:rPr>
                <w:rFonts w:hint="eastAsia" w:ascii="仿宋_GB2312" w:hAnsi="仿宋_GB2312" w:eastAsia="仿宋_GB2312" w:cs="仿宋_GB2312"/>
                <w:color w:val="000000"/>
                <w:kern w:val="0"/>
                <w:sz w:val="32"/>
                <w:szCs w:val="32"/>
              </w:rPr>
            </w:pPr>
          </w:p>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b/>
                <w:bCs/>
                <w:color w:val="000000"/>
                <w:kern w:val="0"/>
                <w:sz w:val="32"/>
                <w:szCs w:val="32"/>
              </w:rPr>
              <w:t>项目支出绩效目标完成情况表</w:t>
            </w:r>
            <w:r>
              <w:rPr>
                <w:rFonts w:hint="eastAsia" w:ascii="仿宋_GB2312" w:hAnsi="仿宋_GB2312" w:eastAsia="仿宋_GB2312" w:cs="仿宋_GB2312"/>
                <w:b/>
                <w:bCs/>
                <w:color w:val="000000"/>
                <w:kern w:val="0"/>
                <w:sz w:val="32"/>
                <w:szCs w:val="32"/>
                <w:lang w:val="en-US" w:eastAsia="zh-CN"/>
              </w:rPr>
              <w:t>2020年度</w:t>
            </w:r>
          </w:p>
        </w:tc>
      </w:tr>
      <w:tr>
        <w:tblPrEx>
          <w:tblCellMar>
            <w:top w:w="0" w:type="dxa"/>
            <w:left w:w="0" w:type="dxa"/>
            <w:bottom w:w="0" w:type="dxa"/>
            <w:right w:w="0" w:type="dxa"/>
          </w:tblCellMar>
        </w:tblPrEx>
        <w:trPr>
          <w:trHeight w:val="555" w:hRule="atLeast"/>
        </w:trPr>
        <w:tc>
          <w:tcPr>
            <w:tcW w:w="241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项目名称</w:t>
            </w:r>
          </w:p>
        </w:tc>
        <w:tc>
          <w:tcPr>
            <w:tcW w:w="589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sz w:val="32"/>
                <w:szCs w:val="32"/>
                <w:lang w:eastAsia="zh-CN"/>
              </w:rPr>
              <w:t>藏区新居建设</w:t>
            </w:r>
            <w:r>
              <w:rPr>
                <w:rFonts w:hint="eastAsia" w:ascii="仿宋_GB2312" w:hAnsi="仿宋_GB2312" w:eastAsia="仿宋_GB2312" w:cs="仿宋_GB2312"/>
                <w:sz w:val="32"/>
                <w:szCs w:val="32"/>
              </w:rPr>
              <w:t>项目</w:t>
            </w:r>
          </w:p>
        </w:tc>
      </w:tr>
      <w:tr>
        <w:tblPrEx>
          <w:tblCellMar>
            <w:top w:w="0" w:type="dxa"/>
            <w:left w:w="0" w:type="dxa"/>
            <w:bottom w:w="0" w:type="dxa"/>
            <w:right w:w="0" w:type="dxa"/>
          </w:tblCellMar>
        </w:tblPrEx>
        <w:trPr>
          <w:trHeight w:val="555" w:hRule="atLeast"/>
        </w:trPr>
        <w:tc>
          <w:tcPr>
            <w:tcW w:w="241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预算单位</w:t>
            </w:r>
          </w:p>
        </w:tc>
        <w:tc>
          <w:tcPr>
            <w:tcW w:w="589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红原县住房和城乡建设局</w:t>
            </w:r>
          </w:p>
        </w:tc>
      </w:tr>
      <w:tr>
        <w:tblPrEx>
          <w:tblCellMar>
            <w:top w:w="0" w:type="dxa"/>
            <w:left w:w="0" w:type="dxa"/>
            <w:bottom w:w="0" w:type="dxa"/>
            <w:right w:w="0" w:type="dxa"/>
          </w:tblCellMar>
        </w:tblPrEx>
        <w:trPr>
          <w:trHeight w:val="555" w:hRule="atLeast"/>
        </w:trPr>
        <w:tc>
          <w:tcPr>
            <w:tcW w:w="63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预算执行情况(万元</w:t>
            </w:r>
          </w:p>
        </w:tc>
        <w:tc>
          <w:tcPr>
            <w:tcW w:w="178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预算数:</w:t>
            </w:r>
          </w:p>
        </w:tc>
        <w:tc>
          <w:tcPr>
            <w:tcW w:w="1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210</w:t>
            </w:r>
          </w:p>
        </w:tc>
        <w:tc>
          <w:tcPr>
            <w:tcW w:w="1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执行数:</w:t>
            </w:r>
          </w:p>
        </w:tc>
        <w:tc>
          <w:tcPr>
            <w:tcW w:w="235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210</w:t>
            </w:r>
          </w:p>
        </w:tc>
      </w:tr>
      <w:tr>
        <w:tblPrEx>
          <w:tblCellMar>
            <w:top w:w="0" w:type="dxa"/>
            <w:left w:w="0" w:type="dxa"/>
            <w:bottom w:w="0" w:type="dxa"/>
            <w:right w:w="0" w:type="dxa"/>
          </w:tblCellMar>
        </w:tblPrEx>
        <w:trPr>
          <w:trHeight w:val="55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p>
        </w:tc>
        <w:tc>
          <w:tcPr>
            <w:tcW w:w="178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其中-财政拨款:</w:t>
            </w:r>
          </w:p>
        </w:tc>
        <w:tc>
          <w:tcPr>
            <w:tcW w:w="1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210</w:t>
            </w:r>
          </w:p>
        </w:tc>
        <w:tc>
          <w:tcPr>
            <w:tcW w:w="1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其中-财政拨款:</w:t>
            </w:r>
          </w:p>
        </w:tc>
        <w:tc>
          <w:tcPr>
            <w:tcW w:w="235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210</w:t>
            </w:r>
          </w:p>
        </w:tc>
      </w:tr>
      <w:tr>
        <w:tblPrEx>
          <w:tblCellMar>
            <w:top w:w="0" w:type="dxa"/>
            <w:left w:w="0" w:type="dxa"/>
            <w:bottom w:w="0" w:type="dxa"/>
            <w:right w:w="0" w:type="dxa"/>
          </w:tblCellMar>
        </w:tblPrEx>
        <w:trPr>
          <w:trHeight w:val="55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p>
        </w:tc>
        <w:tc>
          <w:tcPr>
            <w:tcW w:w="178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其它资金:</w:t>
            </w:r>
          </w:p>
        </w:tc>
        <w:tc>
          <w:tcPr>
            <w:tcW w:w="1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0</w:t>
            </w:r>
          </w:p>
        </w:tc>
        <w:tc>
          <w:tcPr>
            <w:tcW w:w="1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其它资金:</w:t>
            </w:r>
          </w:p>
        </w:tc>
        <w:tc>
          <w:tcPr>
            <w:tcW w:w="235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0</w:t>
            </w:r>
          </w:p>
        </w:tc>
      </w:tr>
      <w:tr>
        <w:tblPrEx>
          <w:tblCellMar>
            <w:top w:w="0" w:type="dxa"/>
            <w:left w:w="0" w:type="dxa"/>
            <w:bottom w:w="0" w:type="dxa"/>
            <w:right w:w="0" w:type="dxa"/>
          </w:tblCellMar>
        </w:tblPrEx>
        <w:trPr>
          <w:trHeight w:val="555" w:hRule="atLeast"/>
        </w:trPr>
        <w:tc>
          <w:tcPr>
            <w:tcW w:w="63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年度目标完成情况</w:t>
            </w:r>
          </w:p>
        </w:tc>
        <w:tc>
          <w:tcPr>
            <w:tcW w:w="252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预期目标</w:t>
            </w:r>
          </w:p>
        </w:tc>
        <w:tc>
          <w:tcPr>
            <w:tcW w:w="515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实际完成目标</w:t>
            </w:r>
          </w:p>
        </w:tc>
      </w:tr>
      <w:tr>
        <w:tblPrEx>
          <w:tblCellMar>
            <w:top w:w="0" w:type="dxa"/>
            <w:left w:w="0" w:type="dxa"/>
            <w:bottom w:w="0" w:type="dxa"/>
            <w:right w:w="0" w:type="dxa"/>
          </w:tblCellMar>
        </w:tblPrEx>
        <w:trPr>
          <w:trHeight w:val="1920"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p>
        </w:tc>
        <w:tc>
          <w:tcPr>
            <w:tcW w:w="252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sz w:val="32"/>
                <w:szCs w:val="32"/>
                <w:lang w:val="zh-CN"/>
              </w:rPr>
              <w:t>我县</w:t>
            </w:r>
            <w:r>
              <w:rPr>
                <w:rFonts w:hint="eastAsia" w:ascii="仿宋_GB2312" w:hAnsi="仿宋_GB2312" w:eastAsia="仿宋_GB2312" w:cs="仿宋_GB2312"/>
                <w:sz w:val="32"/>
                <w:szCs w:val="32"/>
              </w:rPr>
              <w:t>2019年藏区新居补助资金为省级、中央建设部门配套3万元/户补助标准资金到县（其中：中央农村危房改造补助资金1.4万元/户、省级财政配套1.6万元/户）。共70户210万补助资金。</w:t>
            </w:r>
          </w:p>
        </w:tc>
        <w:tc>
          <w:tcPr>
            <w:tcW w:w="515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已完成所有建设内容，并投入使用。各项指标均达到预期目标</w:t>
            </w:r>
          </w:p>
        </w:tc>
      </w:tr>
      <w:tr>
        <w:tblPrEx>
          <w:tblCellMar>
            <w:top w:w="0" w:type="dxa"/>
            <w:left w:w="0" w:type="dxa"/>
            <w:bottom w:w="0" w:type="dxa"/>
            <w:right w:w="0" w:type="dxa"/>
          </w:tblCellMar>
        </w:tblPrEx>
        <w:trPr>
          <w:trHeight w:val="555" w:hRule="atLeast"/>
        </w:trPr>
        <w:tc>
          <w:tcPr>
            <w:tcW w:w="63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绩效指标完成情况</w:t>
            </w:r>
          </w:p>
        </w:tc>
        <w:tc>
          <w:tcPr>
            <w:tcW w:w="78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drawing>
                <wp:anchor distT="0" distB="0" distL="114300" distR="114300" simplePos="0" relativeHeight="251672576"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29" name="直接连接符_10"/>
                  <wp:cNvGraphicFramePr/>
                  <a:graphic xmlns:a="http://schemas.openxmlformats.org/drawingml/2006/main">
                    <a:graphicData uri="http://schemas.openxmlformats.org/drawingml/2006/picture">
                      <pic:pic xmlns:pic="http://schemas.openxmlformats.org/drawingml/2006/picture">
                        <pic:nvPicPr>
                          <pic:cNvPr id="29" name="直接连接符_10"/>
                          <pic:cNvPicPr/>
                        </pic:nvPicPr>
                        <pic:blipFill>
                          <a:blip r:embed="rId12"/>
                          <a:stretch>
                            <a:fillRect/>
                          </a:stretch>
                        </pic:blipFill>
                        <pic:spPr>
                          <a:xfrm>
                            <a:off x="0" y="0"/>
                            <a:ext cx="9525" cy="9525"/>
                          </a:xfrm>
                          <a:prstGeom prst="rect">
                            <a:avLst/>
                          </a:prstGeom>
                          <a:noFill/>
                          <a:ln>
                            <a:noFill/>
                          </a:ln>
                        </pic:spPr>
                      </pic:pic>
                    </a:graphicData>
                  </a:graphic>
                </wp:anchor>
              </w:drawing>
            </w:r>
            <w:r>
              <w:rPr>
                <w:rFonts w:hint="eastAsia" w:ascii="仿宋_GB2312" w:hAnsi="仿宋_GB2312" w:eastAsia="仿宋_GB2312" w:cs="仿宋_GB2312"/>
                <w:color w:val="000000"/>
                <w:kern w:val="0"/>
                <w:sz w:val="32"/>
                <w:szCs w:val="32"/>
              </w:rPr>
              <w:drawing>
                <wp:anchor distT="0" distB="0" distL="114300" distR="114300" simplePos="0" relativeHeight="251673600"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30" name="直接连接符_8"/>
                  <wp:cNvGraphicFramePr/>
                  <a:graphic xmlns:a="http://schemas.openxmlformats.org/drawingml/2006/main">
                    <a:graphicData uri="http://schemas.openxmlformats.org/drawingml/2006/picture">
                      <pic:pic xmlns:pic="http://schemas.openxmlformats.org/drawingml/2006/picture">
                        <pic:nvPicPr>
                          <pic:cNvPr id="30" name="直接连接符_8"/>
                          <pic:cNvPicPr/>
                        </pic:nvPicPr>
                        <pic:blipFill>
                          <a:blip r:embed="rId12"/>
                          <a:stretch>
                            <a:fillRect/>
                          </a:stretch>
                        </pic:blipFill>
                        <pic:spPr>
                          <a:xfrm>
                            <a:off x="0" y="0"/>
                            <a:ext cx="9525" cy="9525"/>
                          </a:xfrm>
                          <a:prstGeom prst="rect">
                            <a:avLst/>
                          </a:prstGeom>
                          <a:noFill/>
                          <a:ln>
                            <a:noFill/>
                          </a:ln>
                        </pic:spPr>
                      </pic:pic>
                    </a:graphicData>
                  </a:graphic>
                </wp:anchor>
              </w:drawing>
            </w:r>
            <w:r>
              <w:rPr>
                <w:rFonts w:hint="eastAsia" w:ascii="仿宋_GB2312" w:hAnsi="仿宋_GB2312" w:eastAsia="仿宋_GB2312" w:cs="仿宋_GB2312"/>
                <w:color w:val="000000"/>
                <w:kern w:val="0"/>
                <w:sz w:val="32"/>
                <w:szCs w:val="32"/>
              </w:rPr>
              <w:drawing>
                <wp:anchor distT="0" distB="0" distL="114300" distR="114300" simplePos="0" relativeHeight="251674624"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31" name="直接连接符_9"/>
                  <wp:cNvGraphicFramePr/>
                  <a:graphic xmlns:a="http://schemas.openxmlformats.org/drawingml/2006/main">
                    <a:graphicData uri="http://schemas.openxmlformats.org/drawingml/2006/picture">
                      <pic:pic xmlns:pic="http://schemas.openxmlformats.org/drawingml/2006/picture">
                        <pic:nvPicPr>
                          <pic:cNvPr id="31" name="直接连接符_9"/>
                          <pic:cNvPicPr/>
                        </pic:nvPicPr>
                        <pic:blipFill>
                          <a:blip r:embed="rId12"/>
                          <a:stretch>
                            <a:fillRect/>
                          </a:stretch>
                        </pic:blipFill>
                        <pic:spPr>
                          <a:xfrm>
                            <a:off x="0" y="0"/>
                            <a:ext cx="9525" cy="9525"/>
                          </a:xfrm>
                          <a:prstGeom prst="rect">
                            <a:avLst/>
                          </a:prstGeom>
                          <a:noFill/>
                          <a:ln>
                            <a:noFill/>
                          </a:ln>
                        </pic:spPr>
                      </pic:pic>
                    </a:graphicData>
                  </a:graphic>
                </wp:anchor>
              </w:drawing>
            </w:r>
            <w:r>
              <w:rPr>
                <w:rFonts w:hint="eastAsia" w:ascii="仿宋_GB2312" w:hAnsi="仿宋_GB2312" w:eastAsia="仿宋_GB2312" w:cs="仿宋_GB2312"/>
                <w:color w:val="000000"/>
                <w:kern w:val="0"/>
                <w:sz w:val="32"/>
                <w:szCs w:val="32"/>
              </w:rPr>
              <w:drawing>
                <wp:anchor distT="0" distB="0" distL="114300" distR="114300" simplePos="0" relativeHeight="251675648"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32" name="直接连接符_7"/>
                  <wp:cNvGraphicFramePr/>
                  <a:graphic xmlns:a="http://schemas.openxmlformats.org/drawingml/2006/main">
                    <a:graphicData uri="http://schemas.openxmlformats.org/drawingml/2006/picture">
                      <pic:pic xmlns:pic="http://schemas.openxmlformats.org/drawingml/2006/picture">
                        <pic:nvPicPr>
                          <pic:cNvPr id="32" name="直接连接符_7"/>
                          <pic:cNvPicPr/>
                        </pic:nvPicPr>
                        <pic:blipFill>
                          <a:blip r:embed="rId12"/>
                          <a:stretch>
                            <a:fillRect/>
                          </a:stretch>
                        </pic:blipFill>
                        <pic:spPr>
                          <a:xfrm>
                            <a:off x="0" y="0"/>
                            <a:ext cx="9525" cy="9525"/>
                          </a:xfrm>
                          <a:prstGeom prst="rect">
                            <a:avLst/>
                          </a:prstGeom>
                          <a:noFill/>
                          <a:ln>
                            <a:noFill/>
                          </a:ln>
                        </pic:spPr>
                      </pic:pic>
                    </a:graphicData>
                  </a:graphic>
                </wp:anchor>
              </w:drawing>
            </w:r>
            <w:r>
              <w:rPr>
                <w:rFonts w:hint="eastAsia" w:ascii="仿宋_GB2312" w:hAnsi="仿宋_GB2312" w:eastAsia="仿宋_GB2312" w:cs="仿宋_GB2312"/>
                <w:color w:val="000000"/>
                <w:kern w:val="0"/>
                <w:sz w:val="32"/>
                <w:szCs w:val="32"/>
              </w:rPr>
              <w:t>一级指标</w:t>
            </w: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二级指标</w:t>
            </w:r>
          </w:p>
        </w:tc>
        <w:tc>
          <w:tcPr>
            <w:tcW w:w="7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三级指标</w:t>
            </w:r>
          </w:p>
        </w:tc>
        <w:tc>
          <w:tcPr>
            <w:tcW w:w="280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指标评价内容</w:t>
            </w:r>
          </w:p>
        </w:tc>
        <w:tc>
          <w:tcPr>
            <w:tcW w:w="155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预期指标值(包含数字及文字描述)</w:t>
            </w:r>
          </w:p>
        </w:tc>
        <w:tc>
          <w:tcPr>
            <w:tcW w:w="79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实际完成指标值(包含数字及文字描述)</w:t>
            </w:r>
          </w:p>
        </w:tc>
      </w:tr>
      <w:tr>
        <w:tblPrEx>
          <w:tblCellMar>
            <w:top w:w="0" w:type="dxa"/>
            <w:left w:w="0" w:type="dxa"/>
            <w:bottom w:w="0" w:type="dxa"/>
            <w:right w:w="0" w:type="dxa"/>
          </w:tblCellMar>
        </w:tblPrEx>
        <w:trPr>
          <w:trHeight w:val="55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b/>
                <w:color w:val="000000"/>
                <w:sz w:val="32"/>
                <w:szCs w:val="32"/>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b/>
                <w:color w:val="000000"/>
                <w:sz w:val="32"/>
                <w:szCs w:val="32"/>
              </w:rPr>
            </w:pPr>
          </w:p>
        </w:tc>
        <w:tc>
          <w:tcPr>
            <w:tcW w:w="7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b/>
                <w:color w:val="000000"/>
                <w:sz w:val="32"/>
                <w:szCs w:val="32"/>
              </w:rPr>
            </w:pPr>
          </w:p>
        </w:tc>
        <w:tc>
          <w:tcPr>
            <w:tcW w:w="280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b/>
                <w:color w:val="000000"/>
                <w:sz w:val="32"/>
                <w:szCs w:val="32"/>
              </w:rPr>
            </w:pPr>
          </w:p>
        </w:tc>
        <w:tc>
          <w:tcPr>
            <w:tcW w:w="1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b/>
                <w:color w:val="000000"/>
                <w:sz w:val="32"/>
                <w:szCs w:val="32"/>
              </w:rPr>
            </w:pPr>
          </w:p>
        </w:tc>
        <w:tc>
          <w:tcPr>
            <w:tcW w:w="79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b/>
                <w:color w:val="000000"/>
                <w:sz w:val="32"/>
                <w:szCs w:val="32"/>
              </w:rPr>
            </w:pPr>
          </w:p>
        </w:tc>
      </w:tr>
      <w:tr>
        <w:tblPrEx>
          <w:tblCellMar>
            <w:top w:w="0" w:type="dxa"/>
            <w:left w:w="0" w:type="dxa"/>
            <w:bottom w:w="0" w:type="dxa"/>
            <w:right w:w="0" w:type="dxa"/>
          </w:tblCellMar>
        </w:tblPrEx>
        <w:trPr>
          <w:trHeight w:val="312"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b/>
                <w:color w:val="000000"/>
                <w:sz w:val="32"/>
                <w:szCs w:val="32"/>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b/>
                <w:color w:val="000000"/>
                <w:sz w:val="32"/>
                <w:szCs w:val="32"/>
              </w:rPr>
            </w:pPr>
          </w:p>
        </w:tc>
        <w:tc>
          <w:tcPr>
            <w:tcW w:w="7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b/>
                <w:color w:val="000000"/>
                <w:sz w:val="32"/>
                <w:szCs w:val="32"/>
              </w:rPr>
            </w:pPr>
          </w:p>
        </w:tc>
        <w:tc>
          <w:tcPr>
            <w:tcW w:w="280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b/>
                <w:color w:val="000000"/>
                <w:sz w:val="32"/>
                <w:szCs w:val="32"/>
              </w:rPr>
            </w:pPr>
          </w:p>
        </w:tc>
        <w:tc>
          <w:tcPr>
            <w:tcW w:w="1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b/>
                <w:color w:val="000000"/>
                <w:sz w:val="32"/>
                <w:szCs w:val="32"/>
              </w:rPr>
            </w:pPr>
          </w:p>
        </w:tc>
        <w:tc>
          <w:tcPr>
            <w:tcW w:w="79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b/>
                <w:color w:val="000000"/>
                <w:sz w:val="32"/>
                <w:szCs w:val="32"/>
              </w:rPr>
            </w:pPr>
          </w:p>
        </w:tc>
      </w:tr>
      <w:tr>
        <w:tblPrEx>
          <w:tblCellMar>
            <w:top w:w="0" w:type="dxa"/>
            <w:left w:w="0" w:type="dxa"/>
            <w:bottom w:w="0" w:type="dxa"/>
            <w:right w:w="0" w:type="dxa"/>
          </w:tblCellMar>
        </w:tblPrEx>
        <w:trPr>
          <w:trHeight w:val="76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jc w:val="left"/>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项目决策</w:t>
            </w: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绩效目标</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目标内容</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项目预期提供的产品、服务、效益或其他目标明确,即绩效目标实际明确个数/应当明确个数×100%</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完成建设内容</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完成建设内容</w:t>
            </w:r>
          </w:p>
        </w:tc>
      </w:tr>
      <w:tr>
        <w:tblPrEx>
          <w:tblCellMar>
            <w:top w:w="0" w:type="dxa"/>
            <w:left w:w="0" w:type="dxa"/>
            <w:bottom w:w="0" w:type="dxa"/>
            <w:right w:w="0" w:type="dxa"/>
          </w:tblCellMar>
        </w:tblPrEx>
        <w:trPr>
          <w:trHeight w:val="64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进度计划</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项目计划实施进度明确</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按照工期进度表进行</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按时完工</w:t>
            </w:r>
          </w:p>
        </w:tc>
      </w:tr>
      <w:tr>
        <w:tblPrEx>
          <w:tblCellMar>
            <w:top w:w="0" w:type="dxa"/>
            <w:left w:w="0" w:type="dxa"/>
            <w:bottom w:w="0" w:type="dxa"/>
            <w:right w:w="0" w:type="dxa"/>
          </w:tblCellMar>
        </w:tblPrEx>
        <w:trPr>
          <w:trHeight w:val="690"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目标匹配</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绩效目标设定符合实际需求的抽样项目点个数/抽样项目点总数×100%</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w:t>
            </w:r>
          </w:p>
        </w:tc>
      </w:tr>
      <w:tr>
        <w:tblPrEx>
          <w:tblCellMar>
            <w:top w:w="0" w:type="dxa"/>
            <w:left w:w="0" w:type="dxa"/>
            <w:bottom w:w="0" w:type="dxa"/>
            <w:right w:w="0" w:type="dxa"/>
          </w:tblCellMar>
        </w:tblPrEx>
        <w:trPr>
          <w:trHeight w:val="76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决策依据</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政策依据</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项目符合党中央、国务院和省委、省政府决策部署；符合当前经济社会发展需要</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符合</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符合</w:t>
            </w:r>
          </w:p>
        </w:tc>
      </w:tr>
      <w:tr>
        <w:tblPrEx>
          <w:tblCellMar>
            <w:top w:w="0" w:type="dxa"/>
            <w:left w:w="0" w:type="dxa"/>
            <w:bottom w:w="0" w:type="dxa"/>
            <w:right w:w="0" w:type="dxa"/>
          </w:tblCellMar>
        </w:tblPrEx>
        <w:trPr>
          <w:trHeight w:val="55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实施规划</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连续性项目根据需要制定中长期实施规划</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已制定</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已制定</w:t>
            </w:r>
          </w:p>
        </w:tc>
      </w:tr>
      <w:tr>
        <w:tblPrEx>
          <w:tblCellMar>
            <w:top w:w="0" w:type="dxa"/>
            <w:left w:w="0" w:type="dxa"/>
            <w:bottom w:w="0" w:type="dxa"/>
            <w:right w:w="0" w:type="dxa"/>
          </w:tblCellMar>
        </w:tblPrEx>
        <w:trPr>
          <w:trHeight w:val="55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实施规划符合实际，并根据情况变化适时调整</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r>
      <w:tr>
        <w:tblPrEx>
          <w:tblCellMar>
            <w:top w:w="0" w:type="dxa"/>
            <w:left w:w="0" w:type="dxa"/>
            <w:bottom w:w="0" w:type="dxa"/>
            <w:right w:w="0" w:type="dxa"/>
          </w:tblCellMar>
        </w:tblPrEx>
        <w:trPr>
          <w:trHeight w:val="55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管理制度</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制定项目资金管理办法</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已制定</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已制定</w:t>
            </w:r>
          </w:p>
        </w:tc>
      </w:tr>
      <w:tr>
        <w:tblPrEx>
          <w:tblCellMar>
            <w:top w:w="0" w:type="dxa"/>
            <w:left w:w="0" w:type="dxa"/>
            <w:bottom w:w="0" w:type="dxa"/>
            <w:right w:w="0" w:type="dxa"/>
          </w:tblCellMar>
        </w:tblPrEx>
        <w:trPr>
          <w:trHeight w:val="750"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项目资金分配决策程序明确</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r>
      <w:tr>
        <w:tblPrEx>
          <w:tblCellMar>
            <w:top w:w="0" w:type="dxa"/>
            <w:left w:w="0" w:type="dxa"/>
            <w:bottom w:w="0" w:type="dxa"/>
            <w:right w:w="0" w:type="dxa"/>
          </w:tblCellMar>
        </w:tblPrEx>
        <w:trPr>
          <w:trHeight w:val="82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资金分配</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分配方法</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资金分配方法是否科学合理</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r>
      <w:tr>
        <w:tblPrEx>
          <w:tblCellMar>
            <w:top w:w="0" w:type="dxa"/>
            <w:left w:w="0" w:type="dxa"/>
            <w:bottom w:w="0" w:type="dxa"/>
            <w:right w:w="0" w:type="dxa"/>
          </w:tblCellMar>
        </w:tblPrEx>
        <w:trPr>
          <w:trHeight w:val="55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分配过程</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分配过程符合相关规定</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r>
      <w:tr>
        <w:tblPrEx>
          <w:tblCellMar>
            <w:top w:w="0" w:type="dxa"/>
            <w:left w:w="0" w:type="dxa"/>
            <w:bottom w:w="0" w:type="dxa"/>
            <w:right w:w="0" w:type="dxa"/>
          </w:tblCellMar>
        </w:tblPrEx>
        <w:trPr>
          <w:trHeight w:val="76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分配结果</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审核把关</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符合申报条件的抽样项目点个数/抽样项目点总数×100%</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2个</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2个</w:t>
            </w:r>
          </w:p>
        </w:tc>
      </w:tr>
      <w:tr>
        <w:tblPrEx>
          <w:tblCellMar>
            <w:top w:w="0" w:type="dxa"/>
            <w:left w:w="0" w:type="dxa"/>
            <w:bottom w:w="0" w:type="dxa"/>
            <w:right w:w="0" w:type="dxa"/>
          </w:tblCellMar>
        </w:tblPrEx>
        <w:trPr>
          <w:trHeight w:val="1020"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资金集中</w:t>
            </w:r>
          </w:p>
        </w:tc>
        <w:tc>
          <w:tcPr>
            <w:tcW w:w="11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集中</w:t>
            </w:r>
          </w:p>
        </w:tc>
        <w:tc>
          <w:tcPr>
            <w:tcW w:w="1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财政资金占项目资金总额比重较小项目个数/项目总数×100%</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100%</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100%</w:t>
            </w:r>
          </w:p>
        </w:tc>
      </w:tr>
      <w:tr>
        <w:tblPrEx>
          <w:tblCellMar>
            <w:top w:w="0" w:type="dxa"/>
            <w:left w:w="0" w:type="dxa"/>
            <w:bottom w:w="0" w:type="dxa"/>
            <w:right w:w="0" w:type="dxa"/>
          </w:tblCellMar>
        </w:tblPrEx>
        <w:trPr>
          <w:trHeight w:val="73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（均衡）</w:t>
            </w:r>
          </w:p>
        </w:tc>
        <w:tc>
          <w:tcPr>
            <w:tcW w:w="11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均衡</w:t>
            </w:r>
          </w:p>
        </w:tc>
        <w:tc>
          <w:tcPr>
            <w:tcW w:w="1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按实际分配结果选择客观因素测算验证资金分配方法制定、分配要素设定、基础数据应用、测算依据选取等是否科学合理（2分）</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r>
      <w:tr>
        <w:tblPrEx>
          <w:tblCellMar>
            <w:top w:w="0" w:type="dxa"/>
            <w:left w:w="0" w:type="dxa"/>
            <w:bottom w:w="0" w:type="dxa"/>
            <w:right w:w="0" w:type="dxa"/>
          </w:tblCellMar>
        </w:tblPrEx>
        <w:trPr>
          <w:trHeight w:val="540"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jc w:val="left"/>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项目管理</w:t>
            </w: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 xml:space="preserve"> 资金到位</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分配时效</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县级主管部门按规定及时分配资金</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r>
      <w:tr>
        <w:tblPrEx>
          <w:tblCellMar>
            <w:top w:w="0" w:type="dxa"/>
            <w:left w:w="0" w:type="dxa"/>
            <w:bottom w:w="0" w:type="dxa"/>
            <w:right w:w="0" w:type="dxa"/>
          </w:tblCellMar>
        </w:tblPrEx>
        <w:trPr>
          <w:trHeight w:val="744"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资金拨付</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按规定及时拨付资金</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r>
      <w:tr>
        <w:tblPrEx>
          <w:tblCellMar>
            <w:top w:w="0" w:type="dxa"/>
            <w:left w:w="0" w:type="dxa"/>
            <w:bottom w:w="0" w:type="dxa"/>
            <w:right w:w="0" w:type="dxa"/>
          </w:tblCellMar>
        </w:tblPrEx>
        <w:trPr>
          <w:trHeight w:val="55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 xml:space="preserve">资金管理  </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使用范围</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资金使用是否合规</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r>
      <w:tr>
        <w:tblPrEx>
          <w:tblCellMar>
            <w:top w:w="0" w:type="dxa"/>
            <w:left w:w="0" w:type="dxa"/>
            <w:bottom w:w="0" w:type="dxa"/>
            <w:right w:w="0" w:type="dxa"/>
          </w:tblCellMar>
        </w:tblPrEx>
        <w:trPr>
          <w:trHeight w:val="55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支付依据</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资金支付依据符合规定，即支付依旧合规资金量/资金总量×100%</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r>
      <w:tr>
        <w:tblPrEx>
          <w:tblCellMar>
            <w:top w:w="0" w:type="dxa"/>
            <w:left w:w="0" w:type="dxa"/>
            <w:bottom w:w="0" w:type="dxa"/>
            <w:right w:w="0" w:type="dxa"/>
          </w:tblCellMar>
        </w:tblPrEx>
        <w:trPr>
          <w:trHeight w:val="55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开支标准</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资金开支标准符合规定，即开支标准合规资金量/资金总量×100%</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r>
      <w:tr>
        <w:tblPrEx>
          <w:tblCellMar>
            <w:top w:w="0" w:type="dxa"/>
            <w:left w:w="0" w:type="dxa"/>
            <w:bottom w:w="0" w:type="dxa"/>
            <w:right w:w="0" w:type="dxa"/>
          </w:tblCellMar>
        </w:tblPrEx>
        <w:trPr>
          <w:trHeight w:val="73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财务管理</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财务制度</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财务制度健全，管理规范</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r>
      <w:tr>
        <w:tblPrEx>
          <w:tblCellMar>
            <w:top w:w="0" w:type="dxa"/>
            <w:left w:w="0" w:type="dxa"/>
            <w:bottom w:w="0" w:type="dxa"/>
            <w:right w:w="0" w:type="dxa"/>
          </w:tblCellMar>
        </w:tblPrEx>
        <w:trPr>
          <w:trHeight w:val="55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会计核算</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会计核算规范</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r>
      <w:tr>
        <w:tblPrEx>
          <w:tblCellMar>
            <w:top w:w="0" w:type="dxa"/>
            <w:left w:w="0" w:type="dxa"/>
            <w:bottom w:w="0" w:type="dxa"/>
            <w:right w:w="0" w:type="dxa"/>
          </w:tblCellMar>
        </w:tblPrEx>
        <w:trPr>
          <w:trHeight w:val="55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组织实施（4分）</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项目调整</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项目调整严格履行相关手续</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r>
      <w:tr>
        <w:tblPrEx>
          <w:tblCellMar>
            <w:top w:w="0" w:type="dxa"/>
            <w:left w:w="0" w:type="dxa"/>
            <w:bottom w:w="0" w:type="dxa"/>
            <w:right w:w="0" w:type="dxa"/>
          </w:tblCellMar>
        </w:tblPrEx>
        <w:trPr>
          <w:trHeight w:val="85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投资变更</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项目投资变更额/项目总投入×100%</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r>
      <w:tr>
        <w:tblPrEx>
          <w:tblCellMar>
            <w:top w:w="0" w:type="dxa"/>
            <w:left w:w="0" w:type="dxa"/>
            <w:bottom w:w="0" w:type="dxa"/>
            <w:right w:w="0" w:type="dxa"/>
          </w:tblCellMar>
        </w:tblPrEx>
        <w:trPr>
          <w:trHeight w:val="76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制度执行</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严格执行项目有关制度规定</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r>
      <w:tr>
        <w:tblPrEx>
          <w:tblCellMar>
            <w:top w:w="0" w:type="dxa"/>
            <w:left w:w="0" w:type="dxa"/>
            <w:bottom w:w="0" w:type="dxa"/>
            <w:right w:w="0" w:type="dxa"/>
          </w:tblCellMar>
        </w:tblPrEx>
        <w:trPr>
          <w:trHeight w:val="555" w:hRule="atLeast"/>
        </w:trPr>
        <w:tc>
          <w:tcPr>
            <w:tcW w:w="63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jc w:val="left"/>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bdr w:val="single" w:color="000000" w:sz="4" w:space="0"/>
              </w:rPr>
              <w:drawing>
                <wp:anchor distT="0" distB="0" distL="114300" distR="114300" simplePos="0" relativeHeight="251676672" behindDoc="0" locked="0" layoutInCell="1" allowOverlap="1">
                  <wp:simplePos x="0" y="0"/>
                  <wp:positionH relativeFrom="column">
                    <wp:posOffset>0</wp:posOffset>
                  </wp:positionH>
                  <wp:positionV relativeFrom="paragraph">
                    <wp:posOffset>3432175</wp:posOffset>
                  </wp:positionV>
                  <wp:extent cx="28575" cy="9525"/>
                  <wp:effectExtent l="0" t="0" r="0" b="0"/>
                  <wp:wrapNone/>
                  <wp:docPr id="33" name="直接连接符_6"/>
                  <wp:cNvGraphicFramePr/>
                  <a:graphic xmlns:a="http://schemas.openxmlformats.org/drawingml/2006/main">
                    <a:graphicData uri="http://schemas.openxmlformats.org/drawingml/2006/picture">
                      <pic:pic xmlns:pic="http://schemas.openxmlformats.org/drawingml/2006/picture">
                        <pic:nvPicPr>
                          <pic:cNvPr id="33" name="直接连接符_6"/>
                          <pic:cNvPicPr/>
                        </pic:nvPicPr>
                        <pic:blipFill>
                          <a:blip r:embed="rId13"/>
                          <a:stretch>
                            <a:fillRect/>
                          </a:stretch>
                        </pic:blipFill>
                        <pic:spPr>
                          <a:xfrm>
                            <a:off x="0" y="0"/>
                            <a:ext cx="28575" cy="9525"/>
                          </a:xfrm>
                          <a:prstGeom prst="rect">
                            <a:avLst/>
                          </a:prstGeom>
                          <a:noFill/>
                          <a:ln>
                            <a:noFill/>
                          </a:ln>
                        </pic:spPr>
                      </pic:pic>
                    </a:graphicData>
                  </a:graphic>
                </wp:anchor>
              </w:drawing>
            </w:r>
            <w:r>
              <w:rPr>
                <w:rFonts w:hint="eastAsia" w:ascii="仿宋_GB2312" w:hAnsi="仿宋_GB2312" w:eastAsia="仿宋_GB2312" w:cs="仿宋_GB2312"/>
                <w:color w:val="000000"/>
                <w:kern w:val="0"/>
                <w:sz w:val="32"/>
                <w:szCs w:val="32"/>
                <w:bdr w:val="single" w:color="000000" w:sz="4" w:space="0"/>
              </w:rPr>
              <w:drawing>
                <wp:anchor distT="0" distB="0" distL="114300" distR="114300" simplePos="0" relativeHeight="251677696" behindDoc="0" locked="0" layoutInCell="1" allowOverlap="1">
                  <wp:simplePos x="0" y="0"/>
                  <wp:positionH relativeFrom="column">
                    <wp:posOffset>381000</wp:posOffset>
                  </wp:positionH>
                  <wp:positionV relativeFrom="paragraph">
                    <wp:posOffset>3432175</wp:posOffset>
                  </wp:positionV>
                  <wp:extent cx="9525" cy="9525"/>
                  <wp:effectExtent l="0" t="0" r="0" b="0"/>
                  <wp:wrapNone/>
                  <wp:docPr id="34" name="直接连接符_5"/>
                  <wp:cNvGraphicFramePr/>
                  <a:graphic xmlns:a="http://schemas.openxmlformats.org/drawingml/2006/main">
                    <a:graphicData uri="http://schemas.openxmlformats.org/drawingml/2006/picture">
                      <pic:pic xmlns:pic="http://schemas.openxmlformats.org/drawingml/2006/picture">
                        <pic:nvPicPr>
                          <pic:cNvPr id="34" name="直接连接符_5"/>
                          <pic:cNvPicPr/>
                        </pic:nvPicPr>
                        <pic:blipFill>
                          <a:blip r:embed="rId14"/>
                          <a:stretch>
                            <a:fillRect/>
                          </a:stretch>
                        </pic:blipFill>
                        <pic:spPr>
                          <a:xfrm>
                            <a:off x="0" y="0"/>
                            <a:ext cx="9525" cy="9525"/>
                          </a:xfrm>
                          <a:prstGeom prst="rect">
                            <a:avLst/>
                          </a:prstGeom>
                          <a:noFill/>
                          <a:ln>
                            <a:noFill/>
                          </a:ln>
                        </pic:spPr>
                      </pic:pic>
                    </a:graphicData>
                  </a:graphic>
                </wp:anchor>
              </w:drawing>
            </w:r>
            <w:r>
              <w:rPr>
                <w:rFonts w:hint="eastAsia" w:ascii="仿宋_GB2312" w:hAnsi="仿宋_GB2312" w:eastAsia="仿宋_GB2312" w:cs="仿宋_GB2312"/>
                <w:color w:val="000000"/>
                <w:kern w:val="0"/>
                <w:sz w:val="32"/>
                <w:szCs w:val="32"/>
              </w:rPr>
              <w:t>项目绩效</w:t>
            </w: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项目完成</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完成数量</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实际完成任务量/绩效目标设定任务量×100%</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100%</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100%</w:t>
            </w:r>
          </w:p>
        </w:tc>
      </w:tr>
      <w:tr>
        <w:tblPrEx>
          <w:tblCellMar>
            <w:top w:w="0" w:type="dxa"/>
            <w:left w:w="0" w:type="dxa"/>
            <w:bottom w:w="0" w:type="dxa"/>
            <w:right w:w="0" w:type="dxa"/>
          </w:tblCellMar>
        </w:tblPrEx>
        <w:trPr>
          <w:trHeight w:val="55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完成质量</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符合绩效目标设定的验收标准，达到行业基准水平</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符合</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符合</w:t>
            </w:r>
          </w:p>
        </w:tc>
      </w:tr>
      <w:tr>
        <w:tblPrEx>
          <w:tblCellMar>
            <w:top w:w="0" w:type="dxa"/>
            <w:left w:w="0" w:type="dxa"/>
            <w:bottom w:w="0" w:type="dxa"/>
            <w:right w:w="0" w:type="dxa"/>
          </w:tblCellMar>
        </w:tblPrEx>
        <w:trPr>
          <w:trHeight w:val="800"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完成时效</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（实际完成时间-绩效目标设定完成时间）/绩效目标设定完成时间×100%</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100%</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100%</w:t>
            </w:r>
          </w:p>
        </w:tc>
      </w:tr>
      <w:tr>
        <w:tblPrEx>
          <w:tblCellMar>
            <w:top w:w="0" w:type="dxa"/>
            <w:left w:w="0" w:type="dxa"/>
            <w:bottom w:w="0" w:type="dxa"/>
            <w:right w:w="0" w:type="dxa"/>
          </w:tblCellMar>
        </w:tblPrEx>
        <w:trPr>
          <w:trHeight w:val="55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完成成本</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（实际完成成本-预计完成成本）/预计完成成本×100%</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100%</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100%</w:t>
            </w:r>
          </w:p>
        </w:tc>
      </w:tr>
      <w:tr>
        <w:tblPrEx>
          <w:tblCellMar>
            <w:top w:w="0" w:type="dxa"/>
            <w:left w:w="0" w:type="dxa"/>
            <w:bottom w:w="0" w:type="dxa"/>
            <w:right w:w="0" w:type="dxa"/>
          </w:tblCellMar>
        </w:tblPrEx>
        <w:trPr>
          <w:trHeight w:val="720"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项目效益</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经济效益</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反映相关产出对经济社会发展带来的影响和效果，根据项目实际细化具体指标。</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提升人居生活环境及生活质量</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提升人居生活环境及生活质量</w:t>
            </w:r>
          </w:p>
        </w:tc>
      </w:tr>
      <w:tr>
        <w:tblPrEx>
          <w:tblCellMar>
            <w:top w:w="0" w:type="dxa"/>
            <w:left w:w="0" w:type="dxa"/>
            <w:bottom w:w="0" w:type="dxa"/>
            <w:right w:w="0" w:type="dxa"/>
          </w:tblCellMar>
        </w:tblPrEx>
        <w:trPr>
          <w:trHeight w:val="1276"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社会效益</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反映相关产出对社会发展带来的影响和效果，根据项目实际细化具体指标。</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rPr>
              <w:t>乡村</w:t>
            </w:r>
            <w:r>
              <w:rPr>
                <w:rFonts w:hint="eastAsia" w:ascii="仿宋_GB2312" w:hAnsi="仿宋_GB2312" w:eastAsia="仿宋_GB2312" w:cs="仿宋_GB2312"/>
                <w:color w:val="000000"/>
                <w:kern w:val="0"/>
                <w:sz w:val="32"/>
                <w:szCs w:val="32"/>
              </w:rPr>
              <w:t>的整体形象得以提高，人居生活条件得以改善</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rPr>
              <w:t>乡村</w:t>
            </w:r>
            <w:r>
              <w:rPr>
                <w:rFonts w:hint="eastAsia" w:ascii="仿宋_GB2312" w:hAnsi="仿宋_GB2312" w:eastAsia="仿宋_GB2312" w:cs="仿宋_GB2312"/>
                <w:color w:val="000000"/>
                <w:kern w:val="0"/>
                <w:sz w:val="32"/>
                <w:szCs w:val="32"/>
              </w:rPr>
              <w:t>的整体形象得以提高，人居生活条件得以改善</w:t>
            </w:r>
          </w:p>
        </w:tc>
      </w:tr>
      <w:tr>
        <w:tblPrEx>
          <w:tblCellMar>
            <w:top w:w="0" w:type="dxa"/>
            <w:left w:w="0" w:type="dxa"/>
            <w:bottom w:w="0" w:type="dxa"/>
            <w:right w:w="0" w:type="dxa"/>
          </w:tblCellMar>
        </w:tblPrEx>
        <w:trPr>
          <w:trHeight w:val="1080"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left"/>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满意度</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服务对象满意度</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left"/>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反映服务对象或项目受益人对相关产出及其影响的认可程度，根据项目实际细化具体指标。</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群众满意度高，使用效益高</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群众满意度高，使用效益高</w:t>
            </w:r>
          </w:p>
        </w:tc>
      </w:tr>
    </w:tbl>
    <w:p>
      <w:pPr>
        <w:keepNext w:val="0"/>
        <w:keepLines w:val="0"/>
        <w:pageBreakBefore w:val="0"/>
        <w:widowControl/>
        <w:numPr>
          <w:ilvl w:val="0"/>
          <w:numId w:val="2"/>
        </w:numPr>
        <w:kinsoku/>
        <w:wordWrap/>
        <w:overflowPunct/>
        <w:topLinePunct w:val="0"/>
        <w:autoSpaceDE/>
        <w:autoSpaceDN/>
        <w:bidi w:val="0"/>
        <w:spacing w:line="560" w:lineRule="exact"/>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红原县安曲镇下哈拉玛村排水沟工程及村振兴太阳能路灯采购维修建设项目绩效目标完成情况综述。项目全年预算数150万元，执行数为150万元，完成预算的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红原县安曲镇下哈拉玛村排水沟工程有利于增强村内抵御自然灾害的能力，改善村民的生产和居住环境，更好地为经济发展服务，改善了生产、人居环境，减少环境的污染，提高环保意识;有利于村民生活污水的排放，减少环境破坏。红原县乡村振兴太阳能路灯采购维修建设项目改善了牧村居民出行条件，进一步提升了牧民夜间出行的安全。</w:t>
      </w:r>
    </w:p>
    <w:tbl>
      <w:tblPr>
        <w:tblStyle w:val="7"/>
        <w:tblW w:w="8310" w:type="dxa"/>
        <w:tblInd w:w="6" w:type="dxa"/>
        <w:tblLayout w:type="autofit"/>
        <w:tblCellMar>
          <w:top w:w="0" w:type="dxa"/>
          <w:left w:w="0" w:type="dxa"/>
          <w:bottom w:w="0" w:type="dxa"/>
          <w:right w:w="0" w:type="dxa"/>
        </w:tblCellMar>
      </w:tblPr>
      <w:tblGrid>
        <w:gridCol w:w="630"/>
        <w:gridCol w:w="783"/>
        <w:gridCol w:w="1002"/>
        <w:gridCol w:w="736"/>
        <w:gridCol w:w="1130"/>
        <w:gridCol w:w="1677"/>
        <w:gridCol w:w="1553"/>
        <w:gridCol w:w="799"/>
      </w:tblGrid>
      <w:tr>
        <w:tblPrEx>
          <w:tblCellMar>
            <w:top w:w="0" w:type="dxa"/>
            <w:left w:w="0" w:type="dxa"/>
            <w:bottom w:w="0" w:type="dxa"/>
            <w:right w:w="0" w:type="dxa"/>
          </w:tblCellMar>
        </w:tblPrEx>
        <w:trPr>
          <w:trHeight w:val="555" w:hRule="atLeast"/>
        </w:trPr>
        <w:tc>
          <w:tcPr>
            <w:tcW w:w="8310" w:type="dxa"/>
            <w:gridSpan w:val="8"/>
            <w:tcBorders>
              <w:top w:val="nil"/>
              <w:left w:val="nil"/>
              <w:bottom w:val="nil"/>
              <w:right w:val="nil"/>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textAlignment w:val="center"/>
              <w:rPr>
                <w:rFonts w:hint="eastAsia" w:ascii="仿宋_GB2312" w:hAnsi="仿宋_GB2312" w:eastAsia="仿宋_GB2312" w:cs="仿宋_GB2312"/>
                <w:color w:val="000000"/>
                <w:kern w:val="0"/>
                <w:sz w:val="32"/>
                <w:szCs w:val="32"/>
              </w:rPr>
            </w:pPr>
          </w:p>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b/>
                <w:bCs/>
                <w:color w:val="000000"/>
                <w:kern w:val="0"/>
                <w:sz w:val="32"/>
                <w:szCs w:val="32"/>
              </w:rPr>
              <w:t>项目支出绩效目标完成情况表</w:t>
            </w:r>
            <w:r>
              <w:rPr>
                <w:rFonts w:hint="eastAsia" w:ascii="仿宋_GB2312" w:hAnsi="仿宋_GB2312" w:eastAsia="仿宋_GB2312" w:cs="仿宋_GB2312"/>
                <w:b/>
                <w:bCs/>
                <w:color w:val="000000"/>
                <w:kern w:val="0"/>
                <w:sz w:val="32"/>
                <w:szCs w:val="32"/>
                <w:lang w:val="en-US" w:eastAsia="zh-CN"/>
              </w:rPr>
              <w:t>2020年度</w:t>
            </w:r>
          </w:p>
        </w:tc>
      </w:tr>
      <w:tr>
        <w:tblPrEx>
          <w:tblCellMar>
            <w:top w:w="0" w:type="dxa"/>
            <w:left w:w="0" w:type="dxa"/>
            <w:bottom w:w="0" w:type="dxa"/>
            <w:right w:w="0" w:type="dxa"/>
          </w:tblCellMar>
        </w:tblPrEx>
        <w:trPr>
          <w:trHeight w:val="555" w:hRule="atLeast"/>
        </w:trPr>
        <w:tc>
          <w:tcPr>
            <w:tcW w:w="241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项目名称</w:t>
            </w:r>
          </w:p>
        </w:tc>
        <w:tc>
          <w:tcPr>
            <w:tcW w:w="589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sz w:val="32"/>
                <w:szCs w:val="32"/>
              </w:rPr>
              <w:t>红原县安曲镇下哈拉玛村排水沟工程及村振兴太阳能路灯采购维修建设项目</w:t>
            </w:r>
          </w:p>
        </w:tc>
      </w:tr>
      <w:tr>
        <w:tblPrEx>
          <w:tblCellMar>
            <w:top w:w="0" w:type="dxa"/>
            <w:left w:w="0" w:type="dxa"/>
            <w:bottom w:w="0" w:type="dxa"/>
            <w:right w:w="0" w:type="dxa"/>
          </w:tblCellMar>
        </w:tblPrEx>
        <w:trPr>
          <w:trHeight w:val="555" w:hRule="atLeast"/>
        </w:trPr>
        <w:tc>
          <w:tcPr>
            <w:tcW w:w="241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预算单位</w:t>
            </w:r>
          </w:p>
        </w:tc>
        <w:tc>
          <w:tcPr>
            <w:tcW w:w="589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红原县住房和城乡建设局</w:t>
            </w:r>
          </w:p>
        </w:tc>
      </w:tr>
      <w:tr>
        <w:tblPrEx>
          <w:tblCellMar>
            <w:top w:w="0" w:type="dxa"/>
            <w:left w:w="0" w:type="dxa"/>
            <w:bottom w:w="0" w:type="dxa"/>
            <w:right w:w="0" w:type="dxa"/>
          </w:tblCellMar>
        </w:tblPrEx>
        <w:trPr>
          <w:trHeight w:val="555" w:hRule="atLeast"/>
        </w:trPr>
        <w:tc>
          <w:tcPr>
            <w:tcW w:w="63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预算执行情况(万元</w:t>
            </w:r>
          </w:p>
        </w:tc>
        <w:tc>
          <w:tcPr>
            <w:tcW w:w="178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预算数:</w:t>
            </w:r>
          </w:p>
        </w:tc>
        <w:tc>
          <w:tcPr>
            <w:tcW w:w="1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150</w:t>
            </w:r>
          </w:p>
        </w:tc>
        <w:tc>
          <w:tcPr>
            <w:tcW w:w="1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执行数:</w:t>
            </w:r>
          </w:p>
        </w:tc>
        <w:tc>
          <w:tcPr>
            <w:tcW w:w="235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150</w:t>
            </w:r>
          </w:p>
        </w:tc>
      </w:tr>
      <w:tr>
        <w:tblPrEx>
          <w:tblCellMar>
            <w:top w:w="0" w:type="dxa"/>
            <w:left w:w="0" w:type="dxa"/>
            <w:bottom w:w="0" w:type="dxa"/>
            <w:right w:w="0" w:type="dxa"/>
          </w:tblCellMar>
        </w:tblPrEx>
        <w:trPr>
          <w:trHeight w:val="55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p>
        </w:tc>
        <w:tc>
          <w:tcPr>
            <w:tcW w:w="178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其中-财政拨款:</w:t>
            </w:r>
          </w:p>
        </w:tc>
        <w:tc>
          <w:tcPr>
            <w:tcW w:w="1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150</w:t>
            </w:r>
          </w:p>
        </w:tc>
        <w:tc>
          <w:tcPr>
            <w:tcW w:w="1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其中-财政拨款:</w:t>
            </w:r>
          </w:p>
        </w:tc>
        <w:tc>
          <w:tcPr>
            <w:tcW w:w="235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150</w:t>
            </w:r>
          </w:p>
        </w:tc>
      </w:tr>
      <w:tr>
        <w:tblPrEx>
          <w:tblCellMar>
            <w:top w:w="0" w:type="dxa"/>
            <w:left w:w="0" w:type="dxa"/>
            <w:bottom w:w="0" w:type="dxa"/>
            <w:right w:w="0" w:type="dxa"/>
          </w:tblCellMar>
        </w:tblPrEx>
        <w:trPr>
          <w:trHeight w:val="55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p>
        </w:tc>
        <w:tc>
          <w:tcPr>
            <w:tcW w:w="178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其它资金:</w:t>
            </w:r>
          </w:p>
        </w:tc>
        <w:tc>
          <w:tcPr>
            <w:tcW w:w="1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0</w:t>
            </w:r>
          </w:p>
        </w:tc>
        <w:tc>
          <w:tcPr>
            <w:tcW w:w="1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其它资金:</w:t>
            </w:r>
          </w:p>
        </w:tc>
        <w:tc>
          <w:tcPr>
            <w:tcW w:w="235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0</w:t>
            </w:r>
          </w:p>
        </w:tc>
      </w:tr>
      <w:tr>
        <w:tblPrEx>
          <w:tblCellMar>
            <w:top w:w="0" w:type="dxa"/>
            <w:left w:w="0" w:type="dxa"/>
            <w:bottom w:w="0" w:type="dxa"/>
            <w:right w:w="0" w:type="dxa"/>
          </w:tblCellMar>
        </w:tblPrEx>
        <w:trPr>
          <w:trHeight w:val="555" w:hRule="atLeast"/>
        </w:trPr>
        <w:tc>
          <w:tcPr>
            <w:tcW w:w="63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年度目标完成情况</w:t>
            </w:r>
          </w:p>
        </w:tc>
        <w:tc>
          <w:tcPr>
            <w:tcW w:w="252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预期目标</w:t>
            </w:r>
          </w:p>
        </w:tc>
        <w:tc>
          <w:tcPr>
            <w:tcW w:w="515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实际完成目标</w:t>
            </w:r>
          </w:p>
        </w:tc>
      </w:tr>
      <w:tr>
        <w:tblPrEx>
          <w:tblCellMar>
            <w:top w:w="0" w:type="dxa"/>
            <w:left w:w="0" w:type="dxa"/>
            <w:bottom w:w="0" w:type="dxa"/>
            <w:right w:w="0" w:type="dxa"/>
          </w:tblCellMar>
        </w:tblPrEx>
        <w:trPr>
          <w:trHeight w:val="1920"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p>
        </w:tc>
        <w:tc>
          <w:tcPr>
            <w:tcW w:w="252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红原县安曲镇下哈拉玛村排水沟工程新建混凝土排水沟1861M,DN300钢筋混凝土管223M。红原县乡村振兴太阳能路灯采购维修建设项目，采购8M路灯80盏、维修原有路灯160盏。</w:t>
            </w:r>
          </w:p>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p>
        </w:tc>
        <w:tc>
          <w:tcPr>
            <w:tcW w:w="515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已完成所有建设内容，并投入使用。各项指标均达到预期目标</w:t>
            </w:r>
          </w:p>
        </w:tc>
      </w:tr>
      <w:tr>
        <w:tblPrEx>
          <w:tblCellMar>
            <w:top w:w="0" w:type="dxa"/>
            <w:left w:w="0" w:type="dxa"/>
            <w:bottom w:w="0" w:type="dxa"/>
            <w:right w:w="0" w:type="dxa"/>
          </w:tblCellMar>
        </w:tblPrEx>
        <w:trPr>
          <w:trHeight w:val="555" w:hRule="atLeast"/>
        </w:trPr>
        <w:tc>
          <w:tcPr>
            <w:tcW w:w="63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绩效指标完成情况</w:t>
            </w:r>
          </w:p>
        </w:tc>
        <w:tc>
          <w:tcPr>
            <w:tcW w:w="78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drawing>
                <wp:anchor distT="0" distB="0" distL="114300" distR="114300" simplePos="0" relativeHeight="251678720"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35" name="直接连接符_10"/>
                  <wp:cNvGraphicFramePr/>
                  <a:graphic xmlns:a="http://schemas.openxmlformats.org/drawingml/2006/main">
                    <a:graphicData uri="http://schemas.openxmlformats.org/drawingml/2006/picture">
                      <pic:pic xmlns:pic="http://schemas.openxmlformats.org/drawingml/2006/picture">
                        <pic:nvPicPr>
                          <pic:cNvPr id="35" name="直接连接符_10"/>
                          <pic:cNvPicPr/>
                        </pic:nvPicPr>
                        <pic:blipFill>
                          <a:blip r:embed="rId12"/>
                          <a:stretch>
                            <a:fillRect/>
                          </a:stretch>
                        </pic:blipFill>
                        <pic:spPr>
                          <a:xfrm>
                            <a:off x="0" y="0"/>
                            <a:ext cx="9525" cy="9525"/>
                          </a:xfrm>
                          <a:prstGeom prst="rect">
                            <a:avLst/>
                          </a:prstGeom>
                          <a:noFill/>
                          <a:ln>
                            <a:noFill/>
                          </a:ln>
                        </pic:spPr>
                      </pic:pic>
                    </a:graphicData>
                  </a:graphic>
                </wp:anchor>
              </w:drawing>
            </w:r>
            <w:r>
              <w:rPr>
                <w:rFonts w:hint="eastAsia" w:ascii="仿宋_GB2312" w:hAnsi="仿宋_GB2312" w:eastAsia="仿宋_GB2312" w:cs="仿宋_GB2312"/>
                <w:color w:val="000000"/>
                <w:kern w:val="0"/>
                <w:sz w:val="32"/>
                <w:szCs w:val="32"/>
              </w:rPr>
              <w:drawing>
                <wp:anchor distT="0" distB="0" distL="114300" distR="114300" simplePos="0" relativeHeight="251679744"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36" name="直接连接符_8"/>
                  <wp:cNvGraphicFramePr/>
                  <a:graphic xmlns:a="http://schemas.openxmlformats.org/drawingml/2006/main">
                    <a:graphicData uri="http://schemas.openxmlformats.org/drawingml/2006/picture">
                      <pic:pic xmlns:pic="http://schemas.openxmlformats.org/drawingml/2006/picture">
                        <pic:nvPicPr>
                          <pic:cNvPr id="36" name="直接连接符_8"/>
                          <pic:cNvPicPr/>
                        </pic:nvPicPr>
                        <pic:blipFill>
                          <a:blip r:embed="rId12"/>
                          <a:stretch>
                            <a:fillRect/>
                          </a:stretch>
                        </pic:blipFill>
                        <pic:spPr>
                          <a:xfrm>
                            <a:off x="0" y="0"/>
                            <a:ext cx="9525" cy="9525"/>
                          </a:xfrm>
                          <a:prstGeom prst="rect">
                            <a:avLst/>
                          </a:prstGeom>
                          <a:noFill/>
                          <a:ln>
                            <a:noFill/>
                          </a:ln>
                        </pic:spPr>
                      </pic:pic>
                    </a:graphicData>
                  </a:graphic>
                </wp:anchor>
              </w:drawing>
            </w:r>
            <w:r>
              <w:rPr>
                <w:rFonts w:hint="eastAsia" w:ascii="仿宋_GB2312" w:hAnsi="仿宋_GB2312" w:eastAsia="仿宋_GB2312" w:cs="仿宋_GB2312"/>
                <w:color w:val="000000"/>
                <w:kern w:val="0"/>
                <w:sz w:val="32"/>
                <w:szCs w:val="32"/>
              </w:rPr>
              <w:drawing>
                <wp:anchor distT="0" distB="0" distL="114300" distR="114300" simplePos="0" relativeHeight="251680768"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37" name="直接连接符_9"/>
                  <wp:cNvGraphicFramePr/>
                  <a:graphic xmlns:a="http://schemas.openxmlformats.org/drawingml/2006/main">
                    <a:graphicData uri="http://schemas.openxmlformats.org/drawingml/2006/picture">
                      <pic:pic xmlns:pic="http://schemas.openxmlformats.org/drawingml/2006/picture">
                        <pic:nvPicPr>
                          <pic:cNvPr id="37" name="直接连接符_9"/>
                          <pic:cNvPicPr/>
                        </pic:nvPicPr>
                        <pic:blipFill>
                          <a:blip r:embed="rId12"/>
                          <a:stretch>
                            <a:fillRect/>
                          </a:stretch>
                        </pic:blipFill>
                        <pic:spPr>
                          <a:xfrm>
                            <a:off x="0" y="0"/>
                            <a:ext cx="9525" cy="9525"/>
                          </a:xfrm>
                          <a:prstGeom prst="rect">
                            <a:avLst/>
                          </a:prstGeom>
                          <a:noFill/>
                          <a:ln>
                            <a:noFill/>
                          </a:ln>
                        </pic:spPr>
                      </pic:pic>
                    </a:graphicData>
                  </a:graphic>
                </wp:anchor>
              </w:drawing>
            </w:r>
            <w:r>
              <w:rPr>
                <w:rFonts w:hint="eastAsia" w:ascii="仿宋_GB2312" w:hAnsi="仿宋_GB2312" w:eastAsia="仿宋_GB2312" w:cs="仿宋_GB2312"/>
                <w:color w:val="000000"/>
                <w:kern w:val="0"/>
                <w:sz w:val="32"/>
                <w:szCs w:val="32"/>
              </w:rPr>
              <w:drawing>
                <wp:anchor distT="0" distB="0" distL="114300" distR="114300" simplePos="0" relativeHeight="251681792"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38" name="直接连接符_7"/>
                  <wp:cNvGraphicFramePr/>
                  <a:graphic xmlns:a="http://schemas.openxmlformats.org/drawingml/2006/main">
                    <a:graphicData uri="http://schemas.openxmlformats.org/drawingml/2006/picture">
                      <pic:pic xmlns:pic="http://schemas.openxmlformats.org/drawingml/2006/picture">
                        <pic:nvPicPr>
                          <pic:cNvPr id="38" name="直接连接符_7"/>
                          <pic:cNvPicPr/>
                        </pic:nvPicPr>
                        <pic:blipFill>
                          <a:blip r:embed="rId12"/>
                          <a:stretch>
                            <a:fillRect/>
                          </a:stretch>
                        </pic:blipFill>
                        <pic:spPr>
                          <a:xfrm>
                            <a:off x="0" y="0"/>
                            <a:ext cx="9525" cy="9525"/>
                          </a:xfrm>
                          <a:prstGeom prst="rect">
                            <a:avLst/>
                          </a:prstGeom>
                          <a:noFill/>
                          <a:ln>
                            <a:noFill/>
                          </a:ln>
                        </pic:spPr>
                      </pic:pic>
                    </a:graphicData>
                  </a:graphic>
                </wp:anchor>
              </w:drawing>
            </w:r>
            <w:r>
              <w:rPr>
                <w:rFonts w:hint="eastAsia" w:ascii="仿宋_GB2312" w:hAnsi="仿宋_GB2312" w:eastAsia="仿宋_GB2312" w:cs="仿宋_GB2312"/>
                <w:color w:val="000000"/>
                <w:kern w:val="0"/>
                <w:sz w:val="32"/>
                <w:szCs w:val="32"/>
              </w:rPr>
              <w:t>一级指标</w:t>
            </w: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二级指标</w:t>
            </w:r>
          </w:p>
        </w:tc>
        <w:tc>
          <w:tcPr>
            <w:tcW w:w="7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三级指标</w:t>
            </w:r>
          </w:p>
        </w:tc>
        <w:tc>
          <w:tcPr>
            <w:tcW w:w="280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指标评价内容</w:t>
            </w:r>
          </w:p>
        </w:tc>
        <w:tc>
          <w:tcPr>
            <w:tcW w:w="155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预期指标值(包含数字及文字描述)</w:t>
            </w:r>
          </w:p>
        </w:tc>
        <w:tc>
          <w:tcPr>
            <w:tcW w:w="79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实际完成指标值(包含数字及文字描述)</w:t>
            </w:r>
          </w:p>
        </w:tc>
      </w:tr>
      <w:tr>
        <w:tblPrEx>
          <w:tblCellMar>
            <w:top w:w="0" w:type="dxa"/>
            <w:left w:w="0" w:type="dxa"/>
            <w:bottom w:w="0" w:type="dxa"/>
            <w:right w:w="0" w:type="dxa"/>
          </w:tblCellMar>
        </w:tblPrEx>
        <w:trPr>
          <w:trHeight w:val="55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b/>
                <w:color w:val="000000"/>
                <w:sz w:val="32"/>
                <w:szCs w:val="32"/>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b/>
                <w:color w:val="000000"/>
                <w:sz w:val="32"/>
                <w:szCs w:val="32"/>
              </w:rPr>
            </w:pPr>
          </w:p>
        </w:tc>
        <w:tc>
          <w:tcPr>
            <w:tcW w:w="7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b/>
                <w:color w:val="000000"/>
                <w:sz w:val="32"/>
                <w:szCs w:val="32"/>
              </w:rPr>
            </w:pPr>
          </w:p>
        </w:tc>
        <w:tc>
          <w:tcPr>
            <w:tcW w:w="280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b/>
                <w:color w:val="000000"/>
                <w:sz w:val="32"/>
                <w:szCs w:val="32"/>
              </w:rPr>
            </w:pPr>
          </w:p>
        </w:tc>
        <w:tc>
          <w:tcPr>
            <w:tcW w:w="1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b/>
                <w:color w:val="000000"/>
                <w:sz w:val="32"/>
                <w:szCs w:val="32"/>
              </w:rPr>
            </w:pPr>
          </w:p>
        </w:tc>
        <w:tc>
          <w:tcPr>
            <w:tcW w:w="79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b/>
                <w:color w:val="000000"/>
                <w:sz w:val="32"/>
                <w:szCs w:val="32"/>
              </w:rPr>
            </w:pPr>
          </w:p>
        </w:tc>
      </w:tr>
      <w:tr>
        <w:tblPrEx>
          <w:tblCellMar>
            <w:top w:w="0" w:type="dxa"/>
            <w:left w:w="0" w:type="dxa"/>
            <w:bottom w:w="0" w:type="dxa"/>
            <w:right w:w="0" w:type="dxa"/>
          </w:tblCellMar>
        </w:tblPrEx>
        <w:trPr>
          <w:trHeight w:val="312"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b/>
                <w:color w:val="000000"/>
                <w:sz w:val="32"/>
                <w:szCs w:val="32"/>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b/>
                <w:color w:val="000000"/>
                <w:sz w:val="32"/>
                <w:szCs w:val="32"/>
              </w:rPr>
            </w:pPr>
          </w:p>
        </w:tc>
        <w:tc>
          <w:tcPr>
            <w:tcW w:w="7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b/>
                <w:color w:val="000000"/>
                <w:sz w:val="32"/>
                <w:szCs w:val="32"/>
              </w:rPr>
            </w:pPr>
          </w:p>
        </w:tc>
        <w:tc>
          <w:tcPr>
            <w:tcW w:w="280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b/>
                <w:color w:val="000000"/>
                <w:sz w:val="32"/>
                <w:szCs w:val="32"/>
              </w:rPr>
            </w:pPr>
          </w:p>
        </w:tc>
        <w:tc>
          <w:tcPr>
            <w:tcW w:w="1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b/>
                <w:color w:val="000000"/>
                <w:sz w:val="32"/>
                <w:szCs w:val="32"/>
              </w:rPr>
            </w:pPr>
          </w:p>
        </w:tc>
        <w:tc>
          <w:tcPr>
            <w:tcW w:w="79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b/>
                <w:color w:val="000000"/>
                <w:sz w:val="32"/>
                <w:szCs w:val="32"/>
              </w:rPr>
            </w:pPr>
          </w:p>
        </w:tc>
      </w:tr>
      <w:tr>
        <w:tblPrEx>
          <w:tblCellMar>
            <w:top w:w="0" w:type="dxa"/>
            <w:left w:w="0" w:type="dxa"/>
            <w:bottom w:w="0" w:type="dxa"/>
            <w:right w:w="0" w:type="dxa"/>
          </w:tblCellMar>
        </w:tblPrEx>
        <w:trPr>
          <w:trHeight w:val="76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jc w:val="left"/>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项目决策</w:t>
            </w: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绩效目标</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目标内容</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项目预期提供的产品、服务、效益或其他目标明确,即绩效目标实际明确个数/应当明确个数×100%</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完成建设内容</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完成建设内容</w:t>
            </w:r>
          </w:p>
        </w:tc>
      </w:tr>
      <w:tr>
        <w:tblPrEx>
          <w:tblCellMar>
            <w:top w:w="0" w:type="dxa"/>
            <w:left w:w="0" w:type="dxa"/>
            <w:bottom w:w="0" w:type="dxa"/>
            <w:right w:w="0" w:type="dxa"/>
          </w:tblCellMar>
        </w:tblPrEx>
        <w:trPr>
          <w:trHeight w:val="64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进度计划</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项目计划实施进度明确</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按照工期进度表进行</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按时完工</w:t>
            </w:r>
          </w:p>
        </w:tc>
      </w:tr>
      <w:tr>
        <w:tblPrEx>
          <w:tblCellMar>
            <w:top w:w="0" w:type="dxa"/>
            <w:left w:w="0" w:type="dxa"/>
            <w:bottom w:w="0" w:type="dxa"/>
            <w:right w:w="0" w:type="dxa"/>
          </w:tblCellMar>
        </w:tblPrEx>
        <w:trPr>
          <w:trHeight w:val="690"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目标匹配</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绩效目标设定符合实际需求的抽样项目点个数/抽样项目点总数×100%</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w:t>
            </w:r>
          </w:p>
        </w:tc>
      </w:tr>
      <w:tr>
        <w:tblPrEx>
          <w:tblCellMar>
            <w:top w:w="0" w:type="dxa"/>
            <w:left w:w="0" w:type="dxa"/>
            <w:bottom w:w="0" w:type="dxa"/>
            <w:right w:w="0" w:type="dxa"/>
          </w:tblCellMar>
        </w:tblPrEx>
        <w:trPr>
          <w:trHeight w:val="76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决策依据</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政策依据</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项目符合党中央、国务院和省委、省政府决策部署；符合当前经济社会发展需要</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符合</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符合</w:t>
            </w:r>
          </w:p>
        </w:tc>
      </w:tr>
      <w:tr>
        <w:tblPrEx>
          <w:tblCellMar>
            <w:top w:w="0" w:type="dxa"/>
            <w:left w:w="0" w:type="dxa"/>
            <w:bottom w:w="0" w:type="dxa"/>
            <w:right w:w="0" w:type="dxa"/>
          </w:tblCellMar>
        </w:tblPrEx>
        <w:trPr>
          <w:trHeight w:val="55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实施规划</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连续性项目根据需要制定中长期实施规划</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已制定</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已制定</w:t>
            </w:r>
          </w:p>
        </w:tc>
      </w:tr>
      <w:tr>
        <w:tblPrEx>
          <w:tblCellMar>
            <w:top w:w="0" w:type="dxa"/>
            <w:left w:w="0" w:type="dxa"/>
            <w:bottom w:w="0" w:type="dxa"/>
            <w:right w:w="0" w:type="dxa"/>
          </w:tblCellMar>
        </w:tblPrEx>
        <w:trPr>
          <w:trHeight w:val="55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实施规划符合实际，并根据情况变化适时调整</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r>
      <w:tr>
        <w:tblPrEx>
          <w:tblCellMar>
            <w:top w:w="0" w:type="dxa"/>
            <w:left w:w="0" w:type="dxa"/>
            <w:bottom w:w="0" w:type="dxa"/>
            <w:right w:w="0" w:type="dxa"/>
          </w:tblCellMar>
        </w:tblPrEx>
        <w:trPr>
          <w:trHeight w:val="55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管理制度</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制定项目资金管理办法</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已制定</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已制定</w:t>
            </w:r>
          </w:p>
        </w:tc>
      </w:tr>
      <w:tr>
        <w:tblPrEx>
          <w:tblCellMar>
            <w:top w:w="0" w:type="dxa"/>
            <w:left w:w="0" w:type="dxa"/>
            <w:bottom w:w="0" w:type="dxa"/>
            <w:right w:w="0" w:type="dxa"/>
          </w:tblCellMar>
        </w:tblPrEx>
        <w:trPr>
          <w:trHeight w:val="750"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项目资金分配决策程序明确</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r>
      <w:tr>
        <w:tblPrEx>
          <w:tblCellMar>
            <w:top w:w="0" w:type="dxa"/>
            <w:left w:w="0" w:type="dxa"/>
            <w:bottom w:w="0" w:type="dxa"/>
            <w:right w:w="0" w:type="dxa"/>
          </w:tblCellMar>
        </w:tblPrEx>
        <w:trPr>
          <w:trHeight w:val="82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资金分配</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分配方法</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资金分配方法是否科学合理</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r>
      <w:tr>
        <w:tblPrEx>
          <w:tblCellMar>
            <w:top w:w="0" w:type="dxa"/>
            <w:left w:w="0" w:type="dxa"/>
            <w:bottom w:w="0" w:type="dxa"/>
            <w:right w:w="0" w:type="dxa"/>
          </w:tblCellMar>
        </w:tblPrEx>
        <w:trPr>
          <w:trHeight w:val="55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分配过程</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分配过程符合相关规定</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r>
      <w:tr>
        <w:tblPrEx>
          <w:tblCellMar>
            <w:top w:w="0" w:type="dxa"/>
            <w:left w:w="0" w:type="dxa"/>
            <w:bottom w:w="0" w:type="dxa"/>
            <w:right w:w="0" w:type="dxa"/>
          </w:tblCellMar>
        </w:tblPrEx>
        <w:trPr>
          <w:trHeight w:val="76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分配结果</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审核把关</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符合申报条件的抽样项目点个数/抽样项目点总数×100%</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2个</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2个</w:t>
            </w:r>
          </w:p>
        </w:tc>
      </w:tr>
      <w:tr>
        <w:tblPrEx>
          <w:tblCellMar>
            <w:top w:w="0" w:type="dxa"/>
            <w:left w:w="0" w:type="dxa"/>
            <w:bottom w:w="0" w:type="dxa"/>
            <w:right w:w="0" w:type="dxa"/>
          </w:tblCellMar>
        </w:tblPrEx>
        <w:trPr>
          <w:trHeight w:val="1020"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资金集中</w:t>
            </w:r>
          </w:p>
        </w:tc>
        <w:tc>
          <w:tcPr>
            <w:tcW w:w="11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集中</w:t>
            </w:r>
          </w:p>
        </w:tc>
        <w:tc>
          <w:tcPr>
            <w:tcW w:w="1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财政资金占项目资金总额比重较小项目个数/项目总数×100%</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100%</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100%</w:t>
            </w:r>
          </w:p>
        </w:tc>
      </w:tr>
      <w:tr>
        <w:tblPrEx>
          <w:tblCellMar>
            <w:top w:w="0" w:type="dxa"/>
            <w:left w:w="0" w:type="dxa"/>
            <w:bottom w:w="0" w:type="dxa"/>
            <w:right w:w="0" w:type="dxa"/>
          </w:tblCellMar>
        </w:tblPrEx>
        <w:trPr>
          <w:trHeight w:val="73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（均衡）</w:t>
            </w:r>
          </w:p>
        </w:tc>
        <w:tc>
          <w:tcPr>
            <w:tcW w:w="11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均衡</w:t>
            </w:r>
          </w:p>
        </w:tc>
        <w:tc>
          <w:tcPr>
            <w:tcW w:w="1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按实际分配结果选择客观因素测算验证资金分配方法制定、分配要素设定、基础数据应用、测算依据选取等是否科学合理（2分）</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r>
      <w:tr>
        <w:tblPrEx>
          <w:tblCellMar>
            <w:top w:w="0" w:type="dxa"/>
            <w:left w:w="0" w:type="dxa"/>
            <w:bottom w:w="0" w:type="dxa"/>
            <w:right w:w="0" w:type="dxa"/>
          </w:tblCellMar>
        </w:tblPrEx>
        <w:trPr>
          <w:trHeight w:val="142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jc w:val="left"/>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项目管理</w:t>
            </w: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 xml:space="preserve"> 资金到位</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分配时效</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县级主管部门按规定及时分配资金</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r>
      <w:tr>
        <w:tblPrEx>
          <w:tblCellMar>
            <w:top w:w="0" w:type="dxa"/>
            <w:left w:w="0" w:type="dxa"/>
            <w:bottom w:w="0" w:type="dxa"/>
            <w:right w:w="0" w:type="dxa"/>
          </w:tblCellMar>
        </w:tblPrEx>
        <w:trPr>
          <w:trHeight w:val="744"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资金拨付</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按规定及时拨付资金</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r>
      <w:tr>
        <w:tblPrEx>
          <w:tblCellMar>
            <w:top w:w="0" w:type="dxa"/>
            <w:left w:w="0" w:type="dxa"/>
            <w:bottom w:w="0" w:type="dxa"/>
            <w:right w:w="0" w:type="dxa"/>
          </w:tblCellMar>
        </w:tblPrEx>
        <w:trPr>
          <w:trHeight w:val="55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 xml:space="preserve">资金管理  </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使用范围</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资金使用是否合规</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r>
      <w:tr>
        <w:tblPrEx>
          <w:tblCellMar>
            <w:top w:w="0" w:type="dxa"/>
            <w:left w:w="0" w:type="dxa"/>
            <w:bottom w:w="0" w:type="dxa"/>
            <w:right w:w="0" w:type="dxa"/>
          </w:tblCellMar>
        </w:tblPrEx>
        <w:trPr>
          <w:trHeight w:val="55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支付依据</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资金支付依据符合规定，即支付依旧合规资金量/资金总量×100%</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r>
      <w:tr>
        <w:tblPrEx>
          <w:tblCellMar>
            <w:top w:w="0" w:type="dxa"/>
            <w:left w:w="0" w:type="dxa"/>
            <w:bottom w:w="0" w:type="dxa"/>
            <w:right w:w="0" w:type="dxa"/>
          </w:tblCellMar>
        </w:tblPrEx>
        <w:trPr>
          <w:trHeight w:val="55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开支标准</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资金开支标准符合规定，即开支标准合规资金量/资金总量×100%</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r>
      <w:tr>
        <w:tblPrEx>
          <w:tblCellMar>
            <w:top w:w="0" w:type="dxa"/>
            <w:left w:w="0" w:type="dxa"/>
            <w:bottom w:w="0" w:type="dxa"/>
            <w:right w:w="0" w:type="dxa"/>
          </w:tblCellMar>
        </w:tblPrEx>
        <w:trPr>
          <w:trHeight w:val="73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财务管理</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财务制度</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财务制度健全，管理规范</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r>
      <w:tr>
        <w:tblPrEx>
          <w:tblCellMar>
            <w:top w:w="0" w:type="dxa"/>
            <w:left w:w="0" w:type="dxa"/>
            <w:bottom w:w="0" w:type="dxa"/>
            <w:right w:w="0" w:type="dxa"/>
          </w:tblCellMar>
        </w:tblPrEx>
        <w:trPr>
          <w:trHeight w:val="55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会计核算</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会计核算规范</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r>
      <w:tr>
        <w:tblPrEx>
          <w:tblCellMar>
            <w:top w:w="0" w:type="dxa"/>
            <w:left w:w="0" w:type="dxa"/>
            <w:bottom w:w="0" w:type="dxa"/>
            <w:right w:w="0" w:type="dxa"/>
          </w:tblCellMar>
        </w:tblPrEx>
        <w:trPr>
          <w:trHeight w:val="55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组织实施（4分）</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项目调整</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项目调整严格履行相关手续</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r>
      <w:tr>
        <w:tblPrEx>
          <w:tblCellMar>
            <w:top w:w="0" w:type="dxa"/>
            <w:left w:w="0" w:type="dxa"/>
            <w:bottom w:w="0" w:type="dxa"/>
            <w:right w:w="0" w:type="dxa"/>
          </w:tblCellMar>
        </w:tblPrEx>
        <w:trPr>
          <w:trHeight w:val="85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投资变更</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项目投资变更额/项目总投入×100%</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r>
      <w:tr>
        <w:tblPrEx>
          <w:tblCellMar>
            <w:top w:w="0" w:type="dxa"/>
            <w:left w:w="0" w:type="dxa"/>
            <w:bottom w:w="0" w:type="dxa"/>
            <w:right w:w="0" w:type="dxa"/>
          </w:tblCellMar>
        </w:tblPrEx>
        <w:trPr>
          <w:trHeight w:val="76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制度执行</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严格执行项目有关制度规定</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r>
      <w:tr>
        <w:tblPrEx>
          <w:tblCellMar>
            <w:top w:w="0" w:type="dxa"/>
            <w:left w:w="0" w:type="dxa"/>
            <w:bottom w:w="0" w:type="dxa"/>
            <w:right w:w="0" w:type="dxa"/>
          </w:tblCellMar>
        </w:tblPrEx>
        <w:trPr>
          <w:trHeight w:val="1425" w:hRule="atLeast"/>
        </w:trPr>
        <w:tc>
          <w:tcPr>
            <w:tcW w:w="63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jc w:val="left"/>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bdr w:val="single" w:color="000000" w:sz="4" w:space="0"/>
              </w:rPr>
              <w:drawing>
                <wp:anchor distT="0" distB="0" distL="114300" distR="114300" simplePos="0" relativeHeight="251682816" behindDoc="0" locked="0" layoutInCell="1" allowOverlap="1">
                  <wp:simplePos x="0" y="0"/>
                  <wp:positionH relativeFrom="column">
                    <wp:posOffset>0</wp:posOffset>
                  </wp:positionH>
                  <wp:positionV relativeFrom="paragraph">
                    <wp:posOffset>3432175</wp:posOffset>
                  </wp:positionV>
                  <wp:extent cx="28575" cy="9525"/>
                  <wp:effectExtent l="0" t="0" r="0" b="0"/>
                  <wp:wrapNone/>
                  <wp:docPr id="39" name="直接连接符_6"/>
                  <wp:cNvGraphicFramePr/>
                  <a:graphic xmlns:a="http://schemas.openxmlformats.org/drawingml/2006/main">
                    <a:graphicData uri="http://schemas.openxmlformats.org/drawingml/2006/picture">
                      <pic:pic xmlns:pic="http://schemas.openxmlformats.org/drawingml/2006/picture">
                        <pic:nvPicPr>
                          <pic:cNvPr id="39" name="直接连接符_6"/>
                          <pic:cNvPicPr/>
                        </pic:nvPicPr>
                        <pic:blipFill>
                          <a:blip r:embed="rId13"/>
                          <a:stretch>
                            <a:fillRect/>
                          </a:stretch>
                        </pic:blipFill>
                        <pic:spPr>
                          <a:xfrm>
                            <a:off x="0" y="0"/>
                            <a:ext cx="28575" cy="9525"/>
                          </a:xfrm>
                          <a:prstGeom prst="rect">
                            <a:avLst/>
                          </a:prstGeom>
                          <a:noFill/>
                          <a:ln>
                            <a:noFill/>
                          </a:ln>
                        </pic:spPr>
                      </pic:pic>
                    </a:graphicData>
                  </a:graphic>
                </wp:anchor>
              </w:drawing>
            </w:r>
            <w:r>
              <w:rPr>
                <w:rFonts w:hint="eastAsia" w:ascii="仿宋_GB2312" w:hAnsi="仿宋_GB2312" w:eastAsia="仿宋_GB2312" w:cs="仿宋_GB2312"/>
                <w:color w:val="000000"/>
                <w:kern w:val="0"/>
                <w:sz w:val="32"/>
                <w:szCs w:val="32"/>
                <w:bdr w:val="single" w:color="000000" w:sz="4" w:space="0"/>
              </w:rPr>
              <w:drawing>
                <wp:anchor distT="0" distB="0" distL="114300" distR="114300" simplePos="0" relativeHeight="251683840" behindDoc="0" locked="0" layoutInCell="1" allowOverlap="1">
                  <wp:simplePos x="0" y="0"/>
                  <wp:positionH relativeFrom="column">
                    <wp:posOffset>381000</wp:posOffset>
                  </wp:positionH>
                  <wp:positionV relativeFrom="paragraph">
                    <wp:posOffset>3432175</wp:posOffset>
                  </wp:positionV>
                  <wp:extent cx="9525" cy="9525"/>
                  <wp:effectExtent l="0" t="0" r="0" b="0"/>
                  <wp:wrapNone/>
                  <wp:docPr id="40" name="直接连接符_5"/>
                  <wp:cNvGraphicFramePr/>
                  <a:graphic xmlns:a="http://schemas.openxmlformats.org/drawingml/2006/main">
                    <a:graphicData uri="http://schemas.openxmlformats.org/drawingml/2006/picture">
                      <pic:pic xmlns:pic="http://schemas.openxmlformats.org/drawingml/2006/picture">
                        <pic:nvPicPr>
                          <pic:cNvPr id="40" name="直接连接符_5"/>
                          <pic:cNvPicPr/>
                        </pic:nvPicPr>
                        <pic:blipFill>
                          <a:blip r:embed="rId14"/>
                          <a:stretch>
                            <a:fillRect/>
                          </a:stretch>
                        </pic:blipFill>
                        <pic:spPr>
                          <a:xfrm>
                            <a:off x="0" y="0"/>
                            <a:ext cx="9525" cy="9525"/>
                          </a:xfrm>
                          <a:prstGeom prst="rect">
                            <a:avLst/>
                          </a:prstGeom>
                          <a:noFill/>
                          <a:ln>
                            <a:noFill/>
                          </a:ln>
                        </pic:spPr>
                      </pic:pic>
                    </a:graphicData>
                  </a:graphic>
                </wp:anchor>
              </w:drawing>
            </w:r>
            <w:r>
              <w:rPr>
                <w:rFonts w:hint="eastAsia" w:ascii="仿宋_GB2312" w:hAnsi="仿宋_GB2312" w:eastAsia="仿宋_GB2312" w:cs="仿宋_GB2312"/>
                <w:color w:val="000000"/>
                <w:kern w:val="0"/>
                <w:sz w:val="32"/>
                <w:szCs w:val="32"/>
              </w:rPr>
              <w:t>项目绩效</w:t>
            </w: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项目完成</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完成数量</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实际完成任务量/绩效目标设定任务量×100%</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100%</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100%</w:t>
            </w:r>
          </w:p>
        </w:tc>
      </w:tr>
      <w:tr>
        <w:tblPrEx>
          <w:tblCellMar>
            <w:top w:w="0" w:type="dxa"/>
            <w:left w:w="0" w:type="dxa"/>
            <w:bottom w:w="0" w:type="dxa"/>
            <w:right w:w="0" w:type="dxa"/>
          </w:tblCellMar>
        </w:tblPrEx>
        <w:trPr>
          <w:trHeight w:val="55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完成质量</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符合绩效目标设定的验收标准，达到行业基准水平</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符合</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符合</w:t>
            </w:r>
          </w:p>
        </w:tc>
      </w:tr>
      <w:tr>
        <w:tblPrEx>
          <w:tblCellMar>
            <w:top w:w="0" w:type="dxa"/>
            <w:left w:w="0" w:type="dxa"/>
            <w:bottom w:w="0" w:type="dxa"/>
            <w:right w:w="0" w:type="dxa"/>
          </w:tblCellMar>
        </w:tblPrEx>
        <w:trPr>
          <w:trHeight w:val="800"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完成时效</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（实际完成时间-绩效目标设定完成时间）/绩效目标设定完成时间×100%</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100%</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100%</w:t>
            </w:r>
          </w:p>
        </w:tc>
      </w:tr>
      <w:tr>
        <w:tblPrEx>
          <w:tblCellMar>
            <w:top w:w="0" w:type="dxa"/>
            <w:left w:w="0" w:type="dxa"/>
            <w:bottom w:w="0" w:type="dxa"/>
            <w:right w:w="0" w:type="dxa"/>
          </w:tblCellMar>
        </w:tblPrEx>
        <w:trPr>
          <w:trHeight w:val="55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完成成本</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（实际完成成本-预计完成成本）/预计完成成本×100%</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100%</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100%</w:t>
            </w:r>
          </w:p>
        </w:tc>
      </w:tr>
      <w:tr>
        <w:tblPrEx>
          <w:tblCellMar>
            <w:top w:w="0" w:type="dxa"/>
            <w:left w:w="0" w:type="dxa"/>
            <w:bottom w:w="0" w:type="dxa"/>
            <w:right w:w="0" w:type="dxa"/>
          </w:tblCellMar>
        </w:tblPrEx>
        <w:trPr>
          <w:trHeight w:val="720"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项目效益</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经济效益</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反映相关产出对经济社会发展带来的影响和效果，根据项目实际细化具体指标。</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提升人居生活环境及生活质量</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提升人居生活环境及生活质量</w:t>
            </w:r>
          </w:p>
        </w:tc>
      </w:tr>
      <w:tr>
        <w:tblPrEx>
          <w:tblCellMar>
            <w:top w:w="0" w:type="dxa"/>
            <w:left w:w="0" w:type="dxa"/>
            <w:bottom w:w="0" w:type="dxa"/>
            <w:right w:w="0" w:type="dxa"/>
          </w:tblCellMar>
        </w:tblPrEx>
        <w:trPr>
          <w:trHeight w:val="1276"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社会效益</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反映相关产出对社会发展带来的影响和效果，根据项目实际细化具体指标。</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rPr>
              <w:t>乡镇</w:t>
            </w:r>
            <w:r>
              <w:rPr>
                <w:rFonts w:hint="eastAsia" w:ascii="仿宋_GB2312" w:hAnsi="仿宋_GB2312" w:eastAsia="仿宋_GB2312" w:cs="仿宋_GB2312"/>
                <w:color w:val="000000"/>
                <w:kern w:val="0"/>
                <w:sz w:val="32"/>
                <w:szCs w:val="32"/>
              </w:rPr>
              <w:t>的整体形象得以提高，人居生活条件得以改善</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rPr>
              <w:t>乡镇</w:t>
            </w:r>
            <w:r>
              <w:rPr>
                <w:rFonts w:hint="eastAsia" w:ascii="仿宋_GB2312" w:hAnsi="仿宋_GB2312" w:eastAsia="仿宋_GB2312" w:cs="仿宋_GB2312"/>
                <w:color w:val="000000"/>
                <w:kern w:val="0"/>
                <w:sz w:val="32"/>
                <w:szCs w:val="32"/>
              </w:rPr>
              <w:t>的整体形象得以提高，人居生活条件得以改善</w:t>
            </w:r>
          </w:p>
        </w:tc>
      </w:tr>
      <w:tr>
        <w:tblPrEx>
          <w:tblCellMar>
            <w:top w:w="0" w:type="dxa"/>
            <w:left w:w="0" w:type="dxa"/>
            <w:bottom w:w="0" w:type="dxa"/>
            <w:right w:w="0" w:type="dxa"/>
          </w:tblCellMar>
        </w:tblPrEx>
        <w:trPr>
          <w:trHeight w:val="720"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生态效益</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反映相关产出对自然环境带来的影响和效果，根据项目实际细化具体指标。</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rPr>
              <w:t>乡镇</w:t>
            </w:r>
            <w:r>
              <w:rPr>
                <w:rFonts w:hint="eastAsia" w:ascii="仿宋_GB2312" w:hAnsi="仿宋_GB2312" w:eastAsia="仿宋_GB2312" w:cs="仿宋_GB2312"/>
                <w:color w:val="000000"/>
                <w:kern w:val="0"/>
                <w:sz w:val="32"/>
                <w:szCs w:val="32"/>
              </w:rPr>
              <w:t>的整体形象得以提高，人居生活条件得以改善</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rPr>
              <w:t>乡镇</w:t>
            </w:r>
            <w:r>
              <w:rPr>
                <w:rFonts w:hint="eastAsia" w:ascii="仿宋_GB2312" w:hAnsi="仿宋_GB2312" w:eastAsia="仿宋_GB2312" w:cs="仿宋_GB2312"/>
                <w:color w:val="000000"/>
                <w:kern w:val="0"/>
                <w:sz w:val="32"/>
                <w:szCs w:val="32"/>
              </w:rPr>
              <w:t>的整体形象得以提高，人居生活条件得以改善</w:t>
            </w:r>
          </w:p>
        </w:tc>
      </w:tr>
      <w:tr>
        <w:tblPrEx>
          <w:tblCellMar>
            <w:top w:w="0" w:type="dxa"/>
            <w:left w:w="0" w:type="dxa"/>
            <w:bottom w:w="0" w:type="dxa"/>
            <w:right w:w="0" w:type="dxa"/>
          </w:tblCellMar>
        </w:tblPrEx>
        <w:trPr>
          <w:trHeight w:val="1080"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left"/>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满意度</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服务对象满意度</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left"/>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反映服务对象或项目受益人对相关产出及其影响的认可程度，根据项目实际细化具体指标。</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群众满意度高，使用效益高</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群众满意度高，使用效益高</w:t>
            </w:r>
          </w:p>
        </w:tc>
      </w:tr>
    </w:tbl>
    <w:p>
      <w:pPr>
        <w:pStyle w:val="6"/>
        <w:keepNext w:val="0"/>
        <w:keepLines w:val="0"/>
        <w:pageBreakBefore w:val="0"/>
        <w:widowControl/>
        <w:numPr>
          <w:ilvl w:val="0"/>
          <w:numId w:val="2"/>
        </w:numPr>
        <w:kinsoku/>
        <w:wordWrap/>
        <w:overflowPunct/>
        <w:topLinePunct w:val="0"/>
        <w:autoSpaceDE/>
        <w:autoSpaceDN/>
        <w:bidi w:val="0"/>
        <w:spacing w:before="0" w:beforeAutospacing="0" w:after="0" w:afterAutospacing="0" w:line="560" w:lineRule="exact"/>
        <w:ind w:left="0" w:leftChars="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红原县保障性住房维修项目绩效目标完成情况综述。项目全年预算数320万元，执行数为320万元，完成预算的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%。通过项目实施，红原县保障性维修项目确保房屋结构使用安全、无渗漏及排污（水）畅通为前提，满足房屋正常使用，给干部职工创造一个良好的居住生活环境。</w:t>
      </w:r>
      <w:r>
        <w:rPr>
          <w:rFonts w:hint="eastAsia" w:ascii="仿宋_GB2312" w:hAnsi="仿宋_GB2312" w:eastAsia="仿宋_GB2312" w:cs="仿宋_GB2312"/>
          <w:sz w:val="32"/>
          <w:szCs w:val="32"/>
          <w:lang w:val="en-US" w:eastAsia="zh-CN"/>
        </w:rPr>
        <w:t>发现的主要问题：</w:t>
      </w:r>
      <w:r>
        <w:rPr>
          <w:rFonts w:hint="eastAsia" w:ascii="仿宋_GB2312" w:hAnsi="仿宋_GB2312" w:eastAsia="仿宋_GB2312" w:cs="仿宋_GB2312"/>
          <w:b/>
          <w:bCs/>
          <w:kern w:val="2"/>
          <w:sz w:val="32"/>
          <w:szCs w:val="32"/>
        </w:rPr>
        <w:t>一是</w:t>
      </w:r>
      <w:r>
        <w:rPr>
          <w:rFonts w:hint="eastAsia" w:ascii="仿宋_GB2312" w:hAnsi="仿宋_GB2312" w:eastAsia="仿宋_GB2312" w:cs="仿宋_GB2312"/>
          <w:kern w:val="2"/>
          <w:sz w:val="32"/>
          <w:szCs w:val="32"/>
        </w:rPr>
        <w:t>由于项目投资额度大，资金组成复杂导致该笔资金使用缓慢等客观因素影响，导致一部分资金与年初安排计划存在一定偏差，已申请到项目账户的资金，若部分未使用，建议限额结转下一年度，可及时用于来年拨付资金。</w:t>
      </w:r>
      <w:r>
        <w:rPr>
          <w:rFonts w:hint="eastAsia" w:ascii="仿宋_GB2312" w:hAnsi="仿宋_GB2312" w:eastAsia="仿宋_GB2312" w:cs="仿宋_GB2312"/>
          <w:b/>
          <w:bCs/>
          <w:kern w:val="2"/>
          <w:sz w:val="32"/>
          <w:szCs w:val="32"/>
        </w:rPr>
        <w:t>二是</w:t>
      </w:r>
      <w:r>
        <w:rPr>
          <w:rFonts w:hint="eastAsia" w:ascii="仿宋_GB2312" w:hAnsi="仿宋_GB2312" w:eastAsia="仿宋_GB2312" w:cs="仿宋_GB2312"/>
          <w:kern w:val="2"/>
          <w:sz w:val="32"/>
          <w:szCs w:val="32"/>
        </w:rPr>
        <w:t>财政困难，工作经费不足等导致施工进度相对缓慢。</w:t>
      </w:r>
      <w:r>
        <w:rPr>
          <w:rFonts w:hint="eastAsia" w:ascii="仿宋_GB2312" w:hAnsi="仿宋_GB2312" w:eastAsia="仿宋_GB2312" w:cs="仿宋_GB2312"/>
          <w:sz w:val="32"/>
          <w:szCs w:val="32"/>
        </w:rPr>
        <w:t>下一步改进措施：一是进一步健全和完善财务管理制度及内部控制制度，创新管理手段，用新思路、新方法，改进完善财务管理方法。 二是按照财政支出绩效管理的要求，建立科学的财政资金效益考评制度体系，不断提高财政资金使用管理的水平和效率。三是完善管理机制，明确责任。项目实施完成移交后，要加大对专项项目基础设施保护工作的关注和重视，构建一个职责分明、科学规范、具有可操作性的管理长效机制。</w:t>
      </w:r>
    </w:p>
    <w:tbl>
      <w:tblPr>
        <w:tblStyle w:val="7"/>
        <w:tblW w:w="8310" w:type="dxa"/>
        <w:tblInd w:w="6" w:type="dxa"/>
        <w:tblLayout w:type="autofit"/>
        <w:tblCellMar>
          <w:top w:w="0" w:type="dxa"/>
          <w:left w:w="0" w:type="dxa"/>
          <w:bottom w:w="0" w:type="dxa"/>
          <w:right w:w="0" w:type="dxa"/>
        </w:tblCellMar>
      </w:tblPr>
      <w:tblGrid>
        <w:gridCol w:w="630"/>
        <w:gridCol w:w="783"/>
        <w:gridCol w:w="1002"/>
        <w:gridCol w:w="736"/>
        <w:gridCol w:w="1130"/>
        <w:gridCol w:w="1677"/>
        <w:gridCol w:w="1553"/>
        <w:gridCol w:w="799"/>
      </w:tblGrid>
      <w:tr>
        <w:tblPrEx>
          <w:tblCellMar>
            <w:top w:w="0" w:type="dxa"/>
            <w:left w:w="0" w:type="dxa"/>
            <w:bottom w:w="0" w:type="dxa"/>
            <w:right w:w="0" w:type="dxa"/>
          </w:tblCellMar>
        </w:tblPrEx>
        <w:trPr>
          <w:trHeight w:val="555" w:hRule="atLeast"/>
        </w:trPr>
        <w:tc>
          <w:tcPr>
            <w:tcW w:w="8310" w:type="dxa"/>
            <w:gridSpan w:val="8"/>
            <w:tcBorders>
              <w:top w:val="nil"/>
              <w:left w:val="nil"/>
              <w:bottom w:val="nil"/>
              <w:right w:val="nil"/>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textAlignment w:val="center"/>
              <w:rPr>
                <w:rFonts w:hint="eastAsia" w:ascii="仿宋_GB2312" w:hAnsi="仿宋_GB2312" w:eastAsia="仿宋_GB2312" w:cs="仿宋_GB2312"/>
                <w:color w:val="000000"/>
                <w:kern w:val="0"/>
                <w:sz w:val="32"/>
                <w:szCs w:val="32"/>
              </w:rPr>
            </w:pPr>
          </w:p>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rPr>
              <w:t>项目支出绩效目标完成情况表</w:t>
            </w:r>
            <w:r>
              <w:rPr>
                <w:rFonts w:hint="eastAsia" w:ascii="仿宋_GB2312" w:hAnsi="仿宋_GB2312" w:eastAsia="仿宋_GB2312" w:cs="仿宋_GB2312"/>
                <w:color w:val="000000"/>
                <w:kern w:val="0"/>
                <w:sz w:val="32"/>
                <w:szCs w:val="32"/>
                <w:lang w:val="en-US" w:eastAsia="zh-CN"/>
              </w:rPr>
              <w:t>2020年度</w:t>
            </w:r>
          </w:p>
        </w:tc>
      </w:tr>
      <w:tr>
        <w:tblPrEx>
          <w:tblCellMar>
            <w:top w:w="0" w:type="dxa"/>
            <w:left w:w="0" w:type="dxa"/>
            <w:bottom w:w="0" w:type="dxa"/>
            <w:right w:w="0" w:type="dxa"/>
          </w:tblCellMar>
        </w:tblPrEx>
        <w:trPr>
          <w:trHeight w:val="555" w:hRule="atLeast"/>
        </w:trPr>
        <w:tc>
          <w:tcPr>
            <w:tcW w:w="241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项目名称</w:t>
            </w:r>
          </w:p>
        </w:tc>
        <w:tc>
          <w:tcPr>
            <w:tcW w:w="589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sz w:val="32"/>
                <w:szCs w:val="32"/>
              </w:rPr>
              <w:t>红原县保障性住房维修项目 </w:t>
            </w:r>
          </w:p>
        </w:tc>
      </w:tr>
      <w:tr>
        <w:tblPrEx>
          <w:tblCellMar>
            <w:top w:w="0" w:type="dxa"/>
            <w:left w:w="0" w:type="dxa"/>
            <w:bottom w:w="0" w:type="dxa"/>
            <w:right w:w="0" w:type="dxa"/>
          </w:tblCellMar>
        </w:tblPrEx>
        <w:trPr>
          <w:trHeight w:val="555" w:hRule="atLeast"/>
        </w:trPr>
        <w:tc>
          <w:tcPr>
            <w:tcW w:w="241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预算单位</w:t>
            </w:r>
          </w:p>
        </w:tc>
        <w:tc>
          <w:tcPr>
            <w:tcW w:w="589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红原县住房和城乡建设局</w:t>
            </w:r>
          </w:p>
        </w:tc>
      </w:tr>
      <w:tr>
        <w:tblPrEx>
          <w:tblCellMar>
            <w:top w:w="0" w:type="dxa"/>
            <w:left w:w="0" w:type="dxa"/>
            <w:bottom w:w="0" w:type="dxa"/>
            <w:right w:w="0" w:type="dxa"/>
          </w:tblCellMar>
        </w:tblPrEx>
        <w:trPr>
          <w:trHeight w:val="555" w:hRule="atLeast"/>
        </w:trPr>
        <w:tc>
          <w:tcPr>
            <w:tcW w:w="63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预算执行情况(万元</w:t>
            </w:r>
          </w:p>
        </w:tc>
        <w:tc>
          <w:tcPr>
            <w:tcW w:w="178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预算数:</w:t>
            </w:r>
          </w:p>
        </w:tc>
        <w:tc>
          <w:tcPr>
            <w:tcW w:w="1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320</w:t>
            </w:r>
          </w:p>
        </w:tc>
        <w:tc>
          <w:tcPr>
            <w:tcW w:w="1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执行数:</w:t>
            </w:r>
          </w:p>
        </w:tc>
        <w:tc>
          <w:tcPr>
            <w:tcW w:w="235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320</w:t>
            </w:r>
          </w:p>
        </w:tc>
      </w:tr>
      <w:tr>
        <w:tblPrEx>
          <w:tblCellMar>
            <w:top w:w="0" w:type="dxa"/>
            <w:left w:w="0" w:type="dxa"/>
            <w:bottom w:w="0" w:type="dxa"/>
            <w:right w:w="0" w:type="dxa"/>
          </w:tblCellMar>
        </w:tblPrEx>
        <w:trPr>
          <w:trHeight w:val="55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p>
        </w:tc>
        <w:tc>
          <w:tcPr>
            <w:tcW w:w="178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其中-财政拨款:</w:t>
            </w:r>
          </w:p>
        </w:tc>
        <w:tc>
          <w:tcPr>
            <w:tcW w:w="1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320</w:t>
            </w:r>
          </w:p>
        </w:tc>
        <w:tc>
          <w:tcPr>
            <w:tcW w:w="1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其中-财政拨款:</w:t>
            </w:r>
          </w:p>
        </w:tc>
        <w:tc>
          <w:tcPr>
            <w:tcW w:w="235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320</w:t>
            </w:r>
          </w:p>
        </w:tc>
      </w:tr>
      <w:tr>
        <w:tblPrEx>
          <w:tblCellMar>
            <w:top w:w="0" w:type="dxa"/>
            <w:left w:w="0" w:type="dxa"/>
            <w:bottom w:w="0" w:type="dxa"/>
            <w:right w:w="0" w:type="dxa"/>
          </w:tblCellMar>
        </w:tblPrEx>
        <w:trPr>
          <w:trHeight w:val="55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p>
        </w:tc>
        <w:tc>
          <w:tcPr>
            <w:tcW w:w="178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其它资金:</w:t>
            </w:r>
          </w:p>
        </w:tc>
        <w:tc>
          <w:tcPr>
            <w:tcW w:w="1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0</w:t>
            </w:r>
          </w:p>
        </w:tc>
        <w:tc>
          <w:tcPr>
            <w:tcW w:w="1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其它资金:</w:t>
            </w:r>
          </w:p>
        </w:tc>
        <w:tc>
          <w:tcPr>
            <w:tcW w:w="235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0</w:t>
            </w:r>
          </w:p>
        </w:tc>
      </w:tr>
      <w:tr>
        <w:tblPrEx>
          <w:tblCellMar>
            <w:top w:w="0" w:type="dxa"/>
            <w:left w:w="0" w:type="dxa"/>
            <w:bottom w:w="0" w:type="dxa"/>
            <w:right w:w="0" w:type="dxa"/>
          </w:tblCellMar>
        </w:tblPrEx>
        <w:trPr>
          <w:trHeight w:val="555" w:hRule="atLeast"/>
        </w:trPr>
        <w:tc>
          <w:tcPr>
            <w:tcW w:w="63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年度目标完成情况</w:t>
            </w:r>
          </w:p>
        </w:tc>
        <w:tc>
          <w:tcPr>
            <w:tcW w:w="252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预期目标</w:t>
            </w:r>
          </w:p>
        </w:tc>
        <w:tc>
          <w:tcPr>
            <w:tcW w:w="515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实际完成目标</w:t>
            </w:r>
          </w:p>
        </w:tc>
      </w:tr>
      <w:tr>
        <w:tblPrEx>
          <w:tblCellMar>
            <w:top w:w="0" w:type="dxa"/>
            <w:left w:w="0" w:type="dxa"/>
            <w:bottom w:w="0" w:type="dxa"/>
            <w:right w:w="0" w:type="dxa"/>
          </w:tblCellMar>
        </w:tblPrEx>
        <w:trPr>
          <w:trHeight w:val="1920"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p>
        </w:tc>
        <w:tc>
          <w:tcPr>
            <w:tcW w:w="252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sz w:val="32"/>
                <w:szCs w:val="32"/>
              </w:rPr>
              <w:t>红原县保障性维修项目确保房屋结构使用安全、无渗漏及排污（水）畅通为前提，满足房屋正常使用，</w:t>
            </w:r>
            <w:r>
              <w:rPr>
                <w:rFonts w:hint="eastAsia" w:ascii="仿宋_GB2312" w:hAnsi="仿宋_GB2312" w:eastAsia="仿宋_GB2312" w:cs="仿宋_GB2312"/>
                <w:sz w:val="32"/>
                <w:szCs w:val="32"/>
                <w:lang w:val="zh-CN"/>
              </w:rPr>
              <w:t>给干部职工创造一个良好的居住生活环境</w:t>
            </w:r>
            <w:r>
              <w:rPr>
                <w:rFonts w:hint="eastAsia" w:ascii="仿宋_GB2312" w:hAnsi="仿宋_GB2312" w:eastAsia="仿宋_GB2312" w:cs="仿宋_GB2312"/>
                <w:sz w:val="32"/>
                <w:szCs w:val="32"/>
              </w:rPr>
              <w:t>。</w:t>
            </w:r>
          </w:p>
        </w:tc>
        <w:tc>
          <w:tcPr>
            <w:tcW w:w="515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已完成所有建设内容，并投入使用。各项指标均达到预期目标</w:t>
            </w:r>
          </w:p>
        </w:tc>
      </w:tr>
      <w:tr>
        <w:tblPrEx>
          <w:tblCellMar>
            <w:top w:w="0" w:type="dxa"/>
            <w:left w:w="0" w:type="dxa"/>
            <w:bottom w:w="0" w:type="dxa"/>
            <w:right w:w="0" w:type="dxa"/>
          </w:tblCellMar>
        </w:tblPrEx>
        <w:trPr>
          <w:trHeight w:val="555" w:hRule="atLeast"/>
        </w:trPr>
        <w:tc>
          <w:tcPr>
            <w:tcW w:w="63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绩效指标完成情况</w:t>
            </w:r>
          </w:p>
        </w:tc>
        <w:tc>
          <w:tcPr>
            <w:tcW w:w="78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drawing>
                <wp:anchor distT="0" distB="0" distL="114300" distR="114300" simplePos="0" relativeHeight="251684864"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41" name="直接连接符_10"/>
                  <wp:cNvGraphicFramePr/>
                  <a:graphic xmlns:a="http://schemas.openxmlformats.org/drawingml/2006/main">
                    <a:graphicData uri="http://schemas.openxmlformats.org/drawingml/2006/picture">
                      <pic:pic xmlns:pic="http://schemas.openxmlformats.org/drawingml/2006/picture">
                        <pic:nvPicPr>
                          <pic:cNvPr id="41" name="直接连接符_10"/>
                          <pic:cNvPicPr/>
                        </pic:nvPicPr>
                        <pic:blipFill>
                          <a:blip r:embed="rId12"/>
                          <a:stretch>
                            <a:fillRect/>
                          </a:stretch>
                        </pic:blipFill>
                        <pic:spPr>
                          <a:xfrm>
                            <a:off x="0" y="0"/>
                            <a:ext cx="9525" cy="9525"/>
                          </a:xfrm>
                          <a:prstGeom prst="rect">
                            <a:avLst/>
                          </a:prstGeom>
                          <a:noFill/>
                          <a:ln>
                            <a:noFill/>
                          </a:ln>
                        </pic:spPr>
                      </pic:pic>
                    </a:graphicData>
                  </a:graphic>
                </wp:anchor>
              </w:drawing>
            </w:r>
            <w:r>
              <w:rPr>
                <w:rFonts w:hint="eastAsia" w:ascii="仿宋_GB2312" w:hAnsi="仿宋_GB2312" w:eastAsia="仿宋_GB2312" w:cs="仿宋_GB2312"/>
                <w:color w:val="000000"/>
                <w:kern w:val="0"/>
                <w:sz w:val="32"/>
                <w:szCs w:val="32"/>
              </w:rPr>
              <w:drawing>
                <wp:anchor distT="0" distB="0" distL="114300" distR="114300" simplePos="0" relativeHeight="251685888"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42" name="直接连接符_8"/>
                  <wp:cNvGraphicFramePr/>
                  <a:graphic xmlns:a="http://schemas.openxmlformats.org/drawingml/2006/main">
                    <a:graphicData uri="http://schemas.openxmlformats.org/drawingml/2006/picture">
                      <pic:pic xmlns:pic="http://schemas.openxmlformats.org/drawingml/2006/picture">
                        <pic:nvPicPr>
                          <pic:cNvPr id="42" name="直接连接符_8"/>
                          <pic:cNvPicPr/>
                        </pic:nvPicPr>
                        <pic:blipFill>
                          <a:blip r:embed="rId12"/>
                          <a:stretch>
                            <a:fillRect/>
                          </a:stretch>
                        </pic:blipFill>
                        <pic:spPr>
                          <a:xfrm>
                            <a:off x="0" y="0"/>
                            <a:ext cx="9525" cy="9525"/>
                          </a:xfrm>
                          <a:prstGeom prst="rect">
                            <a:avLst/>
                          </a:prstGeom>
                          <a:noFill/>
                          <a:ln>
                            <a:noFill/>
                          </a:ln>
                        </pic:spPr>
                      </pic:pic>
                    </a:graphicData>
                  </a:graphic>
                </wp:anchor>
              </w:drawing>
            </w:r>
            <w:r>
              <w:rPr>
                <w:rFonts w:hint="eastAsia" w:ascii="仿宋_GB2312" w:hAnsi="仿宋_GB2312" w:eastAsia="仿宋_GB2312" w:cs="仿宋_GB2312"/>
                <w:color w:val="000000"/>
                <w:kern w:val="0"/>
                <w:sz w:val="32"/>
                <w:szCs w:val="32"/>
              </w:rPr>
              <w:drawing>
                <wp:anchor distT="0" distB="0" distL="114300" distR="114300" simplePos="0" relativeHeight="251686912"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43" name="直接连接符_9"/>
                  <wp:cNvGraphicFramePr/>
                  <a:graphic xmlns:a="http://schemas.openxmlformats.org/drawingml/2006/main">
                    <a:graphicData uri="http://schemas.openxmlformats.org/drawingml/2006/picture">
                      <pic:pic xmlns:pic="http://schemas.openxmlformats.org/drawingml/2006/picture">
                        <pic:nvPicPr>
                          <pic:cNvPr id="43" name="直接连接符_9"/>
                          <pic:cNvPicPr/>
                        </pic:nvPicPr>
                        <pic:blipFill>
                          <a:blip r:embed="rId12"/>
                          <a:stretch>
                            <a:fillRect/>
                          </a:stretch>
                        </pic:blipFill>
                        <pic:spPr>
                          <a:xfrm>
                            <a:off x="0" y="0"/>
                            <a:ext cx="9525" cy="9525"/>
                          </a:xfrm>
                          <a:prstGeom prst="rect">
                            <a:avLst/>
                          </a:prstGeom>
                          <a:noFill/>
                          <a:ln>
                            <a:noFill/>
                          </a:ln>
                        </pic:spPr>
                      </pic:pic>
                    </a:graphicData>
                  </a:graphic>
                </wp:anchor>
              </w:drawing>
            </w:r>
            <w:r>
              <w:rPr>
                <w:rFonts w:hint="eastAsia" w:ascii="仿宋_GB2312" w:hAnsi="仿宋_GB2312" w:eastAsia="仿宋_GB2312" w:cs="仿宋_GB2312"/>
                <w:color w:val="000000"/>
                <w:kern w:val="0"/>
                <w:sz w:val="32"/>
                <w:szCs w:val="32"/>
              </w:rPr>
              <w:drawing>
                <wp:anchor distT="0" distB="0" distL="114300" distR="114300" simplePos="0" relativeHeight="251687936"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44" name="直接连接符_7"/>
                  <wp:cNvGraphicFramePr/>
                  <a:graphic xmlns:a="http://schemas.openxmlformats.org/drawingml/2006/main">
                    <a:graphicData uri="http://schemas.openxmlformats.org/drawingml/2006/picture">
                      <pic:pic xmlns:pic="http://schemas.openxmlformats.org/drawingml/2006/picture">
                        <pic:nvPicPr>
                          <pic:cNvPr id="44" name="直接连接符_7"/>
                          <pic:cNvPicPr/>
                        </pic:nvPicPr>
                        <pic:blipFill>
                          <a:blip r:embed="rId12"/>
                          <a:stretch>
                            <a:fillRect/>
                          </a:stretch>
                        </pic:blipFill>
                        <pic:spPr>
                          <a:xfrm>
                            <a:off x="0" y="0"/>
                            <a:ext cx="9525" cy="9525"/>
                          </a:xfrm>
                          <a:prstGeom prst="rect">
                            <a:avLst/>
                          </a:prstGeom>
                          <a:noFill/>
                          <a:ln>
                            <a:noFill/>
                          </a:ln>
                        </pic:spPr>
                      </pic:pic>
                    </a:graphicData>
                  </a:graphic>
                </wp:anchor>
              </w:drawing>
            </w:r>
            <w:r>
              <w:rPr>
                <w:rFonts w:hint="eastAsia" w:ascii="仿宋_GB2312" w:hAnsi="仿宋_GB2312" w:eastAsia="仿宋_GB2312" w:cs="仿宋_GB2312"/>
                <w:color w:val="000000"/>
                <w:kern w:val="0"/>
                <w:sz w:val="32"/>
                <w:szCs w:val="32"/>
              </w:rPr>
              <w:t>一级指标</w:t>
            </w: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二级指标</w:t>
            </w:r>
          </w:p>
        </w:tc>
        <w:tc>
          <w:tcPr>
            <w:tcW w:w="7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三级指标</w:t>
            </w:r>
          </w:p>
        </w:tc>
        <w:tc>
          <w:tcPr>
            <w:tcW w:w="280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指标评价内容</w:t>
            </w:r>
          </w:p>
        </w:tc>
        <w:tc>
          <w:tcPr>
            <w:tcW w:w="155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预期指标值(包含数字及文字描述)</w:t>
            </w:r>
          </w:p>
        </w:tc>
        <w:tc>
          <w:tcPr>
            <w:tcW w:w="79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实际完成指标值(包含数字及文字描述)</w:t>
            </w:r>
          </w:p>
        </w:tc>
      </w:tr>
      <w:tr>
        <w:tblPrEx>
          <w:tblCellMar>
            <w:top w:w="0" w:type="dxa"/>
            <w:left w:w="0" w:type="dxa"/>
            <w:bottom w:w="0" w:type="dxa"/>
            <w:right w:w="0" w:type="dxa"/>
          </w:tblCellMar>
        </w:tblPrEx>
        <w:trPr>
          <w:trHeight w:val="55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b/>
                <w:color w:val="000000"/>
                <w:sz w:val="32"/>
                <w:szCs w:val="32"/>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b/>
                <w:color w:val="000000"/>
                <w:sz w:val="32"/>
                <w:szCs w:val="32"/>
              </w:rPr>
            </w:pPr>
          </w:p>
        </w:tc>
        <w:tc>
          <w:tcPr>
            <w:tcW w:w="7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b/>
                <w:color w:val="000000"/>
                <w:sz w:val="32"/>
                <w:szCs w:val="32"/>
              </w:rPr>
            </w:pPr>
          </w:p>
        </w:tc>
        <w:tc>
          <w:tcPr>
            <w:tcW w:w="280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b/>
                <w:color w:val="000000"/>
                <w:sz w:val="32"/>
                <w:szCs w:val="32"/>
              </w:rPr>
            </w:pPr>
          </w:p>
        </w:tc>
        <w:tc>
          <w:tcPr>
            <w:tcW w:w="1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b/>
                <w:color w:val="000000"/>
                <w:sz w:val="32"/>
                <w:szCs w:val="32"/>
              </w:rPr>
            </w:pPr>
          </w:p>
        </w:tc>
        <w:tc>
          <w:tcPr>
            <w:tcW w:w="79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b/>
                <w:color w:val="000000"/>
                <w:sz w:val="32"/>
                <w:szCs w:val="32"/>
              </w:rPr>
            </w:pPr>
          </w:p>
        </w:tc>
      </w:tr>
      <w:tr>
        <w:tblPrEx>
          <w:tblCellMar>
            <w:top w:w="0" w:type="dxa"/>
            <w:left w:w="0" w:type="dxa"/>
            <w:bottom w:w="0" w:type="dxa"/>
            <w:right w:w="0" w:type="dxa"/>
          </w:tblCellMar>
        </w:tblPrEx>
        <w:trPr>
          <w:trHeight w:val="312"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b/>
                <w:color w:val="000000"/>
                <w:sz w:val="32"/>
                <w:szCs w:val="32"/>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b/>
                <w:color w:val="000000"/>
                <w:sz w:val="32"/>
                <w:szCs w:val="32"/>
              </w:rPr>
            </w:pPr>
          </w:p>
        </w:tc>
        <w:tc>
          <w:tcPr>
            <w:tcW w:w="7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b/>
                <w:color w:val="000000"/>
                <w:sz w:val="32"/>
                <w:szCs w:val="32"/>
              </w:rPr>
            </w:pPr>
          </w:p>
        </w:tc>
        <w:tc>
          <w:tcPr>
            <w:tcW w:w="280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b/>
                <w:color w:val="000000"/>
                <w:sz w:val="32"/>
                <w:szCs w:val="32"/>
              </w:rPr>
            </w:pPr>
          </w:p>
        </w:tc>
        <w:tc>
          <w:tcPr>
            <w:tcW w:w="1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b/>
                <w:color w:val="000000"/>
                <w:sz w:val="32"/>
                <w:szCs w:val="32"/>
              </w:rPr>
            </w:pPr>
          </w:p>
        </w:tc>
        <w:tc>
          <w:tcPr>
            <w:tcW w:w="79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b/>
                <w:color w:val="000000"/>
                <w:sz w:val="32"/>
                <w:szCs w:val="32"/>
              </w:rPr>
            </w:pPr>
          </w:p>
        </w:tc>
      </w:tr>
      <w:tr>
        <w:tblPrEx>
          <w:tblCellMar>
            <w:top w:w="0" w:type="dxa"/>
            <w:left w:w="0" w:type="dxa"/>
            <w:bottom w:w="0" w:type="dxa"/>
            <w:right w:w="0" w:type="dxa"/>
          </w:tblCellMar>
        </w:tblPrEx>
        <w:trPr>
          <w:trHeight w:val="76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jc w:val="left"/>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项目决策</w:t>
            </w: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绩效目标</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目标内容</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项目预期提供的产品、服务、效益或其他目标明确,即绩效目标实际明确个数/应当明确个数×100%</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完成建设内容</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完成建设内容</w:t>
            </w:r>
          </w:p>
        </w:tc>
      </w:tr>
      <w:tr>
        <w:tblPrEx>
          <w:tblCellMar>
            <w:top w:w="0" w:type="dxa"/>
            <w:left w:w="0" w:type="dxa"/>
            <w:bottom w:w="0" w:type="dxa"/>
            <w:right w:w="0" w:type="dxa"/>
          </w:tblCellMar>
        </w:tblPrEx>
        <w:trPr>
          <w:trHeight w:val="64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进度计划</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项目计划实施进度明确</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按照工期进度表进行</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按时完工</w:t>
            </w:r>
          </w:p>
        </w:tc>
      </w:tr>
      <w:tr>
        <w:tblPrEx>
          <w:tblCellMar>
            <w:top w:w="0" w:type="dxa"/>
            <w:left w:w="0" w:type="dxa"/>
            <w:bottom w:w="0" w:type="dxa"/>
            <w:right w:w="0" w:type="dxa"/>
          </w:tblCellMar>
        </w:tblPrEx>
        <w:trPr>
          <w:trHeight w:val="690"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目标匹配</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绩效目标设定符合实际需求的抽样项目点个数/抽样项目点总数×100%</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w:t>
            </w:r>
          </w:p>
        </w:tc>
      </w:tr>
      <w:tr>
        <w:tblPrEx>
          <w:tblCellMar>
            <w:top w:w="0" w:type="dxa"/>
            <w:left w:w="0" w:type="dxa"/>
            <w:bottom w:w="0" w:type="dxa"/>
            <w:right w:w="0" w:type="dxa"/>
          </w:tblCellMar>
        </w:tblPrEx>
        <w:trPr>
          <w:trHeight w:val="76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决策依据</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政策依据</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项目符合党中央、国务院和省委、省政府决策部署；符合当前经济社会发展需要</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符合</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符合</w:t>
            </w:r>
          </w:p>
        </w:tc>
      </w:tr>
      <w:tr>
        <w:tblPrEx>
          <w:tblCellMar>
            <w:top w:w="0" w:type="dxa"/>
            <w:left w:w="0" w:type="dxa"/>
            <w:bottom w:w="0" w:type="dxa"/>
            <w:right w:w="0" w:type="dxa"/>
          </w:tblCellMar>
        </w:tblPrEx>
        <w:trPr>
          <w:trHeight w:val="55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实施规划</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连续性项目根据需要制定中长期实施规划</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已制定</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已制定</w:t>
            </w:r>
          </w:p>
        </w:tc>
      </w:tr>
      <w:tr>
        <w:tblPrEx>
          <w:tblCellMar>
            <w:top w:w="0" w:type="dxa"/>
            <w:left w:w="0" w:type="dxa"/>
            <w:bottom w:w="0" w:type="dxa"/>
            <w:right w:w="0" w:type="dxa"/>
          </w:tblCellMar>
        </w:tblPrEx>
        <w:trPr>
          <w:trHeight w:val="55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实施规划符合实际，并根据情况变化适时调整</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r>
      <w:tr>
        <w:tblPrEx>
          <w:tblCellMar>
            <w:top w:w="0" w:type="dxa"/>
            <w:left w:w="0" w:type="dxa"/>
            <w:bottom w:w="0" w:type="dxa"/>
            <w:right w:w="0" w:type="dxa"/>
          </w:tblCellMar>
        </w:tblPrEx>
        <w:trPr>
          <w:trHeight w:val="55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管理制度</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制定项目资金管理办法</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已制定</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已制定</w:t>
            </w:r>
          </w:p>
        </w:tc>
      </w:tr>
      <w:tr>
        <w:tblPrEx>
          <w:tblCellMar>
            <w:top w:w="0" w:type="dxa"/>
            <w:left w:w="0" w:type="dxa"/>
            <w:bottom w:w="0" w:type="dxa"/>
            <w:right w:w="0" w:type="dxa"/>
          </w:tblCellMar>
        </w:tblPrEx>
        <w:trPr>
          <w:trHeight w:val="750"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项目资金分配决策程序明确</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r>
      <w:tr>
        <w:tblPrEx>
          <w:tblCellMar>
            <w:top w:w="0" w:type="dxa"/>
            <w:left w:w="0" w:type="dxa"/>
            <w:bottom w:w="0" w:type="dxa"/>
            <w:right w:w="0" w:type="dxa"/>
          </w:tblCellMar>
        </w:tblPrEx>
        <w:trPr>
          <w:trHeight w:val="82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资金分配</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分配方法</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资金分配方法是否科学合理</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r>
      <w:tr>
        <w:tblPrEx>
          <w:tblCellMar>
            <w:top w:w="0" w:type="dxa"/>
            <w:left w:w="0" w:type="dxa"/>
            <w:bottom w:w="0" w:type="dxa"/>
            <w:right w:w="0" w:type="dxa"/>
          </w:tblCellMar>
        </w:tblPrEx>
        <w:trPr>
          <w:trHeight w:val="55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分配过程</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分配过程符合相关规定</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r>
      <w:tr>
        <w:tblPrEx>
          <w:tblCellMar>
            <w:top w:w="0" w:type="dxa"/>
            <w:left w:w="0" w:type="dxa"/>
            <w:bottom w:w="0" w:type="dxa"/>
            <w:right w:w="0" w:type="dxa"/>
          </w:tblCellMar>
        </w:tblPrEx>
        <w:trPr>
          <w:trHeight w:val="76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分配结果</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审核把关</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符合申报条件的抽样项目点个数/抽样项目点总数×100%</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2个</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2个</w:t>
            </w:r>
          </w:p>
        </w:tc>
      </w:tr>
      <w:tr>
        <w:tblPrEx>
          <w:tblCellMar>
            <w:top w:w="0" w:type="dxa"/>
            <w:left w:w="0" w:type="dxa"/>
            <w:bottom w:w="0" w:type="dxa"/>
            <w:right w:w="0" w:type="dxa"/>
          </w:tblCellMar>
        </w:tblPrEx>
        <w:trPr>
          <w:trHeight w:val="1020"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资金集中</w:t>
            </w:r>
          </w:p>
        </w:tc>
        <w:tc>
          <w:tcPr>
            <w:tcW w:w="11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集中</w:t>
            </w:r>
          </w:p>
        </w:tc>
        <w:tc>
          <w:tcPr>
            <w:tcW w:w="1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财政资金占项目资金总额比重较小项目个数/项目总数×100%</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100%</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100%</w:t>
            </w:r>
          </w:p>
        </w:tc>
      </w:tr>
      <w:tr>
        <w:tblPrEx>
          <w:tblCellMar>
            <w:top w:w="0" w:type="dxa"/>
            <w:left w:w="0" w:type="dxa"/>
            <w:bottom w:w="0" w:type="dxa"/>
            <w:right w:w="0" w:type="dxa"/>
          </w:tblCellMar>
        </w:tblPrEx>
        <w:trPr>
          <w:trHeight w:val="73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（均衡）</w:t>
            </w:r>
          </w:p>
        </w:tc>
        <w:tc>
          <w:tcPr>
            <w:tcW w:w="11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均衡</w:t>
            </w:r>
          </w:p>
        </w:tc>
        <w:tc>
          <w:tcPr>
            <w:tcW w:w="1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按实际分配结果选择客观因素测算验证资金分配方法制定、分配要素设定、基础数据应用、测算依据选取等是否科学合理（2分）</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r>
      <w:tr>
        <w:tblPrEx>
          <w:tblCellMar>
            <w:top w:w="0" w:type="dxa"/>
            <w:left w:w="0" w:type="dxa"/>
            <w:bottom w:w="0" w:type="dxa"/>
            <w:right w:w="0" w:type="dxa"/>
          </w:tblCellMar>
        </w:tblPrEx>
        <w:trPr>
          <w:trHeight w:val="540"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jc w:val="left"/>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项目管理</w:t>
            </w: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 xml:space="preserve"> 资金到位</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分配时效</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县级主管部门按规定及时分配资金</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r>
      <w:tr>
        <w:tblPrEx>
          <w:tblCellMar>
            <w:top w:w="0" w:type="dxa"/>
            <w:left w:w="0" w:type="dxa"/>
            <w:bottom w:w="0" w:type="dxa"/>
            <w:right w:w="0" w:type="dxa"/>
          </w:tblCellMar>
        </w:tblPrEx>
        <w:trPr>
          <w:trHeight w:val="744"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资金拨付</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按规定及时拨付资金</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r>
      <w:tr>
        <w:tblPrEx>
          <w:tblCellMar>
            <w:top w:w="0" w:type="dxa"/>
            <w:left w:w="0" w:type="dxa"/>
            <w:bottom w:w="0" w:type="dxa"/>
            <w:right w:w="0" w:type="dxa"/>
          </w:tblCellMar>
        </w:tblPrEx>
        <w:trPr>
          <w:trHeight w:val="55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 xml:space="preserve">资金管理  </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使用范围</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资金使用是否合规</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r>
      <w:tr>
        <w:tblPrEx>
          <w:tblCellMar>
            <w:top w:w="0" w:type="dxa"/>
            <w:left w:w="0" w:type="dxa"/>
            <w:bottom w:w="0" w:type="dxa"/>
            <w:right w:w="0" w:type="dxa"/>
          </w:tblCellMar>
        </w:tblPrEx>
        <w:trPr>
          <w:trHeight w:val="55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支付依据</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资金支付依据符合规定，即支付依旧合规资金量/资金总量×100%</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r>
      <w:tr>
        <w:tblPrEx>
          <w:tblCellMar>
            <w:top w:w="0" w:type="dxa"/>
            <w:left w:w="0" w:type="dxa"/>
            <w:bottom w:w="0" w:type="dxa"/>
            <w:right w:w="0" w:type="dxa"/>
          </w:tblCellMar>
        </w:tblPrEx>
        <w:trPr>
          <w:trHeight w:val="55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开支标准</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资金开支标准符合规定，即开支标准合规资金量/资金总量×100%</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r>
      <w:tr>
        <w:tblPrEx>
          <w:tblCellMar>
            <w:top w:w="0" w:type="dxa"/>
            <w:left w:w="0" w:type="dxa"/>
            <w:bottom w:w="0" w:type="dxa"/>
            <w:right w:w="0" w:type="dxa"/>
          </w:tblCellMar>
        </w:tblPrEx>
        <w:trPr>
          <w:trHeight w:val="73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财务管理</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财务制度</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财务制度健全，管理规范</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r>
      <w:tr>
        <w:tblPrEx>
          <w:tblCellMar>
            <w:top w:w="0" w:type="dxa"/>
            <w:left w:w="0" w:type="dxa"/>
            <w:bottom w:w="0" w:type="dxa"/>
            <w:right w:w="0" w:type="dxa"/>
          </w:tblCellMar>
        </w:tblPrEx>
        <w:trPr>
          <w:trHeight w:val="55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会计核算</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会计核算规范</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r>
      <w:tr>
        <w:tblPrEx>
          <w:tblCellMar>
            <w:top w:w="0" w:type="dxa"/>
            <w:left w:w="0" w:type="dxa"/>
            <w:bottom w:w="0" w:type="dxa"/>
            <w:right w:w="0" w:type="dxa"/>
          </w:tblCellMar>
        </w:tblPrEx>
        <w:trPr>
          <w:trHeight w:val="55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组织实施（4分）</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项目调整</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项目调整严格履行相关手续</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r>
      <w:tr>
        <w:tblPrEx>
          <w:tblCellMar>
            <w:top w:w="0" w:type="dxa"/>
            <w:left w:w="0" w:type="dxa"/>
            <w:bottom w:w="0" w:type="dxa"/>
            <w:right w:w="0" w:type="dxa"/>
          </w:tblCellMar>
        </w:tblPrEx>
        <w:trPr>
          <w:trHeight w:val="85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投资变更</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项目投资变更额/项目总投入×100%</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r>
      <w:tr>
        <w:tblPrEx>
          <w:tblCellMar>
            <w:top w:w="0" w:type="dxa"/>
            <w:left w:w="0" w:type="dxa"/>
            <w:bottom w:w="0" w:type="dxa"/>
            <w:right w:w="0" w:type="dxa"/>
          </w:tblCellMar>
        </w:tblPrEx>
        <w:trPr>
          <w:trHeight w:val="76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制度执行</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严格执行项目有关制度规定</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r>
      <w:tr>
        <w:tblPrEx>
          <w:tblCellMar>
            <w:top w:w="0" w:type="dxa"/>
            <w:left w:w="0" w:type="dxa"/>
            <w:bottom w:w="0" w:type="dxa"/>
            <w:right w:w="0" w:type="dxa"/>
          </w:tblCellMar>
        </w:tblPrEx>
        <w:trPr>
          <w:trHeight w:val="555" w:hRule="atLeast"/>
        </w:trPr>
        <w:tc>
          <w:tcPr>
            <w:tcW w:w="63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jc w:val="left"/>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bdr w:val="single" w:color="000000" w:sz="4" w:space="0"/>
              </w:rPr>
              <w:drawing>
                <wp:anchor distT="0" distB="0" distL="114300" distR="114300" simplePos="0" relativeHeight="251688960" behindDoc="0" locked="0" layoutInCell="1" allowOverlap="1">
                  <wp:simplePos x="0" y="0"/>
                  <wp:positionH relativeFrom="column">
                    <wp:posOffset>0</wp:posOffset>
                  </wp:positionH>
                  <wp:positionV relativeFrom="paragraph">
                    <wp:posOffset>3432175</wp:posOffset>
                  </wp:positionV>
                  <wp:extent cx="28575" cy="9525"/>
                  <wp:effectExtent l="0" t="0" r="0" b="0"/>
                  <wp:wrapNone/>
                  <wp:docPr id="45" name="直接连接符_6"/>
                  <wp:cNvGraphicFramePr/>
                  <a:graphic xmlns:a="http://schemas.openxmlformats.org/drawingml/2006/main">
                    <a:graphicData uri="http://schemas.openxmlformats.org/drawingml/2006/picture">
                      <pic:pic xmlns:pic="http://schemas.openxmlformats.org/drawingml/2006/picture">
                        <pic:nvPicPr>
                          <pic:cNvPr id="45" name="直接连接符_6"/>
                          <pic:cNvPicPr/>
                        </pic:nvPicPr>
                        <pic:blipFill>
                          <a:blip r:embed="rId13"/>
                          <a:stretch>
                            <a:fillRect/>
                          </a:stretch>
                        </pic:blipFill>
                        <pic:spPr>
                          <a:xfrm>
                            <a:off x="0" y="0"/>
                            <a:ext cx="28575" cy="9525"/>
                          </a:xfrm>
                          <a:prstGeom prst="rect">
                            <a:avLst/>
                          </a:prstGeom>
                          <a:noFill/>
                          <a:ln>
                            <a:noFill/>
                          </a:ln>
                        </pic:spPr>
                      </pic:pic>
                    </a:graphicData>
                  </a:graphic>
                </wp:anchor>
              </w:drawing>
            </w:r>
            <w:r>
              <w:rPr>
                <w:rFonts w:hint="eastAsia" w:ascii="仿宋_GB2312" w:hAnsi="仿宋_GB2312" w:eastAsia="仿宋_GB2312" w:cs="仿宋_GB2312"/>
                <w:color w:val="000000"/>
                <w:kern w:val="0"/>
                <w:sz w:val="32"/>
                <w:szCs w:val="32"/>
                <w:bdr w:val="single" w:color="000000" w:sz="4" w:space="0"/>
              </w:rPr>
              <w:drawing>
                <wp:anchor distT="0" distB="0" distL="114300" distR="114300" simplePos="0" relativeHeight="251689984" behindDoc="0" locked="0" layoutInCell="1" allowOverlap="1">
                  <wp:simplePos x="0" y="0"/>
                  <wp:positionH relativeFrom="column">
                    <wp:posOffset>381000</wp:posOffset>
                  </wp:positionH>
                  <wp:positionV relativeFrom="paragraph">
                    <wp:posOffset>3432175</wp:posOffset>
                  </wp:positionV>
                  <wp:extent cx="9525" cy="9525"/>
                  <wp:effectExtent l="0" t="0" r="0" b="0"/>
                  <wp:wrapNone/>
                  <wp:docPr id="46" name="直接连接符_5"/>
                  <wp:cNvGraphicFramePr/>
                  <a:graphic xmlns:a="http://schemas.openxmlformats.org/drawingml/2006/main">
                    <a:graphicData uri="http://schemas.openxmlformats.org/drawingml/2006/picture">
                      <pic:pic xmlns:pic="http://schemas.openxmlformats.org/drawingml/2006/picture">
                        <pic:nvPicPr>
                          <pic:cNvPr id="46" name="直接连接符_5"/>
                          <pic:cNvPicPr/>
                        </pic:nvPicPr>
                        <pic:blipFill>
                          <a:blip r:embed="rId14"/>
                          <a:stretch>
                            <a:fillRect/>
                          </a:stretch>
                        </pic:blipFill>
                        <pic:spPr>
                          <a:xfrm>
                            <a:off x="0" y="0"/>
                            <a:ext cx="9525" cy="9525"/>
                          </a:xfrm>
                          <a:prstGeom prst="rect">
                            <a:avLst/>
                          </a:prstGeom>
                          <a:noFill/>
                          <a:ln>
                            <a:noFill/>
                          </a:ln>
                        </pic:spPr>
                      </pic:pic>
                    </a:graphicData>
                  </a:graphic>
                </wp:anchor>
              </w:drawing>
            </w:r>
            <w:r>
              <w:rPr>
                <w:rFonts w:hint="eastAsia" w:ascii="仿宋_GB2312" w:hAnsi="仿宋_GB2312" w:eastAsia="仿宋_GB2312" w:cs="仿宋_GB2312"/>
                <w:color w:val="000000"/>
                <w:kern w:val="0"/>
                <w:sz w:val="32"/>
                <w:szCs w:val="32"/>
              </w:rPr>
              <w:t>项目绩效</w:t>
            </w: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项目完成</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完成数量</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实际完成任务量/绩效目标设定任务量×100%</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100%</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100%</w:t>
            </w:r>
          </w:p>
        </w:tc>
      </w:tr>
      <w:tr>
        <w:tblPrEx>
          <w:tblCellMar>
            <w:top w:w="0" w:type="dxa"/>
            <w:left w:w="0" w:type="dxa"/>
            <w:bottom w:w="0" w:type="dxa"/>
            <w:right w:w="0" w:type="dxa"/>
          </w:tblCellMar>
        </w:tblPrEx>
        <w:trPr>
          <w:trHeight w:val="55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完成质量</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符合绩效目标设定的验收标准，达到行业基准水平</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符合</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符合</w:t>
            </w:r>
          </w:p>
        </w:tc>
      </w:tr>
      <w:tr>
        <w:tblPrEx>
          <w:tblCellMar>
            <w:top w:w="0" w:type="dxa"/>
            <w:left w:w="0" w:type="dxa"/>
            <w:bottom w:w="0" w:type="dxa"/>
            <w:right w:w="0" w:type="dxa"/>
          </w:tblCellMar>
        </w:tblPrEx>
        <w:trPr>
          <w:trHeight w:val="800"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完成时效</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（实际完成时间-绩效目标设定完成时间）/绩效目标设定完成时间×100%</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100%</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100%</w:t>
            </w:r>
          </w:p>
        </w:tc>
      </w:tr>
      <w:tr>
        <w:tblPrEx>
          <w:tblCellMar>
            <w:top w:w="0" w:type="dxa"/>
            <w:left w:w="0" w:type="dxa"/>
            <w:bottom w:w="0" w:type="dxa"/>
            <w:right w:w="0" w:type="dxa"/>
          </w:tblCellMar>
        </w:tblPrEx>
        <w:trPr>
          <w:trHeight w:val="55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完成成本</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（实际完成成本-预计完成成本）/预计完成成本×100%</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100%</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100%</w:t>
            </w:r>
          </w:p>
        </w:tc>
      </w:tr>
      <w:tr>
        <w:tblPrEx>
          <w:tblCellMar>
            <w:top w:w="0" w:type="dxa"/>
            <w:left w:w="0" w:type="dxa"/>
            <w:bottom w:w="0" w:type="dxa"/>
            <w:right w:w="0" w:type="dxa"/>
          </w:tblCellMar>
        </w:tblPrEx>
        <w:trPr>
          <w:trHeight w:val="720"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项目效益</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经济效益</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反映相关产出对经济社会发展带来的影响和效果，根据项目实际细化具体指标。</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提升人居生活环境及生活质量</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提升人居生活环境及生活质量</w:t>
            </w:r>
          </w:p>
        </w:tc>
      </w:tr>
      <w:tr>
        <w:tblPrEx>
          <w:tblCellMar>
            <w:top w:w="0" w:type="dxa"/>
            <w:left w:w="0" w:type="dxa"/>
            <w:bottom w:w="0" w:type="dxa"/>
            <w:right w:w="0" w:type="dxa"/>
          </w:tblCellMar>
        </w:tblPrEx>
        <w:trPr>
          <w:trHeight w:val="1276"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社会效益</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反映相关产出对社会发展带来的影响和效果，根据项目实际细化具体指标。</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城市的整体形象得以提高，人居生活条件得以改善</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城市的整体形象得以提高，人居生活条件得以改善</w:t>
            </w:r>
          </w:p>
        </w:tc>
      </w:tr>
      <w:tr>
        <w:tblPrEx>
          <w:tblCellMar>
            <w:top w:w="0" w:type="dxa"/>
            <w:left w:w="0" w:type="dxa"/>
            <w:bottom w:w="0" w:type="dxa"/>
            <w:right w:w="0" w:type="dxa"/>
          </w:tblCellMar>
        </w:tblPrEx>
        <w:trPr>
          <w:trHeight w:val="720"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生态效益</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反映相关产出对自然环境带来的影响和效果，根据项目实际细化具体指标。</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城市的整体形象得以提高，人居生活条件得以改善</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城市的整体形象得以提高，人居生活条件得以改善</w:t>
            </w:r>
          </w:p>
        </w:tc>
      </w:tr>
      <w:tr>
        <w:tblPrEx>
          <w:tblCellMar>
            <w:top w:w="0" w:type="dxa"/>
            <w:left w:w="0" w:type="dxa"/>
            <w:bottom w:w="0" w:type="dxa"/>
            <w:right w:w="0" w:type="dxa"/>
          </w:tblCellMar>
        </w:tblPrEx>
        <w:trPr>
          <w:trHeight w:val="1080"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left"/>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满意度</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服务对象满意度</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left"/>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反映服务对象或项目受益人对相关产出及其影响的认可程度，根据项目实际细化具体指标。</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群众满意度高，使用效益高</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群众满意度高，使用效益高</w:t>
            </w:r>
          </w:p>
        </w:tc>
      </w:tr>
    </w:tbl>
    <w:p>
      <w:pPr>
        <w:pStyle w:val="6"/>
        <w:keepNext w:val="0"/>
        <w:keepLines w:val="0"/>
        <w:pageBreakBefore w:val="0"/>
        <w:widowControl/>
        <w:kinsoku/>
        <w:wordWrap/>
        <w:overflowPunct/>
        <w:topLinePunct w:val="0"/>
        <w:autoSpaceDE/>
        <w:autoSpaceDN/>
        <w:bidi w:val="0"/>
        <w:spacing w:before="0" w:beforeAutospacing="0" w:after="0" w:afterAutospacing="0" w:line="560" w:lineRule="exact"/>
        <w:ind w:firstLine="320" w:firstLineChars="1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）红原县城市生活垃圾分类回收资源化处理工程</w:t>
      </w:r>
      <w:r>
        <w:rPr>
          <w:rFonts w:hint="eastAsia" w:ascii="仿宋_GB2312" w:hAnsi="仿宋_GB2312" w:eastAsia="仿宋_GB2312" w:cs="仿宋_GB2312"/>
          <w:sz w:val="32"/>
          <w:szCs w:val="32"/>
        </w:rPr>
        <w:t>绩效目标完成情况综述。项目全年预算数1500万元，执行数为1500万元，完成预算的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红原县城市生活垃圾分类回收资源化处理厂投产后有效提高城市人民的生活质量，改善环境及促进城市的经济建设将产生深远的影响。本项目的实施从根本上解决了生活垃圾带来的灰色地带，保护了国家及地区的土地资源。</w:t>
      </w:r>
      <w:r>
        <w:rPr>
          <w:rFonts w:hint="eastAsia" w:ascii="仿宋_GB2312" w:hAnsi="仿宋_GB2312" w:eastAsia="仿宋_GB2312" w:cs="仿宋_GB2312"/>
          <w:sz w:val="32"/>
          <w:szCs w:val="32"/>
          <w:lang w:val="en-US" w:eastAsia="zh-CN"/>
        </w:rPr>
        <w:t>发现的主要问题：一是由于项目投资额度大，资金组成复杂导致该笔资金使用缓慢等客观因素影响，导致一部分资金与年初安排计划存在一定偏差，已申请到项目账户的资金，若部分未使用，建议限额结转下一年度，可及时用于来年拨付资金。二是财政困难，工作经费不足等导致施工进度相对缓慢。</w:t>
      </w:r>
      <w:r>
        <w:rPr>
          <w:rFonts w:hint="eastAsia" w:ascii="仿宋_GB2312" w:hAnsi="仿宋_GB2312" w:eastAsia="仿宋_GB2312" w:cs="仿宋_GB2312"/>
          <w:sz w:val="32"/>
          <w:szCs w:val="32"/>
        </w:rPr>
        <w:t>下一步改进措施：</w:t>
      </w: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sz w:val="32"/>
          <w:szCs w:val="32"/>
        </w:rPr>
        <w:t>进一步健全和完善财务管理制度及内部控制制度，创新管理手段，用新思路、新方法，改进完善财务管理方法。</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sz w:val="32"/>
          <w:szCs w:val="32"/>
        </w:rPr>
        <w:t>按照财政支出绩效管理的要求，建立科学的财政资金效益考评制度体系，不断提高财政资金使用管理的水平和效率。</w:t>
      </w: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sz w:val="32"/>
          <w:szCs w:val="32"/>
        </w:rPr>
        <w:t>完善管理机制，明确责任。项目实施完成移交后，要加大对专项项目基础设施保护工作的关注和重视，构建一个职责分明、科学规范、具有可操作性的管理长效机制。</w:t>
      </w:r>
    </w:p>
    <w:tbl>
      <w:tblPr>
        <w:tblStyle w:val="7"/>
        <w:tblW w:w="8310" w:type="dxa"/>
        <w:tblInd w:w="6" w:type="dxa"/>
        <w:tblLayout w:type="autofit"/>
        <w:tblCellMar>
          <w:top w:w="0" w:type="dxa"/>
          <w:left w:w="0" w:type="dxa"/>
          <w:bottom w:w="0" w:type="dxa"/>
          <w:right w:w="0" w:type="dxa"/>
        </w:tblCellMar>
      </w:tblPr>
      <w:tblGrid>
        <w:gridCol w:w="630"/>
        <w:gridCol w:w="783"/>
        <w:gridCol w:w="1002"/>
        <w:gridCol w:w="736"/>
        <w:gridCol w:w="1130"/>
        <w:gridCol w:w="1677"/>
        <w:gridCol w:w="1553"/>
        <w:gridCol w:w="799"/>
      </w:tblGrid>
      <w:tr>
        <w:tblPrEx>
          <w:tblCellMar>
            <w:top w:w="0" w:type="dxa"/>
            <w:left w:w="0" w:type="dxa"/>
            <w:bottom w:w="0" w:type="dxa"/>
            <w:right w:w="0" w:type="dxa"/>
          </w:tblCellMar>
        </w:tblPrEx>
        <w:trPr>
          <w:trHeight w:val="555" w:hRule="atLeast"/>
        </w:trPr>
        <w:tc>
          <w:tcPr>
            <w:tcW w:w="8310" w:type="dxa"/>
            <w:gridSpan w:val="8"/>
            <w:tcBorders>
              <w:top w:val="nil"/>
              <w:left w:val="nil"/>
              <w:bottom w:val="nil"/>
              <w:right w:val="nil"/>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textAlignment w:val="center"/>
              <w:rPr>
                <w:rFonts w:hint="eastAsia" w:ascii="仿宋_GB2312" w:hAnsi="仿宋_GB2312" w:eastAsia="仿宋_GB2312" w:cs="仿宋_GB2312"/>
                <w:color w:val="000000"/>
                <w:kern w:val="0"/>
                <w:sz w:val="32"/>
                <w:szCs w:val="32"/>
              </w:rPr>
            </w:pPr>
          </w:p>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rPr>
              <w:t>项目支出绩效目标完成情况表</w:t>
            </w:r>
            <w:r>
              <w:rPr>
                <w:rFonts w:hint="eastAsia" w:ascii="仿宋_GB2312" w:hAnsi="仿宋_GB2312" w:eastAsia="仿宋_GB2312" w:cs="仿宋_GB2312"/>
                <w:color w:val="000000"/>
                <w:kern w:val="0"/>
                <w:sz w:val="32"/>
                <w:szCs w:val="32"/>
                <w:lang w:val="en-US" w:eastAsia="zh-CN"/>
              </w:rPr>
              <w:t>2020年度</w:t>
            </w:r>
          </w:p>
        </w:tc>
      </w:tr>
      <w:tr>
        <w:tblPrEx>
          <w:tblCellMar>
            <w:top w:w="0" w:type="dxa"/>
            <w:left w:w="0" w:type="dxa"/>
            <w:bottom w:w="0" w:type="dxa"/>
            <w:right w:w="0" w:type="dxa"/>
          </w:tblCellMar>
        </w:tblPrEx>
        <w:trPr>
          <w:trHeight w:val="555" w:hRule="atLeast"/>
        </w:trPr>
        <w:tc>
          <w:tcPr>
            <w:tcW w:w="241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项目名称</w:t>
            </w:r>
          </w:p>
        </w:tc>
        <w:tc>
          <w:tcPr>
            <w:tcW w:w="589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sz w:val="32"/>
                <w:szCs w:val="32"/>
                <w:lang w:eastAsia="zh-CN"/>
              </w:rPr>
              <w:t>红原县城市生活垃圾分类回收资源化处理工程</w:t>
            </w:r>
            <w:r>
              <w:rPr>
                <w:rFonts w:hint="eastAsia" w:ascii="仿宋_GB2312" w:hAnsi="仿宋_GB2312" w:eastAsia="仿宋_GB2312" w:cs="仿宋_GB2312"/>
                <w:sz w:val="32"/>
                <w:szCs w:val="32"/>
              </w:rPr>
              <w:t> </w:t>
            </w:r>
          </w:p>
        </w:tc>
      </w:tr>
      <w:tr>
        <w:tblPrEx>
          <w:tblCellMar>
            <w:top w:w="0" w:type="dxa"/>
            <w:left w:w="0" w:type="dxa"/>
            <w:bottom w:w="0" w:type="dxa"/>
            <w:right w:w="0" w:type="dxa"/>
          </w:tblCellMar>
        </w:tblPrEx>
        <w:trPr>
          <w:trHeight w:val="555" w:hRule="atLeast"/>
        </w:trPr>
        <w:tc>
          <w:tcPr>
            <w:tcW w:w="241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预算单位</w:t>
            </w:r>
          </w:p>
        </w:tc>
        <w:tc>
          <w:tcPr>
            <w:tcW w:w="589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红原县住房和城乡建设局</w:t>
            </w:r>
          </w:p>
        </w:tc>
      </w:tr>
      <w:tr>
        <w:tblPrEx>
          <w:tblCellMar>
            <w:top w:w="0" w:type="dxa"/>
            <w:left w:w="0" w:type="dxa"/>
            <w:bottom w:w="0" w:type="dxa"/>
            <w:right w:w="0" w:type="dxa"/>
          </w:tblCellMar>
        </w:tblPrEx>
        <w:trPr>
          <w:trHeight w:val="555" w:hRule="atLeast"/>
        </w:trPr>
        <w:tc>
          <w:tcPr>
            <w:tcW w:w="63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预算执行情况(万元</w:t>
            </w:r>
          </w:p>
        </w:tc>
        <w:tc>
          <w:tcPr>
            <w:tcW w:w="178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预算数:</w:t>
            </w:r>
          </w:p>
        </w:tc>
        <w:tc>
          <w:tcPr>
            <w:tcW w:w="1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1500</w:t>
            </w:r>
          </w:p>
        </w:tc>
        <w:tc>
          <w:tcPr>
            <w:tcW w:w="1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执行数:</w:t>
            </w:r>
          </w:p>
        </w:tc>
        <w:tc>
          <w:tcPr>
            <w:tcW w:w="235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1500</w:t>
            </w:r>
          </w:p>
        </w:tc>
      </w:tr>
      <w:tr>
        <w:tblPrEx>
          <w:tblCellMar>
            <w:top w:w="0" w:type="dxa"/>
            <w:left w:w="0" w:type="dxa"/>
            <w:bottom w:w="0" w:type="dxa"/>
            <w:right w:w="0" w:type="dxa"/>
          </w:tblCellMar>
        </w:tblPrEx>
        <w:trPr>
          <w:trHeight w:val="55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p>
        </w:tc>
        <w:tc>
          <w:tcPr>
            <w:tcW w:w="178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其中-财政拨款:</w:t>
            </w:r>
          </w:p>
        </w:tc>
        <w:tc>
          <w:tcPr>
            <w:tcW w:w="1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1500</w:t>
            </w:r>
          </w:p>
        </w:tc>
        <w:tc>
          <w:tcPr>
            <w:tcW w:w="1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其中-财政拨款:</w:t>
            </w:r>
          </w:p>
        </w:tc>
        <w:tc>
          <w:tcPr>
            <w:tcW w:w="235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1500</w:t>
            </w:r>
          </w:p>
        </w:tc>
      </w:tr>
      <w:tr>
        <w:tblPrEx>
          <w:tblCellMar>
            <w:top w:w="0" w:type="dxa"/>
            <w:left w:w="0" w:type="dxa"/>
            <w:bottom w:w="0" w:type="dxa"/>
            <w:right w:w="0" w:type="dxa"/>
          </w:tblCellMar>
        </w:tblPrEx>
        <w:trPr>
          <w:trHeight w:val="55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p>
        </w:tc>
        <w:tc>
          <w:tcPr>
            <w:tcW w:w="178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其它资金:</w:t>
            </w:r>
          </w:p>
        </w:tc>
        <w:tc>
          <w:tcPr>
            <w:tcW w:w="1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0</w:t>
            </w:r>
          </w:p>
        </w:tc>
        <w:tc>
          <w:tcPr>
            <w:tcW w:w="1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其它资金:</w:t>
            </w:r>
          </w:p>
        </w:tc>
        <w:tc>
          <w:tcPr>
            <w:tcW w:w="235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0</w:t>
            </w:r>
          </w:p>
        </w:tc>
      </w:tr>
      <w:tr>
        <w:tblPrEx>
          <w:tblCellMar>
            <w:top w:w="0" w:type="dxa"/>
            <w:left w:w="0" w:type="dxa"/>
            <w:bottom w:w="0" w:type="dxa"/>
            <w:right w:w="0" w:type="dxa"/>
          </w:tblCellMar>
        </w:tblPrEx>
        <w:trPr>
          <w:trHeight w:val="555" w:hRule="atLeast"/>
        </w:trPr>
        <w:tc>
          <w:tcPr>
            <w:tcW w:w="63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年度目标完成情况</w:t>
            </w:r>
          </w:p>
        </w:tc>
        <w:tc>
          <w:tcPr>
            <w:tcW w:w="252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预期目标</w:t>
            </w:r>
          </w:p>
        </w:tc>
        <w:tc>
          <w:tcPr>
            <w:tcW w:w="515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实际完成目标</w:t>
            </w:r>
          </w:p>
        </w:tc>
      </w:tr>
      <w:tr>
        <w:tblPrEx>
          <w:tblCellMar>
            <w:top w:w="0" w:type="dxa"/>
            <w:left w:w="0" w:type="dxa"/>
            <w:bottom w:w="0" w:type="dxa"/>
            <w:right w:w="0" w:type="dxa"/>
          </w:tblCellMar>
        </w:tblPrEx>
        <w:trPr>
          <w:trHeight w:val="1920"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p>
        </w:tc>
        <w:tc>
          <w:tcPr>
            <w:tcW w:w="252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ind w:firstLine="64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sz w:val="32"/>
                <w:szCs w:val="32"/>
              </w:rPr>
              <w:t>红原县城市生活垃圾分类回收资源化处理厂投产后有效提高城市人民的生活质量，改善环境及促进城市的经济建设将产生深远的影响。本项目的实施从根本上解决了生活垃圾带来的灰色地带，保护了国家及地区的土地资源。</w:t>
            </w:r>
          </w:p>
        </w:tc>
        <w:tc>
          <w:tcPr>
            <w:tcW w:w="515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已完成所有建设内容，并投入使用。各项指标均达到预期目标</w:t>
            </w:r>
          </w:p>
        </w:tc>
      </w:tr>
      <w:tr>
        <w:tblPrEx>
          <w:tblCellMar>
            <w:top w:w="0" w:type="dxa"/>
            <w:left w:w="0" w:type="dxa"/>
            <w:bottom w:w="0" w:type="dxa"/>
            <w:right w:w="0" w:type="dxa"/>
          </w:tblCellMar>
        </w:tblPrEx>
        <w:trPr>
          <w:trHeight w:val="555" w:hRule="atLeast"/>
        </w:trPr>
        <w:tc>
          <w:tcPr>
            <w:tcW w:w="63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绩效指标完成情况</w:t>
            </w:r>
          </w:p>
        </w:tc>
        <w:tc>
          <w:tcPr>
            <w:tcW w:w="78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drawing>
                <wp:anchor distT="0" distB="0" distL="114300" distR="114300" simplePos="0" relativeHeight="251660288"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3" name="直接连接符_10"/>
                  <wp:cNvGraphicFramePr/>
                  <a:graphic xmlns:a="http://schemas.openxmlformats.org/drawingml/2006/main">
                    <a:graphicData uri="http://schemas.openxmlformats.org/drawingml/2006/picture">
                      <pic:pic xmlns:pic="http://schemas.openxmlformats.org/drawingml/2006/picture">
                        <pic:nvPicPr>
                          <pic:cNvPr id="3" name="直接连接符_10"/>
                          <pic:cNvPicPr/>
                        </pic:nvPicPr>
                        <pic:blipFill>
                          <a:blip r:embed="rId12"/>
                          <a:stretch>
                            <a:fillRect/>
                          </a:stretch>
                        </pic:blipFill>
                        <pic:spPr>
                          <a:xfrm>
                            <a:off x="0" y="0"/>
                            <a:ext cx="9525" cy="9525"/>
                          </a:xfrm>
                          <a:prstGeom prst="rect">
                            <a:avLst/>
                          </a:prstGeom>
                          <a:noFill/>
                          <a:ln>
                            <a:noFill/>
                          </a:ln>
                        </pic:spPr>
                      </pic:pic>
                    </a:graphicData>
                  </a:graphic>
                </wp:anchor>
              </w:drawing>
            </w:r>
            <w:r>
              <w:rPr>
                <w:rFonts w:hint="eastAsia" w:ascii="仿宋_GB2312" w:hAnsi="仿宋_GB2312" w:eastAsia="仿宋_GB2312" w:cs="仿宋_GB2312"/>
                <w:color w:val="000000"/>
                <w:kern w:val="0"/>
                <w:sz w:val="32"/>
                <w:szCs w:val="32"/>
              </w:rPr>
              <w:drawing>
                <wp:anchor distT="0" distB="0" distL="114300" distR="114300" simplePos="0" relativeHeight="251661312"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4" name="直接连接符_8"/>
                  <wp:cNvGraphicFramePr/>
                  <a:graphic xmlns:a="http://schemas.openxmlformats.org/drawingml/2006/main">
                    <a:graphicData uri="http://schemas.openxmlformats.org/drawingml/2006/picture">
                      <pic:pic xmlns:pic="http://schemas.openxmlformats.org/drawingml/2006/picture">
                        <pic:nvPicPr>
                          <pic:cNvPr id="4" name="直接连接符_8"/>
                          <pic:cNvPicPr/>
                        </pic:nvPicPr>
                        <pic:blipFill>
                          <a:blip r:embed="rId12"/>
                          <a:stretch>
                            <a:fillRect/>
                          </a:stretch>
                        </pic:blipFill>
                        <pic:spPr>
                          <a:xfrm>
                            <a:off x="0" y="0"/>
                            <a:ext cx="9525" cy="9525"/>
                          </a:xfrm>
                          <a:prstGeom prst="rect">
                            <a:avLst/>
                          </a:prstGeom>
                          <a:noFill/>
                          <a:ln>
                            <a:noFill/>
                          </a:ln>
                        </pic:spPr>
                      </pic:pic>
                    </a:graphicData>
                  </a:graphic>
                </wp:anchor>
              </w:drawing>
            </w:r>
            <w:r>
              <w:rPr>
                <w:rFonts w:hint="eastAsia" w:ascii="仿宋_GB2312" w:hAnsi="仿宋_GB2312" w:eastAsia="仿宋_GB2312" w:cs="仿宋_GB2312"/>
                <w:color w:val="000000"/>
                <w:kern w:val="0"/>
                <w:sz w:val="32"/>
                <w:szCs w:val="32"/>
              </w:rPr>
              <w:drawing>
                <wp:anchor distT="0" distB="0" distL="114300" distR="114300" simplePos="0" relativeHeight="251662336"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5" name="直接连接符_9"/>
                  <wp:cNvGraphicFramePr/>
                  <a:graphic xmlns:a="http://schemas.openxmlformats.org/drawingml/2006/main">
                    <a:graphicData uri="http://schemas.openxmlformats.org/drawingml/2006/picture">
                      <pic:pic xmlns:pic="http://schemas.openxmlformats.org/drawingml/2006/picture">
                        <pic:nvPicPr>
                          <pic:cNvPr id="5" name="直接连接符_9"/>
                          <pic:cNvPicPr/>
                        </pic:nvPicPr>
                        <pic:blipFill>
                          <a:blip r:embed="rId12"/>
                          <a:stretch>
                            <a:fillRect/>
                          </a:stretch>
                        </pic:blipFill>
                        <pic:spPr>
                          <a:xfrm>
                            <a:off x="0" y="0"/>
                            <a:ext cx="9525" cy="9525"/>
                          </a:xfrm>
                          <a:prstGeom prst="rect">
                            <a:avLst/>
                          </a:prstGeom>
                          <a:noFill/>
                          <a:ln>
                            <a:noFill/>
                          </a:ln>
                        </pic:spPr>
                      </pic:pic>
                    </a:graphicData>
                  </a:graphic>
                </wp:anchor>
              </w:drawing>
            </w:r>
            <w:r>
              <w:rPr>
                <w:rFonts w:hint="eastAsia" w:ascii="仿宋_GB2312" w:hAnsi="仿宋_GB2312" w:eastAsia="仿宋_GB2312" w:cs="仿宋_GB2312"/>
                <w:color w:val="000000"/>
                <w:kern w:val="0"/>
                <w:sz w:val="32"/>
                <w:szCs w:val="32"/>
              </w:rPr>
              <w:drawing>
                <wp:anchor distT="0" distB="0" distL="114300" distR="114300" simplePos="0" relativeHeight="251663360"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6" name="直接连接符_7"/>
                  <wp:cNvGraphicFramePr/>
                  <a:graphic xmlns:a="http://schemas.openxmlformats.org/drawingml/2006/main">
                    <a:graphicData uri="http://schemas.openxmlformats.org/drawingml/2006/picture">
                      <pic:pic xmlns:pic="http://schemas.openxmlformats.org/drawingml/2006/picture">
                        <pic:nvPicPr>
                          <pic:cNvPr id="6" name="直接连接符_7"/>
                          <pic:cNvPicPr/>
                        </pic:nvPicPr>
                        <pic:blipFill>
                          <a:blip r:embed="rId12"/>
                          <a:stretch>
                            <a:fillRect/>
                          </a:stretch>
                        </pic:blipFill>
                        <pic:spPr>
                          <a:xfrm>
                            <a:off x="0" y="0"/>
                            <a:ext cx="9525" cy="9525"/>
                          </a:xfrm>
                          <a:prstGeom prst="rect">
                            <a:avLst/>
                          </a:prstGeom>
                          <a:noFill/>
                          <a:ln>
                            <a:noFill/>
                          </a:ln>
                        </pic:spPr>
                      </pic:pic>
                    </a:graphicData>
                  </a:graphic>
                </wp:anchor>
              </w:drawing>
            </w:r>
            <w:r>
              <w:rPr>
                <w:rFonts w:hint="eastAsia" w:ascii="仿宋_GB2312" w:hAnsi="仿宋_GB2312" w:eastAsia="仿宋_GB2312" w:cs="仿宋_GB2312"/>
                <w:color w:val="000000"/>
                <w:kern w:val="0"/>
                <w:sz w:val="32"/>
                <w:szCs w:val="32"/>
              </w:rPr>
              <w:t>一级指标</w:t>
            </w: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二级指标</w:t>
            </w:r>
          </w:p>
        </w:tc>
        <w:tc>
          <w:tcPr>
            <w:tcW w:w="7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三级指标</w:t>
            </w:r>
          </w:p>
        </w:tc>
        <w:tc>
          <w:tcPr>
            <w:tcW w:w="280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指标评价内容</w:t>
            </w:r>
          </w:p>
        </w:tc>
        <w:tc>
          <w:tcPr>
            <w:tcW w:w="155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预期指标值(包含数字及文字描述)</w:t>
            </w:r>
          </w:p>
        </w:tc>
        <w:tc>
          <w:tcPr>
            <w:tcW w:w="79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实际完成指标值(包含数字及文字描述)</w:t>
            </w:r>
          </w:p>
        </w:tc>
      </w:tr>
      <w:tr>
        <w:tblPrEx>
          <w:tblCellMar>
            <w:top w:w="0" w:type="dxa"/>
            <w:left w:w="0" w:type="dxa"/>
            <w:bottom w:w="0" w:type="dxa"/>
            <w:right w:w="0" w:type="dxa"/>
          </w:tblCellMar>
        </w:tblPrEx>
        <w:trPr>
          <w:trHeight w:val="55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b/>
                <w:color w:val="000000"/>
                <w:sz w:val="32"/>
                <w:szCs w:val="32"/>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b/>
                <w:color w:val="000000"/>
                <w:sz w:val="32"/>
                <w:szCs w:val="32"/>
              </w:rPr>
            </w:pPr>
          </w:p>
        </w:tc>
        <w:tc>
          <w:tcPr>
            <w:tcW w:w="7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b/>
                <w:color w:val="000000"/>
                <w:sz w:val="32"/>
                <w:szCs w:val="32"/>
              </w:rPr>
            </w:pPr>
          </w:p>
        </w:tc>
        <w:tc>
          <w:tcPr>
            <w:tcW w:w="280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b/>
                <w:color w:val="000000"/>
                <w:sz w:val="32"/>
                <w:szCs w:val="32"/>
              </w:rPr>
            </w:pPr>
          </w:p>
        </w:tc>
        <w:tc>
          <w:tcPr>
            <w:tcW w:w="1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b/>
                <w:color w:val="000000"/>
                <w:sz w:val="32"/>
                <w:szCs w:val="32"/>
              </w:rPr>
            </w:pPr>
          </w:p>
        </w:tc>
        <w:tc>
          <w:tcPr>
            <w:tcW w:w="79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b/>
                <w:color w:val="000000"/>
                <w:sz w:val="32"/>
                <w:szCs w:val="32"/>
              </w:rPr>
            </w:pPr>
          </w:p>
        </w:tc>
      </w:tr>
      <w:tr>
        <w:tblPrEx>
          <w:tblCellMar>
            <w:top w:w="0" w:type="dxa"/>
            <w:left w:w="0" w:type="dxa"/>
            <w:bottom w:w="0" w:type="dxa"/>
            <w:right w:w="0" w:type="dxa"/>
          </w:tblCellMar>
        </w:tblPrEx>
        <w:trPr>
          <w:trHeight w:val="312"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b/>
                <w:color w:val="000000"/>
                <w:sz w:val="32"/>
                <w:szCs w:val="32"/>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b/>
                <w:color w:val="000000"/>
                <w:sz w:val="32"/>
                <w:szCs w:val="32"/>
              </w:rPr>
            </w:pPr>
          </w:p>
        </w:tc>
        <w:tc>
          <w:tcPr>
            <w:tcW w:w="7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b/>
                <w:color w:val="000000"/>
                <w:sz w:val="32"/>
                <w:szCs w:val="32"/>
              </w:rPr>
            </w:pPr>
          </w:p>
        </w:tc>
        <w:tc>
          <w:tcPr>
            <w:tcW w:w="280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b/>
                <w:color w:val="000000"/>
                <w:sz w:val="32"/>
                <w:szCs w:val="32"/>
              </w:rPr>
            </w:pPr>
          </w:p>
        </w:tc>
        <w:tc>
          <w:tcPr>
            <w:tcW w:w="1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b/>
                <w:color w:val="000000"/>
                <w:sz w:val="32"/>
                <w:szCs w:val="32"/>
              </w:rPr>
            </w:pPr>
          </w:p>
        </w:tc>
        <w:tc>
          <w:tcPr>
            <w:tcW w:w="79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b/>
                <w:color w:val="000000"/>
                <w:sz w:val="32"/>
                <w:szCs w:val="32"/>
              </w:rPr>
            </w:pPr>
          </w:p>
        </w:tc>
      </w:tr>
      <w:tr>
        <w:tblPrEx>
          <w:tblCellMar>
            <w:top w:w="0" w:type="dxa"/>
            <w:left w:w="0" w:type="dxa"/>
            <w:bottom w:w="0" w:type="dxa"/>
            <w:right w:w="0" w:type="dxa"/>
          </w:tblCellMar>
        </w:tblPrEx>
        <w:trPr>
          <w:trHeight w:val="76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jc w:val="left"/>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项目决策</w:t>
            </w: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绩效目标</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目标内容</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项目预期提供的产品、服务、效益或其他目标明确,即绩效目标实际明确个数/应当明确个数×100%</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完成建设内容</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完成建设内容</w:t>
            </w:r>
          </w:p>
        </w:tc>
      </w:tr>
      <w:tr>
        <w:tblPrEx>
          <w:tblCellMar>
            <w:top w:w="0" w:type="dxa"/>
            <w:left w:w="0" w:type="dxa"/>
            <w:bottom w:w="0" w:type="dxa"/>
            <w:right w:w="0" w:type="dxa"/>
          </w:tblCellMar>
        </w:tblPrEx>
        <w:trPr>
          <w:trHeight w:val="64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进度计划</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项目计划实施进度明确</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按照工期进度表进行</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按时完工</w:t>
            </w:r>
          </w:p>
        </w:tc>
      </w:tr>
      <w:tr>
        <w:tblPrEx>
          <w:tblCellMar>
            <w:top w:w="0" w:type="dxa"/>
            <w:left w:w="0" w:type="dxa"/>
            <w:bottom w:w="0" w:type="dxa"/>
            <w:right w:w="0" w:type="dxa"/>
          </w:tblCellMar>
        </w:tblPrEx>
        <w:trPr>
          <w:trHeight w:val="690"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目标匹配</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绩效目标设定符合实际需求的抽样项目点个数/抽样项目点总数×100%</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w:t>
            </w:r>
          </w:p>
        </w:tc>
      </w:tr>
      <w:tr>
        <w:tblPrEx>
          <w:tblCellMar>
            <w:top w:w="0" w:type="dxa"/>
            <w:left w:w="0" w:type="dxa"/>
            <w:bottom w:w="0" w:type="dxa"/>
            <w:right w:w="0" w:type="dxa"/>
          </w:tblCellMar>
        </w:tblPrEx>
        <w:trPr>
          <w:trHeight w:val="76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决策依据</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政策依据</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项目符合党中央、国务院和省委、省政府决策部署；符合当前经济社会发展需要</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符合</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符合</w:t>
            </w:r>
          </w:p>
        </w:tc>
      </w:tr>
      <w:tr>
        <w:tblPrEx>
          <w:tblCellMar>
            <w:top w:w="0" w:type="dxa"/>
            <w:left w:w="0" w:type="dxa"/>
            <w:bottom w:w="0" w:type="dxa"/>
            <w:right w:w="0" w:type="dxa"/>
          </w:tblCellMar>
        </w:tblPrEx>
        <w:trPr>
          <w:trHeight w:val="55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实施规划</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连续性项目根据需要制定中长期实施规划</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已制定</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已制定</w:t>
            </w:r>
          </w:p>
        </w:tc>
      </w:tr>
      <w:tr>
        <w:tblPrEx>
          <w:tblCellMar>
            <w:top w:w="0" w:type="dxa"/>
            <w:left w:w="0" w:type="dxa"/>
            <w:bottom w:w="0" w:type="dxa"/>
            <w:right w:w="0" w:type="dxa"/>
          </w:tblCellMar>
        </w:tblPrEx>
        <w:trPr>
          <w:trHeight w:val="55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实施规划符合实际，并根据情况变化适时调整</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r>
      <w:tr>
        <w:tblPrEx>
          <w:tblCellMar>
            <w:top w:w="0" w:type="dxa"/>
            <w:left w:w="0" w:type="dxa"/>
            <w:bottom w:w="0" w:type="dxa"/>
            <w:right w:w="0" w:type="dxa"/>
          </w:tblCellMar>
        </w:tblPrEx>
        <w:trPr>
          <w:trHeight w:val="55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管理制度</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制定项目资金管理办法</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已制定</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已制定</w:t>
            </w:r>
          </w:p>
        </w:tc>
      </w:tr>
      <w:tr>
        <w:tblPrEx>
          <w:tblCellMar>
            <w:top w:w="0" w:type="dxa"/>
            <w:left w:w="0" w:type="dxa"/>
            <w:bottom w:w="0" w:type="dxa"/>
            <w:right w:w="0" w:type="dxa"/>
          </w:tblCellMar>
        </w:tblPrEx>
        <w:trPr>
          <w:trHeight w:val="750"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项目资金分配决策程序明确</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r>
      <w:tr>
        <w:tblPrEx>
          <w:tblCellMar>
            <w:top w:w="0" w:type="dxa"/>
            <w:left w:w="0" w:type="dxa"/>
            <w:bottom w:w="0" w:type="dxa"/>
            <w:right w:w="0" w:type="dxa"/>
          </w:tblCellMar>
        </w:tblPrEx>
        <w:trPr>
          <w:trHeight w:val="82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资金分配</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分配方法</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资金分配方法是否科学合理</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r>
      <w:tr>
        <w:tblPrEx>
          <w:tblCellMar>
            <w:top w:w="0" w:type="dxa"/>
            <w:left w:w="0" w:type="dxa"/>
            <w:bottom w:w="0" w:type="dxa"/>
            <w:right w:w="0" w:type="dxa"/>
          </w:tblCellMar>
        </w:tblPrEx>
        <w:trPr>
          <w:trHeight w:val="55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分配过程</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分配过程符合相关规定</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r>
      <w:tr>
        <w:tblPrEx>
          <w:tblCellMar>
            <w:top w:w="0" w:type="dxa"/>
            <w:left w:w="0" w:type="dxa"/>
            <w:bottom w:w="0" w:type="dxa"/>
            <w:right w:w="0" w:type="dxa"/>
          </w:tblCellMar>
        </w:tblPrEx>
        <w:trPr>
          <w:trHeight w:val="76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分配结果</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审核把关</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符合申报条件的抽样项目点个数/抽样项目点总数×100%</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2个</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2个</w:t>
            </w:r>
          </w:p>
        </w:tc>
      </w:tr>
      <w:tr>
        <w:tblPrEx>
          <w:tblCellMar>
            <w:top w:w="0" w:type="dxa"/>
            <w:left w:w="0" w:type="dxa"/>
            <w:bottom w:w="0" w:type="dxa"/>
            <w:right w:w="0" w:type="dxa"/>
          </w:tblCellMar>
        </w:tblPrEx>
        <w:trPr>
          <w:trHeight w:val="1020"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资金集中</w:t>
            </w:r>
          </w:p>
        </w:tc>
        <w:tc>
          <w:tcPr>
            <w:tcW w:w="11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集中</w:t>
            </w:r>
          </w:p>
        </w:tc>
        <w:tc>
          <w:tcPr>
            <w:tcW w:w="1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财政资金占项目资金总额比重较小项目个数/项目总数×100%</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100%</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100%</w:t>
            </w:r>
          </w:p>
        </w:tc>
      </w:tr>
      <w:tr>
        <w:tblPrEx>
          <w:tblCellMar>
            <w:top w:w="0" w:type="dxa"/>
            <w:left w:w="0" w:type="dxa"/>
            <w:bottom w:w="0" w:type="dxa"/>
            <w:right w:w="0" w:type="dxa"/>
          </w:tblCellMar>
        </w:tblPrEx>
        <w:trPr>
          <w:trHeight w:val="73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（均衡）</w:t>
            </w:r>
          </w:p>
        </w:tc>
        <w:tc>
          <w:tcPr>
            <w:tcW w:w="11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均衡</w:t>
            </w:r>
          </w:p>
        </w:tc>
        <w:tc>
          <w:tcPr>
            <w:tcW w:w="1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按实际分配结果选择客观因素测算验证资金分配方法制定、分配要素设定、基础数据应用、测算依据选取等是否科学合理（2分）</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r>
      <w:tr>
        <w:tblPrEx>
          <w:tblCellMar>
            <w:top w:w="0" w:type="dxa"/>
            <w:left w:w="0" w:type="dxa"/>
            <w:bottom w:w="0" w:type="dxa"/>
            <w:right w:w="0" w:type="dxa"/>
          </w:tblCellMar>
        </w:tblPrEx>
        <w:trPr>
          <w:trHeight w:val="540"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jc w:val="left"/>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项目管理</w:t>
            </w: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 xml:space="preserve"> 资金到位</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分配时效</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县级主管部门按规定及时分配资金</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r>
      <w:tr>
        <w:tblPrEx>
          <w:tblCellMar>
            <w:top w:w="0" w:type="dxa"/>
            <w:left w:w="0" w:type="dxa"/>
            <w:bottom w:w="0" w:type="dxa"/>
            <w:right w:w="0" w:type="dxa"/>
          </w:tblCellMar>
        </w:tblPrEx>
        <w:trPr>
          <w:trHeight w:val="744"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资金拨付</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按规定及时拨付资金</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r>
      <w:tr>
        <w:tblPrEx>
          <w:tblCellMar>
            <w:top w:w="0" w:type="dxa"/>
            <w:left w:w="0" w:type="dxa"/>
            <w:bottom w:w="0" w:type="dxa"/>
            <w:right w:w="0" w:type="dxa"/>
          </w:tblCellMar>
        </w:tblPrEx>
        <w:trPr>
          <w:trHeight w:val="55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 xml:space="preserve">资金管理  </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使用范围</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资金使用是否合规</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r>
      <w:tr>
        <w:tblPrEx>
          <w:tblCellMar>
            <w:top w:w="0" w:type="dxa"/>
            <w:left w:w="0" w:type="dxa"/>
            <w:bottom w:w="0" w:type="dxa"/>
            <w:right w:w="0" w:type="dxa"/>
          </w:tblCellMar>
        </w:tblPrEx>
        <w:trPr>
          <w:trHeight w:val="55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支付依据</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资金支付依据符合规定，即支付依旧合规资金量/资金总量×100%</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r>
      <w:tr>
        <w:tblPrEx>
          <w:tblCellMar>
            <w:top w:w="0" w:type="dxa"/>
            <w:left w:w="0" w:type="dxa"/>
            <w:bottom w:w="0" w:type="dxa"/>
            <w:right w:w="0" w:type="dxa"/>
          </w:tblCellMar>
        </w:tblPrEx>
        <w:trPr>
          <w:trHeight w:val="55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开支标准</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资金开支标准符合规定，即开支标准合规资金量/资金总量×100%</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r>
      <w:tr>
        <w:tblPrEx>
          <w:tblCellMar>
            <w:top w:w="0" w:type="dxa"/>
            <w:left w:w="0" w:type="dxa"/>
            <w:bottom w:w="0" w:type="dxa"/>
            <w:right w:w="0" w:type="dxa"/>
          </w:tblCellMar>
        </w:tblPrEx>
        <w:trPr>
          <w:trHeight w:val="73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财务管理</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财务制度</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财务制度健全，管理规范</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r>
      <w:tr>
        <w:tblPrEx>
          <w:tblCellMar>
            <w:top w:w="0" w:type="dxa"/>
            <w:left w:w="0" w:type="dxa"/>
            <w:bottom w:w="0" w:type="dxa"/>
            <w:right w:w="0" w:type="dxa"/>
          </w:tblCellMar>
        </w:tblPrEx>
        <w:trPr>
          <w:trHeight w:val="55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会计核算</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会计核算规范</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r>
      <w:tr>
        <w:tblPrEx>
          <w:tblCellMar>
            <w:top w:w="0" w:type="dxa"/>
            <w:left w:w="0" w:type="dxa"/>
            <w:bottom w:w="0" w:type="dxa"/>
            <w:right w:w="0" w:type="dxa"/>
          </w:tblCellMar>
        </w:tblPrEx>
        <w:trPr>
          <w:trHeight w:val="55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组织实施（4分）</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项目调整</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项目调整严格履行相关手续</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r>
      <w:tr>
        <w:tblPrEx>
          <w:tblCellMar>
            <w:top w:w="0" w:type="dxa"/>
            <w:left w:w="0" w:type="dxa"/>
            <w:bottom w:w="0" w:type="dxa"/>
            <w:right w:w="0" w:type="dxa"/>
          </w:tblCellMar>
        </w:tblPrEx>
        <w:trPr>
          <w:trHeight w:val="85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投资变更</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项目投资变更额/项目总投入×100%</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r>
      <w:tr>
        <w:tblPrEx>
          <w:tblCellMar>
            <w:top w:w="0" w:type="dxa"/>
            <w:left w:w="0" w:type="dxa"/>
            <w:bottom w:w="0" w:type="dxa"/>
            <w:right w:w="0" w:type="dxa"/>
          </w:tblCellMar>
        </w:tblPrEx>
        <w:trPr>
          <w:trHeight w:val="76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制度执行</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严格执行项目有关制度规定</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w:t>
            </w:r>
          </w:p>
        </w:tc>
      </w:tr>
      <w:tr>
        <w:tblPrEx>
          <w:tblCellMar>
            <w:top w:w="0" w:type="dxa"/>
            <w:left w:w="0" w:type="dxa"/>
            <w:bottom w:w="0" w:type="dxa"/>
            <w:right w:w="0" w:type="dxa"/>
          </w:tblCellMar>
        </w:tblPrEx>
        <w:trPr>
          <w:trHeight w:val="555" w:hRule="atLeast"/>
        </w:trPr>
        <w:tc>
          <w:tcPr>
            <w:tcW w:w="63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jc w:val="left"/>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bdr w:val="single" w:color="000000" w:sz="4" w:space="0"/>
              </w:rPr>
              <w:drawing>
                <wp:anchor distT="0" distB="0" distL="114300" distR="114300" simplePos="0" relativeHeight="251664384" behindDoc="0" locked="0" layoutInCell="1" allowOverlap="1">
                  <wp:simplePos x="0" y="0"/>
                  <wp:positionH relativeFrom="column">
                    <wp:posOffset>0</wp:posOffset>
                  </wp:positionH>
                  <wp:positionV relativeFrom="paragraph">
                    <wp:posOffset>3432175</wp:posOffset>
                  </wp:positionV>
                  <wp:extent cx="28575" cy="9525"/>
                  <wp:effectExtent l="0" t="0" r="0" b="0"/>
                  <wp:wrapNone/>
                  <wp:docPr id="7" name="直接连接符_6"/>
                  <wp:cNvGraphicFramePr/>
                  <a:graphic xmlns:a="http://schemas.openxmlformats.org/drawingml/2006/main">
                    <a:graphicData uri="http://schemas.openxmlformats.org/drawingml/2006/picture">
                      <pic:pic xmlns:pic="http://schemas.openxmlformats.org/drawingml/2006/picture">
                        <pic:nvPicPr>
                          <pic:cNvPr id="7" name="直接连接符_6"/>
                          <pic:cNvPicPr/>
                        </pic:nvPicPr>
                        <pic:blipFill>
                          <a:blip r:embed="rId13"/>
                          <a:stretch>
                            <a:fillRect/>
                          </a:stretch>
                        </pic:blipFill>
                        <pic:spPr>
                          <a:xfrm>
                            <a:off x="0" y="0"/>
                            <a:ext cx="28575" cy="9525"/>
                          </a:xfrm>
                          <a:prstGeom prst="rect">
                            <a:avLst/>
                          </a:prstGeom>
                          <a:noFill/>
                          <a:ln>
                            <a:noFill/>
                          </a:ln>
                        </pic:spPr>
                      </pic:pic>
                    </a:graphicData>
                  </a:graphic>
                </wp:anchor>
              </w:drawing>
            </w:r>
            <w:r>
              <w:rPr>
                <w:rFonts w:hint="eastAsia" w:ascii="仿宋_GB2312" w:hAnsi="仿宋_GB2312" w:eastAsia="仿宋_GB2312" w:cs="仿宋_GB2312"/>
                <w:color w:val="000000"/>
                <w:kern w:val="0"/>
                <w:sz w:val="32"/>
                <w:szCs w:val="32"/>
                <w:bdr w:val="single" w:color="000000" w:sz="4" w:space="0"/>
              </w:rPr>
              <w:drawing>
                <wp:anchor distT="0" distB="0" distL="114300" distR="114300" simplePos="0" relativeHeight="251665408" behindDoc="0" locked="0" layoutInCell="1" allowOverlap="1">
                  <wp:simplePos x="0" y="0"/>
                  <wp:positionH relativeFrom="column">
                    <wp:posOffset>381000</wp:posOffset>
                  </wp:positionH>
                  <wp:positionV relativeFrom="paragraph">
                    <wp:posOffset>3432175</wp:posOffset>
                  </wp:positionV>
                  <wp:extent cx="9525" cy="9525"/>
                  <wp:effectExtent l="0" t="0" r="0" b="0"/>
                  <wp:wrapNone/>
                  <wp:docPr id="8" name="直接连接符_5"/>
                  <wp:cNvGraphicFramePr/>
                  <a:graphic xmlns:a="http://schemas.openxmlformats.org/drawingml/2006/main">
                    <a:graphicData uri="http://schemas.openxmlformats.org/drawingml/2006/picture">
                      <pic:pic xmlns:pic="http://schemas.openxmlformats.org/drawingml/2006/picture">
                        <pic:nvPicPr>
                          <pic:cNvPr id="8" name="直接连接符_5"/>
                          <pic:cNvPicPr/>
                        </pic:nvPicPr>
                        <pic:blipFill>
                          <a:blip r:embed="rId14"/>
                          <a:stretch>
                            <a:fillRect/>
                          </a:stretch>
                        </pic:blipFill>
                        <pic:spPr>
                          <a:xfrm>
                            <a:off x="0" y="0"/>
                            <a:ext cx="9525" cy="9525"/>
                          </a:xfrm>
                          <a:prstGeom prst="rect">
                            <a:avLst/>
                          </a:prstGeom>
                          <a:noFill/>
                          <a:ln>
                            <a:noFill/>
                          </a:ln>
                        </pic:spPr>
                      </pic:pic>
                    </a:graphicData>
                  </a:graphic>
                </wp:anchor>
              </w:drawing>
            </w:r>
            <w:r>
              <w:rPr>
                <w:rFonts w:hint="eastAsia" w:ascii="仿宋_GB2312" w:hAnsi="仿宋_GB2312" w:eastAsia="仿宋_GB2312" w:cs="仿宋_GB2312"/>
                <w:color w:val="000000"/>
                <w:kern w:val="0"/>
                <w:sz w:val="32"/>
                <w:szCs w:val="32"/>
              </w:rPr>
              <w:t>项目绩效</w:t>
            </w: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项目完成</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完成数量</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实际完成任务量/绩效目标设定任务量×100%</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100%</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100%</w:t>
            </w:r>
          </w:p>
        </w:tc>
      </w:tr>
      <w:tr>
        <w:tblPrEx>
          <w:tblCellMar>
            <w:top w:w="0" w:type="dxa"/>
            <w:left w:w="0" w:type="dxa"/>
            <w:bottom w:w="0" w:type="dxa"/>
            <w:right w:w="0" w:type="dxa"/>
          </w:tblCellMar>
        </w:tblPrEx>
        <w:trPr>
          <w:trHeight w:val="55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完成质量</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符合绩效目标设定的验收标准，达到行业基准水平</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符合</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符合</w:t>
            </w:r>
          </w:p>
        </w:tc>
      </w:tr>
      <w:tr>
        <w:tblPrEx>
          <w:tblCellMar>
            <w:top w:w="0" w:type="dxa"/>
            <w:left w:w="0" w:type="dxa"/>
            <w:bottom w:w="0" w:type="dxa"/>
            <w:right w:w="0" w:type="dxa"/>
          </w:tblCellMar>
        </w:tblPrEx>
        <w:trPr>
          <w:trHeight w:val="800"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完成时效</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（实际完成时间-绩效目标设定完成时间）/绩效目标设定完成时间×100%</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100%</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100%</w:t>
            </w:r>
          </w:p>
        </w:tc>
      </w:tr>
      <w:tr>
        <w:tblPrEx>
          <w:tblCellMar>
            <w:top w:w="0" w:type="dxa"/>
            <w:left w:w="0" w:type="dxa"/>
            <w:bottom w:w="0" w:type="dxa"/>
            <w:right w:w="0" w:type="dxa"/>
          </w:tblCellMar>
        </w:tblPrEx>
        <w:trPr>
          <w:trHeight w:val="55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完成成本</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（实际完成成本-预计完成成本）/预计完成成本×100%</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100%</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100%</w:t>
            </w:r>
          </w:p>
        </w:tc>
      </w:tr>
      <w:tr>
        <w:tblPrEx>
          <w:tblCellMar>
            <w:top w:w="0" w:type="dxa"/>
            <w:left w:w="0" w:type="dxa"/>
            <w:bottom w:w="0" w:type="dxa"/>
            <w:right w:w="0" w:type="dxa"/>
          </w:tblCellMar>
        </w:tblPrEx>
        <w:trPr>
          <w:trHeight w:val="720"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项目效益</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经济效益</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反映相关产出对经济社会发展带来的影响和效果，根据项目实际细化具体指标。</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提升人居生活环境及生活质量</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提升人居生活环境及生活质量</w:t>
            </w:r>
          </w:p>
        </w:tc>
      </w:tr>
      <w:tr>
        <w:tblPrEx>
          <w:tblCellMar>
            <w:top w:w="0" w:type="dxa"/>
            <w:left w:w="0" w:type="dxa"/>
            <w:bottom w:w="0" w:type="dxa"/>
            <w:right w:w="0" w:type="dxa"/>
          </w:tblCellMar>
        </w:tblPrEx>
        <w:trPr>
          <w:trHeight w:val="1276"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社会效益</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反映相关产出对社会发展带来的影响和效果，根据项目实际细化具体指标。</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城市的整体形象得以提高，人居生活条件得以改善</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城市的整体形象得以提高，人居生活条件得以改善</w:t>
            </w:r>
          </w:p>
        </w:tc>
      </w:tr>
      <w:tr>
        <w:tblPrEx>
          <w:tblCellMar>
            <w:top w:w="0" w:type="dxa"/>
            <w:left w:w="0" w:type="dxa"/>
            <w:bottom w:w="0" w:type="dxa"/>
            <w:right w:w="0" w:type="dxa"/>
          </w:tblCellMar>
        </w:tblPrEx>
        <w:trPr>
          <w:trHeight w:val="720"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生态效益</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反映相关产出对自然环境带来的影响和效果，根据项目实际细化具体指标。</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城市的整体形象得以提高，人居生活条件得以改善</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城市的整体形象得以提高，人居生活条件得以改善</w:t>
            </w:r>
          </w:p>
        </w:tc>
      </w:tr>
      <w:tr>
        <w:tblPrEx>
          <w:tblCellMar>
            <w:top w:w="0" w:type="dxa"/>
            <w:left w:w="0" w:type="dxa"/>
            <w:bottom w:w="0" w:type="dxa"/>
            <w:right w:w="0" w:type="dxa"/>
          </w:tblCellMar>
        </w:tblPrEx>
        <w:trPr>
          <w:trHeight w:val="760"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可持续效益</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反映相关产出带来影响的可持续期限，根据项目实际细化具体指标。</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完成县城所有垃圾无害化处理</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完成县城所有垃圾无害化处理</w:t>
            </w:r>
          </w:p>
        </w:tc>
      </w:tr>
      <w:tr>
        <w:tblPrEx>
          <w:tblCellMar>
            <w:top w:w="0" w:type="dxa"/>
            <w:left w:w="0" w:type="dxa"/>
            <w:bottom w:w="0" w:type="dxa"/>
            <w:right w:w="0" w:type="dxa"/>
          </w:tblCellMar>
        </w:tblPrEx>
        <w:trPr>
          <w:trHeight w:val="1080"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color w:val="000000"/>
                <w:sz w:val="32"/>
                <w:szCs w:val="32"/>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left"/>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满意度</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服务对象满意度</w:t>
            </w:r>
          </w:p>
        </w:tc>
        <w:tc>
          <w:tcPr>
            <w:tcW w:w="2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560" w:lineRule="exact"/>
              <w:jc w:val="left"/>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反映服务对象或项目受益人对相关产出及其影响的认可程度，根据项目实际细化具体指标。</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群众满意度高，使用效益高</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pageBreakBefore w:val="0"/>
              <w:widowControl/>
              <w:kinsoku/>
              <w:wordWrap/>
              <w:overflowPunct/>
              <w:topLinePunct w:val="0"/>
              <w:autoSpaceDE/>
              <w:autoSpaceDN/>
              <w:bidi w:val="0"/>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群众满意度高，使用效益高</w:t>
            </w:r>
          </w:p>
        </w:tc>
      </w:tr>
    </w:tbl>
    <w:p>
      <w:pPr>
        <w:keepNext w:val="0"/>
        <w:keepLines w:val="0"/>
        <w:pageBreakBefore w:val="0"/>
        <w:widowControl/>
        <w:kinsoku/>
        <w:wordWrap/>
        <w:overflowPunct/>
        <w:topLinePunct w:val="0"/>
        <w:autoSpaceDE/>
        <w:autoSpaceDN/>
        <w:bidi w:val="0"/>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2.部门绩效评价结果。</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本部门按要求对2020年部门整体支出绩效评价情况开展自评，《</w:t>
      </w:r>
      <w:r>
        <w:rPr>
          <w:rFonts w:hint="eastAsia" w:ascii="仿宋_GB2312" w:hAnsi="仿宋_GB2312" w:eastAsia="仿宋_GB2312" w:cs="仿宋_GB2312"/>
          <w:sz w:val="32"/>
          <w:szCs w:val="32"/>
          <w:lang w:val="en-US" w:eastAsia="zh-CN"/>
        </w:rPr>
        <w:t>红原县住房和城乡建设局</w:t>
      </w:r>
      <w:r>
        <w:rPr>
          <w:rFonts w:hint="eastAsia" w:ascii="仿宋_GB2312" w:hAnsi="仿宋_GB2312" w:eastAsia="仿宋_GB2312" w:cs="仿宋_GB2312"/>
          <w:sz w:val="32"/>
          <w:szCs w:val="32"/>
        </w:rPr>
        <w:t>2020年部门整体支出绩效评价报告》见附件（附件1）。</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本部门自行组织对红原县乡村振兴示范镇（村）市政基础设施建设项目开展了绩效评价，《红原县乡村振兴示范镇（村）市政基础设施建设项目项目2020年绩效评价报告》见附件（附件2）。 </w:t>
      </w:r>
    </w:p>
    <w:p>
      <w:pPr>
        <w:keepNext w:val="0"/>
        <w:keepLines w:val="0"/>
        <w:pageBreakBefore w:val="0"/>
        <w:widowControl/>
        <w:kinsoku/>
        <w:wordWrap/>
        <w:overflowPunct/>
        <w:topLinePunct w:val="0"/>
        <w:autoSpaceDE/>
        <w:autoSpaceDN/>
        <w:bidi w:val="0"/>
        <w:spacing w:line="560" w:lineRule="exact"/>
        <w:ind w:firstLine="2409" w:firstLineChars="75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第三部分 名词解释</w:t>
      </w:r>
    </w:p>
    <w:p>
      <w:pPr>
        <w:keepNext w:val="0"/>
        <w:keepLines w:val="0"/>
        <w:pageBreakBefore w:val="0"/>
        <w:widowControl/>
        <w:kinsoku/>
        <w:wordWrap/>
        <w:overflowPunct/>
        <w:topLinePunct w:val="0"/>
        <w:autoSpaceDE/>
        <w:autoSpaceDN/>
        <w:bidi w:val="0"/>
        <w:spacing w:line="560" w:lineRule="exact"/>
        <w:ind w:firstLine="643" w:firstLine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 </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1.财政拨款收入：指单位从同级财政部门取得的财政预算资金。</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2.事业收入：指事业单位开展专业业务活动及辅助活动取得的收入。</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6.年初结转和结余：指以前年度尚未完成、结转到本年按有关规定继续使用的资金。</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7.结余分配：指事业单位按照事业单位会计制度的规定从非财政补助结余中分配的事业基金和职工福利基金等。</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8、年末结转和结余：指单位按有关规定结转到下年或以后年度继续使用的资金。</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9.社会保障和就业2080506：指反应机关事业单位养老保险、职业年金等缴费支出。</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10.医疗卫生与计划生育2101101：指反应行政单位医疗方面的支出。</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11.节能环保2110401：指反应用于生态保护区、生态示范区、生态省管理及能力建设日常管护、宣教、试点示范等支出，生态修复支出，资源开发生态监管等支出。</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12.城乡社区2121399：指反映行政单位的基本支出或未单独设置项级科目的其他项目支出。</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13.农林水2139999：指反映用于农村（包括国有农场、国有林场）扶贫开发等方面的支出。</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14.住房保障2210103：指反映用于保障性住房方面的支出或反映行政事业单位按人力资源和社会保障部、财政部规定的基本工资和津贴补贴以及规定比例为职工缴纳的住房公积金。</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15.一般公共服务支出2019999：指行政单位未单独设置项级科目的其他项目支出。</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16.基本支出：指为保障机构正常运转、完成日常工作任务而发生的人员支出和公用支出。</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17.项目支出：指在基本支出之外为完成特定行政任务和事业发展目标所发生的支出。</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18.“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19.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20.基本支出：指为保障机构正常运转、完成日常工作任务而发生的人员支出和公用支出。</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21.项目支出：指在基本支出之外为完成特定行政任务和事业发展目标所发生的支出。</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22.经营支出：指事业单位在专业业务活动及其辅助活动之外开展非独立核算经营活动发生的支出。</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23.“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24.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560" w:lineRule="exact"/>
        <w:ind w:firstLine="640" w:firstLineChars="200"/>
        <w:rPr>
          <w:sz w:val="32"/>
          <w:szCs w:val="32"/>
        </w:rPr>
      </w:pPr>
      <w:r>
        <w:rPr>
          <w:sz w:val="32"/>
          <w:szCs w:val="32"/>
        </w:rPr>
        <w:t> </w:t>
      </w:r>
    </w:p>
    <w:p>
      <w:pPr>
        <w:spacing w:line="560" w:lineRule="exact"/>
        <w:ind w:firstLine="643" w:firstLineChars="200"/>
        <w:jc w:val="center"/>
        <w:rPr>
          <w:b/>
          <w:sz w:val="32"/>
          <w:szCs w:val="32"/>
        </w:rPr>
      </w:pPr>
      <w:r>
        <w:rPr>
          <w:b/>
          <w:sz w:val="32"/>
          <w:szCs w:val="32"/>
        </w:rPr>
        <w:t>第四部分 附件</w:t>
      </w:r>
    </w:p>
    <w:p>
      <w:pPr>
        <w:spacing w:line="560" w:lineRule="exact"/>
        <w:ind w:firstLine="640" w:firstLineChars="200"/>
        <w:rPr>
          <w:sz w:val="32"/>
          <w:szCs w:val="32"/>
        </w:rPr>
      </w:pPr>
      <w:r>
        <w:rPr>
          <w:sz w:val="32"/>
          <w:szCs w:val="32"/>
        </w:rPr>
        <w:t> </w:t>
      </w:r>
    </w:p>
    <w:p>
      <w:pPr>
        <w:spacing w:line="560" w:lineRule="exact"/>
        <w:ind w:firstLine="643" w:firstLineChars="200"/>
        <w:rPr>
          <w:b/>
          <w:sz w:val="32"/>
          <w:szCs w:val="32"/>
        </w:rPr>
      </w:pPr>
      <w:r>
        <w:rPr>
          <w:b/>
          <w:sz w:val="32"/>
          <w:szCs w:val="32"/>
        </w:rPr>
        <w:t>附件1 </w:t>
      </w:r>
    </w:p>
    <w:p>
      <w:pPr>
        <w:spacing w:line="560" w:lineRule="exact"/>
        <w:ind w:firstLine="723" w:firstLineChars="200"/>
        <w:jc w:val="center"/>
        <w:rPr>
          <w:rFonts w:hint="eastAsia"/>
          <w:b/>
          <w:bCs/>
          <w:sz w:val="36"/>
          <w:szCs w:val="36"/>
        </w:rPr>
      </w:pPr>
      <w:r>
        <w:rPr>
          <w:rFonts w:hint="eastAsia"/>
          <w:b/>
          <w:bCs/>
          <w:sz w:val="36"/>
          <w:szCs w:val="36"/>
        </w:rPr>
        <w:t>2020年红原县住房和城乡建设局</w:t>
      </w:r>
    </w:p>
    <w:p>
      <w:pPr>
        <w:spacing w:line="560" w:lineRule="exact"/>
        <w:ind w:firstLine="723" w:firstLineChars="200"/>
        <w:jc w:val="center"/>
        <w:rPr>
          <w:rFonts w:hint="eastAsia"/>
          <w:b/>
          <w:bCs/>
          <w:sz w:val="36"/>
          <w:szCs w:val="36"/>
        </w:rPr>
      </w:pPr>
      <w:r>
        <w:rPr>
          <w:rFonts w:hint="eastAsia"/>
          <w:b/>
          <w:bCs/>
          <w:sz w:val="36"/>
          <w:szCs w:val="36"/>
        </w:rPr>
        <w:t>预算支出绩效报告</w:t>
      </w:r>
    </w:p>
    <w:p>
      <w:pPr>
        <w:spacing w:line="560" w:lineRule="exact"/>
        <w:ind w:firstLine="640" w:firstLineChars="200"/>
        <w:rPr>
          <w:rFonts w:hint="eastAsia"/>
          <w:sz w:val="32"/>
          <w:szCs w:val="32"/>
        </w:rPr>
      </w:pP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一、部门（单位）概况 </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局负责研究拟定全县城镇体系规划、工程建设、建筑业的规范性文件以及相关发展战略、中长期规划和年度计划并组织实施；负责城区规划区内规划的编制审批和管理；负责研究制定城市发展规划，承办城镇总体规划审查报批的有关工作，参与区域规划、土地利用总体规划的审查工作；负责城市规划区内勘察、市政工程测量工作。负责指导建制镇规划、村镇规划及其城市勘察、市政工程测量和城乡建设档案管理工作；负责指导和管理全县建筑活动，规范建筑市场；贯彻执行工程建设相关国家标准和、行业标准及相关管理制度，组织拟定具体实施办法；负责统一管理全县建筑业施工企业、工程监理单位、工程咨询单位、招标投标代理机构等的资和从业人员执业资格审查、报批工作，查处违法违规行为；负责研究拟定我县住宅建设规划，负责城区规划区房地产开发的</w:t>
      </w:r>
      <w:r>
        <w:rPr>
          <w:rFonts w:hint="eastAsia"/>
          <w:sz w:val="32"/>
          <w:szCs w:val="32"/>
        </w:rPr>
        <w:t>综合</w:t>
      </w:r>
      <w:r>
        <w:rPr>
          <w:rFonts w:hint="eastAsia" w:ascii="仿宋_GB2312" w:hAnsi="仿宋_GB2312" w:eastAsia="仿宋_GB2312" w:cs="仿宋_GB2312"/>
          <w:sz w:val="32"/>
          <w:szCs w:val="32"/>
        </w:rPr>
        <w:t>监管，指导房地产开发项目的竣工验收；负责全县建筑节能工作的组织实施和执法监察，指导全县建筑节能工作等。</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本部门内设机构9个，为办公室、城乡规划股、财务股、质监站、建管股、住房保障股、项目股、城乡环境管理治理办、城市管理大队。</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截止2019年底我单位共有编制40个，其中公务员编制8个，行政工勤编制1个，参公编制9人，事业编制22个，在职38人，其中参公8人，公务员8人，事业22人，退休5人。</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二、部门财政资金收支情况</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（一）部门财政资金收入情况。</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2019年收入合计14812.15万元，其中：一般公共预算财财政9241.73万元；政府性基金预算财政拨款收入153.62万元；年初结转结余5416.8万元。2019年收入合计14812.15万元，其中：经费收入645万元，专项收入9688.95万元。</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2020年收入合计5601.41万元，其中：经费收入543.47万元，专项收入5057.94万元。</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（二）部门财政资金支出情况。</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2019年支出合计10333.95万元，其中：基本支出645万元（其中：行政单位医疗支出34.43万元、机关事业单位基本养老保险、职业年金缴费支出87.2万元、行政运行支出230.46万元、住房公积金支出48.41万元）；项目支出9688.95元（其中：其他一般公共服务支出971.27万元；重大公共卫生专项支出11.88万；大气支出10万元；水体支出129.6万元；固体废弃物与化学品支出916.99万元；小城镇基础设施建设支出170.6万元；其他城乡社区公共设施支出1940.4万元；城乡社区环境卫生支出1320.74万元；公共租赁住房支出48.96万元；其他国有土地使用权出让收入安排的支出42.36万元；城市环境卫生支出111.26万元；其他城乡社区支出1097.42万元；农村基础设施建设支出1406.99万元；廉租住房支出8.19万元；棚户区改造支出1353.82万元；农村危房改造支出133万元；其他保障性安居工程支出15.49万元。）2019年支出合计14812.15万元，其中：经费支出645万元，专项支出9688.95万元。</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2020年支出合计5601.41万元，其中：经费支出543.47万元，专项支出5057.94万元。</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三、部门财政支出管理情况</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（一）预算编制情况。</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我单位严格执行新的《预算法》，切实按照中央八项规定、省委九项规定、市委十项规定的管理制度，坚决执行财经和财务规章制度，合法依规编制预算。根据项目实际情况填报目标绩效。</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（二）执行管理情况。</w:t>
      </w:r>
      <w:r>
        <w:rPr>
          <w:rFonts w:hint="eastAsia" w:ascii="仿宋_GB2312" w:hAnsi="仿宋_GB2312" w:eastAsia="仿宋_GB2312" w:cs="仿宋_GB2312"/>
          <w:sz w:val="32"/>
          <w:szCs w:val="32"/>
        </w:rPr>
        <w:tab/>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2019年度“三公”经费财政拨款支出决算中，因公出国（境）费支出决算0万元；公务用车购置及运行维护费支出决算3.43万元，占83%；公务接待费支出决算0.69万元，占17%。</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2020年度“三公”经费财政拨款预算中，因公出国（境）费支出决算0万元；公务用车购置及运行维护费支出预算5.24万元，占83%；公务接待费支出预算0.67万元，占17%。</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（三）预算管理情况</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2019年我单位严格执行新的《预算法》，切实按照中央八项规定、省委九项规定、市委十项规定的管理制度，坚决执行财经和财务规章制度，按照《财务管理规定》、《财产管理规定》、《公务接待费管理规定》、《差旅费、会议费、培训费管理规定》、《公务用车管理办法》等规章制度管理本单位的财务收支活动，进一步明确了本单位财政预算资金的审批手续和拨付程序、机关行政运行经费报审手续和报销程序，加强了财务管理，规范了收支行为，保证了本单位财务管理工作规范有序进行，并按相关规定及时进行预算公开。</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（四）整体绩效。</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2019年度我单位年初根据工作规划和重点工作规划，围绕全面建成小康社会的发展蓝图，积极履行职责，强化本单位预算管理，较好地完成了年初工作目标。财政预算安排在很大程度上保障了本单位基本支出及公用经费支出的正常工作运转。预算安排的项目支出也是非常必要的。财政预算安排大大提财政资金的使用效率，财政资金的安全性得到了有效保障，我们在执行预算过程中是严格按照财政各项制度规定来办理，单位在项目资金的使用上也是安全的。通过加强预算收支管理，不断建立健全内部管理制度，梳理内部管理流程。部门整体预算支出管理情况得到提升，主要体现在以下几方面：一是本年预算配置控制较好。财政供养人员控制在预算编制以内，编制内在职人员控制率为100%；“三公经费”控制在年初预算以内；二是预算执行情况控制较好。支出总额控制在年初预算总额以内，本年部门预算完成率达到了100%，未进行预算相关事项的调整，预算控制良好。三是预算管理较为理想。由于严格执行财政相关法律、法规的规定，我单位的预算管理工作取得了较好的成绩，全年人员经费支出、日常用公用经费支出的控制率均达到了100%。</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四、评价结论及建议</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（一）评价结论。</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2019年结合我局职能职责以及相关预算安排，较好地完成了年初工作目标。</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（二）存在问题。</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1、预算编制欠严谨</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预算编制欠全面，项目有临时追加不够完整、细化。</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2、预算执行存在偏差</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在实际经费列支中，未严格按照预算科目进行列支，部分基本支出挤占了项目支出。</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3、会计核算欠规范</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经费支出核算过程中，部分存在部分大额办公支出无明细、发票内容填写不规范等现象。</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（三）改进建议。</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1、科学合理编制预算，严格执行预算</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建议按照《预算法》及其实施条例的相关规定，参考上一年的预算执行</w:t>
      </w:r>
      <w:r>
        <w:rPr>
          <w:rFonts w:hint="eastAsia" w:ascii="仿宋_GB2312" w:hAnsi="仿宋_GB2312" w:eastAsia="仿宋_GB2312" w:cs="仿宋_GB2312"/>
          <w:b w:val="0"/>
          <w:bCs w:val="0"/>
          <w:sz w:val="32"/>
          <w:szCs w:val="32"/>
        </w:rPr>
        <w:t>情况和年度</w:t>
      </w:r>
      <w:r>
        <w:rPr>
          <w:rFonts w:hint="eastAsia" w:ascii="仿宋_GB2312" w:hAnsi="仿宋_GB2312" w:eastAsia="仿宋_GB2312" w:cs="仿宋_GB2312"/>
          <w:sz w:val="32"/>
          <w:szCs w:val="32"/>
        </w:rPr>
        <w:t>的收支预测科学编制预算，避免年中大幅追加以及超预算。在预算执行中，严格按照预算科目支出，避免预算科目间的预算资金调剂，确需调剂的，按规定程序报经批准。</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2、规范账务处理，提高财务信息质量</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严格按照《会计法》、《行政单位会计制度》、《行政单位财务规则》等规定，结合实际情况，科学设置支出科目，规范财务核算，完整披露相关信息。</w:t>
      </w:r>
    </w:p>
    <w:p>
      <w:pPr>
        <w:spacing w:line="560" w:lineRule="exact"/>
        <w:rPr>
          <w:sz w:val="32"/>
          <w:szCs w:val="32"/>
        </w:rPr>
      </w:pPr>
      <w:r>
        <w:rPr>
          <w:sz w:val="32"/>
          <w:szCs w:val="32"/>
        </w:rPr>
        <w:t> </w:t>
      </w:r>
    </w:p>
    <w:p>
      <w:pPr>
        <w:spacing w:line="560" w:lineRule="exact"/>
        <w:ind w:firstLine="643" w:firstLineChars="200"/>
        <w:rPr>
          <w:b/>
          <w:sz w:val="32"/>
          <w:szCs w:val="32"/>
        </w:rPr>
      </w:pPr>
      <w:r>
        <w:rPr>
          <w:b/>
          <w:sz w:val="32"/>
          <w:szCs w:val="32"/>
        </w:rPr>
        <w:t>附件2 </w:t>
      </w:r>
    </w:p>
    <w:p>
      <w:pPr>
        <w:spacing w:line="560" w:lineRule="exact"/>
        <w:ind w:firstLine="723" w:firstLineChars="200"/>
        <w:jc w:val="center"/>
        <w:rPr>
          <w:rFonts w:hint="eastAsia"/>
          <w:b/>
          <w:bCs/>
          <w:sz w:val="36"/>
          <w:szCs w:val="36"/>
        </w:rPr>
      </w:pPr>
      <w:r>
        <w:rPr>
          <w:rFonts w:hint="eastAsia"/>
          <w:b/>
          <w:bCs/>
          <w:sz w:val="36"/>
          <w:szCs w:val="36"/>
        </w:rPr>
        <w:t>红原县住房和城乡建设局项目</w:t>
      </w:r>
    </w:p>
    <w:p>
      <w:pPr>
        <w:spacing w:line="560" w:lineRule="exact"/>
        <w:ind w:firstLine="723" w:firstLineChars="200"/>
        <w:jc w:val="center"/>
        <w:rPr>
          <w:rFonts w:hint="eastAsia"/>
          <w:b/>
          <w:bCs/>
          <w:sz w:val="36"/>
          <w:szCs w:val="36"/>
        </w:rPr>
      </w:pPr>
      <w:r>
        <w:rPr>
          <w:rFonts w:hint="eastAsia"/>
          <w:b/>
          <w:bCs/>
          <w:sz w:val="36"/>
          <w:szCs w:val="36"/>
        </w:rPr>
        <w:t>支出绩效自评报告</w:t>
      </w:r>
    </w:p>
    <w:p>
      <w:pPr>
        <w:spacing w:line="560" w:lineRule="exact"/>
        <w:rPr>
          <w:rFonts w:hint="eastAsia"/>
          <w:sz w:val="32"/>
          <w:szCs w:val="32"/>
        </w:rPr>
      </w:pPr>
      <w:r>
        <w:rPr>
          <w:rFonts w:hint="eastAsia"/>
          <w:sz w:val="32"/>
          <w:szCs w:val="32"/>
        </w:rPr>
        <w:t>（红原县乡村振兴示范镇（村）市政基础设施建设项目）</w:t>
      </w:r>
    </w:p>
    <w:p>
      <w:pPr>
        <w:spacing w:line="560" w:lineRule="exact"/>
        <w:ind w:firstLine="640" w:firstLineChars="200"/>
        <w:rPr>
          <w:rFonts w:hint="eastAsia"/>
          <w:sz w:val="32"/>
          <w:szCs w:val="32"/>
        </w:rPr>
      </w:pP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一、项目概况</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项目资金申报及批复情况。红原县乡村振兴示范镇（村）市政基础设施建设项目于2019年经红原县发展和改革委员会以（红发改经信行审〔2019〕15号）批准建设，项目符合国家、省、州产业发展政策，经县委县政府批准，财政部门审核通过。该项目资金为财政涉农资金整合（第一批）下达资金1099.7万元全部用于红原县乡村振兴示范镇（村）市政基础设施建设项目未挪为它用。</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项目绩效目标。红原县乡村振兴示范镇（村）市政基础设施建设项目新建日处理规模80t/d的“一体化”污水处理厂一座，铺设截污主干管HDPEDN300管7.343km；改造提升污水多户分散处理710户；公共厕所8座；户内厕所新建或提升改造1156座。为助力国家生态湿地保护区建设、改善藏区群众的生活环境、保护旅游资源，提升城市形象、满足城乡发展需要。</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（三）项目资金申报相符性。红原县乡村振兴示范镇（村）市政基础设施建设项目申报内容与具体实施内容相符、申报目标合理可行。</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二、项目实施及管理情况</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（一）资金计划、到位及使用情况。</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1．资金计划及到位。红原县乡村振兴示范镇（村）市政基础设施建设项目资金来源为涉农整合资金第一批到位1099.7万元，资金到位率为100%。</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2．资金使用。截至目前已支付955.6515万元，拨付进度占预算的87%。</w:t>
      </w:r>
    </w:p>
    <w:p>
      <w:pPr>
        <w:keepNext w:val="0"/>
        <w:keepLines w:val="0"/>
        <w:pageBreakBefore w:val="0"/>
        <w:widowControl/>
        <w:kinsoku/>
        <w:wordWrap/>
        <w:overflowPunct/>
        <w:topLinePunct w:val="0"/>
        <w:autoSpaceDE/>
        <w:autoSpaceDN/>
        <w:bidi w:val="0"/>
        <w:spacing w:line="560" w:lineRule="exact"/>
        <w:ind w:firstLine="640" w:firstLineChars="200"/>
        <w:rPr>
          <w:rFonts w:hint="eastAsia"/>
          <w:sz w:val="32"/>
          <w:szCs w:val="32"/>
        </w:rPr>
      </w:pPr>
      <w:r>
        <w:rPr>
          <w:rFonts w:hint="eastAsia" w:ascii="仿宋_GB2312" w:hAnsi="仿宋_GB2312" w:eastAsia="仿宋_GB2312" w:cs="仿宋_GB2312"/>
          <w:sz w:val="32"/>
          <w:szCs w:val="32"/>
        </w:rPr>
        <w:t>（二）项目财务管理情况。</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项目实施工程中严格按照项目财务管理制度进行财务管理，专款专用，专人负责，严格对照资金管理办法，不拆借资金，规范会计核算程序。</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（三）项目组织实施情况。</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项目实施阶段设置一名工作人员专管本项目，严格招标投标程序，严格按发改部门批复的招投标程序进行招标，不拆分项目，不单列分包招标，保证项目招投标的严肃性。</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三、项目绩效情况</w:t>
      </w:r>
      <w:r>
        <w:rPr>
          <w:rFonts w:hint="eastAsia" w:ascii="仿宋_GB2312" w:hAnsi="仿宋_GB2312" w:eastAsia="仿宋_GB2312" w:cs="仿宋_GB2312"/>
          <w:sz w:val="32"/>
          <w:szCs w:val="32"/>
        </w:rPr>
        <w:tab/>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（一）项目完成情况。</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红原县乡村振兴示范镇（村）市政基础设施建设项目新建日处理规模80t/d的“一体化”污水处理厂一座，铺设截污主干管HDPEDN300管7.343km；改造提升污水多户分散处理710户；公共厕所8座；户内厕所新建或提升改造1156座已于2019年11月竣工验收合格并投入使用。</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（二）项目效益情况。</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红原县安曲镇下哈拉玛村新建污水处理站一座，设计处理规模80T/D，出水标准执行《城镇污水处理厂污染物排放标准》（GB18918-2002）一级A排放标准。在红原县安曲镇哈拉玛村、夺龙村改造提升污水多户分散处理710户，出水标准执行《城镇污水处理厂污染物排放标准》（GB18918-2002）一级B排放标准。项目运行过程已经建立起比较完善的管理体系，运行手册、环境安全自律体系手册、应急预案等相关运行监管体系不断完备，污水处理运行更加规范化、透明化，污水处理工作向着更加利于生态环境保护、方便社会监督的方向发展。</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四、问题及建议</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（一）存在的问题。</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由于项目投资额度大，资金组成复杂导致该笔资金使用缓慢等客观因素影响，导致一部分资金与年初安排计划存在一定偏差，已申请到项目账户的资金，若部分未使用，建议限额结转下一年度，可及时用于来年拨付资金。</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（二）相关建议。</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（一）进一步健全和完善财务管理制度及内部控制制度，创新管理手段，用新思路、新方法，改进完善财务管理方法。 （二）按照财政支出绩效管理的要求，建立科学的财政资金效益考评制度体系，不断提高财政资金使用管理的水平和效率。（三）完善管理机制，明确责任。项目实施完成移交后，要加大对专项项目基础设施保护工作的关注和重视，构建一个职责分明、科学规范、具有可操作性的管理长效机制。</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p>
    <w:p>
      <w:pPr>
        <w:pStyle w:val="2"/>
        <w:jc w:val="center"/>
        <w:rPr>
          <w:rFonts w:hint="eastAsia"/>
          <w:b/>
          <w:bCs/>
          <w:sz w:val="36"/>
          <w:szCs w:val="36"/>
        </w:rPr>
      </w:pPr>
      <w:r>
        <w:rPr>
          <w:rFonts w:hint="eastAsia"/>
          <w:b/>
          <w:bCs/>
          <w:sz w:val="36"/>
          <w:szCs w:val="36"/>
        </w:rPr>
        <w:t>红原县住房和城乡建设局项目</w:t>
      </w:r>
    </w:p>
    <w:p>
      <w:pPr>
        <w:pStyle w:val="2"/>
        <w:jc w:val="center"/>
        <w:rPr>
          <w:rFonts w:hint="eastAsia"/>
          <w:b/>
          <w:bCs/>
          <w:sz w:val="36"/>
          <w:szCs w:val="36"/>
        </w:rPr>
      </w:pPr>
      <w:r>
        <w:rPr>
          <w:rFonts w:hint="eastAsia"/>
          <w:b/>
          <w:bCs/>
          <w:sz w:val="36"/>
          <w:szCs w:val="36"/>
        </w:rPr>
        <w:t>支出绩效自评报告</w:t>
      </w:r>
    </w:p>
    <w:p>
      <w:pPr>
        <w:pStyle w:val="2"/>
        <w:rPr>
          <w:rFonts w:hint="eastAsia"/>
          <w:sz w:val="32"/>
          <w:szCs w:val="32"/>
        </w:rPr>
      </w:pPr>
      <w:r>
        <w:rPr>
          <w:rFonts w:hint="eastAsia"/>
          <w:sz w:val="32"/>
          <w:szCs w:val="32"/>
        </w:rPr>
        <w:t xml:space="preserve">      </w:t>
      </w:r>
      <w:r>
        <w:rPr>
          <w:rFonts w:hint="eastAsia"/>
          <w:sz w:val="32"/>
          <w:szCs w:val="32"/>
          <w:lang w:val="en-US" w:eastAsia="zh-CN"/>
        </w:rPr>
        <w:t xml:space="preserve">          </w:t>
      </w:r>
      <w:r>
        <w:rPr>
          <w:rFonts w:hint="eastAsia"/>
          <w:sz w:val="32"/>
          <w:szCs w:val="32"/>
        </w:rPr>
        <w:t>（藏区新居建设项目）</w:t>
      </w:r>
    </w:p>
    <w:p>
      <w:pPr>
        <w:pStyle w:val="2"/>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一、项目概况</w:t>
      </w:r>
    </w:p>
    <w:p>
      <w:pPr>
        <w:pStyle w:val="2"/>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（一）项目基本情况。</w:t>
      </w:r>
    </w:p>
    <w:p>
      <w:pPr>
        <w:pStyle w:val="2"/>
        <w:rPr>
          <w:rFonts w:hint="eastAsia"/>
          <w:sz w:val="32"/>
          <w:szCs w:val="32"/>
        </w:rPr>
      </w:pPr>
      <w:r>
        <w:rPr>
          <w:rFonts w:hint="eastAsia" w:ascii="仿宋_GB2312" w:hAnsi="仿宋_GB2312" w:eastAsia="仿宋_GB2312" w:cs="仿宋_GB2312"/>
          <w:sz w:val="32"/>
          <w:szCs w:val="32"/>
          <w:lang w:val="en-US" w:eastAsia="zh-CN" w:bidi="ar-SA"/>
        </w:rPr>
        <w:t>1.县脱贫攻坚领导小组办公室会同相关部门制定本地区新居建设、公共服务和基础设施配套建设年度工作方案，公共服务和基础设施配套建设工作进展、资金到位、投资完成、建设成效、存在问题和建议意见等情况，项目实施过程中由县脱贫攻坚领导小组办公室牵头，全过程监管，其它相关部门按照责任分工，各司其职、各尽其责，切实做好实施和建设工作，共同推进规划任务落到位。各乡镇作为藏区新居建设的工作主体、实施主体和责任主体，要站在群众的立场想问题、做决策，统筹实施好包括藏区新居建设计划在内的藏区“六大民生工程计划”。县乡（镇）</w:t>
      </w:r>
      <w:r>
        <w:rPr>
          <w:rFonts w:hint="eastAsia"/>
          <w:sz w:val="32"/>
          <w:szCs w:val="32"/>
        </w:rPr>
        <w:t>要层层签订目标责任书，相关部门加强统筹、指导和协调，强化服务，做好总体实施方案和年度计划推进等工作。</w:t>
      </w:r>
    </w:p>
    <w:p>
      <w:pPr>
        <w:pStyle w:val="2"/>
        <w:rPr>
          <w:rFonts w:hint="eastAsia"/>
          <w:sz w:val="32"/>
          <w:szCs w:val="32"/>
        </w:rPr>
      </w:pPr>
      <w:r>
        <w:rPr>
          <w:rFonts w:hint="eastAsia"/>
          <w:sz w:val="32"/>
          <w:szCs w:val="32"/>
        </w:rPr>
        <w:t>2.各乡镇人民政府作为新居建设的实施主体，负责实施对象的识别和认证、其他贫困户的认定（由我局提供统一样式）、建设、质量监督、过程监管、补助资金支付等具体工作。要成立相应机构，制定实施细则，明确专门人员，层层落实责任。</w:t>
      </w:r>
    </w:p>
    <w:p>
      <w:pPr>
        <w:pStyle w:val="2"/>
        <w:rPr>
          <w:rFonts w:hint="eastAsia"/>
          <w:sz w:val="32"/>
          <w:szCs w:val="32"/>
        </w:rPr>
      </w:pPr>
      <w:r>
        <w:rPr>
          <w:rFonts w:hint="eastAsia"/>
          <w:sz w:val="32"/>
          <w:szCs w:val="32"/>
        </w:rPr>
        <w:t>县住建局负责新居建设技术服务指导、档案组建指导工作。</w:t>
      </w:r>
    </w:p>
    <w:p>
      <w:pPr>
        <w:pStyle w:val="2"/>
        <w:rPr>
          <w:rFonts w:hint="eastAsia"/>
          <w:sz w:val="32"/>
          <w:szCs w:val="32"/>
        </w:rPr>
      </w:pPr>
      <w:r>
        <w:rPr>
          <w:rFonts w:hint="eastAsia"/>
          <w:sz w:val="32"/>
          <w:szCs w:val="32"/>
        </w:rPr>
        <w:t>县国土局负责对各乡镇实施户的选址出具统一的是否符合“三避让”的确认函</w:t>
      </w:r>
    </w:p>
    <w:p>
      <w:pPr>
        <w:pStyle w:val="2"/>
        <w:rPr>
          <w:rFonts w:hint="eastAsia"/>
          <w:sz w:val="32"/>
          <w:szCs w:val="32"/>
        </w:rPr>
      </w:pPr>
      <w:r>
        <w:rPr>
          <w:rFonts w:hint="eastAsia"/>
          <w:sz w:val="32"/>
          <w:szCs w:val="32"/>
        </w:rPr>
        <w:t>县财政局负责安排相关资金和资金管理、监督工作。</w:t>
      </w:r>
    </w:p>
    <w:p>
      <w:pPr>
        <w:pStyle w:val="2"/>
        <w:rPr>
          <w:rFonts w:hint="eastAsia"/>
          <w:sz w:val="32"/>
          <w:szCs w:val="32"/>
        </w:rPr>
      </w:pPr>
      <w:r>
        <w:rPr>
          <w:rFonts w:hint="eastAsia"/>
          <w:sz w:val="32"/>
          <w:szCs w:val="32"/>
        </w:rPr>
        <w:t>县民宗局负责对“大民生带小民生”项目僧人房屋维修和新建的监督和指导，督促乡镇寺管所按照文件要求组织项目实施并组织竣工验收，协调各乡镇与寺管所的资料衔接。</w:t>
      </w:r>
    </w:p>
    <w:p>
      <w:pPr>
        <w:pStyle w:val="2"/>
        <w:rPr>
          <w:rFonts w:hint="eastAsia"/>
          <w:sz w:val="32"/>
          <w:szCs w:val="32"/>
        </w:rPr>
      </w:pPr>
      <w:r>
        <w:rPr>
          <w:rFonts w:hint="eastAsia"/>
          <w:sz w:val="32"/>
          <w:szCs w:val="32"/>
        </w:rPr>
        <w:t>县扶贫移民局负责建档立卡贫困户的复核、认定工作。</w:t>
      </w:r>
    </w:p>
    <w:p>
      <w:pPr>
        <w:pStyle w:val="2"/>
        <w:rPr>
          <w:rFonts w:hint="eastAsia"/>
          <w:sz w:val="32"/>
          <w:szCs w:val="32"/>
        </w:rPr>
      </w:pPr>
      <w:r>
        <w:rPr>
          <w:rFonts w:hint="eastAsia"/>
          <w:sz w:val="32"/>
          <w:szCs w:val="32"/>
        </w:rPr>
        <w:t>县民政局负责五保户、低保户、因灾无房户且属于贫困农户的复核认定工作。</w:t>
      </w:r>
    </w:p>
    <w:p>
      <w:pPr>
        <w:pStyle w:val="2"/>
        <w:rPr>
          <w:rFonts w:hint="eastAsia"/>
          <w:sz w:val="32"/>
          <w:szCs w:val="32"/>
        </w:rPr>
      </w:pPr>
      <w:r>
        <w:rPr>
          <w:rFonts w:hint="eastAsia"/>
          <w:sz w:val="32"/>
          <w:szCs w:val="32"/>
        </w:rPr>
        <w:t>县残联负责贫困残疾户的复核认定工作。</w:t>
      </w:r>
    </w:p>
    <w:p>
      <w:pPr>
        <w:pStyle w:val="2"/>
        <w:rPr>
          <w:rFonts w:hint="eastAsia"/>
          <w:sz w:val="32"/>
          <w:szCs w:val="32"/>
        </w:rPr>
      </w:pPr>
      <w:r>
        <w:rPr>
          <w:rFonts w:hint="eastAsia"/>
          <w:sz w:val="32"/>
          <w:szCs w:val="32"/>
        </w:rPr>
        <w:t>县督查室负责将藏区新居建设项目纳入各乡镇年终目标考核，并负责对各乡镇进行考核。</w:t>
      </w:r>
    </w:p>
    <w:p>
      <w:pPr>
        <w:pStyle w:val="2"/>
        <w:rPr>
          <w:rFonts w:hint="eastAsia"/>
          <w:sz w:val="32"/>
          <w:szCs w:val="32"/>
        </w:rPr>
      </w:pPr>
      <w:r>
        <w:rPr>
          <w:rFonts w:hint="eastAsia"/>
          <w:sz w:val="32"/>
          <w:szCs w:val="32"/>
        </w:rPr>
        <w:t>县审计局负责对藏区新居补助资金专项审计和专项督</w:t>
      </w:r>
    </w:p>
    <w:p>
      <w:pPr>
        <w:pStyle w:val="2"/>
        <w:rPr>
          <w:rFonts w:hint="eastAsia"/>
          <w:sz w:val="32"/>
          <w:szCs w:val="32"/>
        </w:rPr>
      </w:pPr>
      <w:r>
        <w:rPr>
          <w:rFonts w:hint="eastAsia"/>
          <w:sz w:val="32"/>
          <w:szCs w:val="32"/>
        </w:rPr>
        <w:t>查。对实施乡镇的年度审计工作。</w:t>
      </w:r>
    </w:p>
    <w:p>
      <w:pPr>
        <w:pStyle w:val="2"/>
        <w:rPr>
          <w:rFonts w:hint="eastAsia"/>
          <w:sz w:val="32"/>
          <w:szCs w:val="32"/>
        </w:rPr>
      </w:pPr>
      <w:r>
        <w:rPr>
          <w:rFonts w:hint="eastAsia"/>
          <w:sz w:val="32"/>
          <w:szCs w:val="32"/>
        </w:rPr>
        <w:t>3.2019年我县藏区新居建设项目任务数为70户，《关于抓紧做好2019年藏区新居建设任务工作的通知》（阿州发改[2019]63号）任务已下达；2019年我县藏区新居建设项目补助资金为210万，《红原县财政局关于下达2019年藏区新居补助资金预算的通知》（红财发[2019]182号）文件已下达资金。</w:t>
      </w:r>
    </w:p>
    <w:p>
      <w:pPr>
        <w:pStyle w:val="2"/>
        <w:rPr>
          <w:rFonts w:hint="eastAsia"/>
          <w:sz w:val="32"/>
          <w:szCs w:val="32"/>
        </w:rPr>
      </w:pPr>
      <w:r>
        <w:rPr>
          <w:rFonts w:hint="eastAsia"/>
          <w:sz w:val="32"/>
          <w:szCs w:val="32"/>
        </w:rPr>
        <w:t>4.“藏区新居住房解困计划”是一项惠及广大贫困无房牧户的民生工程，为确保该项工程的顺利实施，县委、政府一是要求各部门积极整合项目和资金用于“藏区新居住房解困计划”。二是将向援建红原的浙江、省军区及绵阳市提出申请，积极争取援建资金投入“藏区新居住房解困计划”建设。三是2018年省级、中央建设部门配套3万元/户补助标准资金到县（其中：中央农村危房改造补助资金1.4万元/户、省级财政配套1.6万元/户）。</w:t>
      </w:r>
    </w:p>
    <w:p>
      <w:pPr>
        <w:pStyle w:val="2"/>
        <w:rPr>
          <w:rFonts w:hint="eastAsia"/>
          <w:sz w:val="32"/>
          <w:szCs w:val="32"/>
        </w:rPr>
      </w:pPr>
      <w:r>
        <w:rPr>
          <w:rFonts w:hint="eastAsia"/>
          <w:sz w:val="32"/>
          <w:szCs w:val="32"/>
        </w:rPr>
        <w:t>5.我县2019年藏区新居建设中央和省级补助资金为3万元/户，共有70户建设任务，补助资金为210万元。</w:t>
      </w:r>
    </w:p>
    <w:p>
      <w:pPr>
        <w:pStyle w:val="2"/>
        <w:rPr>
          <w:rFonts w:hint="eastAsia"/>
          <w:sz w:val="32"/>
          <w:szCs w:val="32"/>
        </w:rPr>
      </w:pPr>
      <w:r>
        <w:rPr>
          <w:rFonts w:hint="eastAsia"/>
          <w:sz w:val="32"/>
          <w:szCs w:val="32"/>
        </w:rPr>
        <w:t>一是新建每户补助3万元，不足3万以实际量结算，超出部分由牧户自筹。二是C级危房户维修加固按照鉴定公司出具维修加固方案和造价清单进行改造，以实际完成量结算每户补助不超过3万元，超出部分由牧户自筹。</w:t>
      </w:r>
    </w:p>
    <w:p>
      <w:pPr>
        <w:pStyle w:val="2"/>
        <w:rPr>
          <w:rFonts w:hint="eastAsia"/>
          <w:sz w:val="32"/>
          <w:szCs w:val="32"/>
        </w:rPr>
      </w:pPr>
      <w:r>
        <w:rPr>
          <w:rFonts w:hint="eastAsia"/>
          <w:sz w:val="32"/>
          <w:szCs w:val="32"/>
        </w:rPr>
        <w:t>（二）项目绩效目标。</w:t>
      </w:r>
    </w:p>
    <w:p>
      <w:pPr>
        <w:pStyle w:val="2"/>
        <w:rPr>
          <w:rFonts w:hint="eastAsia"/>
          <w:sz w:val="32"/>
          <w:szCs w:val="32"/>
        </w:rPr>
      </w:pPr>
      <w:r>
        <w:rPr>
          <w:rFonts w:hint="eastAsia"/>
          <w:sz w:val="32"/>
          <w:szCs w:val="32"/>
        </w:rPr>
        <w:t>1．2019年度我县藏区新居建设任务为70户，各乡镇严格按照《中央财政农村危房改造补助资金管理办法》(财社〔2016〕216号)明确的“4类重点对象”（建档立卡贫困户、低保户、分散供养特困人员、贫困残疾人家庭）核实新居建设对象，我局将具体任务按照各乡镇摸底调结果按照比例分配给各乡（镇）组织实施修建。</w:t>
      </w:r>
    </w:p>
    <w:p>
      <w:pPr>
        <w:pStyle w:val="2"/>
        <w:rPr>
          <w:rFonts w:hint="eastAsia"/>
          <w:sz w:val="32"/>
          <w:szCs w:val="32"/>
        </w:rPr>
      </w:pPr>
      <w:r>
        <w:rPr>
          <w:rFonts w:hint="eastAsia"/>
          <w:sz w:val="32"/>
          <w:szCs w:val="32"/>
        </w:rPr>
        <w:t>2．2019年我县藏区新居70户，解决了70户牧户的住房问题。截止8月22日，各乡镇藏区新居已基本完工，我局要求各乡镇于9月30日前完成竣工验收。</w:t>
      </w:r>
    </w:p>
    <w:p>
      <w:pPr>
        <w:pStyle w:val="2"/>
        <w:rPr>
          <w:rFonts w:hint="eastAsia"/>
          <w:sz w:val="32"/>
          <w:szCs w:val="32"/>
        </w:rPr>
      </w:pPr>
      <w:r>
        <w:rPr>
          <w:rFonts w:hint="eastAsia"/>
          <w:sz w:val="32"/>
          <w:szCs w:val="32"/>
        </w:rPr>
        <w:t>3．2019年我县藏区新居实际实施数与州上下达的任务数相符，申报目标合理可行。</w:t>
      </w:r>
    </w:p>
    <w:p>
      <w:pPr>
        <w:pStyle w:val="2"/>
        <w:rPr>
          <w:rFonts w:hint="eastAsia"/>
          <w:sz w:val="32"/>
          <w:szCs w:val="32"/>
        </w:rPr>
      </w:pPr>
      <w:r>
        <w:rPr>
          <w:rFonts w:hint="eastAsia"/>
          <w:sz w:val="32"/>
          <w:szCs w:val="32"/>
        </w:rPr>
        <w:t>（三）项目自评步骤及方法。</w:t>
      </w:r>
    </w:p>
    <w:p>
      <w:pPr>
        <w:pStyle w:val="2"/>
        <w:rPr>
          <w:rFonts w:hint="eastAsia"/>
          <w:sz w:val="32"/>
          <w:szCs w:val="32"/>
        </w:rPr>
      </w:pPr>
      <w:r>
        <w:rPr>
          <w:rFonts w:hint="eastAsia"/>
          <w:sz w:val="32"/>
          <w:szCs w:val="32"/>
        </w:rPr>
        <w:t>1.组织检查各乡镇2019年藏区新居实施数是否与任务数相符。检查方法采取的是到各乡镇施工现场核实。</w:t>
      </w:r>
    </w:p>
    <w:p>
      <w:pPr>
        <w:pStyle w:val="2"/>
        <w:rPr>
          <w:rFonts w:hint="eastAsia"/>
          <w:sz w:val="32"/>
          <w:szCs w:val="32"/>
        </w:rPr>
      </w:pPr>
      <w:r>
        <w:rPr>
          <w:rFonts w:hint="eastAsia"/>
          <w:sz w:val="32"/>
          <w:szCs w:val="32"/>
        </w:rPr>
        <w:t>2.组织检查各乡镇2019年藏区新居施工房屋结构、安全等是否存在问题。检查方法采取的是组织我局质监站到各乡镇施工现场检查，若存在问题，要求马上整改并报送整改报告。</w:t>
      </w:r>
    </w:p>
    <w:p>
      <w:pPr>
        <w:pStyle w:val="2"/>
        <w:rPr>
          <w:rFonts w:hint="eastAsia"/>
          <w:sz w:val="32"/>
          <w:szCs w:val="32"/>
        </w:rPr>
      </w:pPr>
      <w:r>
        <w:rPr>
          <w:rFonts w:hint="eastAsia"/>
          <w:sz w:val="32"/>
          <w:szCs w:val="32"/>
        </w:rPr>
        <w:t>3.组织检查各乡镇2019年藏区新居的施工进度，并要求于9月30日前全部竣工验收。检查方法采取的是要求各乡镇倒排工期表，并每月到各乡镇施工现场进行督促。</w:t>
      </w:r>
    </w:p>
    <w:p>
      <w:pPr>
        <w:pStyle w:val="2"/>
        <w:rPr>
          <w:rFonts w:hint="eastAsia"/>
          <w:sz w:val="32"/>
          <w:szCs w:val="32"/>
        </w:rPr>
      </w:pPr>
      <w:r>
        <w:rPr>
          <w:rFonts w:hint="eastAsia"/>
          <w:sz w:val="32"/>
          <w:szCs w:val="32"/>
        </w:rPr>
        <w:t>二、项目资金申报及使用情况</w:t>
      </w:r>
    </w:p>
    <w:p>
      <w:pPr>
        <w:pStyle w:val="2"/>
        <w:rPr>
          <w:rFonts w:hint="eastAsia"/>
          <w:sz w:val="32"/>
          <w:szCs w:val="32"/>
        </w:rPr>
      </w:pPr>
      <w:r>
        <w:rPr>
          <w:rFonts w:hint="eastAsia"/>
          <w:sz w:val="32"/>
          <w:szCs w:val="32"/>
        </w:rPr>
        <w:t>（一）项目资金申报及批复情况。</w:t>
      </w:r>
    </w:p>
    <w:p>
      <w:pPr>
        <w:pStyle w:val="2"/>
        <w:rPr>
          <w:rFonts w:hint="eastAsia"/>
          <w:sz w:val="32"/>
          <w:szCs w:val="32"/>
        </w:rPr>
      </w:pPr>
      <w:r>
        <w:rPr>
          <w:rFonts w:hint="eastAsia"/>
          <w:sz w:val="32"/>
          <w:szCs w:val="32"/>
        </w:rPr>
        <w:t>2019年藏区新居建设项目为补助性资金，中央补助资金1.4万元/户、省级财政配套1.6万元/户，剩余部分由牧民自筹，资金已通过《红原县财政局关于下达2019年藏区新居补助资金预算的通知》（红财发[2019]182号）文件下达。</w:t>
      </w:r>
    </w:p>
    <w:p>
      <w:pPr>
        <w:pStyle w:val="2"/>
        <w:rPr>
          <w:rFonts w:hint="eastAsia"/>
          <w:sz w:val="32"/>
          <w:szCs w:val="32"/>
        </w:rPr>
      </w:pPr>
      <w:r>
        <w:rPr>
          <w:rFonts w:hint="eastAsia"/>
          <w:sz w:val="32"/>
          <w:szCs w:val="32"/>
        </w:rPr>
        <w:t>（二）资金计划、到位及使用情况。</w:t>
      </w:r>
    </w:p>
    <w:p>
      <w:pPr>
        <w:pStyle w:val="2"/>
        <w:rPr>
          <w:rFonts w:hint="eastAsia"/>
          <w:sz w:val="32"/>
          <w:szCs w:val="32"/>
        </w:rPr>
      </w:pPr>
      <w:r>
        <w:rPr>
          <w:rFonts w:hint="eastAsia"/>
          <w:sz w:val="32"/>
          <w:szCs w:val="32"/>
        </w:rPr>
        <w:t>1．资金计划。我县2019年藏区新居补助资金为省级、中央建设部门配套3万元/户补助标准资金到县（其中：中央农村危房改造补助资金1.4万元/户、省级财政配套1.6万元/户）。共70户210万补助资金。</w:t>
      </w:r>
    </w:p>
    <w:p>
      <w:pPr>
        <w:pStyle w:val="2"/>
        <w:rPr>
          <w:rFonts w:hint="eastAsia"/>
          <w:sz w:val="32"/>
          <w:szCs w:val="32"/>
        </w:rPr>
      </w:pPr>
      <w:r>
        <w:rPr>
          <w:rFonts w:hint="eastAsia"/>
          <w:sz w:val="32"/>
          <w:szCs w:val="32"/>
        </w:rPr>
        <w:t>2．资金到位。截止8月22日，资金到位210万，与资金计划完成相符。资金到位率100%，到位及时，无拖延等问题。</w:t>
      </w:r>
    </w:p>
    <w:p>
      <w:pPr>
        <w:pStyle w:val="2"/>
        <w:rPr>
          <w:rFonts w:hint="eastAsia"/>
          <w:sz w:val="32"/>
          <w:szCs w:val="32"/>
        </w:rPr>
      </w:pPr>
      <w:r>
        <w:rPr>
          <w:rFonts w:hint="eastAsia"/>
          <w:sz w:val="32"/>
          <w:szCs w:val="32"/>
        </w:rPr>
        <w:t>3．资金使用。截止10月20日，资金已拨付每户/3万，共210万，资金拨付率为100%。资金支付范围、支付标准、支付进度、支付依据等合规合法，与预算相符，安全性高、规范、且有效。</w:t>
      </w:r>
    </w:p>
    <w:p>
      <w:pPr>
        <w:pStyle w:val="2"/>
        <w:rPr>
          <w:rFonts w:hint="eastAsia"/>
          <w:sz w:val="32"/>
          <w:szCs w:val="32"/>
        </w:rPr>
      </w:pPr>
      <w:r>
        <w:rPr>
          <w:rFonts w:hint="eastAsia"/>
          <w:sz w:val="32"/>
          <w:szCs w:val="32"/>
        </w:rPr>
        <w:t>（三）项目财务管理情况。</w:t>
      </w:r>
    </w:p>
    <w:p>
      <w:pPr>
        <w:pStyle w:val="2"/>
        <w:rPr>
          <w:rFonts w:hint="eastAsia"/>
          <w:sz w:val="32"/>
          <w:szCs w:val="32"/>
        </w:rPr>
      </w:pPr>
      <w:r>
        <w:rPr>
          <w:rFonts w:hint="eastAsia"/>
          <w:sz w:val="32"/>
          <w:szCs w:val="32"/>
        </w:rPr>
        <w:t>藏区新居建设资金严格按照政府投资项目相关管理办法执行。资金实行专项管理、专账核算、专款专用。按照规定标准直接补助到户，严禁截留、挤占、挪用或变相使用。资金不得用于车辆、通讯设备购置及生活补贴等与新居建设无关的支出，更不能在新居建设补助资金中提取工作经费，县财政局负责资金下达和监管工作。</w:t>
      </w:r>
    </w:p>
    <w:p>
      <w:pPr>
        <w:pStyle w:val="2"/>
        <w:rPr>
          <w:rFonts w:hint="eastAsia"/>
          <w:sz w:val="32"/>
          <w:szCs w:val="32"/>
        </w:rPr>
      </w:pPr>
      <w:r>
        <w:rPr>
          <w:rFonts w:hint="eastAsia"/>
          <w:sz w:val="32"/>
          <w:szCs w:val="32"/>
        </w:rPr>
        <w:t>三、项目实施及管理情况</w:t>
      </w:r>
    </w:p>
    <w:p>
      <w:pPr>
        <w:pStyle w:val="2"/>
        <w:rPr>
          <w:rFonts w:hint="eastAsia"/>
          <w:sz w:val="32"/>
          <w:szCs w:val="32"/>
        </w:rPr>
      </w:pPr>
      <w:r>
        <w:rPr>
          <w:rFonts w:hint="eastAsia"/>
          <w:sz w:val="32"/>
          <w:szCs w:val="32"/>
        </w:rPr>
        <w:t>（一）项目组织架构及实施流程。</w:t>
      </w:r>
    </w:p>
    <w:p>
      <w:pPr>
        <w:pStyle w:val="2"/>
        <w:rPr>
          <w:rFonts w:hint="eastAsia"/>
          <w:sz w:val="32"/>
          <w:szCs w:val="32"/>
        </w:rPr>
      </w:pPr>
      <w:r>
        <w:rPr>
          <w:rFonts w:hint="eastAsia"/>
          <w:sz w:val="32"/>
          <w:szCs w:val="32"/>
        </w:rPr>
        <w:t>1.组织架构为：县发改经信局是牵头部门，县住建局是组织部门，各乡镇是实施主体。</w:t>
      </w:r>
    </w:p>
    <w:p>
      <w:pPr>
        <w:pStyle w:val="2"/>
        <w:rPr>
          <w:rFonts w:hint="eastAsia"/>
          <w:sz w:val="32"/>
          <w:szCs w:val="32"/>
        </w:rPr>
      </w:pPr>
      <w:r>
        <w:rPr>
          <w:rFonts w:hint="eastAsia"/>
          <w:sz w:val="32"/>
          <w:szCs w:val="32"/>
        </w:rPr>
        <w:t>2.实施流程为：</w:t>
      </w:r>
    </w:p>
    <w:p>
      <w:pPr>
        <w:pStyle w:val="2"/>
        <w:rPr>
          <w:rFonts w:hint="eastAsia"/>
          <w:sz w:val="32"/>
          <w:szCs w:val="32"/>
        </w:rPr>
      </w:pPr>
      <w:r>
        <w:rPr>
          <w:rFonts w:hint="eastAsia"/>
          <w:sz w:val="32"/>
          <w:szCs w:val="32"/>
        </w:rPr>
        <w:t>（1）脱贫户建房审批程序按照（四书一报告）程序进行。</w:t>
      </w:r>
    </w:p>
    <w:p>
      <w:pPr>
        <w:pStyle w:val="2"/>
        <w:rPr>
          <w:rFonts w:hint="eastAsia"/>
          <w:sz w:val="32"/>
          <w:szCs w:val="32"/>
        </w:rPr>
      </w:pPr>
      <w:r>
        <w:rPr>
          <w:rFonts w:hint="eastAsia"/>
          <w:sz w:val="32"/>
          <w:szCs w:val="32"/>
        </w:rPr>
        <w:t>（2）签订《建房申请书》</w:t>
      </w:r>
    </w:p>
    <w:p>
      <w:pPr>
        <w:pStyle w:val="2"/>
        <w:rPr>
          <w:rFonts w:hint="eastAsia"/>
          <w:sz w:val="32"/>
          <w:szCs w:val="32"/>
        </w:rPr>
      </w:pPr>
      <w:r>
        <w:rPr>
          <w:rFonts w:hint="eastAsia"/>
          <w:sz w:val="32"/>
          <w:szCs w:val="32"/>
        </w:rPr>
        <w:t>1）由脱贫攻坚领导小组办公室分配各乡镇年度实施户数。</w:t>
      </w:r>
    </w:p>
    <w:p>
      <w:pPr>
        <w:pStyle w:val="2"/>
        <w:rPr>
          <w:rFonts w:hint="eastAsia"/>
          <w:sz w:val="32"/>
          <w:szCs w:val="32"/>
        </w:rPr>
      </w:pPr>
      <w:r>
        <w:rPr>
          <w:rFonts w:hint="eastAsia"/>
          <w:sz w:val="32"/>
          <w:szCs w:val="32"/>
        </w:rPr>
        <w:t>2）实施户与村两委签订《建房申请书》，提供户籍、贫困证明和未享受国家建房政策的证明材料，申请书上详细写明建房原因、建房面积、建房方式和自筹金额，一经签订不得反悔、不得更改。</w:t>
      </w:r>
    </w:p>
    <w:p>
      <w:pPr>
        <w:pStyle w:val="2"/>
        <w:rPr>
          <w:rFonts w:hint="eastAsia"/>
          <w:sz w:val="32"/>
          <w:szCs w:val="32"/>
        </w:rPr>
      </w:pPr>
      <w:r>
        <w:rPr>
          <w:rFonts w:hint="eastAsia"/>
          <w:sz w:val="32"/>
          <w:szCs w:val="32"/>
        </w:rPr>
        <w:t>3）村两委就《建房申请书》召开村民大会或村民代表会议审议，审议通过进行公示，公示期不得少于7天。</w:t>
      </w:r>
    </w:p>
    <w:p>
      <w:pPr>
        <w:pStyle w:val="2"/>
        <w:rPr>
          <w:rFonts w:hint="eastAsia"/>
          <w:sz w:val="32"/>
          <w:szCs w:val="32"/>
        </w:rPr>
      </w:pPr>
      <w:r>
        <w:rPr>
          <w:rFonts w:hint="eastAsia"/>
          <w:sz w:val="32"/>
          <w:szCs w:val="32"/>
        </w:rPr>
        <w:t xml:space="preserve">    4）由村两委将公示通过的实施户《建房申请书》提交乡镇人民政府初审。</w:t>
      </w:r>
    </w:p>
    <w:p>
      <w:pPr>
        <w:pStyle w:val="2"/>
        <w:rPr>
          <w:rFonts w:hint="eastAsia"/>
          <w:sz w:val="32"/>
          <w:szCs w:val="32"/>
        </w:rPr>
      </w:pPr>
      <w:r>
        <w:rPr>
          <w:rFonts w:hint="eastAsia"/>
          <w:sz w:val="32"/>
          <w:szCs w:val="32"/>
        </w:rPr>
        <w:t xml:space="preserve">    5） 乡镇人民政府初审通过的实施户以正式文件上报县扶贫移民局进行资格审核，审核之后出具批复。</w:t>
      </w:r>
    </w:p>
    <w:p>
      <w:pPr>
        <w:pStyle w:val="2"/>
        <w:rPr>
          <w:rFonts w:hint="eastAsia"/>
          <w:sz w:val="32"/>
          <w:szCs w:val="32"/>
        </w:rPr>
      </w:pPr>
      <w:r>
        <w:rPr>
          <w:rFonts w:hint="eastAsia"/>
          <w:sz w:val="32"/>
          <w:szCs w:val="32"/>
        </w:rPr>
        <w:t>6）实施户与村两委签订《建房承诺书》</w:t>
      </w:r>
    </w:p>
    <w:p>
      <w:pPr>
        <w:pStyle w:val="2"/>
        <w:rPr>
          <w:rFonts w:hint="eastAsia"/>
          <w:sz w:val="32"/>
          <w:szCs w:val="32"/>
        </w:rPr>
      </w:pPr>
      <w:r>
        <w:rPr>
          <w:rFonts w:hint="eastAsia"/>
          <w:sz w:val="32"/>
          <w:szCs w:val="32"/>
        </w:rPr>
        <w:t>一是实施户住房建设不得超过规定面积。</w:t>
      </w:r>
    </w:p>
    <w:p>
      <w:pPr>
        <w:pStyle w:val="2"/>
        <w:rPr>
          <w:rFonts w:hint="eastAsia"/>
          <w:sz w:val="32"/>
          <w:szCs w:val="32"/>
        </w:rPr>
      </w:pPr>
      <w:r>
        <w:rPr>
          <w:rFonts w:hint="eastAsia"/>
          <w:sz w:val="32"/>
          <w:szCs w:val="32"/>
        </w:rPr>
        <w:t xml:space="preserve"> 二是实施户住房建设必须严保工期。</w:t>
      </w:r>
    </w:p>
    <w:p>
      <w:pPr>
        <w:pStyle w:val="2"/>
        <w:rPr>
          <w:rFonts w:hint="eastAsia"/>
          <w:sz w:val="32"/>
          <w:szCs w:val="32"/>
        </w:rPr>
      </w:pPr>
      <w:r>
        <w:rPr>
          <w:rFonts w:hint="eastAsia"/>
          <w:sz w:val="32"/>
          <w:szCs w:val="32"/>
        </w:rPr>
        <w:t>三是实施户住房建设必须保证自筹款不高于家庭承受能力。</w:t>
      </w:r>
    </w:p>
    <w:p>
      <w:pPr>
        <w:pStyle w:val="2"/>
        <w:rPr>
          <w:rFonts w:hint="eastAsia"/>
          <w:sz w:val="32"/>
          <w:szCs w:val="32"/>
        </w:rPr>
      </w:pPr>
      <w:r>
        <w:rPr>
          <w:rFonts w:hint="eastAsia"/>
          <w:sz w:val="32"/>
          <w:szCs w:val="32"/>
        </w:rPr>
        <w:t>四是实施户住房建设必须符合乡镇规划，不得侵占非规划用地。</w:t>
      </w:r>
    </w:p>
    <w:p>
      <w:pPr>
        <w:pStyle w:val="2"/>
        <w:rPr>
          <w:rFonts w:hint="eastAsia"/>
          <w:sz w:val="32"/>
          <w:szCs w:val="32"/>
        </w:rPr>
      </w:pPr>
      <w:r>
        <w:rPr>
          <w:rFonts w:hint="eastAsia"/>
          <w:sz w:val="32"/>
          <w:szCs w:val="32"/>
        </w:rPr>
        <w:t>7)签订《建房安全责任书》，由村两委与乡镇签订建房安全责任书，由乡、村两级同抓共管。</w:t>
      </w:r>
    </w:p>
    <w:p>
      <w:pPr>
        <w:pStyle w:val="2"/>
        <w:rPr>
          <w:rFonts w:hint="eastAsia"/>
          <w:sz w:val="32"/>
          <w:szCs w:val="32"/>
        </w:rPr>
      </w:pPr>
      <w:r>
        <w:rPr>
          <w:rFonts w:hint="eastAsia"/>
          <w:sz w:val="32"/>
          <w:szCs w:val="32"/>
        </w:rPr>
        <w:t>8）各乡镇上报实施户建设名单经扶贫移民局审核通过后出具《建房许可告知书》，报脱贫攻坚领导小组办公室备案。</w:t>
      </w:r>
    </w:p>
    <w:p>
      <w:pPr>
        <w:pStyle w:val="2"/>
        <w:rPr>
          <w:rFonts w:hint="eastAsia"/>
          <w:sz w:val="32"/>
          <w:szCs w:val="32"/>
        </w:rPr>
      </w:pPr>
      <w:r>
        <w:rPr>
          <w:rFonts w:hint="eastAsia"/>
          <w:sz w:val="32"/>
          <w:szCs w:val="32"/>
        </w:rPr>
        <w:t>9）各乡镇对纳入2019年藏区新居的实施户进行贫困类型认定，其中建档立卡贫困户由扶贫移民局认定；低保户、分散供养特困人员由民政局认定；贫困残疾人家庭由残联进行认定，必须按照方案中要求的界定要求进行认定，并附认定资料（符合哪种认定标准的情况说明）。</w:t>
      </w:r>
    </w:p>
    <w:p>
      <w:pPr>
        <w:pStyle w:val="2"/>
        <w:rPr>
          <w:rFonts w:hint="eastAsia"/>
          <w:sz w:val="32"/>
          <w:szCs w:val="32"/>
        </w:rPr>
      </w:pPr>
      <w:r>
        <w:rPr>
          <w:rFonts w:hint="eastAsia"/>
          <w:sz w:val="32"/>
          <w:szCs w:val="32"/>
        </w:rPr>
        <w:t>（二）项目管理情况。2019年我县藏区新居建设项目，由于是补助资金占一部分，另一部分由牧民自筹，所以采用的是统规自建的形式，由牧民和乡镇自行找工匠或建筑队伍进行修建，确定施工队。</w:t>
      </w:r>
    </w:p>
    <w:p>
      <w:pPr>
        <w:pStyle w:val="2"/>
        <w:rPr>
          <w:rFonts w:hint="eastAsia"/>
          <w:sz w:val="32"/>
          <w:szCs w:val="32"/>
        </w:rPr>
      </w:pPr>
      <w:r>
        <w:rPr>
          <w:rFonts w:hint="eastAsia"/>
          <w:sz w:val="32"/>
          <w:szCs w:val="32"/>
        </w:rPr>
        <w:t>（三）项目监管情况。相关部门组成联合工作组，定期不定期督促检查新居实施情况，综合评价各乡（镇）行政策、资金落实与使用、组织管理、工程质量与建设进度等情况，公布检查结果。县委、县政府、纪检监察部门加强督查督办，做到全程监控，对严重影响项目建设进度和质量的，要追究主要责任人及相关入员的责任，涉嫌犯罪的要依法处理。财政部门要会同相关部门加强资金使用的监督管理，并积极配合有关部门做好审计、稽查，完善一资金管理相关档案。</w:t>
      </w:r>
    </w:p>
    <w:p>
      <w:pPr>
        <w:pStyle w:val="2"/>
        <w:rPr>
          <w:rFonts w:hint="eastAsia"/>
          <w:sz w:val="32"/>
          <w:szCs w:val="32"/>
        </w:rPr>
      </w:pPr>
      <w:r>
        <w:rPr>
          <w:rFonts w:hint="eastAsia"/>
          <w:sz w:val="32"/>
          <w:szCs w:val="32"/>
        </w:rPr>
        <w:t>四、项目绩效情况</w:t>
      </w:r>
      <w:r>
        <w:rPr>
          <w:rFonts w:hint="eastAsia"/>
          <w:sz w:val="32"/>
          <w:szCs w:val="32"/>
        </w:rPr>
        <w:tab/>
      </w:r>
    </w:p>
    <w:p>
      <w:pPr>
        <w:pStyle w:val="2"/>
        <w:rPr>
          <w:rFonts w:hint="eastAsia"/>
          <w:sz w:val="32"/>
          <w:szCs w:val="32"/>
        </w:rPr>
      </w:pPr>
      <w:r>
        <w:rPr>
          <w:rFonts w:hint="eastAsia"/>
          <w:sz w:val="32"/>
          <w:szCs w:val="32"/>
        </w:rPr>
        <w:t>（一）项目完成情况。</w:t>
      </w:r>
    </w:p>
    <w:p>
      <w:pPr>
        <w:pStyle w:val="2"/>
        <w:rPr>
          <w:rFonts w:hint="eastAsia"/>
          <w:sz w:val="32"/>
          <w:szCs w:val="32"/>
        </w:rPr>
      </w:pPr>
      <w:r>
        <w:rPr>
          <w:rFonts w:hint="eastAsia"/>
          <w:sz w:val="32"/>
          <w:szCs w:val="32"/>
        </w:rPr>
        <w:t>截止9月30日，我县2019年藏区新居项目已竣工验收70户，完成竣工验收的70户质量合格、时效快、成本在牧户可接受范围。</w:t>
      </w:r>
    </w:p>
    <w:p>
      <w:pPr>
        <w:pStyle w:val="2"/>
        <w:rPr>
          <w:rFonts w:hint="eastAsia"/>
          <w:sz w:val="32"/>
          <w:szCs w:val="32"/>
        </w:rPr>
      </w:pPr>
      <w:r>
        <w:rPr>
          <w:rFonts w:hint="eastAsia"/>
          <w:sz w:val="32"/>
          <w:szCs w:val="32"/>
        </w:rPr>
        <w:t>1.2019年藏区新居项目施工严格按照图纸施工，施工过程中也进行过多次检查，质量是合格的。</w:t>
      </w:r>
    </w:p>
    <w:p>
      <w:pPr>
        <w:pStyle w:val="2"/>
        <w:rPr>
          <w:rFonts w:hint="eastAsia"/>
          <w:sz w:val="32"/>
          <w:szCs w:val="32"/>
        </w:rPr>
      </w:pPr>
      <w:r>
        <w:rPr>
          <w:rFonts w:hint="eastAsia"/>
          <w:sz w:val="32"/>
          <w:szCs w:val="32"/>
        </w:rPr>
        <w:t>2.竣工验收的70户在质量标准、成本控制等方面，不存在问题。</w:t>
      </w:r>
    </w:p>
    <w:p>
      <w:pPr>
        <w:pStyle w:val="2"/>
        <w:rPr>
          <w:rFonts w:hint="eastAsia"/>
          <w:sz w:val="32"/>
          <w:szCs w:val="32"/>
        </w:rPr>
      </w:pPr>
      <w:r>
        <w:rPr>
          <w:rFonts w:hint="eastAsia"/>
          <w:sz w:val="32"/>
          <w:szCs w:val="32"/>
        </w:rPr>
        <w:t>（二）项目效益情况。</w:t>
      </w:r>
    </w:p>
    <w:p>
      <w:pPr>
        <w:pStyle w:val="2"/>
        <w:rPr>
          <w:rFonts w:hint="eastAsia"/>
          <w:sz w:val="32"/>
          <w:szCs w:val="32"/>
        </w:rPr>
      </w:pPr>
      <w:r>
        <w:rPr>
          <w:rFonts w:hint="eastAsia"/>
          <w:sz w:val="32"/>
          <w:szCs w:val="32"/>
        </w:rPr>
        <w:t>藏区新居建设项目为我县牧民解决了住房困难问题，减轻了牧民经济在住房上的投入。修建完后，房屋若存在相关问题，我县还对其进行维修改造，使群众在生活中不用烦恼住房问题。这有利于藏区社会稳定，群众也对藏区新居建设项目满意。</w:t>
      </w:r>
    </w:p>
    <w:p>
      <w:pPr>
        <w:pStyle w:val="2"/>
        <w:rPr>
          <w:rFonts w:hint="eastAsia"/>
          <w:sz w:val="32"/>
          <w:szCs w:val="32"/>
        </w:rPr>
      </w:pPr>
      <w:r>
        <w:rPr>
          <w:rFonts w:hint="eastAsia"/>
          <w:sz w:val="32"/>
          <w:szCs w:val="32"/>
        </w:rPr>
        <w:t>五、评价结论及建议</w:t>
      </w:r>
    </w:p>
    <w:p>
      <w:pPr>
        <w:pStyle w:val="2"/>
        <w:rPr>
          <w:rFonts w:hint="eastAsia"/>
          <w:sz w:val="32"/>
          <w:szCs w:val="32"/>
        </w:rPr>
      </w:pPr>
      <w:r>
        <w:rPr>
          <w:rFonts w:hint="eastAsia"/>
          <w:sz w:val="32"/>
          <w:szCs w:val="32"/>
        </w:rPr>
        <w:t>（一）评价结论。</w:t>
      </w:r>
    </w:p>
    <w:p>
      <w:pPr>
        <w:pStyle w:val="2"/>
        <w:rPr>
          <w:rFonts w:hint="eastAsia"/>
          <w:sz w:val="32"/>
          <w:szCs w:val="32"/>
        </w:rPr>
      </w:pPr>
      <w:r>
        <w:rPr>
          <w:rFonts w:hint="eastAsia"/>
          <w:sz w:val="32"/>
          <w:szCs w:val="32"/>
        </w:rPr>
        <w:t>藏区新居建设项目紧紧围绕“保增长、保民生、保稳定”工作大局，牢固树立“以发展促稳定、以民生聚民心”理念，本着“统筹兼顾，科学选址，集中连片，先易后难、分村推进，突出高原特色和藏民族特色，有利产业发展和牧民持续增收”的原则，整合资源、项目和资金，大力实施红原县藏区新居建设暨贫困无房户住房解困行动计划，这项惠及广大牧民群众的富民安康工程已办出特色、办出亮点、办出成效，党的惠民阳光普照藏区群众，政府的浓浓温情送到千家万户，让牧民群众共享更多的改革发展成果，并推进新型城镇化建设，助力红原跨越式发展。</w:t>
      </w:r>
    </w:p>
    <w:p>
      <w:pPr>
        <w:pStyle w:val="2"/>
        <w:rPr>
          <w:rFonts w:hint="eastAsia"/>
          <w:sz w:val="32"/>
          <w:szCs w:val="32"/>
        </w:rPr>
      </w:pPr>
      <w:r>
        <w:rPr>
          <w:rFonts w:hint="eastAsia"/>
          <w:sz w:val="32"/>
          <w:szCs w:val="32"/>
        </w:rPr>
        <w:t>（二）存在的问题。</w:t>
      </w:r>
    </w:p>
    <w:p>
      <w:pPr>
        <w:pStyle w:val="2"/>
        <w:rPr>
          <w:rFonts w:hint="eastAsia"/>
          <w:sz w:val="32"/>
          <w:szCs w:val="32"/>
        </w:rPr>
      </w:pPr>
      <w:r>
        <w:rPr>
          <w:rFonts w:hint="eastAsia"/>
          <w:sz w:val="32"/>
          <w:szCs w:val="32"/>
        </w:rPr>
        <w:t>存在有的乡镇在收到补助资金后，在通知牧民后直接将资金拨付给施工队，由于牧民不了解政策情况，在审计局等单位调查时，反映未收到补助资金。</w:t>
      </w:r>
    </w:p>
    <w:p>
      <w:pPr>
        <w:pStyle w:val="2"/>
        <w:rPr>
          <w:rFonts w:hint="eastAsia"/>
          <w:sz w:val="32"/>
          <w:szCs w:val="32"/>
        </w:rPr>
      </w:pPr>
      <w:r>
        <w:rPr>
          <w:rFonts w:hint="eastAsia"/>
          <w:sz w:val="32"/>
          <w:szCs w:val="32"/>
        </w:rPr>
        <w:t>存在该问题的原因为：乡镇考虑到牧民在收到补助资金后，可能不给施工方工程款，容易造成双方矛盾，所以乡镇在通知牧民后，直接将资金拨付给施工方。</w:t>
      </w:r>
      <w:r>
        <w:rPr>
          <w:rFonts w:hint="eastAsia"/>
          <w:sz w:val="32"/>
          <w:szCs w:val="32"/>
        </w:rPr>
        <w:tab/>
      </w:r>
    </w:p>
    <w:p>
      <w:pPr>
        <w:pStyle w:val="2"/>
        <w:rPr>
          <w:rFonts w:hint="eastAsia"/>
          <w:sz w:val="32"/>
          <w:szCs w:val="32"/>
        </w:rPr>
      </w:pPr>
      <w:r>
        <w:rPr>
          <w:rFonts w:hint="eastAsia"/>
          <w:sz w:val="32"/>
          <w:szCs w:val="32"/>
        </w:rPr>
        <w:t>（三）相关建议。</w:t>
      </w:r>
    </w:p>
    <w:p>
      <w:pPr>
        <w:pStyle w:val="2"/>
        <w:rPr>
          <w:rFonts w:hint="eastAsia"/>
          <w:sz w:val="32"/>
          <w:szCs w:val="32"/>
        </w:rPr>
      </w:pPr>
      <w:r>
        <w:rPr>
          <w:rFonts w:hint="eastAsia"/>
          <w:sz w:val="32"/>
          <w:szCs w:val="32"/>
        </w:rPr>
        <w:t>建议在乡镇收到补助资金后，通知施工方和牧民一起去取款，当着双方的面将资金拨付给施工方，并要求双方签字按手印。这样既不会造成双方矛盾，也让牧民了解了相关情况。</w:t>
      </w:r>
    </w:p>
    <w:p>
      <w:pPr>
        <w:pStyle w:val="2"/>
        <w:rPr>
          <w:rFonts w:hint="eastAsia"/>
          <w:sz w:val="32"/>
          <w:szCs w:val="32"/>
        </w:rPr>
      </w:pPr>
    </w:p>
    <w:p>
      <w:pPr>
        <w:pStyle w:val="2"/>
        <w:jc w:val="center"/>
        <w:rPr>
          <w:rFonts w:hint="eastAsia"/>
          <w:b/>
          <w:bCs/>
          <w:sz w:val="36"/>
          <w:szCs w:val="36"/>
        </w:rPr>
      </w:pPr>
      <w:r>
        <w:rPr>
          <w:rFonts w:hint="eastAsia"/>
          <w:b/>
          <w:bCs/>
          <w:sz w:val="36"/>
          <w:szCs w:val="36"/>
        </w:rPr>
        <w:t>红原县住房和城乡建设局项目</w:t>
      </w:r>
    </w:p>
    <w:p>
      <w:pPr>
        <w:pStyle w:val="2"/>
        <w:jc w:val="center"/>
        <w:rPr>
          <w:rFonts w:hint="eastAsia"/>
          <w:sz w:val="32"/>
          <w:szCs w:val="32"/>
        </w:rPr>
      </w:pPr>
      <w:r>
        <w:rPr>
          <w:rFonts w:hint="eastAsia"/>
          <w:b/>
          <w:bCs/>
          <w:sz w:val="36"/>
          <w:szCs w:val="36"/>
        </w:rPr>
        <w:t>支出绩效自评报告</w:t>
      </w:r>
    </w:p>
    <w:p>
      <w:pPr>
        <w:pStyle w:val="2"/>
        <w:jc w:val="center"/>
        <w:rPr>
          <w:rFonts w:hint="eastAsia"/>
          <w:sz w:val="32"/>
          <w:szCs w:val="32"/>
        </w:rPr>
      </w:pPr>
      <w:r>
        <w:rPr>
          <w:rFonts w:hint="eastAsia"/>
          <w:sz w:val="32"/>
          <w:szCs w:val="32"/>
        </w:rPr>
        <w:t>（红原县安曲镇下哈拉玛村排水沟工程及村振兴太阳能路灯采购维修建设项目）</w:t>
      </w:r>
    </w:p>
    <w:p>
      <w:pPr>
        <w:pStyle w:val="2"/>
        <w:rPr>
          <w:rFonts w:hint="eastAsia"/>
          <w:sz w:val="32"/>
          <w:szCs w:val="32"/>
        </w:rPr>
      </w:pPr>
      <w:r>
        <w:rPr>
          <w:rFonts w:hint="eastAsia"/>
          <w:sz w:val="32"/>
          <w:szCs w:val="32"/>
        </w:rPr>
        <w:t>一、项目概况</w:t>
      </w:r>
    </w:p>
    <w:p>
      <w:pPr>
        <w:pStyle w:val="2"/>
        <w:rPr>
          <w:rFonts w:hint="eastAsia"/>
          <w:sz w:val="32"/>
          <w:szCs w:val="32"/>
        </w:rPr>
      </w:pPr>
      <w:r>
        <w:rPr>
          <w:rFonts w:hint="eastAsia"/>
          <w:sz w:val="32"/>
          <w:szCs w:val="32"/>
        </w:rPr>
        <w:t>（一）项目资金申报及批复情况。红原县安曲镇下哈拉玛村排水沟工程经县委县政府批准，红发改行审〔2019〕132号批准立项，财政部门审核通过。红原县乡村振兴太阳能路灯采购维修建设项目经县委县政府批准，财政部门审核通过。该两个项目资金来源为2019年涉农统筹整合资金150万元。</w:t>
      </w:r>
    </w:p>
    <w:p>
      <w:pPr>
        <w:pStyle w:val="2"/>
        <w:rPr>
          <w:rFonts w:hint="eastAsia"/>
          <w:sz w:val="32"/>
          <w:szCs w:val="32"/>
        </w:rPr>
      </w:pPr>
      <w:r>
        <w:rPr>
          <w:rFonts w:hint="eastAsia"/>
          <w:sz w:val="32"/>
          <w:szCs w:val="32"/>
        </w:rPr>
        <w:t>（二）项目绩效目标。红原县安曲镇下哈拉玛村排水沟工程新建混凝土排水沟1861M,DN300钢筋混凝土管223M。红原县乡村振兴太阳能路灯采购维修建设项目，采购8M路灯80盏、维修原有路灯160盏。</w:t>
      </w:r>
    </w:p>
    <w:p>
      <w:pPr>
        <w:pStyle w:val="2"/>
        <w:rPr>
          <w:rFonts w:hint="eastAsia"/>
          <w:sz w:val="32"/>
          <w:szCs w:val="32"/>
        </w:rPr>
      </w:pPr>
      <w:r>
        <w:rPr>
          <w:rFonts w:hint="eastAsia"/>
          <w:sz w:val="32"/>
          <w:szCs w:val="32"/>
        </w:rPr>
        <w:t>（三）项目资金申报相符性。红原县乡村振兴太阳能路灯采购维修建设项目申报内容与具体实施内容相符、申报目标合理可行。</w:t>
      </w:r>
    </w:p>
    <w:p>
      <w:pPr>
        <w:pStyle w:val="2"/>
        <w:rPr>
          <w:rFonts w:hint="eastAsia"/>
          <w:sz w:val="32"/>
          <w:szCs w:val="32"/>
        </w:rPr>
      </w:pPr>
      <w:r>
        <w:rPr>
          <w:rFonts w:hint="eastAsia"/>
          <w:sz w:val="32"/>
          <w:szCs w:val="32"/>
        </w:rPr>
        <w:t>二、项目实施及管理情况</w:t>
      </w:r>
    </w:p>
    <w:p>
      <w:pPr>
        <w:pStyle w:val="2"/>
        <w:rPr>
          <w:rFonts w:hint="eastAsia"/>
          <w:sz w:val="32"/>
          <w:szCs w:val="32"/>
        </w:rPr>
      </w:pPr>
      <w:r>
        <w:rPr>
          <w:rFonts w:hint="eastAsia"/>
          <w:sz w:val="32"/>
          <w:szCs w:val="32"/>
        </w:rPr>
        <w:tab/>
      </w:r>
      <w:r>
        <w:rPr>
          <w:rFonts w:hint="eastAsia"/>
          <w:sz w:val="32"/>
          <w:szCs w:val="32"/>
        </w:rPr>
        <w:t>（一）资金计划、到位及使用情况。</w:t>
      </w:r>
    </w:p>
    <w:p>
      <w:pPr>
        <w:pStyle w:val="2"/>
        <w:rPr>
          <w:rFonts w:hint="eastAsia"/>
          <w:sz w:val="32"/>
          <w:szCs w:val="32"/>
        </w:rPr>
      </w:pPr>
      <w:r>
        <w:rPr>
          <w:rFonts w:hint="eastAsia"/>
          <w:sz w:val="32"/>
          <w:szCs w:val="32"/>
        </w:rPr>
        <w:t>1．资金计划及到位。红原县乡村振兴太阳能路灯采购维修建设项目资金来源为涉农整合资金150万元，资金到位率为100%。</w:t>
      </w:r>
    </w:p>
    <w:p>
      <w:pPr>
        <w:pStyle w:val="2"/>
        <w:rPr>
          <w:rFonts w:hint="eastAsia"/>
          <w:sz w:val="32"/>
          <w:szCs w:val="32"/>
        </w:rPr>
      </w:pPr>
      <w:r>
        <w:rPr>
          <w:rFonts w:hint="eastAsia"/>
          <w:sz w:val="32"/>
          <w:szCs w:val="32"/>
        </w:rPr>
        <w:t>2．资金使用。截至目前已支付140.5337万元，拨付进度占预算的94%。</w:t>
      </w:r>
    </w:p>
    <w:p>
      <w:pPr>
        <w:pStyle w:val="2"/>
        <w:rPr>
          <w:rFonts w:hint="eastAsia"/>
          <w:sz w:val="32"/>
          <w:szCs w:val="32"/>
        </w:rPr>
      </w:pPr>
      <w:r>
        <w:rPr>
          <w:rFonts w:hint="eastAsia"/>
          <w:sz w:val="32"/>
          <w:szCs w:val="32"/>
        </w:rPr>
        <w:t>（二）项目财务管理情况。</w:t>
      </w:r>
    </w:p>
    <w:p>
      <w:pPr>
        <w:pStyle w:val="2"/>
        <w:rPr>
          <w:rFonts w:hint="eastAsia"/>
          <w:sz w:val="32"/>
          <w:szCs w:val="32"/>
        </w:rPr>
      </w:pPr>
      <w:r>
        <w:rPr>
          <w:rFonts w:hint="eastAsia"/>
          <w:sz w:val="32"/>
          <w:szCs w:val="32"/>
        </w:rPr>
        <w:t>项目实施工程中严格按照项目财务管理制度进行财务管理，专款专用，专人负责，严格对照资金管理办法，不拆借资金，规范会计核算程序。</w:t>
      </w:r>
    </w:p>
    <w:p>
      <w:pPr>
        <w:pStyle w:val="2"/>
        <w:rPr>
          <w:rFonts w:hint="eastAsia"/>
          <w:sz w:val="32"/>
          <w:szCs w:val="32"/>
        </w:rPr>
      </w:pPr>
      <w:r>
        <w:rPr>
          <w:rFonts w:hint="eastAsia"/>
          <w:sz w:val="32"/>
          <w:szCs w:val="32"/>
        </w:rPr>
        <w:t>（三）项目组织实施情况。</w:t>
      </w:r>
    </w:p>
    <w:p>
      <w:pPr>
        <w:pStyle w:val="2"/>
        <w:rPr>
          <w:rFonts w:hint="eastAsia"/>
          <w:sz w:val="32"/>
          <w:szCs w:val="32"/>
        </w:rPr>
      </w:pPr>
      <w:r>
        <w:rPr>
          <w:rFonts w:hint="eastAsia"/>
          <w:sz w:val="32"/>
          <w:szCs w:val="32"/>
        </w:rPr>
        <w:t>项目实施阶段设置一名工作人员专管本项目，严格招标投标程序，严格按发改部门批复的招投标程序进行招标，不拆分项目，不单列分包招标，保证项目招投标的严肃性。</w:t>
      </w:r>
    </w:p>
    <w:p>
      <w:pPr>
        <w:pStyle w:val="2"/>
        <w:rPr>
          <w:rFonts w:hint="eastAsia"/>
          <w:sz w:val="32"/>
          <w:szCs w:val="32"/>
        </w:rPr>
      </w:pPr>
      <w:r>
        <w:rPr>
          <w:rFonts w:hint="eastAsia"/>
          <w:sz w:val="32"/>
          <w:szCs w:val="32"/>
        </w:rPr>
        <w:t>三、项目绩效情况</w:t>
      </w:r>
      <w:r>
        <w:rPr>
          <w:rFonts w:hint="eastAsia"/>
          <w:sz w:val="32"/>
          <w:szCs w:val="32"/>
        </w:rPr>
        <w:tab/>
      </w:r>
    </w:p>
    <w:p>
      <w:pPr>
        <w:pStyle w:val="2"/>
        <w:rPr>
          <w:rFonts w:hint="eastAsia"/>
          <w:sz w:val="32"/>
          <w:szCs w:val="32"/>
        </w:rPr>
      </w:pPr>
      <w:r>
        <w:rPr>
          <w:rFonts w:hint="eastAsia"/>
          <w:sz w:val="32"/>
          <w:szCs w:val="32"/>
        </w:rPr>
        <w:t>（一）项目完成情况。</w:t>
      </w:r>
    </w:p>
    <w:p>
      <w:pPr>
        <w:pStyle w:val="2"/>
        <w:rPr>
          <w:rFonts w:hint="eastAsia"/>
          <w:sz w:val="32"/>
          <w:szCs w:val="32"/>
        </w:rPr>
      </w:pPr>
      <w:r>
        <w:rPr>
          <w:rFonts w:hint="eastAsia"/>
          <w:sz w:val="32"/>
          <w:szCs w:val="32"/>
        </w:rPr>
        <w:t>红原县安曲镇下哈拉玛村排水沟工程已完成所有建设内容，并于2019年10月验收合格投入使用；红原县乡村振兴太阳能路灯采购维修建设项目已于2019年10月验收合格并投入使用。</w:t>
      </w:r>
    </w:p>
    <w:p>
      <w:pPr>
        <w:pStyle w:val="2"/>
        <w:rPr>
          <w:rFonts w:hint="eastAsia"/>
          <w:sz w:val="32"/>
          <w:szCs w:val="32"/>
        </w:rPr>
      </w:pPr>
      <w:r>
        <w:rPr>
          <w:rFonts w:hint="eastAsia"/>
          <w:sz w:val="32"/>
          <w:szCs w:val="32"/>
        </w:rPr>
        <w:t>（二）项目效益情况。</w:t>
      </w:r>
    </w:p>
    <w:p>
      <w:pPr>
        <w:pStyle w:val="2"/>
        <w:rPr>
          <w:rFonts w:hint="eastAsia"/>
          <w:sz w:val="32"/>
          <w:szCs w:val="32"/>
        </w:rPr>
      </w:pPr>
      <w:r>
        <w:rPr>
          <w:rFonts w:hint="eastAsia"/>
          <w:sz w:val="32"/>
          <w:szCs w:val="32"/>
        </w:rPr>
        <w:t>红原县安曲镇下哈拉玛村排水沟工程有利于增强村内抵御自然灾害的能力，改善村民的生产和居住环境，更好地为经济发展服务，改善了生产、人居环境，减少环境的污染，提高环保意识;有利于村民生活污水的排放，减少环境破坏。</w:t>
      </w:r>
    </w:p>
    <w:p>
      <w:pPr>
        <w:pStyle w:val="2"/>
        <w:rPr>
          <w:rFonts w:hint="eastAsia"/>
          <w:sz w:val="32"/>
          <w:szCs w:val="32"/>
        </w:rPr>
      </w:pPr>
      <w:r>
        <w:rPr>
          <w:rFonts w:hint="eastAsia"/>
          <w:sz w:val="32"/>
          <w:szCs w:val="32"/>
        </w:rPr>
        <w:t>红原县乡村振兴太阳能路灯采购维修建设项目改善了牧村居民出行条件，进一步提升了牧民夜间出行的安全。</w:t>
      </w:r>
    </w:p>
    <w:p>
      <w:pPr>
        <w:pStyle w:val="2"/>
        <w:rPr>
          <w:rFonts w:hint="eastAsia"/>
          <w:sz w:val="32"/>
          <w:szCs w:val="32"/>
        </w:rPr>
      </w:pPr>
      <w:r>
        <w:rPr>
          <w:rFonts w:hint="eastAsia"/>
          <w:sz w:val="32"/>
          <w:szCs w:val="32"/>
        </w:rPr>
        <w:t>四、问题及建议</w:t>
      </w:r>
    </w:p>
    <w:p>
      <w:pPr>
        <w:pStyle w:val="2"/>
        <w:rPr>
          <w:rFonts w:hint="eastAsia"/>
          <w:sz w:val="32"/>
          <w:szCs w:val="32"/>
        </w:rPr>
      </w:pPr>
      <w:r>
        <w:rPr>
          <w:rFonts w:hint="eastAsia"/>
          <w:sz w:val="32"/>
          <w:szCs w:val="32"/>
        </w:rPr>
        <w:t>（一）存在的问题。</w:t>
      </w:r>
    </w:p>
    <w:p>
      <w:pPr>
        <w:pStyle w:val="2"/>
        <w:rPr>
          <w:rFonts w:hint="eastAsia"/>
          <w:sz w:val="32"/>
          <w:szCs w:val="32"/>
        </w:rPr>
      </w:pPr>
      <w:r>
        <w:rPr>
          <w:rFonts w:hint="eastAsia"/>
          <w:sz w:val="32"/>
          <w:szCs w:val="32"/>
        </w:rPr>
        <w:t>无</w:t>
      </w:r>
    </w:p>
    <w:p>
      <w:pPr>
        <w:pStyle w:val="2"/>
        <w:rPr>
          <w:rFonts w:hint="eastAsia"/>
          <w:sz w:val="32"/>
          <w:szCs w:val="32"/>
        </w:rPr>
      </w:pPr>
      <w:r>
        <w:rPr>
          <w:rFonts w:hint="eastAsia"/>
          <w:sz w:val="32"/>
          <w:szCs w:val="32"/>
        </w:rPr>
        <w:t>（二）相关建议。</w:t>
      </w:r>
    </w:p>
    <w:p>
      <w:pPr>
        <w:pStyle w:val="2"/>
        <w:rPr>
          <w:rFonts w:hint="eastAsia"/>
          <w:sz w:val="32"/>
          <w:szCs w:val="32"/>
        </w:rPr>
      </w:pPr>
      <w:r>
        <w:rPr>
          <w:rFonts w:hint="eastAsia"/>
          <w:sz w:val="32"/>
          <w:szCs w:val="32"/>
        </w:rPr>
        <w:t>进一步健全和完善财务管理制度及内部控制制度，创新管理手段，用新思路、新方法，改进完善财务管理方法。</w:t>
      </w:r>
    </w:p>
    <w:p>
      <w:pPr>
        <w:pStyle w:val="2"/>
        <w:rPr>
          <w:rFonts w:hint="eastAsia"/>
          <w:sz w:val="32"/>
          <w:szCs w:val="32"/>
        </w:rPr>
      </w:pPr>
    </w:p>
    <w:p>
      <w:pPr>
        <w:pStyle w:val="2"/>
        <w:rPr>
          <w:rFonts w:hint="eastAsia"/>
          <w:sz w:val="32"/>
          <w:szCs w:val="32"/>
        </w:rPr>
      </w:pPr>
    </w:p>
    <w:p>
      <w:pPr>
        <w:pStyle w:val="2"/>
        <w:jc w:val="center"/>
        <w:rPr>
          <w:rFonts w:hint="eastAsia"/>
          <w:b/>
          <w:bCs/>
          <w:sz w:val="36"/>
          <w:szCs w:val="36"/>
        </w:rPr>
      </w:pPr>
      <w:r>
        <w:rPr>
          <w:rFonts w:hint="eastAsia"/>
          <w:b/>
          <w:bCs/>
          <w:sz w:val="36"/>
          <w:szCs w:val="36"/>
        </w:rPr>
        <w:t>红原县住房和城乡建设局项目</w:t>
      </w:r>
    </w:p>
    <w:p>
      <w:pPr>
        <w:pStyle w:val="2"/>
        <w:jc w:val="center"/>
        <w:rPr>
          <w:rFonts w:hint="eastAsia"/>
          <w:b/>
          <w:bCs/>
          <w:sz w:val="36"/>
          <w:szCs w:val="36"/>
        </w:rPr>
      </w:pPr>
      <w:r>
        <w:rPr>
          <w:rFonts w:hint="eastAsia"/>
          <w:b/>
          <w:bCs/>
          <w:sz w:val="36"/>
          <w:szCs w:val="36"/>
        </w:rPr>
        <w:t>支出绩效自评报告</w:t>
      </w:r>
    </w:p>
    <w:p>
      <w:pPr>
        <w:pStyle w:val="2"/>
        <w:jc w:val="center"/>
        <w:rPr>
          <w:rFonts w:hint="eastAsia"/>
          <w:sz w:val="32"/>
          <w:szCs w:val="32"/>
        </w:rPr>
      </w:pPr>
      <w:r>
        <w:rPr>
          <w:rFonts w:hint="eastAsia"/>
          <w:sz w:val="32"/>
          <w:szCs w:val="32"/>
        </w:rPr>
        <w:t>（红原县保障性住房维修项目）</w:t>
      </w:r>
    </w:p>
    <w:p>
      <w:pPr>
        <w:pStyle w:val="2"/>
        <w:rPr>
          <w:rFonts w:hint="eastAsia"/>
          <w:sz w:val="32"/>
          <w:szCs w:val="32"/>
        </w:rPr>
      </w:pPr>
      <w:r>
        <w:rPr>
          <w:rFonts w:hint="eastAsia"/>
          <w:sz w:val="32"/>
          <w:szCs w:val="32"/>
        </w:rPr>
        <w:t>一、项目概况</w:t>
      </w:r>
    </w:p>
    <w:p>
      <w:pPr>
        <w:pStyle w:val="2"/>
        <w:rPr>
          <w:rFonts w:hint="eastAsia"/>
          <w:sz w:val="32"/>
          <w:szCs w:val="32"/>
        </w:rPr>
      </w:pPr>
      <w:r>
        <w:rPr>
          <w:rFonts w:hint="eastAsia"/>
          <w:sz w:val="32"/>
          <w:szCs w:val="32"/>
        </w:rPr>
        <w:t>（一）项目资金申报及批复情况。红原县保障性维修项目根据县委县政府工作安排及红原县干部周转宿舍维修管理办法规定、公租房进行维修维护。下达基金红财预[2018]3号320万元全部用于红原县保障性住房维修项目未挪为它用。</w:t>
      </w:r>
    </w:p>
    <w:p>
      <w:pPr>
        <w:pStyle w:val="2"/>
        <w:rPr>
          <w:rFonts w:hint="eastAsia"/>
          <w:sz w:val="32"/>
          <w:szCs w:val="32"/>
        </w:rPr>
      </w:pPr>
      <w:r>
        <w:rPr>
          <w:rFonts w:hint="eastAsia"/>
          <w:sz w:val="32"/>
          <w:szCs w:val="32"/>
        </w:rPr>
        <w:t>（二）项目绩效目标。红原县保障性维修项目确保房屋结构使用安全、无渗漏及排污（水）畅通为前提，满足房屋正常使用，给干部职工创造一个良好的居住生活环境。</w:t>
      </w:r>
    </w:p>
    <w:p>
      <w:pPr>
        <w:pStyle w:val="2"/>
        <w:rPr>
          <w:rFonts w:hint="eastAsia"/>
          <w:sz w:val="32"/>
          <w:szCs w:val="32"/>
        </w:rPr>
      </w:pPr>
      <w:r>
        <w:rPr>
          <w:rFonts w:hint="eastAsia"/>
          <w:sz w:val="32"/>
          <w:szCs w:val="32"/>
        </w:rPr>
        <w:t>（三）项目资金申报相符性。红原县保障性维修项目资金通过年初预算进行申报，申报内容与具体实施内容相符、申报目标合理可行。</w:t>
      </w:r>
    </w:p>
    <w:p>
      <w:pPr>
        <w:pStyle w:val="2"/>
        <w:rPr>
          <w:rFonts w:hint="eastAsia"/>
          <w:sz w:val="32"/>
          <w:szCs w:val="32"/>
        </w:rPr>
      </w:pPr>
      <w:r>
        <w:rPr>
          <w:rFonts w:hint="eastAsia"/>
          <w:sz w:val="32"/>
          <w:szCs w:val="32"/>
        </w:rPr>
        <w:t>二、项目实施及管理情况</w:t>
      </w:r>
    </w:p>
    <w:p>
      <w:pPr>
        <w:pStyle w:val="2"/>
        <w:rPr>
          <w:rFonts w:hint="eastAsia"/>
          <w:sz w:val="32"/>
          <w:szCs w:val="32"/>
        </w:rPr>
      </w:pPr>
      <w:r>
        <w:rPr>
          <w:rFonts w:hint="eastAsia"/>
          <w:sz w:val="32"/>
          <w:szCs w:val="32"/>
        </w:rPr>
        <w:tab/>
      </w:r>
      <w:r>
        <w:rPr>
          <w:rFonts w:hint="eastAsia"/>
          <w:sz w:val="32"/>
          <w:szCs w:val="32"/>
        </w:rPr>
        <w:t>（一）资金计划、到位及使用情况。</w:t>
      </w:r>
    </w:p>
    <w:p>
      <w:pPr>
        <w:pStyle w:val="2"/>
        <w:rPr>
          <w:rFonts w:hint="eastAsia"/>
          <w:sz w:val="32"/>
          <w:szCs w:val="32"/>
        </w:rPr>
      </w:pPr>
      <w:r>
        <w:rPr>
          <w:rFonts w:hint="eastAsia"/>
          <w:sz w:val="32"/>
          <w:szCs w:val="32"/>
        </w:rPr>
        <w:t>1．资金计划及到位。红原县保障性住房维修项目资金来源为基金安排资金。资金到位320万元，资金到位率为100%。</w:t>
      </w:r>
    </w:p>
    <w:p>
      <w:pPr>
        <w:pStyle w:val="2"/>
        <w:rPr>
          <w:rFonts w:hint="eastAsia"/>
          <w:sz w:val="32"/>
          <w:szCs w:val="32"/>
        </w:rPr>
      </w:pPr>
      <w:r>
        <w:rPr>
          <w:rFonts w:hint="eastAsia"/>
          <w:sz w:val="32"/>
          <w:szCs w:val="32"/>
        </w:rPr>
        <w:t>2．资金使用。截至目前已支付48.9626万元，拨付进度占预算的15.3%，结余资金由财政收回。</w:t>
      </w:r>
    </w:p>
    <w:p>
      <w:pPr>
        <w:pStyle w:val="2"/>
        <w:rPr>
          <w:rFonts w:hint="eastAsia"/>
          <w:sz w:val="32"/>
          <w:szCs w:val="32"/>
        </w:rPr>
      </w:pPr>
      <w:r>
        <w:rPr>
          <w:rFonts w:hint="eastAsia"/>
          <w:sz w:val="32"/>
          <w:szCs w:val="32"/>
        </w:rPr>
        <w:t>（二）项目财务管理情况。</w:t>
      </w:r>
    </w:p>
    <w:p>
      <w:pPr>
        <w:pStyle w:val="2"/>
        <w:rPr>
          <w:rFonts w:hint="eastAsia"/>
          <w:sz w:val="32"/>
          <w:szCs w:val="32"/>
        </w:rPr>
      </w:pPr>
      <w:r>
        <w:rPr>
          <w:rFonts w:hint="eastAsia"/>
          <w:sz w:val="32"/>
          <w:szCs w:val="32"/>
        </w:rPr>
        <w:t>项目实施工程中严格按照项目财务管理制度进行财务管理，专款专用，专人负责，严格对照资金管理办法，不拆借资金，规范会计核算程序。</w:t>
      </w:r>
    </w:p>
    <w:p>
      <w:pPr>
        <w:pStyle w:val="2"/>
        <w:rPr>
          <w:rFonts w:hint="eastAsia"/>
          <w:sz w:val="32"/>
          <w:szCs w:val="32"/>
        </w:rPr>
      </w:pPr>
      <w:r>
        <w:rPr>
          <w:rFonts w:hint="eastAsia"/>
          <w:sz w:val="32"/>
          <w:szCs w:val="32"/>
        </w:rPr>
        <w:t>（三）项目组织实施情况。</w:t>
      </w:r>
    </w:p>
    <w:p>
      <w:pPr>
        <w:pStyle w:val="2"/>
        <w:rPr>
          <w:rFonts w:hint="eastAsia"/>
          <w:sz w:val="32"/>
          <w:szCs w:val="32"/>
        </w:rPr>
      </w:pPr>
      <w:r>
        <w:rPr>
          <w:rFonts w:hint="eastAsia"/>
          <w:sz w:val="32"/>
          <w:szCs w:val="32"/>
        </w:rPr>
        <w:t>项目实施阶段设置一名工作人员专管本项目，严格招标投标程序，严格按发改部门批复的招投标程序进行招标，不拆分项目，不单列分包招标，保证项目招投标的严肃性。</w:t>
      </w:r>
    </w:p>
    <w:p>
      <w:pPr>
        <w:pStyle w:val="2"/>
        <w:rPr>
          <w:rFonts w:hint="eastAsia"/>
          <w:sz w:val="32"/>
          <w:szCs w:val="32"/>
        </w:rPr>
      </w:pPr>
      <w:r>
        <w:rPr>
          <w:rFonts w:hint="eastAsia"/>
          <w:sz w:val="32"/>
          <w:szCs w:val="32"/>
        </w:rPr>
        <w:t>三、项目绩效情况</w:t>
      </w:r>
      <w:r>
        <w:rPr>
          <w:rFonts w:hint="eastAsia"/>
          <w:sz w:val="32"/>
          <w:szCs w:val="32"/>
        </w:rPr>
        <w:tab/>
      </w:r>
    </w:p>
    <w:p>
      <w:pPr>
        <w:pStyle w:val="2"/>
        <w:rPr>
          <w:rFonts w:hint="eastAsia"/>
          <w:sz w:val="32"/>
          <w:szCs w:val="32"/>
        </w:rPr>
      </w:pPr>
      <w:r>
        <w:rPr>
          <w:rFonts w:hint="eastAsia"/>
          <w:sz w:val="32"/>
          <w:szCs w:val="32"/>
        </w:rPr>
        <w:t>（一）项目完成情况。</w:t>
      </w:r>
    </w:p>
    <w:p>
      <w:pPr>
        <w:pStyle w:val="2"/>
        <w:rPr>
          <w:rFonts w:hint="eastAsia"/>
          <w:sz w:val="32"/>
          <w:szCs w:val="32"/>
        </w:rPr>
      </w:pPr>
      <w:r>
        <w:rPr>
          <w:rFonts w:hint="eastAsia"/>
          <w:sz w:val="32"/>
          <w:szCs w:val="32"/>
        </w:rPr>
        <w:t>红原县保障性维修项目于2019年底完成全年维修项目竣工并验收合格投入使用。</w:t>
      </w:r>
    </w:p>
    <w:p>
      <w:pPr>
        <w:pStyle w:val="2"/>
        <w:rPr>
          <w:rFonts w:hint="eastAsia"/>
          <w:sz w:val="32"/>
          <w:szCs w:val="32"/>
        </w:rPr>
      </w:pPr>
      <w:r>
        <w:rPr>
          <w:rFonts w:hint="eastAsia"/>
          <w:sz w:val="32"/>
          <w:szCs w:val="32"/>
        </w:rPr>
        <w:t>（二）项目效益情况。</w:t>
      </w:r>
    </w:p>
    <w:p>
      <w:pPr>
        <w:pStyle w:val="2"/>
        <w:rPr>
          <w:rFonts w:hint="eastAsia"/>
          <w:sz w:val="32"/>
          <w:szCs w:val="32"/>
        </w:rPr>
      </w:pPr>
      <w:r>
        <w:rPr>
          <w:rFonts w:hint="eastAsia"/>
          <w:sz w:val="32"/>
          <w:szCs w:val="32"/>
        </w:rPr>
        <w:t>红原县保障性维修项目为加强我县周转房的日常管理，确保房屋安全使用，根据中央、省、州有关规定，结合我县实际情况需要申请保障性住房维修项目。主要维修内容：一是基础部分。基础局部出现不均匀沉降、裂缝、破损，影响房屋上部，造成墙体变形、倾斜、开裂等，应当查清原因，有针对性地进行加固或者拆砌。二是主体结构部分。柱、梁、板等结构构件出现变形、裂缝损坏的，应当加固或者拆换；木屋架、木檩、木梁、木柱等构件局部糟朽、劈裂、变形严重的，应当加固或者拆换；木屋面板、油毡、挂瓦条、吊檐板等木构件损坏的，应当更换；承重墙和非承重墙体出现碱蚀、开裂、倾斜的，应当局部剔碱、掏砌或者整体拆砌。三是楼地面公共部分。水泥混凝土地面起砂、空鼓、开裂的，应当铲除、补抹或者重抹。楼（地）面地砖或者木地板起鼓、开裂、脱块的，应当按照相关标准修补或者重铺等。四是内、外墙面公共抹灰部分。内、外墙面抹灰层局部有开裂、空鼓、脱落的，应当补抹或者整面墙铲抹。清水墙损坏应修补嵌缝；整面墙碱蚀、风化较重的，应当剔碱或者采取抹灰修复；外墙勒脚抹灰损坏的，应当修复。</w:t>
      </w:r>
    </w:p>
    <w:p>
      <w:pPr>
        <w:pStyle w:val="2"/>
        <w:rPr>
          <w:rFonts w:hint="eastAsia"/>
          <w:sz w:val="32"/>
          <w:szCs w:val="32"/>
        </w:rPr>
      </w:pPr>
      <w:r>
        <w:rPr>
          <w:rFonts w:hint="eastAsia"/>
          <w:sz w:val="32"/>
          <w:szCs w:val="32"/>
        </w:rPr>
        <w:t>四、问题及建议</w:t>
      </w:r>
    </w:p>
    <w:p>
      <w:pPr>
        <w:pStyle w:val="2"/>
        <w:rPr>
          <w:rFonts w:hint="eastAsia"/>
          <w:sz w:val="32"/>
          <w:szCs w:val="32"/>
        </w:rPr>
      </w:pPr>
      <w:r>
        <w:rPr>
          <w:rFonts w:hint="eastAsia"/>
          <w:sz w:val="32"/>
          <w:szCs w:val="32"/>
        </w:rPr>
        <w:t>（一）存在的问题。</w:t>
      </w:r>
    </w:p>
    <w:p>
      <w:pPr>
        <w:pStyle w:val="2"/>
        <w:rPr>
          <w:rFonts w:hint="eastAsia"/>
          <w:sz w:val="32"/>
          <w:szCs w:val="32"/>
        </w:rPr>
      </w:pPr>
      <w:r>
        <w:rPr>
          <w:rFonts w:hint="eastAsia"/>
          <w:sz w:val="32"/>
          <w:szCs w:val="32"/>
        </w:rPr>
        <w:t>一是由于项目投资额度大，资金组成复杂导致该笔资金使用缓慢等客观因素影响，导致一部分资金与年初安排计划存在一定偏差，已申请到项目账户的资金，若部分未使用，建议限额结转下一年度，可及时用于来年拨付资金。二是财政困难，工作经费不足等导致施工进度相对缓慢。</w:t>
      </w:r>
    </w:p>
    <w:p>
      <w:pPr>
        <w:pStyle w:val="2"/>
        <w:rPr>
          <w:rFonts w:hint="eastAsia"/>
          <w:sz w:val="32"/>
          <w:szCs w:val="32"/>
        </w:rPr>
      </w:pPr>
      <w:r>
        <w:rPr>
          <w:rFonts w:hint="eastAsia"/>
          <w:sz w:val="32"/>
          <w:szCs w:val="32"/>
        </w:rPr>
        <w:t>（二）相关建议。</w:t>
      </w:r>
    </w:p>
    <w:p>
      <w:pPr>
        <w:pStyle w:val="2"/>
        <w:rPr>
          <w:rFonts w:hint="eastAsia"/>
          <w:sz w:val="32"/>
          <w:szCs w:val="32"/>
        </w:rPr>
      </w:pPr>
      <w:r>
        <w:rPr>
          <w:rFonts w:hint="eastAsia"/>
          <w:sz w:val="32"/>
          <w:szCs w:val="32"/>
        </w:rPr>
        <w:t>一是进一步健全和完善财务管理制度及内部控制制度，创新管理手段，用新思路、新方法，改进完善财务管理方法。 二是按照财政支出绩效管理的要求，建立科学的财政资金效益考评制度体系，不断提高财政资金使用管理的水平和效率。三是完善管理机制，明确责任。项目实施完成移交后，要加大对专项项目基础设施保护工作的关注和重视，构建一个职责分明、科学规范、具有可操作性的管理长效机制。</w:t>
      </w:r>
    </w:p>
    <w:p>
      <w:pPr>
        <w:pStyle w:val="2"/>
        <w:rPr>
          <w:rFonts w:hint="eastAsia"/>
          <w:sz w:val="32"/>
          <w:szCs w:val="32"/>
        </w:rPr>
      </w:pPr>
    </w:p>
    <w:p>
      <w:pPr>
        <w:pStyle w:val="2"/>
        <w:jc w:val="center"/>
        <w:rPr>
          <w:rFonts w:hint="eastAsia"/>
          <w:b/>
          <w:bCs/>
          <w:sz w:val="36"/>
          <w:szCs w:val="36"/>
        </w:rPr>
      </w:pPr>
      <w:r>
        <w:rPr>
          <w:rFonts w:hint="eastAsia"/>
          <w:b/>
          <w:bCs/>
          <w:sz w:val="36"/>
          <w:szCs w:val="36"/>
        </w:rPr>
        <w:t>红原县住房和城乡建设局项目</w:t>
      </w:r>
    </w:p>
    <w:p>
      <w:pPr>
        <w:pStyle w:val="2"/>
        <w:jc w:val="center"/>
        <w:rPr>
          <w:rFonts w:hint="eastAsia"/>
          <w:b/>
          <w:bCs/>
          <w:sz w:val="36"/>
          <w:szCs w:val="36"/>
        </w:rPr>
      </w:pPr>
      <w:r>
        <w:rPr>
          <w:rFonts w:hint="eastAsia"/>
          <w:b/>
          <w:bCs/>
          <w:sz w:val="36"/>
          <w:szCs w:val="36"/>
        </w:rPr>
        <w:t>支出绩效自评报告</w:t>
      </w:r>
    </w:p>
    <w:p>
      <w:pPr>
        <w:pStyle w:val="2"/>
        <w:ind w:firstLine="640" w:firstLineChars="200"/>
        <w:rPr>
          <w:rFonts w:hint="eastAsia"/>
          <w:sz w:val="32"/>
          <w:szCs w:val="32"/>
        </w:rPr>
      </w:pPr>
      <w:r>
        <w:rPr>
          <w:rFonts w:hint="eastAsia"/>
          <w:sz w:val="32"/>
          <w:szCs w:val="32"/>
        </w:rPr>
        <w:t>（红原县城市生活垃圾分类回收资源化处理工程）</w:t>
      </w:r>
    </w:p>
    <w:p>
      <w:pPr>
        <w:pStyle w:val="2"/>
        <w:rPr>
          <w:rFonts w:hint="eastAsia"/>
          <w:sz w:val="32"/>
          <w:szCs w:val="32"/>
        </w:rPr>
      </w:pPr>
      <w:r>
        <w:rPr>
          <w:rFonts w:hint="eastAsia"/>
          <w:sz w:val="32"/>
          <w:szCs w:val="32"/>
        </w:rPr>
        <w:t>一、项目概况</w:t>
      </w:r>
    </w:p>
    <w:p>
      <w:pPr>
        <w:pStyle w:val="2"/>
        <w:rPr>
          <w:rFonts w:hint="eastAsia"/>
          <w:sz w:val="32"/>
          <w:szCs w:val="32"/>
        </w:rPr>
      </w:pPr>
      <w:r>
        <w:rPr>
          <w:rFonts w:hint="eastAsia"/>
          <w:sz w:val="32"/>
          <w:szCs w:val="32"/>
        </w:rPr>
        <w:t>（一）项目资金申报及批复情况。红原县城市生活垃圾分类回收资源化处理工程经县委县政府批准，财政部门审核通过，新建日处理生活垃圾30t的处理站1座；配置2台60t/d热解气化炉生产线，采用高温热解气化处理技术工艺；占地面积15亩；建设办公综合用房120㎡；配套主厂房、筛下物库、水池、渣库、消防水池、水泵房、配电房、宿舍、进场道路、在线监测设备、绿化和亮化等设施设备。该项目由地方政府转贷资金及三年推进方案预算资金、生态转移资金构成。其中2019年地方政府转贷资金阿州财建〔2019〕31号1500万元全部用于城市生活垃圾分类回收资源化处理工程未挪为它用。</w:t>
      </w:r>
    </w:p>
    <w:p>
      <w:pPr>
        <w:pStyle w:val="2"/>
        <w:rPr>
          <w:rFonts w:hint="eastAsia"/>
          <w:sz w:val="32"/>
          <w:szCs w:val="32"/>
        </w:rPr>
      </w:pPr>
      <w:r>
        <w:rPr>
          <w:rFonts w:hint="eastAsia"/>
          <w:sz w:val="32"/>
          <w:szCs w:val="32"/>
        </w:rPr>
        <w:t>（二）项目绩效目标。红原县城市生活垃圾分类回收资源化处理厂投产后有效提高城市人民的生活质量，改善环境及促进城市的经济建设将产生深远的影响。本项目的实施从根本上解决了生活垃圾带来的灰色地带，保护了国家及地区的土地资源。</w:t>
      </w:r>
    </w:p>
    <w:p>
      <w:pPr>
        <w:pStyle w:val="2"/>
        <w:rPr>
          <w:rFonts w:hint="eastAsia"/>
          <w:sz w:val="32"/>
          <w:szCs w:val="32"/>
        </w:rPr>
      </w:pPr>
      <w:r>
        <w:rPr>
          <w:rFonts w:hint="eastAsia"/>
          <w:sz w:val="32"/>
          <w:szCs w:val="32"/>
        </w:rPr>
        <w:t>（三）项目资金申报相符性。红原县城市生活垃圾分类回收资源化处理工程建设项目申报内容与具体实施内容相符、申报目标合理可行。</w:t>
      </w:r>
    </w:p>
    <w:p>
      <w:pPr>
        <w:pStyle w:val="2"/>
        <w:rPr>
          <w:rFonts w:hint="eastAsia"/>
          <w:sz w:val="32"/>
          <w:szCs w:val="32"/>
        </w:rPr>
      </w:pPr>
      <w:r>
        <w:rPr>
          <w:rFonts w:hint="eastAsia"/>
          <w:sz w:val="32"/>
          <w:szCs w:val="32"/>
        </w:rPr>
        <w:t>二、项目实施及管</w:t>
      </w:r>
      <w:bookmarkStart w:id="4" w:name="_GoBack"/>
      <w:r>
        <w:rPr>
          <w:rFonts w:hint="eastAsia"/>
          <w:sz w:val="32"/>
          <w:szCs w:val="32"/>
        </w:rPr>
        <w:t>理</w:t>
      </w:r>
      <w:bookmarkEnd w:id="4"/>
      <w:r>
        <w:rPr>
          <w:rFonts w:hint="eastAsia"/>
          <w:sz w:val="32"/>
          <w:szCs w:val="32"/>
        </w:rPr>
        <w:t>情况</w:t>
      </w:r>
    </w:p>
    <w:p>
      <w:pPr>
        <w:pStyle w:val="2"/>
        <w:rPr>
          <w:rFonts w:hint="eastAsia"/>
          <w:sz w:val="32"/>
          <w:szCs w:val="32"/>
        </w:rPr>
      </w:pPr>
      <w:r>
        <w:rPr>
          <w:rFonts w:hint="eastAsia"/>
          <w:sz w:val="32"/>
          <w:szCs w:val="32"/>
        </w:rPr>
        <w:tab/>
      </w:r>
      <w:r>
        <w:rPr>
          <w:rFonts w:hint="eastAsia"/>
          <w:sz w:val="32"/>
          <w:szCs w:val="32"/>
        </w:rPr>
        <w:t>（一）资金计划、到位及使用情况。</w:t>
      </w:r>
    </w:p>
    <w:p>
      <w:pPr>
        <w:pStyle w:val="2"/>
        <w:rPr>
          <w:rFonts w:hint="eastAsia"/>
          <w:sz w:val="32"/>
          <w:szCs w:val="32"/>
        </w:rPr>
      </w:pPr>
      <w:r>
        <w:rPr>
          <w:rFonts w:hint="eastAsia"/>
          <w:sz w:val="32"/>
          <w:szCs w:val="32"/>
        </w:rPr>
        <w:t>1．资金计划及到位。红原县城市生活垃圾分类回收资源化处理工程建设项目由地方政府转贷资金及三年推进方案预算资金、生态转移资金构成。其中2019年地方政府转贷资金阿州财建〔2019〕31号1500万元，资金到位率为100%。</w:t>
      </w:r>
    </w:p>
    <w:p>
      <w:pPr>
        <w:pStyle w:val="2"/>
        <w:rPr>
          <w:rFonts w:hint="eastAsia"/>
          <w:sz w:val="32"/>
          <w:szCs w:val="32"/>
        </w:rPr>
      </w:pPr>
      <w:r>
        <w:rPr>
          <w:rFonts w:hint="eastAsia"/>
          <w:sz w:val="32"/>
          <w:szCs w:val="32"/>
        </w:rPr>
        <w:t>2．资金使用。截至目前已支付848.8216万元，拨付进度占预算的57%。</w:t>
      </w:r>
    </w:p>
    <w:p>
      <w:pPr>
        <w:pStyle w:val="2"/>
        <w:rPr>
          <w:rFonts w:hint="eastAsia"/>
          <w:sz w:val="32"/>
          <w:szCs w:val="32"/>
        </w:rPr>
      </w:pPr>
      <w:r>
        <w:rPr>
          <w:rFonts w:hint="eastAsia"/>
          <w:sz w:val="32"/>
          <w:szCs w:val="32"/>
        </w:rPr>
        <w:t>（二）项目财务管理情况。</w:t>
      </w:r>
    </w:p>
    <w:p>
      <w:pPr>
        <w:pStyle w:val="2"/>
        <w:rPr>
          <w:rFonts w:hint="eastAsia"/>
          <w:sz w:val="32"/>
          <w:szCs w:val="32"/>
        </w:rPr>
      </w:pPr>
      <w:r>
        <w:rPr>
          <w:rFonts w:hint="eastAsia"/>
          <w:sz w:val="32"/>
          <w:szCs w:val="32"/>
        </w:rPr>
        <w:t>项目实施工程中严格按照项目财务管理制度进行财务管理，专款专用，专人负责，严格对照资金管理办法，不拆借资金，规范会计核算程序。</w:t>
      </w:r>
    </w:p>
    <w:p>
      <w:pPr>
        <w:pStyle w:val="2"/>
        <w:rPr>
          <w:rFonts w:hint="eastAsia"/>
          <w:sz w:val="32"/>
          <w:szCs w:val="32"/>
        </w:rPr>
      </w:pPr>
      <w:r>
        <w:rPr>
          <w:rFonts w:hint="eastAsia"/>
          <w:sz w:val="32"/>
          <w:szCs w:val="32"/>
        </w:rPr>
        <w:t>（三）项目组织实施情况。</w:t>
      </w:r>
    </w:p>
    <w:p>
      <w:pPr>
        <w:pStyle w:val="2"/>
        <w:rPr>
          <w:rFonts w:hint="eastAsia"/>
          <w:sz w:val="32"/>
          <w:szCs w:val="32"/>
        </w:rPr>
      </w:pPr>
      <w:r>
        <w:rPr>
          <w:rFonts w:hint="eastAsia"/>
          <w:sz w:val="32"/>
          <w:szCs w:val="32"/>
        </w:rPr>
        <w:t>项目实施阶段设置一名工作人员专管本项目，严格招标投标程序，严格按发改部门批复的招投标程序进行招标，不拆分项目，不单列分包招标，保证项目招投标的严肃性。</w:t>
      </w:r>
    </w:p>
    <w:p>
      <w:pPr>
        <w:pStyle w:val="2"/>
        <w:rPr>
          <w:rFonts w:hint="eastAsia"/>
          <w:sz w:val="32"/>
          <w:szCs w:val="32"/>
        </w:rPr>
      </w:pPr>
      <w:r>
        <w:rPr>
          <w:rFonts w:hint="eastAsia"/>
          <w:sz w:val="32"/>
          <w:szCs w:val="32"/>
        </w:rPr>
        <w:t>三、项目绩效情况</w:t>
      </w:r>
      <w:r>
        <w:rPr>
          <w:rFonts w:hint="eastAsia"/>
          <w:sz w:val="32"/>
          <w:szCs w:val="32"/>
        </w:rPr>
        <w:tab/>
      </w:r>
    </w:p>
    <w:p>
      <w:pPr>
        <w:pStyle w:val="2"/>
        <w:rPr>
          <w:rFonts w:hint="eastAsia"/>
          <w:sz w:val="32"/>
          <w:szCs w:val="32"/>
        </w:rPr>
      </w:pPr>
      <w:r>
        <w:rPr>
          <w:rFonts w:hint="eastAsia"/>
          <w:sz w:val="32"/>
          <w:szCs w:val="32"/>
        </w:rPr>
        <w:t>（一）项目完成情况。</w:t>
      </w:r>
    </w:p>
    <w:p>
      <w:pPr>
        <w:pStyle w:val="2"/>
        <w:rPr>
          <w:rFonts w:hint="eastAsia"/>
          <w:sz w:val="32"/>
          <w:szCs w:val="32"/>
        </w:rPr>
      </w:pPr>
      <w:r>
        <w:rPr>
          <w:rFonts w:hint="eastAsia"/>
          <w:sz w:val="32"/>
          <w:szCs w:val="32"/>
        </w:rPr>
        <w:t>红原县城市生活垃圾分类回收资源化处理工程已完成所有建设项目于2019年底竣工验收合格，并于2020年5月投入使用。</w:t>
      </w:r>
    </w:p>
    <w:p>
      <w:pPr>
        <w:pStyle w:val="2"/>
        <w:rPr>
          <w:rFonts w:hint="eastAsia"/>
          <w:sz w:val="32"/>
          <w:szCs w:val="32"/>
        </w:rPr>
      </w:pPr>
      <w:r>
        <w:rPr>
          <w:rFonts w:hint="eastAsia"/>
          <w:sz w:val="32"/>
          <w:szCs w:val="32"/>
        </w:rPr>
        <w:t>（二）项目效益情况。</w:t>
      </w:r>
    </w:p>
    <w:p>
      <w:pPr>
        <w:pStyle w:val="2"/>
        <w:rPr>
          <w:rFonts w:hint="eastAsia"/>
          <w:sz w:val="32"/>
          <w:szCs w:val="32"/>
        </w:rPr>
      </w:pPr>
      <w:r>
        <w:rPr>
          <w:rFonts w:hint="eastAsia"/>
          <w:sz w:val="32"/>
          <w:szCs w:val="32"/>
        </w:rPr>
        <w:t>红原县城市生活垃圾分类回收资源化处理工程配置2台60t/d热解气化炉生产线，采用高温热解气化处理技术工艺，通过适当的热分解、燃烧、熔融等反应使垃圾经过高温下的氧化进行减容，成为残渣或者熔融固体物质的过程。垃圾用焚烧法处理后减量化效果显著，节省用地，将有毒有害物质转化为无害物质，已成为城市垃圾处理的主要方法之一。红原县城市生活垃圾分类回收资源化处理工程已经建立起比较完善的管理体系，运行手册、环境安全自律体系手册、应急预案等相关运行监管体系不断完备，垃圾处理运行更加规范化、透明化，全县垃圾处理工作向着更加利于生态环境保护、方便社会监督的方向发展。</w:t>
      </w:r>
    </w:p>
    <w:p>
      <w:pPr>
        <w:pStyle w:val="2"/>
        <w:rPr>
          <w:rFonts w:hint="eastAsia"/>
          <w:sz w:val="32"/>
          <w:szCs w:val="32"/>
        </w:rPr>
      </w:pPr>
      <w:r>
        <w:rPr>
          <w:rFonts w:hint="eastAsia"/>
          <w:sz w:val="32"/>
          <w:szCs w:val="32"/>
        </w:rPr>
        <w:t>四、问题及建议</w:t>
      </w:r>
    </w:p>
    <w:p>
      <w:pPr>
        <w:pStyle w:val="2"/>
        <w:rPr>
          <w:rFonts w:hint="eastAsia"/>
          <w:sz w:val="32"/>
          <w:szCs w:val="32"/>
        </w:rPr>
      </w:pPr>
      <w:r>
        <w:rPr>
          <w:rFonts w:hint="eastAsia"/>
          <w:sz w:val="32"/>
          <w:szCs w:val="32"/>
        </w:rPr>
        <w:t>（一）存在的问题。</w:t>
      </w:r>
    </w:p>
    <w:p>
      <w:pPr>
        <w:pStyle w:val="2"/>
        <w:rPr>
          <w:rFonts w:hint="eastAsia"/>
          <w:sz w:val="32"/>
          <w:szCs w:val="32"/>
        </w:rPr>
      </w:pPr>
      <w:r>
        <w:rPr>
          <w:rFonts w:hint="eastAsia"/>
          <w:sz w:val="32"/>
          <w:szCs w:val="32"/>
        </w:rPr>
        <w:t>一是由于项目投资额度大，资金组成复杂导致该笔资金使用缓慢等客观因素影响，导致一部分资金与年初安排计划存在一定偏差，已申请到项目账户的资金，若部分未使用，建议限额结转下一年度，可及时用于来年拨付资金。二是财政困难，工作经费不足等导致施工进度相对缓慢。</w:t>
      </w:r>
    </w:p>
    <w:p>
      <w:pPr>
        <w:pStyle w:val="2"/>
        <w:rPr>
          <w:rFonts w:hint="eastAsia"/>
          <w:sz w:val="32"/>
          <w:szCs w:val="32"/>
        </w:rPr>
      </w:pPr>
      <w:r>
        <w:rPr>
          <w:rFonts w:hint="eastAsia"/>
          <w:sz w:val="32"/>
          <w:szCs w:val="32"/>
        </w:rPr>
        <w:t>（二）相关建议。</w:t>
      </w:r>
    </w:p>
    <w:p>
      <w:pPr>
        <w:pStyle w:val="2"/>
        <w:rPr>
          <w:rFonts w:hint="eastAsia"/>
          <w:sz w:val="32"/>
          <w:szCs w:val="32"/>
        </w:rPr>
      </w:pPr>
      <w:r>
        <w:rPr>
          <w:rFonts w:hint="eastAsia"/>
          <w:sz w:val="32"/>
          <w:szCs w:val="32"/>
        </w:rPr>
        <w:t>（一）进一步健全和完善财务管理制度及内部控制制度，创新管理手段，用新思路、新方法，改进完善财务管理方法。 （二）按照财政支出绩效管理的要求，建立科学的财政资金效益考评制度体系，不断提高财政资金使用管理的水平和效率。（三）完善管理机制，明确责任。项目实施完成移交后，要加大对专项项目基础设施保护工作的关注和重视，构建一个职责分明、科学规范、具有可操作性的管理长效机制。</w:t>
      </w:r>
    </w:p>
    <w:p>
      <w:pPr>
        <w:spacing w:line="560" w:lineRule="exact"/>
        <w:ind w:firstLine="640" w:firstLineChars="200"/>
        <w:rPr>
          <w:sz w:val="32"/>
          <w:szCs w:val="32"/>
        </w:rPr>
      </w:pPr>
      <w:r>
        <w:rPr>
          <w:sz w:val="32"/>
          <w:szCs w:val="32"/>
        </w:rPr>
        <w:t> </w:t>
      </w:r>
    </w:p>
    <w:p>
      <w:pPr>
        <w:spacing w:line="560" w:lineRule="exact"/>
        <w:ind w:firstLine="1285" w:firstLineChars="400"/>
        <w:jc w:val="center"/>
        <w:rPr>
          <w:b/>
          <w:sz w:val="32"/>
          <w:szCs w:val="32"/>
        </w:rPr>
      </w:pPr>
      <w:r>
        <w:rPr>
          <w:b/>
          <w:sz w:val="32"/>
          <w:szCs w:val="32"/>
        </w:rPr>
        <w:t>第五部分 附表</w:t>
      </w:r>
    </w:p>
    <w:p>
      <w:pPr>
        <w:spacing w:line="560" w:lineRule="exact"/>
        <w:rPr>
          <w:b w:val="0"/>
          <w:bCs/>
          <w:sz w:val="32"/>
          <w:szCs w:val="32"/>
        </w:rPr>
      </w:pPr>
      <w:r>
        <w:rPr>
          <w:b w:val="0"/>
          <w:bCs/>
          <w:sz w:val="32"/>
          <w:szCs w:val="32"/>
        </w:rPr>
        <w:t>一、收入支出决算总表</w:t>
      </w:r>
    </w:p>
    <w:p>
      <w:pPr>
        <w:spacing w:line="560" w:lineRule="exact"/>
        <w:ind w:firstLine="640" w:firstLineChars="200"/>
        <w:rPr>
          <w:b w:val="0"/>
          <w:bCs/>
          <w:sz w:val="32"/>
          <w:szCs w:val="32"/>
        </w:rPr>
      </w:pPr>
      <w:r>
        <w:rPr>
          <w:b w:val="0"/>
          <w:bCs/>
          <w:sz w:val="32"/>
          <w:szCs w:val="32"/>
        </w:rPr>
        <w:t>二、收入决算表</w:t>
      </w:r>
    </w:p>
    <w:p>
      <w:pPr>
        <w:spacing w:line="560" w:lineRule="exact"/>
        <w:ind w:firstLine="640" w:firstLineChars="200"/>
        <w:rPr>
          <w:b w:val="0"/>
          <w:bCs/>
          <w:sz w:val="32"/>
          <w:szCs w:val="32"/>
        </w:rPr>
      </w:pPr>
      <w:r>
        <w:rPr>
          <w:b w:val="0"/>
          <w:bCs/>
          <w:sz w:val="32"/>
          <w:szCs w:val="32"/>
        </w:rPr>
        <w:t>三、支出决算表</w:t>
      </w:r>
    </w:p>
    <w:p>
      <w:pPr>
        <w:spacing w:line="560" w:lineRule="exact"/>
        <w:ind w:firstLine="640" w:firstLineChars="200"/>
        <w:rPr>
          <w:b w:val="0"/>
          <w:bCs/>
          <w:sz w:val="32"/>
          <w:szCs w:val="32"/>
        </w:rPr>
      </w:pPr>
      <w:r>
        <w:rPr>
          <w:b w:val="0"/>
          <w:bCs/>
          <w:sz w:val="32"/>
          <w:szCs w:val="32"/>
        </w:rPr>
        <w:t>四、财政拨款收入支出决算总表</w:t>
      </w:r>
    </w:p>
    <w:p>
      <w:pPr>
        <w:spacing w:line="560" w:lineRule="exact"/>
        <w:ind w:firstLine="640" w:firstLineChars="200"/>
        <w:rPr>
          <w:b w:val="0"/>
          <w:bCs/>
          <w:sz w:val="32"/>
          <w:szCs w:val="32"/>
        </w:rPr>
      </w:pPr>
      <w:r>
        <w:rPr>
          <w:b w:val="0"/>
          <w:bCs/>
          <w:sz w:val="32"/>
          <w:szCs w:val="32"/>
        </w:rPr>
        <w:t>五、财政拨款支出决算明细表</w:t>
      </w:r>
    </w:p>
    <w:p>
      <w:pPr>
        <w:spacing w:line="560" w:lineRule="exact"/>
        <w:ind w:firstLine="640" w:firstLineChars="200"/>
        <w:rPr>
          <w:b w:val="0"/>
          <w:bCs/>
          <w:sz w:val="32"/>
          <w:szCs w:val="32"/>
        </w:rPr>
      </w:pPr>
      <w:r>
        <w:rPr>
          <w:b w:val="0"/>
          <w:bCs/>
          <w:sz w:val="32"/>
          <w:szCs w:val="32"/>
        </w:rPr>
        <w:t>六、一般公共预算财政拨款支出决算表</w:t>
      </w:r>
    </w:p>
    <w:p>
      <w:pPr>
        <w:spacing w:line="560" w:lineRule="exact"/>
        <w:ind w:firstLine="640" w:firstLineChars="200"/>
        <w:rPr>
          <w:b w:val="0"/>
          <w:bCs/>
          <w:sz w:val="32"/>
          <w:szCs w:val="32"/>
        </w:rPr>
      </w:pPr>
      <w:r>
        <w:rPr>
          <w:b w:val="0"/>
          <w:bCs/>
          <w:sz w:val="32"/>
          <w:szCs w:val="32"/>
        </w:rPr>
        <w:t>七、一般公共预算财政拨款支出决算明细表</w:t>
      </w:r>
    </w:p>
    <w:p>
      <w:pPr>
        <w:spacing w:line="560" w:lineRule="exact"/>
        <w:ind w:firstLine="640" w:firstLineChars="200"/>
        <w:rPr>
          <w:b/>
          <w:sz w:val="32"/>
          <w:szCs w:val="32"/>
        </w:rPr>
      </w:pPr>
      <w:r>
        <w:rPr>
          <w:b w:val="0"/>
          <w:bCs/>
          <w:sz w:val="32"/>
          <w:szCs w:val="32"/>
        </w:rPr>
        <w:t>八、一般公共预算财政拨款基本支出决算表</w:t>
      </w:r>
    </w:p>
    <w:p>
      <w:pPr>
        <w:spacing w:line="560" w:lineRule="exact"/>
        <w:ind w:firstLine="640" w:firstLineChars="200"/>
        <w:rPr>
          <w:b w:val="0"/>
          <w:bCs/>
          <w:sz w:val="32"/>
          <w:szCs w:val="32"/>
        </w:rPr>
      </w:pPr>
      <w:r>
        <w:rPr>
          <w:b w:val="0"/>
          <w:bCs/>
          <w:sz w:val="32"/>
          <w:szCs w:val="32"/>
        </w:rPr>
        <w:t>九、一般公共预算财政拨款项目支出决算表</w:t>
      </w:r>
    </w:p>
    <w:p>
      <w:pPr>
        <w:spacing w:line="560" w:lineRule="exact"/>
        <w:ind w:firstLine="640" w:firstLineChars="200"/>
        <w:rPr>
          <w:b w:val="0"/>
          <w:bCs/>
          <w:sz w:val="32"/>
          <w:szCs w:val="32"/>
        </w:rPr>
      </w:pPr>
      <w:r>
        <w:rPr>
          <w:b w:val="0"/>
          <w:bCs/>
          <w:sz w:val="32"/>
          <w:szCs w:val="32"/>
        </w:rPr>
        <w:t>十、一般公共预算财政拨款“三公”经费支出决算表</w:t>
      </w:r>
    </w:p>
    <w:p>
      <w:pPr>
        <w:spacing w:line="560" w:lineRule="exact"/>
        <w:ind w:firstLine="640" w:firstLineChars="200"/>
        <w:rPr>
          <w:b w:val="0"/>
          <w:bCs/>
          <w:sz w:val="32"/>
          <w:szCs w:val="32"/>
        </w:rPr>
      </w:pPr>
      <w:r>
        <w:rPr>
          <w:b w:val="0"/>
          <w:bCs/>
          <w:sz w:val="32"/>
          <w:szCs w:val="32"/>
        </w:rPr>
        <w:t>十一、政府性基金预算财政拨款收入支出决算表</w:t>
      </w:r>
    </w:p>
    <w:p>
      <w:pPr>
        <w:spacing w:line="560" w:lineRule="exact"/>
        <w:ind w:firstLine="640" w:firstLineChars="200"/>
        <w:rPr>
          <w:b w:val="0"/>
          <w:bCs/>
          <w:sz w:val="32"/>
          <w:szCs w:val="32"/>
        </w:rPr>
      </w:pPr>
      <w:r>
        <w:rPr>
          <w:b w:val="0"/>
          <w:bCs/>
          <w:sz w:val="32"/>
          <w:szCs w:val="32"/>
        </w:rPr>
        <w:t>十二、政府性基金预算财政拨款“三公”经费支出决算表</w:t>
      </w:r>
    </w:p>
    <w:p>
      <w:pPr>
        <w:spacing w:line="560" w:lineRule="exact"/>
        <w:ind w:firstLine="640" w:firstLineChars="200"/>
        <w:rPr>
          <w:b w:val="0"/>
          <w:bCs/>
          <w:sz w:val="32"/>
          <w:szCs w:val="32"/>
        </w:rPr>
      </w:pPr>
      <w:r>
        <w:rPr>
          <w:b w:val="0"/>
          <w:bCs/>
          <w:sz w:val="32"/>
          <w:szCs w:val="32"/>
        </w:rPr>
        <w:t>十三、国有资本经营预算财政拨款收入支出决算表</w:t>
      </w:r>
    </w:p>
    <w:p>
      <w:pPr>
        <w:spacing w:line="560" w:lineRule="exact"/>
        <w:ind w:firstLine="640" w:firstLineChars="200"/>
        <w:rPr>
          <w:b w:val="0"/>
          <w:bCs/>
          <w:sz w:val="32"/>
          <w:szCs w:val="32"/>
        </w:rPr>
      </w:pPr>
      <w:r>
        <w:rPr>
          <w:b w:val="0"/>
          <w:bCs/>
          <w:sz w:val="32"/>
          <w:szCs w:val="32"/>
        </w:rPr>
        <w:t>十四、国有资本经营预算财政拨款支出决算表</w:t>
      </w:r>
    </w:p>
    <w:sectPr>
      <w:footerReference r:id="rId3" w:type="default"/>
      <w:pgSz w:w="11907" w:h="16840"/>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
    <w:altName w:val="Times New Roman"/>
    <w:panose1 w:val="00000000000000000000"/>
    <w:charset w:val="00"/>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w:pict>
        <v:shape id="_x0000_s2049" o:spid="_x0000_s2049"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874D3C"/>
    <w:multiLevelType w:val="singleLevel"/>
    <w:tmpl w:val="BE874D3C"/>
    <w:lvl w:ilvl="0" w:tentative="0">
      <w:start w:val="1"/>
      <w:numFmt w:val="decimal"/>
      <w:lvlText w:val="%1."/>
      <w:lvlJc w:val="left"/>
      <w:pPr>
        <w:tabs>
          <w:tab w:val="left" w:pos="312"/>
        </w:tabs>
      </w:pPr>
    </w:lvl>
  </w:abstractNum>
  <w:abstractNum w:abstractNumId="1">
    <w:nsid w:val="602C981F"/>
    <w:multiLevelType w:val="singleLevel"/>
    <w:tmpl w:val="602C981F"/>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noPunctuationKerning w:val="1"/>
  <w:characterSpacingControl w:val="doNotCompress"/>
  <w:hdrShapeDefaults>
    <o:shapelayout v:ext="edit">
      <o:idmap v:ext="edit" data="2"/>
    </o:shapelayout>
  </w:hdrShapeDefaults>
  <w:compat>
    <w:useFELayout/>
    <w:compatSetting w:name="compatibilityMode" w:uri="http://schemas.microsoft.com/office/word" w:val="12"/>
  </w:compat>
  <w:rsids>
    <w:rsidRoot w:val="001701F1"/>
    <w:rsid w:val="00036372"/>
    <w:rsid w:val="00062A4C"/>
    <w:rsid w:val="000E7C93"/>
    <w:rsid w:val="0010757D"/>
    <w:rsid w:val="0014528A"/>
    <w:rsid w:val="001701F1"/>
    <w:rsid w:val="00205354"/>
    <w:rsid w:val="00225945"/>
    <w:rsid w:val="00230875"/>
    <w:rsid w:val="002F6034"/>
    <w:rsid w:val="00317C77"/>
    <w:rsid w:val="0032338E"/>
    <w:rsid w:val="003633FE"/>
    <w:rsid w:val="003A1F3D"/>
    <w:rsid w:val="003B700F"/>
    <w:rsid w:val="003D388F"/>
    <w:rsid w:val="00407047"/>
    <w:rsid w:val="004235E3"/>
    <w:rsid w:val="0042382A"/>
    <w:rsid w:val="004E0F3A"/>
    <w:rsid w:val="004F61B5"/>
    <w:rsid w:val="00532865"/>
    <w:rsid w:val="00557E59"/>
    <w:rsid w:val="0057339A"/>
    <w:rsid w:val="005B11B0"/>
    <w:rsid w:val="00624BC3"/>
    <w:rsid w:val="00650065"/>
    <w:rsid w:val="006C1D02"/>
    <w:rsid w:val="00735774"/>
    <w:rsid w:val="0076063F"/>
    <w:rsid w:val="00777B22"/>
    <w:rsid w:val="007A1948"/>
    <w:rsid w:val="007E4C07"/>
    <w:rsid w:val="007F2BB9"/>
    <w:rsid w:val="00835EB0"/>
    <w:rsid w:val="00842E01"/>
    <w:rsid w:val="008D1212"/>
    <w:rsid w:val="008D51AB"/>
    <w:rsid w:val="0091529C"/>
    <w:rsid w:val="009361B0"/>
    <w:rsid w:val="009371DA"/>
    <w:rsid w:val="009E5F3A"/>
    <w:rsid w:val="00B26A08"/>
    <w:rsid w:val="00B74D7E"/>
    <w:rsid w:val="00BA7219"/>
    <w:rsid w:val="00BD0A38"/>
    <w:rsid w:val="00C0084B"/>
    <w:rsid w:val="00CA2941"/>
    <w:rsid w:val="00CB625F"/>
    <w:rsid w:val="00CC76B3"/>
    <w:rsid w:val="00D96C0F"/>
    <w:rsid w:val="00DA7609"/>
    <w:rsid w:val="00DE26CB"/>
    <w:rsid w:val="00DE7030"/>
    <w:rsid w:val="00DF5D87"/>
    <w:rsid w:val="00E857CC"/>
    <w:rsid w:val="00EA1D7C"/>
    <w:rsid w:val="00F36ACC"/>
    <w:rsid w:val="00F6234B"/>
    <w:rsid w:val="02353F6A"/>
    <w:rsid w:val="027168EA"/>
    <w:rsid w:val="02A0036D"/>
    <w:rsid w:val="03443E25"/>
    <w:rsid w:val="03BA2C3F"/>
    <w:rsid w:val="03D51C4A"/>
    <w:rsid w:val="057D4D7E"/>
    <w:rsid w:val="05E662ED"/>
    <w:rsid w:val="06223BC9"/>
    <w:rsid w:val="067A7B5E"/>
    <w:rsid w:val="09067020"/>
    <w:rsid w:val="097334EA"/>
    <w:rsid w:val="09AD3434"/>
    <w:rsid w:val="09F635B3"/>
    <w:rsid w:val="0B2132A0"/>
    <w:rsid w:val="0B950A29"/>
    <w:rsid w:val="0BCC54CF"/>
    <w:rsid w:val="0C207B3D"/>
    <w:rsid w:val="0C534CC4"/>
    <w:rsid w:val="0C924B0C"/>
    <w:rsid w:val="0D590DE8"/>
    <w:rsid w:val="0D9E7FD1"/>
    <w:rsid w:val="0E79545C"/>
    <w:rsid w:val="0F0535A3"/>
    <w:rsid w:val="0F5517E8"/>
    <w:rsid w:val="0FB36B31"/>
    <w:rsid w:val="10AE1C28"/>
    <w:rsid w:val="10D9389E"/>
    <w:rsid w:val="116647D8"/>
    <w:rsid w:val="12072610"/>
    <w:rsid w:val="13902C78"/>
    <w:rsid w:val="139919D0"/>
    <w:rsid w:val="1413251A"/>
    <w:rsid w:val="15963D13"/>
    <w:rsid w:val="15B7736C"/>
    <w:rsid w:val="161A3405"/>
    <w:rsid w:val="16926C79"/>
    <w:rsid w:val="16BB0524"/>
    <w:rsid w:val="16F073A7"/>
    <w:rsid w:val="17377036"/>
    <w:rsid w:val="17F238CF"/>
    <w:rsid w:val="193F69BC"/>
    <w:rsid w:val="1A0B34E3"/>
    <w:rsid w:val="1ACF6CF6"/>
    <w:rsid w:val="1BA54A7A"/>
    <w:rsid w:val="1BAB06A5"/>
    <w:rsid w:val="1E1B27C8"/>
    <w:rsid w:val="1FC65416"/>
    <w:rsid w:val="200A5A72"/>
    <w:rsid w:val="209F1EBA"/>
    <w:rsid w:val="2182591E"/>
    <w:rsid w:val="22754CF5"/>
    <w:rsid w:val="267B0774"/>
    <w:rsid w:val="26904655"/>
    <w:rsid w:val="27062FBB"/>
    <w:rsid w:val="279376AF"/>
    <w:rsid w:val="29226D09"/>
    <w:rsid w:val="2B597A1B"/>
    <w:rsid w:val="2B962ED1"/>
    <w:rsid w:val="2C23231C"/>
    <w:rsid w:val="2C80036F"/>
    <w:rsid w:val="2CDF40D2"/>
    <w:rsid w:val="2DA0687B"/>
    <w:rsid w:val="2DCA63E2"/>
    <w:rsid w:val="2DEB72C9"/>
    <w:rsid w:val="2E1308AF"/>
    <w:rsid w:val="2E1F5094"/>
    <w:rsid w:val="2F115520"/>
    <w:rsid w:val="304C0CEF"/>
    <w:rsid w:val="30A407FB"/>
    <w:rsid w:val="316E1289"/>
    <w:rsid w:val="326726D7"/>
    <w:rsid w:val="32736AFC"/>
    <w:rsid w:val="329101A6"/>
    <w:rsid w:val="333F413E"/>
    <w:rsid w:val="336C0133"/>
    <w:rsid w:val="33D1141F"/>
    <w:rsid w:val="33F344CD"/>
    <w:rsid w:val="344E6AC3"/>
    <w:rsid w:val="35AC1F57"/>
    <w:rsid w:val="35D11563"/>
    <w:rsid w:val="35E84D6F"/>
    <w:rsid w:val="3639578F"/>
    <w:rsid w:val="363B7F0E"/>
    <w:rsid w:val="364E503D"/>
    <w:rsid w:val="370D646F"/>
    <w:rsid w:val="372C45F6"/>
    <w:rsid w:val="37641AF8"/>
    <w:rsid w:val="376C6D3E"/>
    <w:rsid w:val="380065C7"/>
    <w:rsid w:val="3905423D"/>
    <w:rsid w:val="3A4A246C"/>
    <w:rsid w:val="3A5B2F22"/>
    <w:rsid w:val="3B673DCC"/>
    <w:rsid w:val="3BC56B30"/>
    <w:rsid w:val="3EE93454"/>
    <w:rsid w:val="3F6642EA"/>
    <w:rsid w:val="40BF175C"/>
    <w:rsid w:val="425F6543"/>
    <w:rsid w:val="43100CDD"/>
    <w:rsid w:val="4350440F"/>
    <w:rsid w:val="43BD4478"/>
    <w:rsid w:val="441A4564"/>
    <w:rsid w:val="442A3C20"/>
    <w:rsid w:val="446D1DE5"/>
    <w:rsid w:val="488638D0"/>
    <w:rsid w:val="48A94EF0"/>
    <w:rsid w:val="48E32025"/>
    <w:rsid w:val="49215556"/>
    <w:rsid w:val="49CB04EC"/>
    <w:rsid w:val="49D66DD1"/>
    <w:rsid w:val="49DB2C39"/>
    <w:rsid w:val="4AC352A7"/>
    <w:rsid w:val="4AC57B95"/>
    <w:rsid w:val="4ACE2195"/>
    <w:rsid w:val="4C0417BC"/>
    <w:rsid w:val="4C481C1A"/>
    <w:rsid w:val="4D3F2AC4"/>
    <w:rsid w:val="4F7E273E"/>
    <w:rsid w:val="4F8A6F5B"/>
    <w:rsid w:val="5007625F"/>
    <w:rsid w:val="50335B47"/>
    <w:rsid w:val="509F3F07"/>
    <w:rsid w:val="514565F5"/>
    <w:rsid w:val="516F487F"/>
    <w:rsid w:val="53386122"/>
    <w:rsid w:val="54060894"/>
    <w:rsid w:val="55223727"/>
    <w:rsid w:val="5589144A"/>
    <w:rsid w:val="559A6076"/>
    <w:rsid w:val="561400F2"/>
    <w:rsid w:val="56925720"/>
    <w:rsid w:val="577373DA"/>
    <w:rsid w:val="5793407A"/>
    <w:rsid w:val="57D750FD"/>
    <w:rsid w:val="57E733B1"/>
    <w:rsid w:val="58F05BBA"/>
    <w:rsid w:val="59D9303A"/>
    <w:rsid w:val="59E219EF"/>
    <w:rsid w:val="5A3A3820"/>
    <w:rsid w:val="5A6200CB"/>
    <w:rsid w:val="5AB613DA"/>
    <w:rsid w:val="5BE73440"/>
    <w:rsid w:val="5C990AA2"/>
    <w:rsid w:val="5CD65523"/>
    <w:rsid w:val="5E3237FE"/>
    <w:rsid w:val="5E4549F7"/>
    <w:rsid w:val="5FD3351C"/>
    <w:rsid w:val="602E1340"/>
    <w:rsid w:val="60536421"/>
    <w:rsid w:val="60896485"/>
    <w:rsid w:val="61B50861"/>
    <w:rsid w:val="621D4491"/>
    <w:rsid w:val="622E58CC"/>
    <w:rsid w:val="62E018E4"/>
    <w:rsid w:val="6411791D"/>
    <w:rsid w:val="6439132E"/>
    <w:rsid w:val="645936B4"/>
    <w:rsid w:val="653A42EE"/>
    <w:rsid w:val="657E06A9"/>
    <w:rsid w:val="66805EE1"/>
    <w:rsid w:val="66AC1D6F"/>
    <w:rsid w:val="676750B7"/>
    <w:rsid w:val="67743FD8"/>
    <w:rsid w:val="67AF2A9E"/>
    <w:rsid w:val="68FD1989"/>
    <w:rsid w:val="693809B8"/>
    <w:rsid w:val="69D95495"/>
    <w:rsid w:val="6A5E5CFB"/>
    <w:rsid w:val="6A646635"/>
    <w:rsid w:val="6AF1712A"/>
    <w:rsid w:val="6B83022F"/>
    <w:rsid w:val="6BBB49B1"/>
    <w:rsid w:val="6C260FE8"/>
    <w:rsid w:val="6C6363BF"/>
    <w:rsid w:val="6C793810"/>
    <w:rsid w:val="6CC001E5"/>
    <w:rsid w:val="6DDB4A68"/>
    <w:rsid w:val="6E4223EF"/>
    <w:rsid w:val="6F1969AF"/>
    <w:rsid w:val="6F4D6D68"/>
    <w:rsid w:val="6FF1667E"/>
    <w:rsid w:val="700D1C68"/>
    <w:rsid w:val="72FA5224"/>
    <w:rsid w:val="735114AA"/>
    <w:rsid w:val="736F7B61"/>
    <w:rsid w:val="744777F5"/>
    <w:rsid w:val="744B1293"/>
    <w:rsid w:val="745E615C"/>
    <w:rsid w:val="7478622F"/>
    <w:rsid w:val="74AB1D7B"/>
    <w:rsid w:val="762430EC"/>
    <w:rsid w:val="77276E63"/>
    <w:rsid w:val="77330E64"/>
    <w:rsid w:val="784D53BF"/>
    <w:rsid w:val="78AB513B"/>
    <w:rsid w:val="7A1B50E5"/>
    <w:rsid w:val="7AB71BE4"/>
    <w:rsid w:val="7ABF74FD"/>
    <w:rsid w:val="7B144E1B"/>
    <w:rsid w:val="7B664EB6"/>
    <w:rsid w:val="7D3550BC"/>
    <w:rsid w:val="7DBF6CEF"/>
    <w:rsid w:val="7DF8566A"/>
    <w:rsid w:val="7E584145"/>
    <w:rsid w:val="7F9D5C26"/>
    <w:rsid w:val="7FC30003"/>
    <w:rsid w:val="7FFE50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宋体" w:hAnsi="宋体" w:eastAsia="宋体" w:cs="宋体"/>
      <w:sz w:val="24"/>
      <w:szCs w:val="24"/>
      <w:lang w:val="en-US" w:eastAsia="zh-CN" w:bidi="ar-SA"/>
    </w:rPr>
  </w:style>
  <w:style w:type="paragraph" w:styleId="3">
    <w:name w:val="heading 2"/>
    <w:basedOn w:val="1"/>
    <w:next w:val="1"/>
    <w:link w:val="10"/>
    <w:qFormat/>
    <w:uiPriority w:val="9"/>
    <w:pPr>
      <w:spacing w:before="100" w:beforeAutospacing="1" w:after="100" w:afterAutospacing="1"/>
      <w:outlineLvl w:val="1"/>
    </w:pPr>
    <w:rPr>
      <w:b/>
      <w:bCs/>
      <w:sz w:val="36"/>
      <w:szCs w:val="36"/>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1"/>
    <w:qFormat/>
    <w:uiPriority w:val="99"/>
    <w:pPr>
      <w:widowControl w:val="0"/>
      <w:spacing w:beforeLines="30"/>
      <w:jc w:val="both"/>
    </w:pPr>
    <w:rPr>
      <w:rFonts w:ascii="仿宋_GB2312" w:hAnsi="Times New Roman" w:eastAsia="仿宋_GB2312" w:cs="Times New Roman"/>
      <w:sz w:val="30"/>
    </w:rPr>
  </w:style>
  <w:style w:type="paragraph" w:styleId="4">
    <w:name w:val="footer"/>
    <w:basedOn w:val="1"/>
    <w:semiHidden/>
    <w:unhideWhenUsed/>
    <w:qFormat/>
    <w:uiPriority w:val="99"/>
    <w:pPr>
      <w:tabs>
        <w:tab w:val="center" w:pos="4153"/>
        <w:tab w:val="right" w:pos="8306"/>
      </w:tabs>
      <w:snapToGrid w:val="0"/>
      <w:jc w:val="left"/>
    </w:pPr>
    <w:rPr>
      <w:sz w:val="18"/>
    </w:rPr>
  </w:style>
  <w:style w:type="paragraph" w:styleId="5">
    <w:name w:val="header"/>
    <w:basedOn w:val="1"/>
    <w:semiHidden/>
    <w:unhideWhenUsed/>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unhideWhenUsed/>
    <w:uiPriority w:val="99"/>
    <w:pPr>
      <w:spacing w:before="100" w:beforeAutospacing="1" w:after="100" w:afterAutospacing="1"/>
    </w:pPr>
  </w:style>
  <w:style w:type="character" w:styleId="9">
    <w:name w:val="Strong"/>
    <w:basedOn w:val="8"/>
    <w:qFormat/>
    <w:uiPriority w:val="22"/>
    <w:rPr>
      <w:b/>
      <w:bCs/>
    </w:rPr>
  </w:style>
  <w:style w:type="character" w:customStyle="1" w:styleId="10">
    <w:name w:val="标题 2 Char"/>
    <w:basedOn w:val="8"/>
    <w:link w:val="3"/>
    <w:semiHidden/>
    <w:qFormat/>
    <w:uiPriority w:val="9"/>
    <w:rPr>
      <w:rFonts w:asciiTheme="majorHAnsi" w:hAnsiTheme="majorHAnsi" w:eastAsiaTheme="majorEastAsia" w:cstheme="majorBidi"/>
      <w:b/>
      <w:bCs/>
      <w:sz w:val="32"/>
      <w:szCs w:val="32"/>
    </w:rPr>
  </w:style>
  <w:style w:type="character" w:customStyle="1" w:styleId="11">
    <w:name w:val="正文文本 Char"/>
    <w:basedOn w:val="8"/>
    <w:link w:val="2"/>
    <w:qFormat/>
    <w:uiPriority w:val="99"/>
    <w:rPr>
      <w:rFonts w:ascii="仿宋_GB2312" w:eastAsia="仿宋_GB2312"/>
      <w:sz w:val="30"/>
      <w:szCs w:val="24"/>
    </w:rPr>
  </w:style>
  <w:style w:type="paragraph" w:customStyle="1" w:styleId="12">
    <w:name w:val="四号正文"/>
    <w:basedOn w:val="1"/>
    <w:qFormat/>
    <w:uiPriority w:val="0"/>
    <w:pPr>
      <w:spacing w:line="360" w:lineRule="auto"/>
    </w:pPr>
    <w:rPr>
      <w:rFonts w:ascii="??" w:hAnsi="??" w:eastAsia="宋体"/>
      <w:color w:val="000000"/>
      <w:kern w:val="0"/>
      <w:sz w:val="28"/>
      <w:szCs w:val="21"/>
      <w:lang w:val="zh-CN"/>
    </w:rPr>
  </w:style>
</w:styles>
</file>

<file path=word/_rels/document.xml.rels><?xml version="1.0" encoding="UTF-8" standalone="yes"?>
<Relationships xmlns="http://schemas.openxmlformats.org/package/2006/relationships"><Relationship Id="rId9" Type="http://schemas.openxmlformats.org/officeDocument/2006/relationships/chart" Target="charts/chart5.xml"/><Relationship Id="rId8" Type="http://schemas.openxmlformats.org/officeDocument/2006/relationships/chart" Target="charts/chart4.xml"/><Relationship Id="rId7" Type="http://schemas.openxmlformats.org/officeDocument/2006/relationships/chart" Target="charts/chart3.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chart" Target="charts/chart7.xml"/><Relationship Id="rId10" Type="http://schemas.openxmlformats.org/officeDocument/2006/relationships/chart" Target="charts/chart6.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收支总计对比图     单位：万元</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2019年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单位:万元</c:v>
                </c:pt>
              </c:strCache>
            </c:strRef>
          </c:cat>
          <c:val>
            <c:numRef>
              <c:f>Sheet1!$B$2</c:f>
              <c:numCache>
                <c:formatCode>General</c:formatCode>
                <c:ptCount val="1"/>
                <c:pt idx="0">
                  <c:v>14812.16</c:v>
                </c:pt>
              </c:numCache>
            </c:numRef>
          </c:val>
        </c:ser>
        <c:ser>
          <c:idx val="1"/>
          <c:order val="1"/>
          <c:tx>
            <c:strRef>
              <c:f>Sheet1!$C$1</c:f>
              <c:strCache>
                <c:ptCount val="1"/>
                <c:pt idx="0">
                  <c:v>2020年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单位:万元</c:v>
                </c:pt>
              </c:strCache>
            </c:strRef>
          </c:cat>
          <c:val>
            <c:numRef>
              <c:f>Sheet1!$C$2</c:f>
              <c:numCache>
                <c:formatCode>General</c:formatCode>
                <c:ptCount val="1"/>
                <c:pt idx="0">
                  <c:v>12613.6</c:v>
                </c:pt>
              </c:numCache>
            </c:numRef>
          </c:val>
        </c:ser>
        <c:dLbls>
          <c:showLegendKey val="0"/>
          <c:showVal val="0"/>
          <c:showCatName val="0"/>
          <c:showSerName val="0"/>
          <c:showPercent val="0"/>
          <c:showBubbleSize val="0"/>
        </c:dLbls>
        <c:gapWidth val="219"/>
        <c:overlap val="-27"/>
        <c:axId val="777945126"/>
        <c:axId val="726580040"/>
      </c:barChart>
      <c:catAx>
        <c:axId val="777945126"/>
        <c:scaling>
          <c:orientation val="minMax"/>
        </c:scaling>
        <c:delete val="1"/>
        <c:axPos val="b"/>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26580040"/>
        <c:crosses val="autoZero"/>
        <c:auto val="1"/>
        <c:lblAlgn val="ctr"/>
        <c:lblOffset val="100"/>
        <c:noMultiLvlLbl val="0"/>
      </c:catAx>
      <c:valAx>
        <c:axId val="7265800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77945126"/>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收入对比图     单位：万元</a:t>
            </a:r>
          </a:p>
        </c:rich>
      </c:tx>
      <c:layout/>
      <c:overlay val="0"/>
      <c:spPr>
        <a:noFill/>
        <a:ln>
          <a:noFill/>
        </a:ln>
        <a:effectLst/>
      </c:spPr>
    </c:title>
    <c:autoTitleDeleted val="0"/>
    <c:plotArea>
      <c:layout/>
      <c:pieChart>
        <c:varyColors val="1"/>
        <c:ser>
          <c:idx val="0"/>
          <c:order val="0"/>
          <c:tx>
            <c:strRef>
              <c:f>Sheet1!$B$1</c:f>
              <c:strCache>
                <c:ptCount val="1"/>
                <c:pt idx="0">
                  <c:v>收入对比图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一般公共预算财政拨款收入</c:v>
                </c:pt>
                <c:pt idx="1">
                  <c:v>政府性基金预算财政拨款收入</c:v>
                </c:pt>
              </c:strCache>
            </c:strRef>
          </c:cat>
          <c:val>
            <c:numRef>
              <c:f>Sheet1!$B$2:$B$3</c:f>
              <c:numCache>
                <c:formatCode>#,##0.00</c:formatCode>
                <c:ptCount val="2"/>
                <c:pt idx="0">
                  <c:v>9048</c:v>
                </c:pt>
                <c:pt idx="1" c:formatCode="General">
                  <c:v>148.39</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2650625"/>
          <c:y val="0.9145"/>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支出对比图      单位：万元</a:t>
            </a:r>
          </a:p>
        </c:rich>
      </c:tx>
      <c:layout>
        <c:manualLayout>
          <c:xMode val="edge"/>
          <c:yMode val="edge"/>
          <c:x val="0.40175"/>
          <c:y val="0.0288739172281039"/>
        </c:manualLayout>
      </c:layout>
      <c:overlay val="0"/>
      <c:spPr>
        <a:noFill/>
        <a:ln>
          <a:noFill/>
        </a:ln>
        <a:effectLst/>
      </c:spPr>
    </c:title>
    <c:autoTitleDeleted val="0"/>
    <c:plotArea>
      <c:layout/>
      <c:pieChart>
        <c:varyColors val="1"/>
        <c:ser>
          <c:idx val="0"/>
          <c:order val="0"/>
          <c:tx>
            <c:strRef>
              <c:f>Sheet1!$B$1</c:f>
              <c:strCache>
                <c:ptCount val="1"/>
                <c:pt idx="0">
                  <c:v>支出对比图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627.45</c:v>
                </c:pt>
                <c:pt idx="1" c:formatCode="#,##0.00">
                  <c:v>6556.58</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  财政拨款收、支对比图          单位：万元</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收支总计对比图</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2020年财政拨款收、支总计</c:v>
                </c:pt>
                <c:pt idx="1">
                  <c:v>2019年相比，财政拨款收、支总计</c:v>
                </c:pt>
              </c:strCache>
            </c:strRef>
          </c:cat>
          <c:val>
            <c:numRef>
              <c:f>Sheet1!$B$2:$B$3</c:f>
              <c:numCache>
                <c:formatCode>#,##0.00</c:formatCode>
                <c:ptCount val="2"/>
                <c:pt idx="0">
                  <c:v>12613.6</c:v>
                </c:pt>
                <c:pt idx="1" c:formatCode="General">
                  <c:v>12557.44</c:v>
                </c:pt>
              </c:numCache>
            </c:numRef>
          </c:val>
        </c:ser>
        <c:ser>
          <c:idx val="1"/>
          <c:order val="1"/>
          <c:tx>
            <c:strRef>
              <c:f>Sheet1!#REF!</c:f>
              <c:strCache>
                <c:ptCount val="1"/>
                <c:pt idx="0">
                  <c:v/>
                </c:pt>
              </c:strCache>
            </c:strRef>
          </c:tx>
          <c:spPr>
            <a:solidFill>
              <a:schemeClr val="accent2"/>
            </a:solidFill>
            <a:ln>
              <a:noFill/>
            </a:ln>
            <a:effectLst/>
          </c:spPr>
          <c:invertIfNegative val="0"/>
          <c:dLbls>
            <c:delete val="1"/>
          </c:dLbls>
          <c:cat>
            <c:strRef>
              <c:f>Sheet1!$A$2:$A$3</c:f>
              <c:strCache>
                <c:ptCount val="2"/>
                <c:pt idx="0">
                  <c:v>2020年财政拨款收、支总计</c:v>
                </c:pt>
                <c:pt idx="1">
                  <c:v>2019年相比，财政拨款收、支总计</c:v>
                </c:pt>
              </c:strCache>
            </c:strRef>
          </c:cat>
          <c:val>
            <c:numRef>
              <c:f>Sheet1!#REF!</c:f>
              <c:numCache>
                <c:formatCode>General</c:formatCode>
                <c:ptCount val="1"/>
                <c:pt idx="0">
                  <c:v>1</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Sheet1!$A$2:$A$3</c:f>
              <c:strCache>
                <c:ptCount val="2"/>
                <c:pt idx="0">
                  <c:v>2020年财政拨款收、支总计</c:v>
                </c:pt>
                <c:pt idx="1">
                  <c:v>2019年相比，财政拨款收、支总计</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35362656"/>
        <c:axId val="712434907"/>
      </c:barChart>
      <c:catAx>
        <c:axId val="3536265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12434907"/>
        <c:crosses val="autoZero"/>
        <c:auto val="1"/>
        <c:lblAlgn val="ctr"/>
        <c:lblOffset val="100"/>
        <c:noMultiLvlLbl val="0"/>
      </c:catAx>
      <c:valAx>
        <c:axId val="712434907"/>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5362656"/>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一般公共预算对比图       单位：万元     </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一般公共预算财政拨款支出对比表</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2020年一般公共预算财政拨款支出</c:v>
                </c:pt>
                <c:pt idx="1">
                  <c:v>2019年一般公共预算财政拨款支出</c:v>
                </c:pt>
              </c:strCache>
            </c:strRef>
          </c:cat>
          <c:val>
            <c:numRef>
              <c:f>Sheet1!$B$2:$B$3</c:f>
              <c:numCache>
                <c:formatCode>#,##0.00</c:formatCode>
                <c:ptCount val="2"/>
                <c:pt idx="0">
                  <c:v>6985.54</c:v>
                </c:pt>
                <c:pt idx="1" c:formatCode="General">
                  <c:v>10131.37</c:v>
                </c:pt>
              </c:numCache>
            </c:numRef>
          </c:val>
        </c:ser>
        <c:ser>
          <c:idx val="1"/>
          <c:order val="1"/>
          <c:tx>
            <c:strRef>
              <c:f>Sheet1!#REF!</c:f>
              <c:strCache>
                <c:ptCount val="1"/>
                <c:pt idx="0">
                  <c:v/>
                </c:pt>
              </c:strCache>
            </c:strRef>
          </c:tx>
          <c:spPr>
            <a:solidFill>
              <a:schemeClr val="accent2"/>
            </a:solidFill>
            <a:ln>
              <a:noFill/>
            </a:ln>
            <a:effectLst/>
          </c:spPr>
          <c:invertIfNegative val="0"/>
          <c:dLbls>
            <c:delete val="1"/>
          </c:dLbls>
          <c:cat>
            <c:strRef>
              <c:f>Sheet1!$A$2:$A$3</c:f>
              <c:strCache>
                <c:ptCount val="2"/>
                <c:pt idx="0">
                  <c:v>2020年一般公共预算财政拨款支出</c:v>
                </c:pt>
                <c:pt idx="1">
                  <c:v>2019年一般公共预算财政拨款支出</c:v>
                </c:pt>
              </c:strCache>
            </c:strRef>
          </c:cat>
          <c:val>
            <c:numRef>
              <c:f>Sheet1!#REF!</c:f>
              <c:numCache>
                <c:formatCode>General</c:formatCode>
                <c:ptCount val="1"/>
                <c:pt idx="0">
                  <c:v>1</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Sheet1!$A$2:$A$3</c:f>
              <c:strCache>
                <c:ptCount val="2"/>
                <c:pt idx="0">
                  <c:v>2020年一般公共预算财政拨款支出</c:v>
                </c:pt>
                <c:pt idx="1">
                  <c:v>2019年一般公共预算财政拨款支出</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106259973"/>
        <c:axId val="144060691"/>
      </c:barChart>
      <c:catAx>
        <c:axId val="10625997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44060691"/>
        <c:crosses val="autoZero"/>
        <c:auto val="1"/>
        <c:lblAlgn val="ctr"/>
        <c:lblOffset val="100"/>
        <c:noMultiLvlLbl val="0"/>
      </c:catAx>
      <c:valAx>
        <c:axId val="144060691"/>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06259973"/>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一般公共预算财政拨款支出对比图     单位：万元</a:t>
            </a:r>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Lbls>
            <c:dLbl>
              <c:idx val="0"/>
              <c:layout>
                <c:manualLayout>
                  <c:x val="0.00923264233610141"/>
                  <c:y val="-0.0291449458893815"/>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734958540034576"/>
                  <c:y val="0.000358497525844101"/>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869934067114711"/>
                  <c:y val="0.0434685204067189"/>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169724445689143"/>
                  <c:y val="-0.272181370671411"/>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0584477640167145"/>
                  <c:y val="-0.00444207791002094"/>
                </c:manualLayout>
              </c:layout>
              <c:dLblPos val="bestFit"/>
              <c:showLegendKey val="0"/>
              <c:showVal val="1"/>
              <c:showCatName val="0"/>
              <c:showSerName val="0"/>
              <c:showPercent val="0"/>
              <c:showBubbleSize val="0"/>
              <c:extLst>
                <c:ext xmlns:c15="http://schemas.microsoft.com/office/drawing/2012/chart" uri="{CE6537A1-D6FC-4f65-9D91-7224C49458BB}">
                  <c15:layout>
                    <c:manualLayout>
                      <c:w val="0.0920828258221681"/>
                      <c:h val="0.049237552820136"/>
                    </c:manualLayout>
                  </c15:layout>
                </c:ext>
              </c:extLst>
            </c:dLbl>
            <c:dLbl>
              <c:idx val="5"/>
              <c:layout>
                <c:manualLayout>
                  <c:x val="-0.0724342709693841"/>
                  <c:y val="-0.00158582073403029"/>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社会保障和就业（类）支出</c:v>
                </c:pt>
                <c:pt idx="1">
                  <c:v>卫生健康支出（类）</c:v>
                </c:pt>
                <c:pt idx="2">
                  <c:v>节能环保支出（类）</c:v>
                </c:pt>
                <c:pt idx="3">
                  <c:v>城乡社区支出（类）</c:v>
                </c:pt>
                <c:pt idx="4">
                  <c:v>农林水支出（类）</c:v>
                </c:pt>
                <c:pt idx="5">
                  <c:v>住房保障支出（类）</c:v>
                </c:pt>
              </c:strCache>
            </c:strRef>
          </c:cat>
          <c:val>
            <c:numRef>
              <c:f>Sheet1!$B$2:$B$7</c:f>
              <c:numCache>
                <c:formatCode>General</c:formatCode>
                <c:ptCount val="6"/>
                <c:pt idx="0">
                  <c:v>80.6</c:v>
                </c:pt>
                <c:pt idx="1">
                  <c:v>59.41</c:v>
                </c:pt>
                <c:pt idx="2" c:formatCode="#,##0.00">
                  <c:v>1180.87</c:v>
                </c:pt>
                <c:pt idx="3" c:formatCode="#,##0.00">
                  <c:v>3657.64</c:v>
                </c:pt>
                <c:pt idx="4" c:formatCode="#,##0.00">
                  <c:v>1956.08</c:v>
                </c:pt>
                <c:pt idx="5">
                  <c:v>50.94</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manualLayout>
          <c:layoutTarget val="inner"/>
          <c:xMode val="edge"/>
          <c:yMode val="edge"/>
          <c:x val="0.251075"/>
          <c:y val="0.1731"/>
          <c:w val="0.5016"/>
          <c:h val="0.6688"/>
        </c:manualLayout>
      </c:layout>
      <c:pieChart>
        <c:varyColors val="1"/>
        <c:ser>
          <c:idx val="0"/>
          <c:order val="0"/>
          <c:tx>
            <c:strRef>
              <c:f>Sheet1!$B$1</c:f>
              <c:strCache>
                <c:ptCount val="1"/>
                <c:pt idx="0">
                  <c:v> 2020年“三公”经费财政拨款支出决算对比图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Lbl>
              <c:idx val="0"/>
              <c:layout>
                <c:manualLayout>
                  <c:x val="0.14249472832525"/>
                  <c:y val="-0.0762128371612888"/>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5.24万元</a:t>
                    </a:r>
                  </a:p>
                </c:rich>
              </c:tx>
              <c:dLblPos val="bestFit"/>
              <c:showLegendKey val="0"/>
              <c:showVal val="1"/>
              <c:showCatName val="0"/>
              <c:showSerName val="0"/>
              <c:showPercent val="0"/>
              <c:showBubbleSize val="0"/>
              <c:extLst>
                <c:ext xmlns:c15="http://schemas.microsoft.com/office/drawing/2012/chart" uri="{CE6537A1-D6FC-4f65-9D91-7224C49458BB}">
                  <c15:layout>
                    <c:manualLayout>
                      <c:w val="0.1355"/>
                      <c:h val="0.0926666666666667"/>
                    </c:manualLayout>
                  </c15:layout>
                </c:ext>
              </c:extLst>
            </c:dLbl>
            <c:dLbl>
              <c:idx val="1"/>
              <c:layout>
                <c:manualLayout>
                  <c:x val="-0.0843697397029949"/>
                  <c:y val="-0.00878716283029943"/>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0.66万元</a:t>
                    </a:r>
                  </a:p>
                </c:rich>
              </c:tx>
              <c:dLblPos val="bestFit"/>
              <c:showLegendKey val="0"/>
              <c:showVal val="1"/>
              <c:showCatName val="0"/>
              <c:showSerName val="0"/>
              <c:showPercent val="0"/>
              <c:showBubbleSize val="0"/>
              <c:extLst>
                <c:ext xmlns:c15="http://schemas.microsoft.com/office/drawing/2012/chart" uri="{CE6537A1-D6FC-4f65-9D91-7224C49458BB}">
                  <c15:layout>
                    <c:manualLayout>
                      <c:w val="0.14375"/>
                      <c:h val="0.0653333333333333"/>
                    </c:manualLayout>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公务用车购置及运行维护费支出决算5.24</c:v>
                </c:pt>
                <c:pt idx="1">
                  <c:v>公务接待费支出决算</c:v>
                </c:pt>
              </c:strCache>
            </c:strRef>
          </c:cat>
          <c:val>
            <c:numRef>
              <c:f>Sheet1!$B$2:$B$3</c:f>
              <c:numCache>
                <c:formatCode>General</c:formatCode>
                <c:ptCount val="2"/>
                <c:pt idx="0">
                  <c:v>5.24</c:v>
                </c:pt>
                <c:pt idx="1">
                  <c:v>0.66</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活力">
      <a:dk1>
        <a:sysClr val="windowText" lastClr="000000"/>
      </a:dk1>
      <a:lt1>
        <a:sysClr val="window" lastClr="FFFFFF"/>
      </a:lt1>
      <a:dk2>
        <a:srgbClr val="666666"/>
      </a:dk2>
      <a:lt2>
        <a:srgbClr val="D2D2D2"/>
      </a:lt2>
      <a:accent1>
        <a:srgbClr val="FF388C"/>
      </a:accent1>
      <a:accent2>
        <a:srgbClr val="E40059"/>
      </a:accent2>
      <a:accent3>
        <a:srgbClr val="9C007F"/>
      </a:accent3>
      <a:accent4>
        <a:srgbClr val="68007F"/>
      </a:accent4>
      <a:accent5>
        <a:srgbClr val="005BD3"/>
      </a:accent5>
      <a:accent6>
        <a:srgbClr val="00349E"/>
      </a:accent6>
      <a:hlink>
        <a:srgbClr val="17BBFD"/>
      </a:hlink>
      <a:folHlink>
        <a:srgbClr val="FF79C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29</Pages>
  <Words>1772</Words>
  <Characters>10102</Characters>
  <Lines>84</Lines>
  <Paragraphs>23</Paragraphs>
  <TotalTime>57</TotalTime>
  <ScaleCrop>false</ScaleCrop>
  <LinksUpToDate>false</LinksUpToDate>
  <CharactersWithSpaces>11851</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2021-11-25T08:52:00Z</dcterms:created>
  <dc:creator>xtzj</dc:creator>
  <cp:lastModifiedBy>Administrator</cp:lastModifiedBy>
  <cp:lastPrinted>2021-12-01T03:18:00Z</cp:lastPrinted>
  <dcterms:modified xsi:type="dcterms:W3CDTF">2021-12-01T05:11:31Z</dcterms:modified>
  <dc:title>2020年度部门决算公开</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8CD002FB45524227BE1C0FB58A332C16</vt:lpwstr>
  </property>
</Properties>
</file>