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193"/>
      <w:bookmarkStart w:id="2" w:name="_Toc15396475"/>
      <w:bookmarkStart w:id="3" w:name="_Toc15396597"/>
      <w:bookmarkStart w:id="4" w:name="_Toc15378441"/>
      <w:bookmarkStart w:id="5" w:name="_Toc15377425"/>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hint="eastAsia" w:ascii="方正小标宋简体" w:eastAsia="方正小标宋简体"/>
          <w:sz w:val="72"/>
          <w:szCs w:val="72"/>
          <w:lang w:eastAsia="zh-CN"/>
        </w:rPr>
      </w:pPr>
      <w:bookmarkStart w:id="6" w:name="_Toc15396476"/>
      <w:bookmarkStart w:id="7" w:name="_Toc15378442"/>
      <w:bookmarkStart w:id="8" w:name="_Toc15377194"/>
      <w:bookmarkStart w:id="9" w:name="_Toc15396598"/>
      <w:bookmarkStart w:id="10" w:name="_Toc15377426"/>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红原县</w:t>
      </w:r>
    </w:p>
    <w:p>
      <w:pPr>
        <w:jc w:val="center"/>
        <w:rPr>
          <w:rFonts w:ascii="方正小标宋简体" w:eastAsia="方正小标宋简体"/>
          <w:sz w:val="72"/>
          <w:szCs w:val="72"/>
        </w:rPr>
      </w:pPr>
      <w:r>
        <w:rPr>
          <w:rFonts w:hint="eastAsia" w:ascii="方正小标宋简体" w:eastAsia="方正小标宋简体"/>
          <w:sz w:val="72"/>
          <w:szCs w:val="72"/>
          <w:lang w:eastAsia="zh-CN"/>
        </w:rPr>
        <w:t>司法局</w:t>
      </w:r>
      <w:r>
        <w:rPr>
          <w:rFonts w:hint="eastAsia" w:ascii="方正小标宋简体" w:eastAsia="方正小标宋简体"/>
          <w:sz w:val="72"/>
          <w:szCs w:val="72"/>
        </w:rPr>
        <w:t>部门决算</w:t>
      </w:r>
      <w:bookmarkEnd w:id="6"/>
      <w:bookmarkEnd w:id="7"/>
      <w:bookmarkEnd w:id="8"/>
      <w:bookmarkEnd w:id="9"/>
      <w:bookmarkEnd w:id="10"/>
      <w:bookmarkEnd w:id="11"/>
    </w:p>
    <w:p>
      <w:pPr>
        <w:jc w:val="center"/>
        <w:rPr>
          <w:rFonts w:ascii="方正小标宋简体" w:eastAsia="方正小标宋简体"/>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方正小标宋简体" w:hAnsi="宋体" w:eastAsia="方正小标宋简体"/>
          <w:color w:val="000000"/>
          <w:sz w:val="36"/>
          <w:szCs w:val="36"/>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 xml:space="preserve">公开时间：2021年 </w:t>
      </w:r>
      <w:r>
        <w:rPr>
          <w:rFonts w:hAnsiTheme="minorHAnsi"/>
          <w:b w:val="0"/>
          <w:bCs w:val="0"/>
          <w:sz w:val="24"/>
          <w:szCs w:val="24"/>
        </w:rPr>
        <w:t>9</w:t>
      </w:r>
      <w:r>
        <w:rPr>
          <w:rFonts w:hint="eastAsia" w:hAnsiTheme="minorHAnsi"/>
          <w:b w:val="0"/>
          <w:bCs w:val="0"/>
          <w:sz w:val="24"/>
          <w:szCs w:val="24"/>
        </w:rPr>
        <w:t>月3</w:t>
      </w:r>
      <w:r>
        <w:rPr>
          <w:rFonts w:hAnsiTheme="minorHAnsi"/>
          <w:b w:val="0"/>
          <w:bCs w:val="0"/>
          <w:sz w:val="24"/>
          <w:szCs w:val="24"/>
        </w:rPr>
        <w:t>0</w:t>
      </w:r>
      <w:r>
        <w:rPr>
          <w:rFonts w:hint="eastAsia" w:hAnsiTheme="minorHAnsi"/>
          <w:b w:val="0"/>
          <w:bCs w:val="0"/>
          <w:sz w:val="24"/>
          <w:szCs w:val="24"/>
        </w:rPr>
        <w:t xml:space="preserve"> 日</w:t>
      </w:r>
    </w:p>
    <w:p>
      <w:pPr>
        <w:pStyle w:val="15"/>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5</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5</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5</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Cs/>
          <w:color w:val="000000"/>
        </w:rPr>
        <w:t>（二）2020年重点工作完成情况。</w:t>
      </w:r>
      <w:r>
        <w:tab/>
      </w:r>
      <w:r>
        <w:fldChar w:fldCharType="begin"/>
      </w:r>
      <w:r>
        <w:instrText xml:space="preserve"> PAGEREF _Toc79163854 \h </w:instrText>
      </w:r>
      <w:r>
        <w:fldChar w:fldCharType="separate"/>
      </w:r>
      <w:r>
        <w:t>6</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11</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fldChar w:fldCharType="begin"/>
      </w:r>
      <w:r>
        <w:instrText xml:space="preserve"> PAGEREF _Toc79163859 \h </w:instrText>
      </w:r>
      <w:r>
        <w:fldChar w:fldCharType="separate"/>
      </w:r>
      <w:r>
        <w:t>11</w:t>
      </w:r>
      <w:r>
        <w:fldChar w:fldCharType="end"/>
      </w:r>
    </w:p>
    <w:p>
      <w:pPr>
        <w:pStyle w:val="18"/>
        <w:tabs>
          <w:tab w:val="left" w:pos="840"/>
          <w:tab w:val="right" w:leader="dot" w:pos="8296"/>
        </w:tabs>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fldChar w:fldCharType="begin"/>
      </w:r>
      <w:r>
        <w:instrText xml:space="preserve"> PAGEREF _Toc79163860 \h </w:instrText>
      </w:r>
      <w:r>
        <w:fldChar w:fldCharType="separate"/>
      </w:r>
      <w:r>
        <w:t>11</w:t>
      </w:r>
      <w:r>
        <w:fldChar w:fldCharType="end"/>
      </w:r>
    </w:p>
    <w:p>
      <w:pPr>
        <w:pStyle w:val="18"/>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12</w:t>
      </w:r>
    </w:p>
    <w:p>
      <w:pPr>
        <w:pStyle w:val="18"/>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13</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13</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14</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（一）一般公共预算财政拨款支出决算总体情况</w:t>
      </w:r>
      <w:r>
        <w:tab/>
      </w:r>
      <w:r>
        <w:rPr>
          <w:rFonts w:hint="eastAsia"/>
          <w:lang w:val="en-US" w:eastAsia="zh-CN"/>
        </w:rPr>
        <w:t>14</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（二）一般公共预算财政拨款支出决算结构情况</w:t>
      </w:r>
      <w:r>
        <w:tab/>
      </w:r>
      <w:r>
        <w:rPr>
          <w:rFonts w:hint="eastAsia"/>
          <w:lang w:val="en-US" w:eastAsia="zh-CN"/>
        </w:rPr>
        <w:t>15</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16</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18</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19</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（一）“三公”经费财政拨款支出决算总体情况说明</w:t>
      </w:r>
      <w:r>
        <w:tab/>
      </w:r>
      <w:r>
        <w:rPr>
          <w:rFonts w:hint="eastAsia"/>
          <w:lang w:val="en-US" w:eastAsia="zh-CN"/>
        </w:rPr>
        <w:t>19</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（二）“三公”经费财政拨款支出决算具体情况说明</w:t>
      </w:r>
      <w:r>
        <w:tab/>
      </w:r>
      <w:r>
        <w:rPr>
          <w:rFonts w:hint="eastAsia"/>
          <w:lang w:val="en-US" w:eastAsia="zh-CN"/>
        </w:rPr>
        <w:t>20</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八、</w:t>
      </w:r>
      <w:r>
        <w:rPr>
          <w:rFonts w:ascii="黑体" w:hAnsi="黑体" w:eastAsia="黑体"/>
          <w:bCs/>
        </w:rPr>
        <w:t>政府性基金预算支出决算情况说明</w:t>
      </w:r>
      <w:r>
        <w:tab/>
      </w:r>
      <w:r>
        <w:rPr>
          <w:rFonts w:hint="eastAsia"/>
          <w:lang w:val="en-US" w:eastAsia="zh-CN"/>
        </w:rPr>
        <w:t>21</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九、 国有资本经营预算支出决算情况说明</w:t>
      </w:r>
      <w:r>
        <w:tab/>
      </w:r>
      <w:r>
        <w:rPr>
          <w:rFonts w:hint="eastAsia"/>
          <w:lang w:val="en-US" w:eastAsia="zh-CN"/>
        </w:rPr>
        <w:t>21</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lang w:val="en-US" w:eastAsia="zh-CN"/>
        </w:rPr>
        <w:t>21</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（一）机关运行经费支出情况</w:t>
      </w:r>
      <w:r>
        <w:tab/>
      </w:r>
      <w:r>
        <w:rPr>
          <w:rFonts w:hint="eastAsia"/>
          <w:lang w:val="en-US" w:eastAsia="zh-CN"/>
        </w:rPr>
        <w:t>21</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（二）政府采购支出情况</w:t>
      </w:r>
      <w:r>
        <w:tab/>
      </w:r>
      <w:r>
        <w:rPr>
          <w:rFonts w:hint="eastAsia"/>
          <w:lang w:val="en-US" w:eastAsia="zh-CN"/>
        </w:rPr>
        <w:t>21</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（三）国有资产占有使用情况</w:t>
      </w:r>
      <w:r>
        <w:tab/>
      </w:r>
      <w:r>
        <w:rPr>
          <w:rFonts w:hint="eastAsia"/>
          <w:lang w:val="en-US" w:eastAsia="zh-CN"/>
        </w:rPr>
        <w:t>22</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（四）预算绩效管理情况。</w:t>
      </w:r>
      <w:r>
        <w:tab/>
      </w:r>
      <w:r>
        <w:rPr>
          <w:rFonts w:hint="eastAsia"/>
          <w:lang w:val="en-US" w:eastAsia="zh-CN"/>
        </w:rPr>
        <w:t>22</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28</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30</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30</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eastAsia="zh-CN"/>
        </w:rPr>
        <w:t>司法局</w:t>
      </w:r>
      <w:r>
        <w:rPr>
          <w:rFonts w:ascii="方正小标宋简体" w:hAnsi="黑体" w:eastAsia="方正小标宋简体" w:cs="黑体"/>
        </w:rPr>
        <w:t>部门2020年部门整体支出绩效评价报告</w:t>
      </w:r>
      <w:r>
        <w:tab/>
      </w:r>
      <w:r>
        <w:rPr>
          <w:rFonts w:hint="eastAsia"/>
          <w:lang w:val="en-US" w:eastAsia="zh-CN"/>
        </w:rPr>
        <w:t>30</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附件2</w:t>
      </w:r>
      <w:r>
        <w:tab/>
      </w:r>
      <w:r>
        <w:rPr>
          <w:rFonts w:hint="eastAsia"/>
          <w:lang w:val="en-US" w:eastAsia="zh-CN"/>
        </w:rPr>
        <w:t>36</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eastAsia="zh-CN"/>
        </w:rPr>
        <w:t>普法宣传</w:t>
      </w:r>
      <w:r>
        <w:rPr>
          <w:rFonts w:ascii="方正小标宋简体" w:hAnsi="黑体" w:eastAsia="方正小标宋简体" w:cs="黑体"/>
        </w:rPr>
        <w:t>项目2020年绩效评价报告</w:t>
      </w:r>
      <w:r>
        <w:tab/>
      </w:r>
      <w:r>
        <w:rPr>
          <w:rFonts w:hint="eastAsia"/>
          <w:lang w:val="en-US" w:eastAsia="zh-CN"/>
        </w:rPr>
        <w:t>36</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39</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40</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40</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40</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40</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40</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40</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40</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40</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40</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lang w:val="en-US" w:eastAsia="zh-CN"/>
        </w:rPr>
        <w:t>40</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40</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lang w:val="en-US" w:eastAsia="zh-CN"/>
        </w:rPr>
        <w:t>40</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rPr>
          <w:rFonts w:hint="eastAsia"/>
          <w:lang w:val="en-US" w:eastAsia="zh-CN"/>
        </w:rPr>
        <w:t>40</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十四、国有资本经营预算财政拨款支出决算表</w:t>
      </w:r>
      <w:r>
        <w:tab/>
      </w:r>
      <w:r>
        <w:rPr>
          <w:rFonts w:hint="eastAsia"/>
          <w:lang w:val="en-US" w:eastAsia="zh-CN"/>
        </w:rPr>
        <w:t>40</w:t>
      </w:r>
    </w:p>
    <w:p>
      <w:r>
        <w:rPr>
          <w:rFonts w:asciiTheme="minorHAnsi" w:eastAsiaTheme="minorHAnsi"/>
          <w:b/>
          <w:bCs/>
          <w:caps/>
          <w:sz w:val="20"/>
          <w:szCs w:val="20"/>
        </w:rPr>
        <w:fldChar w:fldCharType="end"/>
      </w:r>
    </w:p>
    <w:p>
      <w:pPr>
        <w:widowControl/>
        <w:adjustRightInd w:val="0"/>
        <w:snapToGrid w:val="0"/>
        <w:spacing w:line="440" w:lineRule="exact"/>
        <w:ind w:firstLine="1320" w:firstLineChars="550"/>
        <w:jc w:val="left"/>
        <w:rPr>
          <w:rFonts w:ascii="仿宋" w:hAnsi="仿宋" w:eastAsia="仿宋"/>
          <w:color w:val="FF0000"/>
          <w:sz w:val="24"/>
        </w:rPr>
      </w:pPr>
      <w:r>
        <w:rPr>
          <w:rFonts w:ascii="仿宋" w:hAnsi="仿宋" w:eastAsia="仿宋"/>
          <w:color w:val="FF0000"/>
          <w:sz w:val="24"/>
        </w:rPr>
        <w:t>(</w:t>
      </w:r>
      <w:r>
        <w:rPr>
          <w:rFonts w:hint="eastAsia" w:ascii="仿宋" w:hAnsi="仿宋" w:eastAsia="仿宋"/>
          <w:color w:val="FF0000"/>
          <w:sz w:val="24"/>
        </w:rPr>
        <w:t>注：请部门根据实际注明页码</w:t>
      </w:r>
      <w:r>
        <w:rPr>
          <w:rFonts w:ascii="仿宋" w:hAnsi="仿宋" w:eastAsia="仿宋"/>
          <w:color w:val="FF0000"/>
          <w:sz w:val="24"/>
        </w:rPr>
        <w:t>)</w:t>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4"/>
        <w:jc w:val="center"/>
        <w:rPr>
          <w:rStyle w:val="25"/>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5"/>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5"/>
        <w:rPr>
          <w:rStyle w:val="26"/>
          <w:rFonts w:ascii="仿宋" w:hAnsi="仿宋" w:eastAsia="仿宋"/>
          <w:b w:val="0"/>
          <w:bCs w:val="0"/>
        </w:rPr>
      </w:pPr>
      <w:bookmarkStart w:id="16" w:name="_Toc15396600"/>
      <w:bookmarkStart w:id="17" w:name="_Toc79163852"/>
      <w:bookmarkStart w:id="18" w:name="_Toc15377197"/>
      <w:bookmarkStart w:id="19" w:name="_Toc79163602"/>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6"/>
      <w:bookmarkEnd w:id="17"/>
      <w:bookmarkEnd w:id="18"/>
      <w:bookmarkEnd w:id="19"/>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0" w:name="_Toc79163603"/>
      <w:bookmarkStart w:id="21" w:name="_Toc79163853"/>
      <w:bookmarkStart w:id="22" w:name="_Toc15377198"/>
      <w:bookmarkStart w:id="23" w:name="_Toc15378445"/>
      <w:r>
        <w:rPr>
          <w:rFonts w:hint="eastAsia" w:ascii="仿宋" w:hAnsi="仿宋" w:eastAsia="仿宋"/>
          <w:bCs/>
          <w:color w:val="000000"/>
          <w:sz w:val="32"/>
          <w:szCs w:val="32"/>
        </w:rPr>
        <w:t>（一）主要职能。</w:t>
      </w:r>
      <w:bookmarkEnd w:id="20"/>
      <w:bookmarkEnd w:id="21"/>
    </w:p>
    <w:p>
      <w:pPr>
        <w:pStyle w:val="8"/>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lang w:val="en-US" w:eastAsia="zh-CN"/>
        </w:rPr>
        <w:t>1、</w:t>
      </w:r>
      <w:r>
        <w:rPr>
          <w:rFonts w:hint="eastAsia" w:hAnsi="仿宋_GB2312" w:cs="仿宋_GB2312"/>
          <w:bCs/>
          <w:color w:val="auto"/>
          <w:sz w:val="32"/>
          <w:szCs w:val="32"/>
        </w:rPr>
        <w:t>贯彻执行国家、省、州、县关于司法行政工作的方针、政策和法律、法规及规章，制订司法行政规范性文件和工作发展规划、工作计划并组织实施。</w:t>
      </w:r>
    </w:p>
    <w:p>
      <w:pPr>
        <w:pStyle w:val="8"/>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2、</w:t>
      </w:r>
      <w:r>
        <w:rPr>
          <w:rFonts w:hint="eastAsia" w:hAnsi="仿宋_GB2312" w:cs="仿宋_GB2312"/>
          <w:bCs/>
          <w:color w:val="auto"/>
          <w:sz w:val="32"/>
          <w:szCs w:val="32"/>
          <w:lang w:eastAsia="zh-CN"/>
        </w:rPr>
        <w:t>按照县委全面依法治县委员会要求，贯彻落实依法治县决策部署。</w:t>
      </w:r>
    </w:p>
    <w:p>
      <w:pPr>
        <w:pStyle w:val="8"/>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3、</w:t>
      </w:r>
      <w:r>
        <w:rPr>
          <w:rFonts w:hint="eastAsia" w:hAnsi="仿宋_GB2312" w:cs="仿宋_GB2312"/>
          <w:bCs/>
          <w:color w:val="auto"/>
          <w:sz w:val="32"/>
          <w:szCs w:val="32"/>
          <w:lang w:eastAsia="zh-CN"/>
        </w:rPr>
        <w:t>负责县政府规范性文件、重大行政决策发布前的合法性审查。</w:t>
      </w:r>
    </w:p>
    <w:p>
      <w:pPr>
        <w:pStyle w:val="8"/>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4、</w:t>
      </w:r>
      <w:r>
        <w:rPr>
          <w:rFonts w:hint="eastAsia" w:hAnsi="仿宋_GB2312" w:cs="仿宋_GB2312"/>
          <w:bCs/>
          <w:color w:val="auto"/>
          <w:sz w:val="32"/>
          <w:szCs w:val="32"/>
          <w:lang w:eastAsia="zh-CN"/>
        </w:rPr>
        <w:t>承担统筹推进法治政府建设的责任。</w:t>
      </w:r>
    </w:p>
    <w:p>
      <w:pPr>
        <w:pStyle w:val="8"/>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5、</w:t>
      </w:r>
      <w:r>
        <w:rPr>
          <w:rFonts w:hint="eastAsia" w:hAnsi="仿宋_GB2312" w:cs="仿宋_GB2312"/>
          <w:bCs/>
          <w:color w:val="auto"/>
          <w:sz w:val="32"/>
          <w:szCs w:val="32"/>
          <w:lang w:eastAsia="zh-CN"/>
        </w:rPr>
        <w:t>负责拟定法制宣传教育计划，组织实施普法宣传工作，指导全县各行业的法治宣传和依法治理工作。</w:t>
      </w:r>
    </w:p>
    <w:p>
      <w:pPr>
        <w:pStyle w:val="8"/>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6、</w:t>
      </w:r>
      <w:r>
        <w:rPr>
          <w:rFonts w:hint="eastAsia" w:hAnsi="仿宋_GB2312" w:cs="仿宋_GB2312"/>
          <w:bCs/>
          <w:color w:val="auto"/>
          <w:sz w:val="32"/>
          <w:szCs w:val="32"/>
          <w:lang w:eastAsia="zh-CN"/>
        </w:rPr>
        <w:t>负责拟定全县公共法律服务体系建设规划并指导实施。</w:t>
      </w:r>
    </w:p>
    <w:p>
      <w:pPr>
        <w:pStyle w:val="8"/>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7、</w:t>
      </w:r>
      <w:r>
        <w:rPr>
          <w:rFonts w:hint="eastAsia" w:hAnsi="仿宋_GB2312" w:cs="仿宋_GB2312"/>
          <w:bCs/>
          <w:color w:val="auto"/>
          <w:sz w:val="32"/>
          <w:szCs w:val="32"/>
          <w:lang w:eastAsia="zh-CN"/>
        </w:rPr>
        <w:t>指导、监督基层司法所建设和人民调解、基层法律服务管理工作。</w:t>
      </w:r>
    </w:p>
    <w:p>
      <w:pPr>
        <w:pStyle w:val="8"/>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8、</w:t>
      </w:r>
      <w:r>
        <w:rPr>
          <w:rFonts w:hint="eastAsia" w:hAnsi="仿宋_GB2312" w:cs="仿宋_GB2312"/>
          <w:bCs/>
          <w:color w:val="auto"/>
          <w:sz w:val="32"/>
          <w:szCs w:val="32"/>
          <w:lang w:eastAsia="zh-CN"/>
        </w:rPr>
        <w:t>指导管理社区矫正工作，指导刑满释放人员帮教安置工作。</w:t>
      </w:r>
    </w:p>
    <w:p>
      <w:pPr>
        <w:pStyle w:val="8"/>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9、</w:t>
      </w:r>
      <w:r>
        <w:rPr>
          <w:rFonts w:hint="eastAsia" w:hAnsi="仿宋_GB2312" w:cs="仿宋_GB2312"/>
          <w:bCs/>
          <w:color w:val="auto"/>
          <w:sz w:val="32"/>
          <w:szCs w:val="32"/>
          <w:lang w:eastAsia="zh-CN"/>
        </w:rPr>
        <w:t>协助上级主管部门开展国家司法考试、司法鉴定工作。</w:t>
      </w:r>
    </w:p>
    <w:p>
      <w:pPr>
        <w:pStyle w:val="8"/>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lang w:val="en-US" w:eastAsia="zh-CN"/>
        </w:rPr>
        <w:t>10、</w:t>
      </w:r>
      <w:r>
        <w:rPr>
          <w:rFonts w:hint="eastAsia" w:hAnsi="仿宋_GB2312" w:cs="仿宋_GB2312"/>
          <w:bCs/>
          <w:color w:val="auto"/>
          <w:sz w:val="32"/>
          <w:szCs w:val="32"/>
        </w:rPr>
        <w:t>指导管理全县司法行政系统的计划、财务、车辆、服装等物资装备工作。</w:t>
      </w:r>
    </w:p>
    <w:p>
      <w:pPr>
        <w:pStyle w:val="8"/>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lang w:val="en-US" w:eastAsia="zh-CN"/>
        </w:rPr>
        <w:t>11、</w:t>
      </w:r>
      <w:r>
        <w:rPr>
          <w:rFonts w:hint="eastAsia" w:hAnsi="仿宋_GB2312" w:cs="仿宋_GB2312"/>
          <w:bCs/>
          <w:color w:val="auto"/>
          <w:sz w:val="32"/>
          <w:szCs w:val="32"/>
        </w:rPr>
        <w:t>指导、监督全县司法行政系统队伍建设和思想政治工作，负责本系统人事警务和干警培训工作。</w:t>
      </w:r>
    </w:p>
    <w:p>
      <w:pPr>
        <w:spacing w:line="560" w:lineRule="exact"/>
        <w:ind w:firstLine="640" w:firstLineChars="200"/>
        <w:jc w:val="left"/>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12、</w:t>
      </w:r>
      <w:r>
        <w:rPr>
          <w:rFonts w:hint="eastAsia" w:ascii="仿宋_GB2312" w:hAnsi="仿宋_GB2312" w:eastAsia="仿宋_GB2312" w:cs="仿宋_GB2312"/>
          <w:bCs/>
          <w:color w:val="auto"/>
          <w:sz w:val="32"/>
          <w:szCs w:val="32"/>
          <w:lang w:eastAsia="zh-CN"/>
        </w:rPr>
        <w:t>完成县委、县政府交办的其他任务。</w:t>
      </w:r>
    </w:p>
    <w:bookmarkEnd w:id="22"/>
    <w:bookmarkEnd w:id="23"/>
    <w:p>
      <w:pPr>
        <w:pStyle w:val="8"/>
        <w:adjustRightInd w:val="0"/>
        <w:snapToGrid w:val="0"/>
        <w:spacing w:before="93" w:line="600" w:lineRule="exact"/>
        <w:ind w:firstLine="320" w:firstLineChars="100"/>
        <w:outlineLvl w:val="2"/>
        <w:rPr>
          <w:rFonts w:hint="eastAsia" w:ascii="仿宋" w:hAnsi="仿宋" w:eastAsia="仿宋"/>
          <w:bCs/>
          <w:color w:val="000000"/>
          <w:sz w:val="32"/>
          <w:szCs w:val="32"/>
        </w:rPr>
      </w:pPr>
      <w:bookmarkStart w:id="24" w:name="_Toc15378446"/>
      <w:bookmarkStart w:id="25" w:name="_Toc79163604"/>
      <w:bookmarkStart w:id="26" w:name="_Toc15377199"/>
      <w:bookmarkStart w:id="27" w:name="_Toc79163854"/>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pStyle w:val="8"/>
        <w:numPr>
          <w:ilvl w:val="0"/>
          <w:numId w:val="1"/>
        </w:numPr>
        <w:adjustRightInd w:val="0"/>
        <w:snapToGrid w:val="0"/>
        <w:spacing w:before="93" w:line="600" w:lineRule="exact"/>
        <w:ind w:left="640" w:leftChars="152" w:hanging="321" w:hangingChars="100"/>
        <w:outlineLvl w:val="2"/>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持续推进普法依法治理工作，营造和谐法治环</w:t>
      </w:r>
    </w:p>
    <w:p>
      <w:pPr>
        <w:pStyle w:val="8"/>
        <w:numPr>
          <w:ilvl w:val="0"/>
          <w:numId w:val="0"/>
        </w:numPr>
        <w:adjustRightInd w:val="0"/>
        <w:snapToGrid w:val="0"/>
        <w:spacing w:before="93" w:line="600" w:lineRule="exact"/>
        <w:ind w:leftChars="52" w:firstLine="643" w:firstLineChars="200"/>
        <w:outlineLvl w:val="2"/>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rPr>
        <w:t>我县高度重视法治宣传教育工作，将“法律</w:t>
      </w:r>
      <w:r>
        <w:rPr>
          <w:rFonts w:hint="eastAsia" w:ascii="仿宋_GB2312" w:hAnsi="仿宋_GB2312" w:eastAsia="仿宋_GB2312" w:cs="仿宋_GB2312"/>
          <w:sz w:val="32"/>
          <w:szCs w:val="32"/>
          <w:lang w:val="en-US" w:eastAsia="zh-CN"/>
        </w:rPr>
        <w:t>政策</w:t>
      </w:r>
      <w:r>
        <w:rPr>
          <w:rFonts w:hint="eastAsia" w:ascii="仿宋_GB2312" w:hAnsi="仿宋_GB2312" w:eastAsia="仿宋_GB2312" w:cs="仿宋_GB2312"/>
          <w:sz w:val="32"/>
          <w:szCs w:val="32"/>
        </w:rPr>
        <w:t>七进</w:t>
      </w:r>
      <w:r>
        <w:rPr>
          <w:rFonts w:hint="eastAsia" w:ascii="仿宋_GB2312" w:hAnsi="仿宋_GB2312" w:eastAsia="仿宋_GB2312" w:cs="仿宋_GB2312"/>
          <w:sz w:val="32"/>
          <w:szCs w:val="32"/>
          <w:lang w:val="en-US" w:eastAsia="zh-CN"/>
        </w:rPr>
        <w:t>+N</w:t>
      </w:r>
      <w:r>
        <w:rPr>
          <w:rFonts w:hint="eastAsia" w:ascii="仿宋_GB2312" w:hAnsi="仿宋_GB2312" w:eastAsia="仿宋_GB2312" w:cs="仿宋_GB2312"/>
          <w:sz w:val="32"/>
          <w:szCs w:val="32"/>
        </w:rPr>
        <w:t>”工作纳入了本年度重要工作之中，及时成立了县级领导及相关部门主要负责人为成员的“红原县法治宣传工作领导小组”，逐项落实责任领导和责任单位，加强对法治宣传工作的组织领导和工作指导。法治宣传领导小组定期召开专题工作会和推进会，及时研究协调解决工作中存在的问题；</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rPr>
        <w:t>进一步落实“谁执法、谁普法”工作机制。细化了普法实施方案，</w:t>
      </w:r>
      <w:r>
        <w:rPr>
          <w:rFonts w:hint="eastAsia" w:ascii="仿宋_GB2312" w:hAnsi="仿宋_GB2312" w:eastAsia="仿宋_GB2312" w:cs="仿宋_GB2312"/>
          <w:sz w:val="32"/>
          <w:szCs w:val="32"/>
          <w:lang w:eastAsia="zh-CN"/>
        </w:rPr>
        <w:t>严格落实</w:t>
      </w:r>
      <w:r>
        <w:rPr>
          <w:rFonts w:hint="eastAsia" w:ascii="仿宋_GB2312" w:hAnsi="仿宋_GB2312" w:eastAsia="仿宋_GB2312" w:cs="仿宋_GB2312"/>
          <w:sz w:val="32"/>
          <w:szCs w:val="32"/>
        </w:rPr>
        <w:t>《红原县“法律</w:t>
      </w:r>
      <w:r>
        <w:rPr>
          <w:rFonts w:hint="eastAsia" w:ascii="仿宋_GB2312" w:hAnsi="仿宋_GB2312" w:eastAsia="仿宋_GB2312" w:cs="仿宋_GB2312"/>
          <w:sz w:val="32"/>
          <w:szCs w:val="32"/>
          <w:lang w:val="en-US" w:eastAsia="zh-CN"/>
        </w:rPr>
        <w:t>政策</w:t>
      </w:r>
      <w:r>
        <w:rPr>
          <w:rFonts w:hint="eastAsia" w:ascii="仿宋_GB2312" w:hAnsi="仿宋_GB2312" w:eastAsia="仿宋_GB2312" w:cs="仿宋_GB2312"/>
          <w:sz w:val="32"/>
          <w:szCs w:val="32"/>
        </w:rPr>
        <w:t>七进</w:t>
      </w:r>
      <w:r>
        <w:rPr>
          <w:rFonts w:hint="eastAsia" w:ascii="仿宋_GB2312" w:hAnsi="仿宋_GB2312" w:eastAsia="仿宋_GB2312" w:cs="仿宋_GB2312"/>
          <w:sz w:val="32"/>
          <w:szCs w:val="32"/>
          <w:lang w:val="en-US" w:eastAsia="zh-CN"/>
        </w:rPr>
        <w:t>+N</w:t>
      </w:r>
      <w:r>
        <w:rPr>
          <w:rFonts w:hint="eastAsia" w:ascii="仿宋_GB2312" w:hAnsi="仿宋_GB2312" w:eastAsia="仿宋_GB2312" w:cs="仿宋_GB2312"/>
          <w:sz w:val="32"/>
          <w:szCs w:val="32"/>
        </w:rPr>
        <w:t>”工作标准》，明确责任单位和工作目标；</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rPr>
        <w:t>狠抓普法队伍建设。积极抽调懂法、懂民风民俗，具有宣传讲能力的双语干部、高僧大德，组成了寺庙联合巡回法治宣讲团，充实了高僧大德宣讲团和乡（镇）法治宣传队，扎实有力的推动了法治宣传教育活动的有效开展。</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扎实</w:t>
      </w:r>
      <w:r>
        <w:rPr>
          <w:rFonts w:hint="eastAsia" w:ascii="仿宋_GB2312" w:hAnsi="仿宋_GB2312" w:eastAsia="仿宋_GB2312" w:cs="仿宋_GB2312"/>
          <w:sz w:val="32"/>
          <w:szCs w:val="32"/>
        </w:rPr>
        <w:t>做好“文化扶贫，法律惠民”工作，助力脱贫攻坚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sz w:val="32"/>
          <w:szCs w:val="32"/>
          <w:lang w:val="en-US" w:eastAsia="zh-CN"/>
        </w:rPr>
        <w:t>全力做好迎接“七五”普法验收工作。下发“七五”普法工作验收通知及细则，并就“法律政策七进”工作进行了指导督促，通过对照州司法局“七五”普法督查问题清单，下发查漏补缺的通知并提出整改意见，要求限期整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rPr>
        <w:t xml:space="preserve"> </w:t>
      </w:r>
      <w:r>
        <w:rPr>
          <w:rFonts w:hint="eastAsia" w:ascii="仿宋_GB2312" w:hAnsi="仿宋_GB2312" w:eastAsia="仿宋_GB2312" w:cs="仿宋_GB2312"/>
          <w:sz w:val="32"/>
          <w:szCs w:val="32"/>
          <w:lang w:val="en-US" w:eastAsia="zh-CN"/>
        </w:rPr>
        <w:t>截止2020年年末</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全县各乡镇、县级各部门（单位）开展</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法律政策七进+N</w:t>
      </w:r>
      <w:r>
        <w:rPr>
          <w:rFonts w:hint="eastAsia" w:ascii="仿宋_GB2312" w:hAnsi="仿宋_GB2312" w:eastAsia="仿宋_GB2312" w:cs="仿宋_GB2312"/>
          <w:sz w:val="32"/>
          <w:szCs w:val="32"/>
        </w:rPr>
        <w:t>”法治宣传活动</w:t>
      </w:r>
      <w:r>
        <w:rPr>
          <w:rFonts w:hint="eastAsia" w:ascii="仿宋_GB2312" w:hAnsi="仿宋_GB2312" w:eastAsia="仿宋_GB2312" w:cs="仿宋_GB2312"/>
          <w:sz w:val="32"/>
          <w:szCs w:val="32"/>
          <w:lang w:val="en-US" w:eastAsia="zh-CN"/>
        </w:rPr>
        <w:t>227</w:t>
      </w:r>
      <w:r>
        <w:rPr>
          <w:rFonts w:hint="eastAsia" w:ascii="仿宋_GB2312" w:hAnsi="仿宋_GB2312" w:eastAsia="仿宋_GB2312" w:cs="仿宋_GB2312"/>
          <w:sz w:val="32"/>
          <w:szCs w:val="32"/>
        </w:rPr>
        <w:t>次，举办</w:t>
      </w:r>
      <w:r>
        <w:rPr>
          <w:rFonts w:hint="eastAsia" w:ascii="仿宋_GB2312" w:hAnsi="仿宋_GB2312" w:eastAsia="仿宋_GB2312" w:cs="仿宋_GB2312"/>
          <w:sz w:val="32"/>
          <w:szCs w:val="32"/>
          <w:lang w:val="en-US" w:eastAsia="zh-CN"/>
        </w:rPr>
        <w:t>各类</w:t>
      </w:r>
      <w:r>
        <w:rPr>
          <w:rFonts w:hint="eastAsia" w:ascii="仿宋_GB2312" w:hAnsi="仿宋_GB2312" w:eastAsia="仿宋_GB2312" w:cs="仿宋_GB2312"/>
          <w:sz w:val="32"/>
          <w:szCs w:val="32"/>
        </w:rPr>
        <w:t>法治专题培训</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次，</w:t>
      </w:r>
      <w:r>
        <w:rPr>
          <w:rFonts w:hint="eastAsia" w:ascii="仿宋_GB2312" w:hAnsi="仿宋_GB2312" w:eastAsia="仿宋_GB2312" w:cs="仿宋_GB2312"/>
          <w:sz w:val="32"/>
          <w:szCs w:val="32"/>
          <w:lang w:val="en-US" w:eastAsia="zh-CN"/>
        </w:rPr>
        <w:t>举办各类法治讲座27次，</w:t>
      </w:r>
      <w:r>
        <w:rPr>
          <w:rFonts w:hint="eastAsia" w:ascii="仿宋_GB2312" w:hAnsi="仿宋_GB2312" w:eastAsia="仿宋_GB2312" w:cs="仿宋_GB2312"/>
          <w:sz w:val="32"/>
          <w:szCs w:val="32"/>
        </w:rPr>
        <w:t>受教育</w:t>
      </w:r>
      <w:r>
        <w:rPr>
          <w:rFonts w:hint="eastAsia" w:ascii="仿宋_GB2312" w:hAnsi="仿宋_GB2312" w:eastAsia="仿宋_GB2312" w:cs="仿宋_GB2312"/>
          <w:sz w:val="32"/>
          <w:szCs w:val="32"/>
          <w:lang w:val="en-US" w:eastAsia="zh-CN"/>
        </w:rPr>
        <w:t>牧民群众、干部职工共62540</w:t>
      </w:r>
      <w:r>
        <w:rPr>
          <w:rFonts w:hint="eastAsia" w:ascii="仿宋_GB2312" w:hAnsi="仿宋_GB2312" w:eastAsia="仿宋_GB2312" w:cs="仿宋_GB2312"/>
          <w:sz w:val="32"/>
          <w:szCs w:val="32"/>
        </w:rPr>
        <w:t>人次，发放各类宣传资料</w:t>
      </w:r>
      <w:r>
        <w:rPr>
          <w:rFonts w:hint="eastAsia" w:ascii="仿宋_GB2312" w:hAnsi="仿宋_GB2312" w:eastAsia="仿宋_GB2312" w:cs="仿宋_GB2312"/>
          <w:sz w:val="32"/>
          <w:szCs w:val="32"/>
          <w:lang w:val="en-US" w:eastAsia="zh-CN"/>
        </w:rPr>
        <w:t>71420</w:t>
      </w:r>
      <w:r>
        <w:rPr>
          <w:rFonts w:hint="eastAsia" w:ascii="仿宋_GB2312" w:hAnsi="仿宋_GB2312" w:eastAsia="仿宋_GB2312" w:cs="仿宋_GB2312"/>
          <w:sz w:val="32"/>
          <w:szCs w:val="32"/>
        </w:rPr>
        <w:t>余份</w:t>
      </w:r>
      <w:r>
        <w:rPr>
          <w:rFonts w:hint="eastAsia" w:ascii="仿宋_GB2312" w:hAnsi="仿宋_GB2312" w:eastAsia="仿宋_GB2312" w:cs="仿宋_GB2312"/>
          <w:sz w:val="32"/>
          <w:szCs w:val="32"/>
          <w:lang w:eastAsia="zh-CN"/>
        </w:rPr>
        <w:t>，发放法治文化产品</w:t>
      </w:r>
      <w:r>
        <w:rPr>
          <w:rFonts w:hint="eastAsia" w:ascii="仿宋_GB2312" w:hAnsi="仿宋_GB2312" w:eastAsia="仿宋_GB2312" w:cs="仿宋_GB2312"/>
          <w:sz w:val="32"/>
          <w:szCs w:val="32"/>
          <w:lang w:val="en-US" w:eastAsia="zh-CN"/>
        </w:rPr>
        <w:t>4500余件</w:t>
      </w:r>
      <w:r>
        <w:rPr>
          <w:rFonts w:hint="eastAsia" w:ascii="仿宋_GB2312" w:hAnsi="仿宋_GB2312" w:eastAsia="仿宋_GB2312" w:cs="仿宋_GB2312"/>
          <w:sz w:val="32"/>
          <w:szCs w:val="32"/>
        </w:rPr>
        <w:t>。</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有效化解矛盾纠纷，维护社会和谐稳定。</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进一步规范人民调解阵地建设，建立健全人民调解组织体系；</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创新人民调解机制，深化医疗、交通、劳动、草场、邻里、婚姻等纠纷多发领域人民调解组织建设；</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积极参与化解信访突出问题，开展坚持发展“枫桥经验”实现矛盾不上交暨人民调解参与信访矛盾化解工作；</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加强律师、公证、参与调解等司法辅助事务，建立律师参与调解工作制度，充分发挥律师在民商事领域纠纷分流化解的作用；</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sz w:val="32"/>
          <w:szCs w:val="32"/>
          <w:lang w:val="en-US" w:eastAsia="zh-CN"/>
        </w:rPr>
        <w:t>以维护社会稳定为目标，组织开展“两节”、“两会”期间矛盾纠纷专项排查调处活动；</w:t>
      </w:r>
      <w:r>
        <w:rPr>
          <w:rFonts w:hint="eastAsia" w:ascii="仿宋_GB2312" w:hAnsi="仿宋_GB2312" w:eastAsia="仿宋_GB2312" w:cs="仿宋_GB2312"/>
          <w:b/>
          <w:bCs/>
          <w:sz w:val="32"/>
          <w:szCs w:val="32"/>
          <w:lang w:val="en-US" w:eastAsia="zh-CN"/>
        </w:rPr>
        <w:t>六是</w:t>
      </w:r>
      <w:r>
        <w:rPr>
          <w:rFonts w:hint="eastAsia" w:ascii="仿宋_GB2312" w:hAnsi="仿宋_GB2312" w:eastAsia="仿宋_GB2312" w:cs="仿宋_GB2312"/>
          <w:sz w:val="32"/>
          <w:szCs w:val="32"/>
          <w:lang w:val="en-US" w:eastAsia="zh-CN"/>
        </w:rPr>
        <w:t>扎实开展人民调解员选任工作。严格按照省州县等相关规定，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扎实推进了村（社区）人民调解员的选聘工作。</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截止2020年年末，全县各级人民调解委员会共调解各类矛盾纠纷共计124件，其中村(社区）人民调解委员会调解72件，乡镇人民调解委员会调解39件，行业性专业性调解组织调解13件，案件类型分别是婚姻家庭纠纷19件，邻里纠纷22件，房屋宅基地纠纷2件，合同纠纷1件，损害赔偿纠纷16件、山林土地纠纷23件，环境污染纠纷2件，劳动争议纠纷2件，道路交通事故纠纷13件，其他纠纷24件，以上纠纷均调解成功，履行率达100%，无因调解不当而发生民转刑案件。</w:t>
      </w:r>
    </w:p>
    <w:p>
      <w:pPr>
        <w:keepNext w:val="0"/>
        <w:keepLines w:val="0"/>
        <w:pageBreakBefore w:val="0"/>
        <w:widowControl/>
        <w:numPr>
          <w:ilvl w:val="0"/>
          <w:numId w:val="2"/>
        </w:numPr>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深化社会管理创新，强化特殊人群管控。</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200" w:right="0" w:rightChars="0" w:firstLine="643" w:firstLineChars="200"/>
        <w:textAlignment w:val="auto"/>
        <w:outlineLvl w:val="9"/>
        <w:rPr>
          <w:rFonts w:hint="default" w:ascii="仿宋_GB2312" w:hAnsi="仿宋_GB2312" w:eastAsia="仿宋_GB2312" w:cs="仿宋_GB2312"/>
          <w:b w:val="0"/>
          <w:bC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扎实开展社区矫正工作。2020年度</w:t>
      </w:r>
      <w:r>
        <w:rPr>
          <w:rFonts w:hint="eastAsia" w:ascii="仿宋_GB2312" w:hAnsi="仿宋_GB2312" w:eastAsia="仿宋_GB2312" w:cs="仿宋_GB2312"/>
          <w:sz w:val="32"/>
          <w:szCs w:val="32"/>
          <w:lang w:val="en-US" w:eastAsia="zh-CN"/>
        </w:rPr>
        <w:t>我局解除社区矫正纳入安置帮教人员3人，在册社区矫正对象共有26名，成立矫正小组26个，其中暂于监外执行2名，假释3人，其余均为缓刑。开展个别谈话教育155人次，组织集中教育123人次，进行心理辅导17人次，组织社区服务264人次，开展拟适用社区矫正前社会调查评估6件，均被监狱和县法院采信。</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扎实做好安置帮教工作。</w:t>
      </w:r>
      <w:r>
        <w:rPr>
          <w:rFonts w:hint="eastAsia" w:ascii="仿宋_GB2312" w:hAnsi="仿宋_GB2312" w:eastAsia="仿宋_GB2312" w:cs="仿宋_GB2312"/>
          <w:sz w:val="32"/>
          <w:szCs w:val="32"/>
          <w:lang w:val="en-US" w:eastAsia="zh-CN"/>
        </w:rPr>
        <w:t>在全县范围内实现安置帮教对象衔接率100%，帮教率95%以上，因红原地域、经济受限，无法帮助解决安置帮教对象就业问题，因此鼓励他们放牧安置或自主创业。1月至10月份，我局各基层司法所走访安置帮教对象共计30次，开展宣传40余次，发放宣传资料200余份。目前暂未发现安置帮教对象参与到涉黑、涉恶活动，未发现新冠病毒感染者。</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left="0" w:leftChars="0"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关爱民生民情，提升综合法律服务水平。</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200"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倾斜保护特殊群体合法权益。</w:t>
      </w:r>
      <w:r>
        <w:rPr>
          <w:rFonts w:hint="eastAsia" w:ascii="仿宋_GB2312" w:hAnsi="仿宋_GB2312" w:eastAsia="仿宋_GB2312" w:cs="仿宋_GB2312"/>
          <w:sz w:val="32"/>
          <w:szCs w:val="32"/>
          <w:lang w:eastAsia="zh-CN"/>
        </w:rPr>
        <w:t>针对农民工群体的讨薪、工伤维权，开通“绿色通道”服务，直接受理并落实承办人员。</w:t>
      </w:r>
      <w:r>
        <w:rPr>
          <w:rFonts w:hint="eastAsia" w:ascii="仿宋_GB2312" w:hAnsi="仿宋_GB2312" w:eastAsia="仿宋_GB2312" w:cs="仿宋_GB2312"/>
          <w:sz w:val="32"/>
          <w:szCs w:val="32"/>
          <w:lang w:val="en-US" w:eastAsia="zh-CN"/>
        </w:rPr>
        <w:t>截止目前，</w:t>
      </w:r>
      <w:r>
        <w:rPr>
          <w:rFonts w:hint="eastAsia" w:ascii="仿宋_GB2312" w:hAnsi="仿宋_GB2312" w:eastAsia="仿宋_GB2312" w:cs="仿宋_GB2312"/>
          <w:sz w:val="32"/>
          <w:szCs w:val="32"/>
          <w:lang w:eastAsia="zh-CN"/>
        </w:rPr>
        <w:t>受理维权案件十</w:t>
      </w:r>
      <w:r>
        <w:rPr>
          <w:rFonts w:hint="eastAsia" w:ascii="仿宋_GB2312" w:hAnsi="仿宋_GB2312" w:eastAsia="仿宋_GB2312" w:cs="仿宋_GB2312"/>
          <w:sz w:val="32"/>
          <w:szCs w:val="32"/>
          <w:lang w:val="en-US" w:eastAsia="zh-CN"/>
        </w:rPr>
        <w:t>余</w:t>
      </w:r>
      <w:r>
        <w:rPr>
          <w:rFonts w:hint="eastAsia" w:ascii="仿宋_GB2312" w:hAnsi="仿宋_GB2312" w:eastAsia="仿宋_GB2312" w:cs="仿宋_GB2312"/>
          <w:sz w:val="32"/>
          <w:szCs w:val="32"/>
          <w:lang w:eastAsia="zh-CN"/>
        </w:rPr>
        <w:t>件，受援农民工达25余人。</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加强协作，积极参与人民调解和法治宣传。法律援助中心参与其他部门调解6次，通过调解化解了群众纠纷，防止矛盾激化。开展“法律进学校”法治宣传活动2次，开展“政法系统专项宣讲暨法律进乡村”活动1次，通过法治宣传，提升了全县广大群众法律意识。2020年度我中心共办理</w:t>
      </w:r>
      <w:r>
        <w:rPr>
          <w:rFonts w:hint="eastAsia" w:ascii="仿宋_GB2312" w:hAnsi="仿宋_GB2312" w:eastAsia="仿宋_GB2312" w:cs="仿宋_GB2312"/>
          <w:sz w:val="32"/>
          <w:szCs w:val="32"/>
          <w:lang w:eastAsia="zh-CN"/>
        </w:rPr>
        <w:t>各类援助案件49件，受援群众200余人。</w:t>
      </w:r>
      <w:r>
        <w:rPr>
          <w:rFonts w:hint="eastAsia" w:ascii="仿宋_GB2312" w:hAnsi="仿宋_GB2312" w:eastAsia="仿宋_GB2312" w:cs="仿宋_GB2312"/>
          <w:sz w:val="32"/>
          <w:szCs w:val="32"/>
          <w:lang w:val="en-US" w:eastAsia="zh-CN"/>
        </w:rPr>
        <w:t>援助中心和</w:t>
      </w:r>
      <w:r>
        <w:rPr>
          <w:rFonts w:hint="eastAsia" w:ascii="仿宋_GB2312" w:hAnsi="仿宋_GB2312" w:eastAsia="仿宋_GB2312" w:cs="仿宋_GB2312"/>
          <w:sz w:val="32"/>
          <w:szCs w:val="32"/>
          <w:lang w:eastAsia="zh-CN"/>
        </w:rPr>
        <w:t>援助工作站共办理咨询案件2800余件，接待咨询群众数千人。</w:t>
      </w:r>
    </w:p>
    <w:p>
      <w:pPr>
        <w:ind w:firstLine="643" w:firstLineChars="200"/>
        <w:jc w:val="both"/>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（五）坚持真抓严管、提升能力，强化队伍建设。</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大力加强政治思想建设，坚持局机关每月开展党支部活动日，过好组织生活，深化党的政治理论学习，大力开展解放思想大讨论活动，以“不忘初心、牢记使命”为主题，推动思想政治建设常态常效；</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全面落实从严治党责任，制定《2020年红原县司法局机关党建工作要点》，与各股室、处、所签订《2020年党风廉政责任书》，层层压实责任，年初组织全局干警召开党风廉政工作部署会，形成了横向到边、纵向到底、覆盖完整的落实党风廉政责任体系；</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认真执行领导干部个人重大事项报告，强化作风纪律学习教育,</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扎实开展观看胡廷武和东江甲两人犯罪案件庭审现场活动；</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sz w:val="32"/>
          <w:szCs w:val="32"/>
          <w:lang w:val="en-US" w:eastAsia="zh-CN"/>
        </w:rPr>
        <w:t>积极适应民众需求，在公共法律服务、公证等各窗口单位设立了“党员先锋岗”，制定了多样化、多渠道便民服务措施。</w:t>
      </w:r>
    </w:p>
    <w:p>
      <w:pPr>
        <w:pStyle w:val="20"/>
        <w:keepNext w:val="0"/>
        <w:keepLines w:val="0"/>
        <w:widowControl/>
        <w:suppressLineNumbers w:val="0"/>
        <w:spacing w:before="46" w:beforeAutospacing="0" w:after="0" w:afterAutospacing="0" w:line="585" w:lineRule="atLeast"/>
        <w:ind w:left="319" w:leftChars="152" w:right="0" w:firstLine="665" w:firstLineChars="207"/>
        <w:jc w:val="both"/>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（六）健全机制，狠抓重点，依法治县工作展现新作为。</w:t>
      </w:r>
    </w:p>
    <w:p>
      <w:pPr>
        <w:pStyle w:val="20"/>
        <w:keepNext w:val="0"/>
        <w:keepLines w:val="0"/>
        <w:widowControl/>
        <w:suppressLineNumbers w:val="0"/>
        <w:spacing w:before="46" w:beforeAutospacing="0" w:after="0" w:afterAutospacing="0" w:line="585" w:lineRule="atLeast"/>
        <w:ind w:left="319" w:leftChars="152" w:right="0" w:firstLine="665" w:firstLineChars="207"/>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kern w:val="2"/>
          <w:sz w:val="32"/>
          <w:szCs w:val="32"/>
          <w:lang w:val="en-US" w:eastAsia="zh-CN" w:bidi="ar-SA"/>
        </w:rPr>
        <w:t>加强疫情防控法治保障。3月7日，印发了《红原县依法防控新冠肺炎疫情的工作方案》，从立法、执法、司法、守法各环节发力，始终将依法防控贯穿疫情防控全过程。</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kern w:val="2"/>
          <w:sz w:val="32"/>
          <w:szCs w:val="32"/>
          <w:lang w:val="en-US" w:eastAsia="zh-CN" w:bidi="ar-SA"/>
        </w:rPr>
        <w:t>落实党政主体责任。深化党政主要</w:t>
      </w:r>
      <w:r>
        <w:rPr>
          <w:rFonts w:hint="eastAsia" w:ascii="仿宋_GB2312" w:hAnsi="仿宋_GB2312" w:eastAsia="仿宋_GB2312" w:cs="仿宋_GB2312"/>
          <w:b w:val="0"/>
          <w:bCs w:val="0"/>
          <w:i w:val="0"/>
          <w:iCs w:val="0"/>
          <w:color w:val="000000"/>
          <w:sz w:val="32"/>
          <w:szCs w:val="32"/>
          <w:u w:val="none"/>
          <w:lang w:val="en-US" w:eastAsia="zh-CN"/>
        </w:rPr>
        <w:t>负责人在推进法治建设第一责任人职责，落实责任主体，完善了县委常委会、中心组理论学习、人大常委会、政府常务会、政协委员会以及部门、乡镇党委（党组）会前学法制度，领导干部年度述法制度，加强党政主要负责人推进法治建设第一责任人职责监督，开展</w:t>
      </w:r>
      <w:r>
        <w:rPr>
          <w:rFonts w:hint="eastAsia" w:ascii="仿宋_GB2312" w:hAnsi="仿宋_GB2312" w:eastAsia="仿宋_GB2312" w:cs="仿宋_GB2312"/>
          <w:color w:val="000000"/>
          <w:sz w:val="32"/>
          <w:szCs w:val="32"/>
        </w:rPr>
        <w:t>党政主要负责人履行推进法治建设第一责任人职责</w:t>
      </w:r>
      <w:r>
        <w:rPr>
          <w:rFonts w:hint="eastAsia" w:ascii="仿宋_GB2312" w:hAnsi="仿宋_GB2312" w:eastAsia="仿宋_GB2312" w:cs="仿宋_GB2312"/>
          <w:color w:val="000000"/>
          <w:sz w:val="32"/>
          <w:szCs w:val="32"/>
          <w:lang w:val="en-US" w:eastAsia="zh-CN"/>
        </w:rPr>
        <w:t>自查工作，健全完善县委全面依法治县委员会办公室职责。</w:t>
      </w:r>
    </w:p>
    <w:p>
      <w:pPr>
        <w:pStyle w:val="20"/>
        <w:keepNext w:val="0"/>
        <w:keepLines w:val="0"/>
        <w:widowControl/>
        <w:numPr>
          <w:ilvl w:val="0"/>
          <w:numId w:val="3"/>
        </w:numPr>
        <w:suppressLineNumbers w:val="0"/>
        <w:spacing w:before="46" w:beforeAutospacing="0" w:after="0" w:afterAutospacing="0" w:line="585" w:lineRule="atLeast"/>
        <w:ind w:left="638" w:leftChars="304" w:right="0" w:firstLine="341" w:firstLineChars="106"/>
        <w:jc w:val="both"/>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加快转变政府职能，法治政府建设迈上新台阶。</w:t>
      </w:r>
    </w:p>
    <w:p>
      <w:pPr>
        <w:pStyle w:val="20"/>
        <w:keepNext w:val="0"/>
        <w:keepLines w:val="0"/>
        <w:widowControl/>
        <w:numPr>
          <w:ilvl w:val="0"/>
          <w:numId w:val="0"/>
        </w:numPr>
        <w:suppressLineNumbers w:val="0"/>
        <w:spacing w:before="46" w:beforeAutospacing="0" w:after="0" w:afterAutospacing="0" w:line="585" w:lineRule="atLeast"/>
        <w:ind w:right="0" w:rightChars="0" w:firstLine="643" w:firstLineChars="200"/>
        <w:jc w:val="both"/>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sz w:val="32"/>
          <w:szCs w:val="32"/>
          <w:shd w:val="clear" w:color="auto" w:fill="FFFFFF"/>
          <w:lang w:val="en-US" w:eastAsia="zh-CN"/>
        </w:rPr>
        <w:t>一是</w:t>
      </w:r>
      <w:r>
        <w:rPr>
          <w:rFonts w:hint="eastAsia" w:ascii="仿宋_GB2312" w:hAnsi="仿宋_GB2312" w:eastAsia="仿宋_GB2312" w:cs="仿宋_GB2312"/>
          <w:kern w:val="2"/>
          <w:sz w:val="32"/>
          <w:szCs w:val="32"/>
          <w:lang w:val="en-US" w:eastAsia="zh-CN" w:bidi="ar-SA"/>
        </w:rPr>
        <w:t>严格按照合法性审查程序，对县政府决策事项进行前置合法性审查，从源头上预防违法和不当决策的发生。截止目前，共审查县政府决策、合同文件等47件，参加政府常务会议6次，有效管控行政决策事项的法律风险。</w:t>
      </w:r>
      <w:r>
        <w:rPr>
          <w:rFonts w:hint="eastAsia" w:ascii="仿宋_GB2312" w:hAnsi="仿宋_GB2312" w:eastAsia="仿宋_GB2312" w:cs="仿宋_GB2312"/>
          <w:b/>
          <w:bCs/>
          <w:sz w:val="32"/>
          <w:szCs w:val="32"/>
          <w:shd w:val="clear" w:color="auto" w:fill="FFFFFF"/>
          <w:lang w:val="en-US" w:eastAsia="zh-CN"/>
        </w:rPr>
        <w:t>二是</w:t>
      </w:r>
      <w:r>
        <w:rPr>
          <w:rFonts w:hint="eastAsia" w:ascii="仿宋_GB2312" w:hAnsi="仿宋_GB2312" w:eastAsia="仿宋_GB2312" w:cs="仿宋_GB2312"/>
          <w:b w:val="0"/>
          <w:bCs w:val="0"/>
          <w:kern w:val="2"/>
          <w:sz w:val="32"/>
          <w:szCs w:val="32"/>
          <w:lang w:val="en-US" w:eastAsia="zh-CN" w:bidi="ar-SA"/>
        </w:rPr>
        <w:t>加强规范性文件监管。严</w:t>
      </w:r>
      <w:r>
        <w:rPr>
          <w:rFonts w:hint="eastAsia" w:ascii="仿宋_GB2312" w:hAnsi="仿宋_GB2312" w:eastAsia="仿宋_GB2312" w:cs="仿宋_GB2312"/>
          <w:b w:val="0"/>
          <w:bCs/>
          <w:kern w:val="2"/>
          <w:sz w:val="32"/>
          <w:szCs w:val="32"/>
          <w:lang w:val="en-US" w:eastAsia="zh-CN" w:bidi="ar-SA"/>
        </w:rPr>
        <w:t>格执行《四川省行政规范性文件管理办法》，政府部门代政府起草的规范性文件未经合法性审查不得报县政府审议，今年以来，共审查县政府规范性文件7件。</w:t>
      </w:r>
      <w:r>
        <w:rPr>
          <w:rFonts w:hint="eastAsia" w:ascii="仿宋_GB2312" w:hAnsi="仿宋_GB2312" w:eastAsia="仿宋_GB2312" w:cs="仿宋_GB2312"/>
          <w:b/>
          <w:bCs/>
          <w:sz w:val="32"/>
          <w:szCs w:val="32"/>
          <w:shd w:val="clear" w:color="auto" w:fill="FFFFFF"/>
          <w:lang w:val="en-US" w:eastAsia="zh-CN"/>
        </w:rPr>
        <w:t>三是</w:t>
      </w:r>
      <w:r>
        <w:rPr>
          <w:rFonts w:hint="eastAsia" w:ascii="仿宋_GB2312" w:hAnsi="仿宋_GB2312" w:eastAsia="仿宋_GB2312" w:cs="仿宋_GB2312"/>
          <w:b w:val="0"/>
          <w:bCs/>
          <w:kern w:val="2"/>
          <w:sz w:val="32"/>
          <w:szCs w:val="32"/>
          <w:lang w:val="en-US" w:eastAsia="zh-CN" w:bidi="ar-SA"/>
        </w:rPr>
        <w:t>加强行政执法监管。全面推行执法“三项制度”。完成执法证年审工作，对113名行政执法人员所持有的行政执法证件进行了年检，其中年审合格人员103人，年审未通过人员10人（其中：调离4人；证件有效期届满5人）。同时，积极组织有关行政执法部门参加执法证资格考试和“互联网+”网上培训。</w:t>
      </w:r>
      <w:r>
        <w:rPr>
          <w:rFonts w:hint="eastAsia" w:ascii="仿宋_GB2312" w:hAnsi="仿宋_GB2312" w:eastAsia="仿宋_GB2312" w:cs="仿宋_GB2312"/>
          <w:b/>
          <w:bCs/>
          <w:sz w:val="32"/>
          <w:szCs w:val="32"/>
          <w:shd w:val="clear" w:color="auto" w:fill="FFFFFF"/>
          <w:lang w:val="en-US" w:eastAsia="zh-CN"/>
        </w:rPr>
        <w:t>四是</w:t>
      </w:r>
      <w:r>
        <w:rPr>
          <w:rFonts w:hint="eastAsia" w:ascii="仿宋_GB2312" w:hAnsi="仿宋_GB2312" w:eastAsia="仿宋_GB2312" w:cs="仿宋_GB2312"/>
          <w:b w:val="0"/>
          <w:bCs w:val="0"/>
          <w:sz w:val="32"/>
          <w:szCs w:val="32"/>
          <w:lang w:eastAsia="zh-CN"/>
        </w:rPr>
        <w:t>加强行政复议和应诉。</w:t>
      </w:r>
      <w:r>
        <w:rPr>
          <w:rFonts w:hint="eastAsia" w:ascii="仿宋_GB2312" w:hAnsi="仿宋_GB2312" w:eastAsia="仿宋_GB2312" w:cs="仿宋_GB2312"/>
          <w:b w:val="0"/>
          <w:bCs w:val="0"/>
          <w:sz w:val="32"/>
          <w:szCs w:val="32"/>
          <w:lang w:val="en-US" w:eastAsia="zh-CN"/>
        </w:rPr>
        <w:t>2020年度</w:t>
      </w:r>
      <w:r>
        <w:rPr>
          <w:rFonts w:hint="eastAsia" w:ascii="仿宋_GB2312" w:hAnsi="仿宋_GB2312" w:eastAsia="仿宋_GB2312" w:cs="仿宋_GB2312"/>
          <w:sz w:val="32"/>
          <w:szCs w:val="32"/>
          <w:lang w:val="en-US" w:eastAsia="zh-CN"/>
        </w:rPr>
        <w:t>，我县无行政复议和行政应诉案件，共发出</w:t>
      </w:r>
      <w:r>
        <w:rPr>
          <w:rFonts w:hint="eastAsia" w:ascii="仿宋_GB2312" w:hAnsi="仿宋_GB2312" w:eastAsia="仿宋_GB2312" w:cs="仿宋_GB2312"/>
          <w:sz w:val="32"/>
          <w:szCs w:val="32"/>
          <w:lang w:eastAsia="zh-CN"/>
        </w:rPr>
        <w:t>检察建议书</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lang w:eastAsia="zh-CN"/>
        </w:rPr>
        <w:t>份，均已及时落实相关建议或意见，并按时反馈情况。</w:t>
      </w:r>
    </w:p>
    <w:p>
      <w:pPr>
        <w:pStyle w:val="5"/>
        <w:rPr>
          <w:rStyle w:val="26"/>
          <w:b w:val="0"/>
          <w:bCs w:val="0"/>
        </w:rPr>
      </w:pPr>
      <w:bookmarkStart w:id="28" w:name="_Toc79163605"/>
      <w:bookmarkStart w:id="29" w:name="_Toc15377200"/>
      <w:bookmarkStart w:id="30" w:name="_Toc15396601"/>
      <w:bookmarkStart w:id="31" w:name="_Toc79163855"/>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8"/>
      <w:bookmarkEnd w:id="29"/>
      <w:bookmarkEnd w:id="30"/>
      <w:bookmarkEnd w:id="31"/>
    </w:p>
    <w:p>
      <w:pPr>
        <w:ind w:firstLine="800" w:firstLineChars="250"/>
        <w:rPr>
          <w:rFonts w:ascii="仿宋" w:hAnsi="仿宋" w:eastAsia="仿宋"/>
          <w:sz w:val="32"/>
          <w:szCs w:val="32"/>
        </w:rPr>
      </w:pPr>
      <w:r>
        <w:rPr>
          <w:rFonts w:hint="eastAsia" w:ascii="仿宋" w:hAnsi="仿宋" w:eastAsia="仿宋"/>
          <w:sz w:val="32"/>
          <w:szCs w:val="32"/>
          <w:lang w:eastAsia="zh-CN"/>
        </w:rPr>
        <w:t>红原县司法局</w:t>
      </w:r>
      <w:r>
        <w:rPr>
          <w:rFonts w:hint="eastAsia" w:ascii="仿宋" w:hAnsi="仿宋" w:eastAsia="仿宋"/>
          <w:sz w:val="32"/>
          <w:szCs w:val="32"/>
        </w:rPr>
        <w:t>下属二级单位</w:t>
      </w:r>
      <w:r>
        <w:rPr>
          <w:rFonts w:hint="eastAsia" w:ascii="仿宋" w:hAnsi="仿宋" w:eastAsia="仿宋"/>
          <w:sz w:val="32"/>
          <w:szCs w:val="32"/>
          <w:lang w:val="en-US" w:eastAsia="zh-CN"/>
        </w:rPr>
        <w:t>1</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1</w:t>
      </w:r>
      <w:r>
        <w:rPr>
          <w:rFonts w:hint="eastAsia" w:ascii="仿宋" w:hAnsi="仿宋" w:eastAsia="仿宋"/>
          <w:sz w:val="32"/>
          <w:szCs w:val="32"/>
        </w:rPr>
        <w:t>个。</w:t>
      </w:r>
    </w:p>
    <w:p>
      <w:pPr>
        <w:pStyle w:val="8"/>
        <w:adjustRightInd w:val="0"/>
        <w:snapToGrid w:val="0"/>
        <w:spacing w:before="93" w:line="600" w:lineRule="exact"/>
        <w:ind w:firstLine="672" w:firstLineChars="210"/>
        <w:rPr>
          <w:rFonts w:hint="eastAsia" w:ascii="仿宋" w:hAnsi="仿宋" w:eastAsia="仿宋"/>
          <w:color w:val="000000"/>
          <w:sz w:val="32"/>
          <w:szCs w:val="32"/>
          <w:lang w:eastAsia="zh-CN"/>
        </w:rPr>
      </w:pPr>
      <w:r>
        <w:rPr>
          <w:rFonts w:hint="eastAsia" w:ascii="仿宋" w:hAnsi="仿宋" w:eastAsia="仿宋"/>
          <w:color w:val="000000"/>
          <w:sz w:val="32"/>
          <w:szCs w:val="32"/>
        </w:rPr>
        <w:t>纳入</w:t>
      </w:r>
      <w:r>
        <w:rPr>
          <w:rFonts w:hint="eastAsia" w:ascii="仿宋" w:hAnsi="仿宋" w:eastAsia="仿宋"/>
          <w:color w:val="000000"/>
          <w:sz w:val="32"/>
          <w:szCs w:val="32"/>
          <w:lang w:eastAsia="zh-CN"/>
        </w:rPr>
        <w:t>我局</w:t>
      </w:r>
      <w:r>
        <w:rPr>
          <w:rFonts w:ascii="仿宋" w:hAnsi="仿宋" w:eastAsia="仿宋"/>
          <w:color w:val="000000"/>
          <w:sz w:val="32"/>
          <w:szCs w:val="32"/>
        </w:rPr>
        <w:t>2020</w:t>
      </w:r>
      <w:r>
        <w:rPr>
          <w:rFonts w:hint="eastAsia" w:ascii="仿宋" w:hAnsi="仿宋" w:eastAsia="仿宋"/>
          <w:color w:val="000000"/>
          <w:sz w:val="32"/>
          <w:szCs w:val="32"/>
        </w:rPr>
        <w:t>年度部门决算编制范围的二级预算单位包括：</w:t>
      </w:r>
      <w:r>
        <w:rPr>
          <w:rFonts w:hint="eastAsia" w:ascii="仿宋" w:hAnsi="仿宋" w:eastAsia="仿宋"/>
          <w:color w:val="000000"/>
          <w:sz w:val="32"/>
          <w:szCs w:val="32"/>
          <w:lang w:eastAsia="zh-CN"/>
        </w:rPr>
        <w:t>红原县法律援助中心。</w:t>
      </w:r>
    </w:p>
    <w:p>
      <w:pPr>
        <w:pStyle w:val="4"/>
        <w:ind w:right="440"/>
        <w:jc w:val="both"/>
        <w:rPr>
          <w:rStyle w:val="25"/>
          <w:rFonts w:ascii="黑体" w:hAnsi="黑体" w:eastAsia="黑体"/>
          <w:b w:val="0"/>
          <w:bCs w:val="0"/>
        </w:rPr>
      </w:pPr>
      <w:bookmarkStart w:id="32" w:name="_Toc79163609"/>
      <w:bookmarkStart w:id="33" w:name="_Toc79163859"/>
      <w:bookmarkStart w:id="34" w:name="_Toc15377204"/>
      <w:bookmarkStart w:id="35" w:name="_Toc15396602"/>
      <w:r>
        <w:rPr>
          <w:rFonts w:hint="eastAsia" w:ascii="黑体" w:hAnsi="黑体" w:eastAsia="黑体"/>
          <w:b w:val="0"/>
          <w:color w:val="000000"/>
        </w:rPr>
        <w:t>第二部分</w:t>
      </w:r>
      <w:r>
        <w:rPr>
          <w:rFonts w:ascii="黑体" w:hAnsi="黑体" w:eastAsia="黑体"/>
          <w:color w:val="000000"/>
        </w:rPr>
        <w:t xml:space="preserve"> </w:t>
      </w:r>
      <w:r>
        <w:rPr>
          <w:rStyle w:val="25"/>
          <w:rFonts w:ascii="黑体" w:hAnsi="黑体" w:eastAsia="黑体"/>
          <w:b w:val="0"/>
          <w:bCs w:val="0"/>
        </w:rPr>
        <w:t>2020</w:t>
      </w:r>
      <w:r>
        <w:rPr>
          <w:rStyle w:val="25"/>
          <w:rFonts w:hint="eastAsia" w:ascii="黑体" w:hAnsi="黑体" w:eastAsia="黑体"/>
          <w:b w:val="0"/>
          <w:bCs w:val="0"/>
        </w:rPr>
        <w:t>年度部门决算情况说明</w:t>
      </w:r>
      <w:bookmarkEnd w:id="32"/>
      <w:bookmarkEnd w:id="33"/>
      <w:bookmarkEnd w:id="34"/>
      <w:bookmarkEnd w:id="35"/>
    </w:p>
    <w:p/>
    <w:p>
      <w:pPr>
        <w:pStyle w:val="36"/>
        <w:numPr>
          <w:ilvl w:val="0"/>
          <w:numId w:val="4"/>
        </w:numPr>
        <w:spacing w:line="600" w:lineRule="exact"/>
        <w:ind w:firstLineChars="0"/>
        <w:outlineLvl w:val="1"/>
        <w:rPr>
          <w:rStyle w:val="26"/>
          <w:rFonts w:ascii="黑体" w:hAnsi="黑体" w:eastAsia="黑体"/>
          <w:b w:val="0"/>
        </w:rPr>
      </w:pPr>
      <w:bookmarkStart w:id="36" w:name="_Toc79163860"/>
      <w:bookmarkStart w:id="37" w:name="_Toc15396603"/>
      <w:bookmarkStart w:id="38" w:name="_Toc79163610"/>
      <w:bookmarkStart w:id="39"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2020年度收入911.87万元，与2019年度相比增加60.06万元，增长7.05%，增长原因是业务量的增加，所需经费增加；2020年度支出815.51万元，与2019年度相比减少了16.87万元，减少2.03%，减少原因是厉行节约，支出减少。</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0288" behindDoc="0" locked="0" layoutInCell="1" allowOverlap="1">
            <wp:simplePos x="0" y="0"/>
            <wp:positionH relativeFrom="column">
              <wp:posOffset>6350</wp:posOffset>
            </wp:positionH>
            <wp:positionV relativeFrom="paragraph">
              <wp:posOffset>13335</wp:posOffset>
            </wp:positionV>
            <wp:extent cx="5268595" cy="3713480"/>
            <wp:effectExtent l="0" t="0" r="8255" b="1270"/>
            <wp:wrapNone/>
            <wp:docPr id="7" name="图片 7" descr="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1"/>
                    <pic:cNvPicPr>
                      <a:picLocks noChangeAspect="1"/>
                    </pic:cNvPicPr>
                  </pic:nvPicPr>
                  <pic:blipFill>
                    <a:blip r:embed="rId6"/>
                    <a:stretch>
                      <a:fillRect/>
                    </a:stretch>
                  </pic:blipFill>
                  <pic:spPr>
                    <a:xfrm>
                      <a:off x="0" y="0"/>
                      <a:ext cx="5268595" cy="3713480"/>
                    </a:xfrm>
                    <a:prstGeom prst="rect">
                      <a:avLst/>
                    </a:prstGeom>
                  </pic:spPr>
                </pic:pic>
              </a:graphicData>
            </a:graphic>
          </wp:anchor>
        </w:drawing>
      </w: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lang w:eastAsia="zh-CN"/>
        </w:rPr>
      </w:pPr>
    </w:p>
    <w:p>
      <w:pPr>
        <w:pStyle w:val="2"/>
        <w:rPr>
          <w:rFonts w:hint="eastAsia" w:ascii="仿宋" w:hAnsi="仿宋" w:eastAsia="仿宋"/>
          <w:color w:val="000000"/>
          <w:sz w:val="32"/>
          <w:szCs w:val="32"/>
          <w:lang w:eastAsia="zh-CN"/>
        </w:rPr>
      </w:pPr>
    </w:p>
    <w:p>
      <w:pPr>
        <w:pStyle w:val="36"/>
        <w:numPr>
          <w:ilvl w:val="0"/>
          <w:numId w:val="4"/>
        </w:numPr>
        <w:spacing w:line="600" w:lineRule="exact"/>
        <w:ind w:firstLineChars="0"/>
        <w:outlineLvl w:val="1"/>
        <w:rPr>
          <w:rStyle w:val="26"/>
          <w:rFonts w:ascii="黑体" w:hAnsi="黑体" w:eastAsia="黑体"/>
          <w:b w:val="0"/>
        </w:rPr>
      </w:pPr>
      <w:bookmarkStart w:id="40" w:name="_Toc15396604"/>
      <w:bookmarkStart w:id="41" w:name="_Toc79163611"/>
      <w:bookmarkStart w:id="42" w:name="_Toc15377206"/>
      <w:bookmarkStart w:id="43" w:name="_Toc79163861"/>
    </w:p>
    <w:p>
      <w:pPr>
        <w:pStyle w:val="36"/>
        <w:numPr>
          <w:ilvl w:val="0"/>
          <w:numId w:val="0"/>
        </w:numPr>
        <w:spacing w:line="600" w:lineRule="exact"/>
        <w:ind w:left="640" w:leftChars="0"/>
        <w:outlineLvl w:val="1"/>
        <w:rPr>
          <w:rStyle w:val="26"/>
          <w:rFonts w:ascii="黑体" w:hAnsi="黑体" w:eastAsia="黑体"/>
          <w:b w:val="0"/>
        </w:rPr>
      </w:pPr>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6"/>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911.87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906.83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99.45</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5.04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0.55</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2"/>
        <w:rPr>
          <w:rFonts w:hint="eastAsia" w:eastAsia="仿宋"/>
          <w:lang w:eastAsia="zh-CN"/>
        </w:rPr>
      </w:pPr>
      <w:r>
        <w:rPr>
          <w:rFonts w:hint="eastAsia" w:eastAsia="仿宋"/>
          <w:lang w:eastAsia="zh-CN"/>
        </w:rPr>
        <w:drawing>
          <wp:anchor distT="0" distB="0" distL="114300" distR="114300" simplePos="0" relativeHeight="251666432" behindDoc="0" locked="0" layoutInCell="1" allowOverlap="1">
            <wp:simplePos x="0" y="0"/>
            <wp:positionH relativeFrom="column">
              <wp:posOffset>854075</wp:posOffset>
            </wp:positionH>
            <wp:positionV relativeFrom="paragraph">
              <wp:posOffset>121920</wp:posOffset>
            </wp:positionV>
            <wp:extent cx="3684270" cy="2597150"/>
            <wp:effectExtent l="0" t="0" r="11430" b="12700"/>
            <wp:wrapNone/>
            <wp:docPr id="8" name="图片 8" descr="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2"/>
                    <pic:cNvPicPr>
                      <a:picLocks noChangeAspect="1"/>
                    </pic:cNvPicPr>
                  </pic:nvPicPr>
                  <pic:blipFill>
                    <a:blip r:embed="rId7"/>
                    <a:stretch>
                      <a:fillRect/>
                    </a:stretch>
                  </pic:blipFill>
                  <pic:spPr>
                    <a:xfrm>
                      <a:off x="0" y="0"/>
                      <a:ext cx="3684270" cy="2597150"/>
                    </a:xfrm>
                    <a:prstGeom prst="rect">
                      <a:avLst/>
                    </a:prstGeom>
                  </pic:spPr>
                </pic:pic>
              </a:graphicData>
            </a:graphic>
          </wp:anchor>
        </w:drawing>
      </w: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36"/>
        <w:numPr>
          <w:ilvl w:val="0"/>
          <w:numId w:val="4"/>
        </w:numPr>
        <w:spacing w:line="600" w:lineRule="exact"/>
        <w:ind w:firstLineChars="0"/>
        <w:outlineLvl w:val="1"/>
        <w:rPr>
          <w:rStyle w:val="26"/>
          <w:rFonts w:ascii="黑体" w:hAnsi="黑体" w:eastAsia="黑体"/>
          <w:b w:val="0"/>
        </w:rPr>
      </w:pPr>
      <w:bookmarkStart w:id="44" w:name="_Toc15396605"/>
      <w:bookmarkStart w:id="45" w:name="_Toc15377207"/>
      <w:bookmarkStart w:id="46" w:name="_Toc79163612"/>
      <w:bookmarkStart w:id="47" w:name="_Toc79163862"/>
      <w:r>
        <w:rPr>
          <w:rFonts w:hint="eastAsia" w:ascii="黑体" w:hAnsi="黑体" w:eastAsia="黑体"/>
          <w:color w:val="000000"/>
          <w:sz w:val="32"/>
          <w:szCs w:val="32"/>
        </w:rPr>
        <w:t>支</w:t>
      </w:r>
      <w:r>
        <w:rPr>
          <w:rStyle w:val="26"/>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815.51</w:t>
      </w:r>
      <w:r>
        <w:rPr>
          <w:rFonts w:hint="eastAsia" w:ascii="仿宋_GB2312" w:eastAsia="仿宋_GB2312"/>
          <w:sz w:val="32"/>
          <w:szCs w:val="32"/>
        </w:rPr>
        <w:t>万元，其中：基本支出</w:t>
      </w:r>
      <w:r>
        <w:rPr>
          <w:rFonts w:hint="eastAsia" w:ascii="仿宋_GB2312" w:eastAsia="仿宋_GB2312"/>
          <w:sz w:val="32"/>
          <w:szCs w:val="32"/>
          <w:lang w:val="en-US" w:eastAsia="zh-CN"/>
        </w:rPr>
        <w:t>714.27</w:t>
      </w:r>
      <w:r>
        <w:rPr>
          <w:rFonts w:hint="eastAsia" w:ascii="仿宋_GB2312" w:eastAsia="仿宋_GB2312"/>
          <w:sz w:val="32"/>
          <w:szCs w:val="32"/>
        </w:rPr>
        <w:t>万元，占</w:t>
      </w:r>
      <w:r>
        <w:rPr>
          <w:rFonts w:hint="eastAsia" w:ascii="仿宋_GB2312" w:eastAsia="仿宋_GB2312"/>
          <w:sz w:val="32"/>
          <w:szCs w:val="32"/>
          <w:lang w:val="en-US" w:eastAsia="zh-CN"/>
        </w:rPr>
        <w:t>87.59</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101.23</w:t>
      </w:r>
      <w:r>
        <w:rPr>
          <w:rFonts w:hint="eastAsia" w:ascii="仿宋_GB2312" w:eastAsia="仿宋_GB2312"/>
          <w:sz w:val="32"/>
          <w:szCs w:val="32"/>
        </w:rPr>
        <w:t>万元，占</w:t>
      </w:r>
      <w:r>
        <w:rPr>
          <w:rFonts w:hint="eastAsia" w:ascii="仿宋_GB2312" w:eastAsia="仿宋_GB2312"/>
          <w:sz w:val="32"/>
          <w:szCs w:val="32"/>
          <w:lang w:val="en-US" w:eastAsia="zh-CN"/>
        </w:rPr>
        <w:t>12.41</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pStyle w:val="2"/>
      </w:pPr>
      <w:r>
        <w:rPr>
          <w:rFonts w:hint="eastAsia" w:eastAsia="宋体"/>
          <w:lang w:eastAsia="zh-CN"/>
        </w:rPr>
        <w:drawing>
          <wp:anchor distT="0" distB="0" distL="114300" distR="114300" simplePos="0" relativeHeight="251661312" behindDoc="0" locked="0" layoutInCell="1" allowOverlap="1">
            <wp:simplePos x="0" y="0"/>
            <wp:positionH relativeFrom="column">
              <wp:posOffset>5080</wp:posOffset>
            </wp:positionH>
            <wp:positionV relativeFrom="paragraph">
              <wp:posOffset>128270</wp:posOffset>
            </wp:positionV>
            <wp:extent cx="5268595" cy="3713480"/>
            <wp:effectExtent l="0" t="0" r="8255" b="1270"/>
            <wp:wrapNone/>
            <wp:docPr id="9" name="图片 9" descr="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3"/>
                    <pic:cNvPicPr>
                      <a:picLocks noChangeAspect="1"/>
                    </pic:cNvPicPr>
                  </pic:nvPicPr>
                  <pic:blipFill>
                    <a:blip r:embed="rId8"/>
                    <a:stretch>
                      <a:fillRect/>
                    </a:stretch>
                  </pic:blipFill>
                  <pic:spPr>
                    <a:xfrm>
                      <a:off x="0" y="0"/>
                      <a:ext cx="5268595" cy="3713480"/>
                    </a:xfrm>
                    <a:prstGeom prst="rect">
                      <a:avLst/>
                    </a:prstGeom>
                  </pic:spPr>
                </pic:pic>
              </a:graphicData>
            </a:graphic>
          </wp:anchor>
        </w:drawing>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rFonts w:hint="eastAsia" w:eastAsia="宋体"/>
          <w:lang w:eastAsia="zh-CN"/>
        </w:rPr>
      </w:pPr>
    </w:p>
    <w:p>
      <w:pPr>
        <w:spacing w:line="600" w:lineRule="exact"/>
        <w:ind w:firstLine="640" w:firstLineChars="200"/>
        <w:outlineLvl w:val="1"/>
        <w:rPr>
          <w:rStyle w:val="26"/>
          <w:rFonts w:ascii="黑体" w:hAnsi="黑体" w:eastAsia="黑体"/>
          <w:b w:val="0"/>
        </w:rPr>
      </w:pPr>
      <w:bookmarkStart w:id="48" w:name="_Toc15396606"/>
      <w:bookmarkStart w:id="49" w:name="_Toc15377208"/>
      <w:bookmarkStart w:id="50" w:name="_Toc79163613"/>
      <w:bookmarkStart w:id="51" w:name="_Toc79163863"/>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2020年财政拨款收入906.83万元，与2019年度相比增加63.16万元，增长7.49%，增长原因是业务量的增加，所需经费增加；2020年度财政拨款支出810.52万元，与2019年度相比减少了8.72万元，减少1.06%，减少原因是厉行节约，支出减少。</w:t>
      </w:r>
    </w:p>
    <w:p>
      <w:pPr>
        <w:spacing w:line="600" w:lineRule="exact"/>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r>
        <w:rPr>
          <w:rFonts w:hint="eastAsia" w:ascii="黑体" w:hAnsi="黑体" w:eastAsia="黑体"/>
          <w:color w:val="000000"/>
          <w:sz w:val="32"/>
          <w:szCs w:val="32"/>
          <w:lang w:eastAsia="zh-CN"/>
        </w:rPr>
        <w:drawing>
          <wp:anchor distT="0" distB="0" distL="114300" distR="114300" simplePos="0" relativeHeight="251662336" behindDoc="0" locked="0" layoutInCell="1" allowOverlap="1">
            <wp:simplePos x="0" y="0"/>
            <wp:positionH relativeFrom="column">
              <wp:posOffset>111760</wp:posOffset>
            </wp:positionH>
            <wp:positionV relativeFrom="paragraph">
              <wp:posOffset>137160</wp:posOffset>
            </wp:positionV>
            <wp:extent cx="5268595" cy="3713480"/>
            <wp:effectExtent l="0" t="0" r="8255" b="1270"/>
            <wp:wrapNone/>
            <wp:docPr id="10" name="图片 10" descr="图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4"/>
                    <pic:cNvPicPr>
                      <a:picLocks noChangeAspect="1"/>
                    </pic:cNvPicPr>
                  </pic:nvPicPr>
                  <pic:blipFill>
                    <a:blip r:embed="rId9"/>
                    <a:stretch>
                      <a:fillRect/>
                    </a:stretch>
                  </pic:blipFill>
                  <pic:spPr>
                    <a:xfrm>
                      <a:off x="0" y="0"/>
                      <a:ext cx="5268595" cy="3713480"/>
                    </a:xfrm>
                    <a:prstGeom prst="rect">
                      <a:avLst/>
                    </a:prstGeom>
                  </pic:spPr>
                </pic:pic>
              </a:graphicData>
            </a:graphic>
          </wp:anchor>
        </w:drawing>
      </w:r>
    </w:p>
    <w:p>
      <w:pPr>
        <w:spacing w:line="600" w:lineRule="exact"/>
        <w:ind w:firstLine="640" w:firstLineChars="200"/>
        <w:outlineLvl w:val="1"/>
        <w:rPr>
          <w:rFonts w:hint="eastAsia" w:ascii="黑体" w:hAnsi="黑体" w:eastAsia="黑体"/>
          <w:color w:val="000000"/>
          <w:sz w:val="32"/>
          <w:szCs w:val="32"/>
        </w:rPr>
      </w:pPr>
      <w:bookmarkStart w:id="52" w:name="_Toc15377209"/>
      <w:bookmarkStart w:id="53" w:name="_Toc15396607"/>
      <w:bookmarkStart w:id="54" w:name="_Toc79163614"/>
      <w:bookmarkStart w:id="55" w:name="_Toc79163864"/>
    </w:p>
    <w:p>
      <w:pPr>
        <w:spacing w:line="240" w:lineRule="auto"/>
        <w:ind w:firstLine="640" w:firstLineChars="200"/>
        <w:outlineLvl w:val="1"/>
        <w:rPr>
          <w:rFonts w:hint="eastAsia" w:ascii="黑体" w:hAnsi="黑体" w:eastAsia="黑体"/>
          <w:color w:val="000000"/>
          <w:sz w:val="32"/>
          <w:szCs w:val="32"/>
          <w:lang w:eastAsia="zh-CN"/>
        </w:rPr>
      </w:pPr>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Fonts w:hint="eastAsia" w:ascii="黑体" w:hAnsi="黑体" w:eastAsia="黑体"/>
          <w:color w:val="000000"/>
          <w:sz w:val="32"/>
          <w:szCs w:val="32"/>
        </w:rPr>
      </w:pPr>
    </w:p>
    <w:p>
      <w:pPr>
        <w:pStyle w:val="2"/>
        <w:rPr>
          <w:rFonts w:hint="eastAsia"/>
        </w:rPr>
      </w:pPr>
    </w:p>
    <w:p>
      <w:pPr>
        <w:pStyle w:val="2"/>
        <w:rPr>
          <w:rFonts w:hint="eastAsia"/>
        </w:rPr>
      </w:pPr>
    </w:p>
    <w:p>
      <w:pPr>
        <w:spacing w:line="600" w:lineRule="exact"/>
        <w:ind w:firstLine="640" w:firstLineChars="200"/>
        <w:outlineLvl w:val="1"/>
        <w:rPr>
          <w:rStyle w:val="26"/>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15377210"/>
      <w:bookmarkStart w:id="57" w:name="_Toc79163615"/>
      <w:bookmarkStart w:id="58" w:name="_Toc7916386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hint="default" w:ascii="仿宋" w:hAnsi="仿宋" w:eastAsia="仿宋"/>
          <w:color w:val="auto"/>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810.52</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99.39</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年相比，一般公共预算财政拨款减少</w:t>
      </w:r>
      <w:r>
        <w:rPr>
          <w:rFonts w:hint="eastAsia" w:ascii="仿宋" w:hAnsi="仿宋" w:eastAsia="仿宋"/>
          <w:color w:val="000000"/>
          <w:sz w:val="32"/>
          <w:szCs w:val="32"/>
          <w:lang w:val="en-US" w:eastAsia="zh-CN"/>
        </w:rPr>
        <w:t>8.72</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1.06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auto"/>
          <w:sz w:val="32"/>
          <w:szCs w:val="32"/>
          <w:lang w:val="en-US" w:eastAsia="zh-CN"/>
        </w:rPr>
        <w:t>厉行节约，支出减少。</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hint="eastAsia" w:ascii="仿宋" w:hAnsi="仿宋" w:eastAsia="仿宋"/>
          <w:b/>
          <w:color w:val="000000"/>
          <w:sz w:val="32"/>
          <w:szCs w:val="32"/>
        </w:rPr>
      </w:pPr>
      <w:bookmarkStart w:id="59" w:name="_Toc15377211"/>
      <w:bookmarkStart w:id="60" w:name="_Toc79163616"/>
      <w:bookmarkStart w:id="61" w:name="_Toc79163866"/>
    </w:p>
    <w:p>
      <w:pPr>
        <w:spacing w:line="240" w:lineRule="auto"/>
        <w:ind w:firstLine="643" w:firstLineChars="200"/>
        <w:outlineLvl w:val="2"/>
        <w:rPr>
          <w:rFonts w:hint="eastAsia" w:ascii="仿宋" w:hAnsi="仿宋" w:eastAsia="仿宋"/>
          <w:b/>
          <w:color w:val="000000"/>
          <w:sz w:val="32"/>
          <w:szCs w:val="32"/>
          <w:lang w:eastAsia="zh-CN"/>
        </w:rPr>
      </w:pPr>
      <w:r>
        <w:rPr>
          <w:rFonts w:hint="eastAsia" w:ascii="仿宋" w:hAnsi="仿宋" w:eastAsia="仿宋"/>
          <w:b/>
          <w:color w:val="000000"/>
          <w:sz w:val="32"/>
          <w:szCs w:val="32"/>
          <w:lang w:eastAsia="zh-CN"/>
        </w:rPr>
        <w:drawing>
          <wp:anchor distT="0" distB="0" distL="114300" distR="114300" simplePos="0" relativeHeight="251663360" behindDoc="0" locked="0" layoutInCell="1" allowOverlap="1">
            <wp:simplePos x="0" y="0"/>
            <wp:positionH relativeFrom="column">
              <wp:posOffset>16510</wp:posOffset>
            </wp:positionH>
            <wp:positionV relativeFrom="paragraph">
              <wp:posOffset>-123190</wp:posOffset>
            </wp:positionV>
            <wp:extent cx="5268595" cy="3713480"/>
            <wp:effectExtent l="0" t="0" r="8255" b="1270"/>
            <wp:wrapNone/>
            <wp:docPr id="11" name="图片 11" descr="图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5"/>
                    <pic:cNvPicPr>
                      <a:picLocks noChangeAspect="1"/>
                    </pic:cNvPicPr>
                  </pic:nvPicPr>
                  <pic:blipFill>
                    <a:blip r:embed="rId10"/>
                    <a:stretch>
                      <a:fillRect/>
                    </a:stretch>
                  </pic:blipFill>
                  <pic:spPr>
                    <a:xfrm>
                      <a:off x="0" y="0"/>
                      <a:ext cx="5268595" cy="3713480"/>
                    </a:xfrm>
                    <a:prstGeom prst="rect">
                      <a:avLst/>
                    </a:prstGeom>
                  </pic:spPr>
                </pic:pic>
              </a:graphicData>
            </a:graphic>
          </wp:anchor>
        </w:drawing>
      </w: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b/>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810.52</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w:t>
      </w:r>
      <w:r>
        <w:rPr>
          <w:rFonts w:hint="eastAsia" w:ascii="仿宋" w:hAnsi="仿宋" w:eastAsia="仿宋"/>
          <w:b/>
          <w:color w:val="000000"/>
          <w:sz w:val="32"/>
          <w:szCs w:val="32"/>
          <w:lang w:val="en-US" w:eastAsia="zh-CN"/>
        </w:rPr>
        <w:t>201</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公共安全（</w:t>
      </w:r>
      <w:r>
        <w:rPr>
          <w:rFonts w:hint="eastAsia" w:ascii="仿宋" w:hAnsi="仿宋" w:eastAsia="仿宋"/>
          <w:color w:val="000000"/>
          <w:sz w:val="32"/>
          <w:szCs w:val="32"/>
          <w:lang w:val="en-US" w:eastAsia="zh-CN"/>
        </w:rPr>
        <w:t>204</w:t>
      </w:r>
      <w:r>
        <w:rPr>
          <w:rFonts w:hint="eastAsia" w:ascii="仿宋" w:hAnsi="仿宋" w:eastAsia="仿宋"/>
          <w:color w:val="000000"/>
          <w:sz w:val="32"/>
          <w:szCs w:val="32"/>
          <w:lang w:eastAsia="zh-CN"/>
        </w:rPr>
        <w:t>）支出</w:t>
      </w:r>
      <w:r>
        <w:rPr>
          <w:rFonts w:hint="eastAsia" w:ascii="仿宋" w:hAnsi="仿宋" w:eastAsia="仿宋"/>
          <w:color w:val="000000"/>
          <w:sz w:val="32"/>
          <w:szCs w:val="32"/>
          <w:lang w:val="en-US" w:eastAsia="zh-CN"/>
        </w:rPr>
        <w:t>644.00万元，占79.45%;</w:t>
      </w:r>
      <w:r>
        <w:rPr>
          <w:rFonts w:hint="eastAsia" w:ascii="仿宋" w:hAnsi="仿宋" w:eastAsia="仿宋"/>
          <w:b/>
          <w:color w:val="000000"/>
          <w:sz w:val="32"/>
          <w:szCs w:val="32"/>
        </w:rPr>
        <w:t>教育支出（</w:t>
      </w:r>
      <w:r>
        <w:rPr>
          <w:rFonts w:hint="eastAsia" w:ascii="仿宋" w:hAnsi="仿宋" w:eastAsia="仿宋"/>
          <w:b/>
          <w:color w:val="000000"/>
          <w:sz w:val="32"/>
          <w:szCs w:val="32"/>
          <w:lang w:val="en-US" w:eastAsia="zh-CN"/>
        </w:rPr>
        <w:t>205</w:t>
      </w:r>
      <w:r>
        <w:rPr>
          <w:rFonts w:hint="eastAsia" w:ascii="仿宋" w:hAnsi="仿宋" w:eastAsia="仿宋"/>
          <w:b/>
          <w:color w:val="000000"/>
          <w:sz w:val="32"/>
          <w:szCs w:val="32"/>
        </w:rPr>
        <w:t>）</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科学技术（</w:t>
      </w:r>
      <w:r>
        <w:rPr>
          <w:rFonts w:hint="eastAsia" w:ascii="仿宋" w:hAnsi="仿宋" w:eastAsia="仿宋"/>
          <w:b/>
          <w:color w:val="000000"/>
          <w:sz w:val="32"/>
          <w:szCs w:val="32"/>
          <w:lang w:val="en-US" w:eastAsia="zh-CN"/>
        </w:rPr>
        <w:t>206</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w:t>
      </w:r>
      <w:r>
        <w:rPr>
          <w:rFonts w:hint="eastAsia" w:ascii="仿宋" w:hAnsi="仿宋" w:eastAsia="仿宋"/>
          <w:b/>
          <w:bCs/>
          <w:color w:val="000000"/>
          <w:sz w:val="32"/>
          <w:szCs w:val="32"/>
          <w:lang w:val="en-US" w:eastAsia="zh-CN"/>
        </w:rPr>
        <w:t>207</w:t>
      </w:r>
      <w:r>
        <w:rPr>
          <w:rFonts w:hint="eastAsia" w:ascii="仿宋" w:hAnsi="仿宋" w:eastAsia="仿宋"/>
          <w:b/>
          <w:bCs/>
          <w:color w:val="000000"/>
          <w:sz w:val="32"/>
          <w:szCs w:val="32"/>
        </w:rPr>
        <w:t>）支出</w:t>
      </w:r>
      <w:r>
        <w:rPr>
          <w:rFonts w:hint="eastAsia" w:ascii="仿宋" w:hAnsi="仿宋" w:eastAsia="仿宋"/>
          <w:b/>
          <w:bCs/>
          <w:color w:val="000000"/>
          <w:sz w:val="32"/>
          <w:szCs w:val="32"/>
          <w:lang w:val="en-US" w:eastAsia="zh-CN"/>
        </w:rPr>
        <w:t>0</w:t>
      </w:r>
      <w:r>
        <w:rPr>
          <w:rFonts w:hint="eastAsia" w:ascii="仿宋" w:hAnsi="仿宋" w:eastAsia="仿宋"/>
          <w:b/>
          <w:bCs/>
          <w:color w:val="000000"/>
          <w:sz w:val="32"/>
          <w:szCs w:val="32"/>
        </w:rPr>
        <w:t>万元，占</w:t>
      </w:r>
      <w:r>
        <w:rPr>
          <w:rFonts w:hint="eastAsia" w:ascii="仿宋" w:hAnsi="仿宋" w:eastAsia="仿宋"/>
          <w:b/>
          <w:bCs/>
          <w:color w:val="000000"/>
          <w:sz w:val="32"/>
          <w:szCs w:val="32"/>
          <w:lang w:val="en-US" w:eastAsia="zh-CN"/>
        </w:rPr>
        <w:t>0</w:t>
      </w:r>
      <w:r>
        <w:rPr>
          <w:rFonts w:ascii="仿宋" w:hAnsi="仿宋" w:eastAsia="仿宋"/>
          <w:b/>
          <w:bCs/>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w:t>
      </w:r>
      <w:r>
        <w:rPr>
          <w:rFonts w:hint="eastAsia" w:ascii="仿宋" w:hAnsi="仿宋" w:eastAsia="仿宋"/>
          <w:b/>
          <w:color w:val="000000"/>
          <w:sz w:val="32"/>
          <w:szCs w:val="32"/>
          <w:lang w:val="en-US" w:eastAsia="zh-CN"/>
        </w:rPr>
        <w:t>208</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75.63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9.33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w:t>
      </w:r>
      <w:r>
        <w:rPr>
          <w:rFonts w:hint="eastAsia" w:ascii="仿宋" w:hAnsi="仿宋" w:eastAsia="仿宋"/>
          <w:b/>
          <w:bCs/>
          <w:color w:val="000000"/>
          <w:sz w:val="32"/>
          <w:szCs w:val="32"/>
          <w:lang w:val="en-US" w:eastAsia="zh-CN"/>
        </w:rPr>
        <w:t>(210)</w:t>
      </w:r>
      <w:r>
        <w:rPr>
          <w:rFonts w:hint="eastAsia" w:ascii="仿宋" w:hAnsi="仿宋" w:eastAsia="仿宋"/>
          <w:b/>
          <w:bCs/>
          <w:color w:val="000000"/>
          <w:sz w:val="32"/>
          <w:szCs w:val="32"/>
        </w:rPr>
        <w:t>支出</w:t>
      </w:r>
      <w:r>
        <w:rPr>
          <w:rFonts w:hint="eastAsia" w:ascii="仿宋" w:hAnsi="仿宋" w:eastAsia="仿宋"/>
          <w:color w:val="000000"/>
          <w:sz w:val="32"/>
          <w:szCs w:val="32"/>
          <w:lang w:val="en-US" w:eastAsia="zh-CN"/>
        </w:rPr>
        <w:t>37.76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4.66</w:t>
      </w:r>
      <w:r>
        <w:rPr>
          <w:rFonts w:ascii="仿宋" w:hAnsi="仿宋" w:eastAsia="仿宋"/>
          <w:color w:val="000000"/>
          <w:sz w:val="32"/>
          <w:szCs w:val="32"/>
        </w:rPr>
        <w:t>%</w:t>
      </w:r>
      <w:r>
        <w:rPr>
          <w:rFonts w:hint="eastAsia" w:ascii="仿宋" w:hAnsi="仿宋" w:eastAsia="仿宋"/>
          <w:color w:val="000000"/>
          <w:sz w:val="32"/>
          <w:szCs w:val="32"/>
        </w:rPr>
        <w:t>；住房保障</w:t>
      </w:r>
      <w:r>
        <w:rPr>
          <w:rFonts w:hint="eastAsia" w:ascii="仿宋" w:hAnsi="仿宋" w:eastAsia="仿宋"/>
          <w:b/>
          <w:bCs/>
          <w:color w:val="000000"/>
          <w:sz w:val="32"/>
          <w:szCs w:val="32"/>
          <w:lang w:val="en-US" w:eastAsia="zh-CN"/>
        </w:rPr>
        <w:t>(221)</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53.13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6.56</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4384" behindDoc="0" locked="0" layoutInCell="1" allowOverlap="1">
            <wp:simplePos x="0" y="0"/>
            <wp:positionH relativeFrom="column">
              <wp:posOffset>-10160</wp:posOffset>
            </wp:positionH>
            <wp:positionV relativeFrom="paragraph">
              <wp:posOffset>-75565</wp:posOffset>
            </wp:positionV>
            <wp:extent cx="5268595" cy="3713480"/>
            <wp:effectExtent l="0" t="0" r="8255" b="1270"/>
            <wp:wrapNone/>
            <wp:docPr id="12" name="图片 12" descr="图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6"/>
                    <pic:cNvPicPr>
                      <a:picLocks noChangeAspect="1"/>
                    </pic:cNvPicPr>
                  </pic:nvPicPr>
                  <pic:blipFill>
                    <a:blip r:embed="rId11"/>
                    <a:stretch>
                      <a:fillRect/>
                    </a:stretch>
                  </pic:blipFill>
                  <pic:spPr>
                    <a:xfrm>
                      <a:off x="0" y="0"/>
                      <a:ext cx="5268595" cy="3713480"/>
                    </a:xfrm>
                    <a:prstGeom prst="rect">
                      <a:avLst/>
                    </a:prstGeom>
                  </pic:spPr>
                </pic:pic>
              </a:graphicData>
            </a:graphic>
          </wp:anchor>
        </w:drawing>
      </w: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lang w:eastAsia="zh-CN"/>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62" w:name="_Toc15377212"/>
      <w:bookmarkStart w:id="63" w:name="_Toc79163617"/>
      <w:bookmarkStart w:id="64" w:name="_Toc79163867"/>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7213"/>
      <w:bookmarkStart w:id="66" w:name="_Toc15378460"/>
      <w:bookmarkStart w:id="67" w:name="_Toc15377444"/>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810.52</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spacing w:line="600" w:lineRule="exact"/>
        <w:ind w:left="638" w:leftChars="304" w:firstLine="0" w:firstLineChars="0"/>
        <w:rPr>
          <w:rStyle w:val="23"/>
          <w:rFonts w:hint="eastAsia" w:ascii="仿宋" w:hAnsi="仿宋" w:eastAsia="仿宋"/>
          <w:b w:val="0"/>
          <w:bCs/>
          <w:color w:val="auto"/>
          <w:sz w:val="32"/>
          <w:szCs w:val="32"/>
          <w:lang w:val="en-US" w:eastAsia="zh-CN"/>
        </w:rPr>
      </w:pPr>
      <w:r>
        <w:rPr>
          <w:rStyle w:val="23"/>
          <w:rFonts w:hint="eastAsia" w:ascii="仿宋" w:hAnsi="仿宋" w:eastAsia="仿宋"/>
          <w:bCs/>
          <w:color w:val="000000"/>
          <w:sz w:val="32"/>
          <w:szCs w:val="32"/>
          <w:lang w:val="en-US" w:eastAsia="zh-CN"/>
        </w:rPr>
        <w:t>1</w:t>
      </w:r>
      <w:r>
        <w:rPr>
          <w:rStyle w:val="23"/>
          <w:rFonts w:hint="eastAsia" w:ascii="仿宋" w:hAnsi="仿宋" w:eastAsia="仿宋"/>
          <w:bCs/>
          <w:color w:val="000000"/>
          <w:sz w:val="32"/>
          <w:szCs w:val="32"/>
          <w:lang w:eastAsia="zh-CN"/>
        </w:rPr>
        <w:t>公共安全支出</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644</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lang w:eastAsia="zh-CN"/>
        </w:rPr>
        <w:t>。</w:t>
      </w:r>
      <w:r>
        <w:rPr>
          <w:rStyle w:val="23"/>
          <w:rFonts w:hint="eastAsia" w:ascii="仿宋" w:hAnsi="仿宋" w:eastAsia="仿宋"/>
          <w:b w:val="0"/>
          <w:bCs/>
          <w:color w:val="auto"/>
          <w:sz w:val="32"/>
          <w:szCs w:val="32"/>
          <w:lang w:val="en-US" w:eastAsia="zh-CN"/>
        </w:rPr>
        <w:t>204公共安全支出644万元</w:t>
      </w:r>
    </w:p>
    <w:p>
      <w:pPr>
        <w:spacing w:line="600" w:lineRule="exact"/>
        <w:ind w:firstLine="640" w:firstLineChars="200"/>
        <w:rPr>
          <w:rStyle w:val="23"/>
          <w:rFonts w:hint="eastAsia" w:ascii="仿宋" w:hAnsi="仿宋" w:eastAsia="仿宋"/>
          <w:b w:val="0"/>
          <w:bCs/>
          <w:color w:val="auto"/>
          <w:sz w:val="32"/>
          <w:szCs w:val="32"/>
          <w:lang w:val="en-US" w:eastAsia="zh-CN"/>
        </w:rPr>
      </w:pPr>
      <w:r>
        <w:rPr>
          <w:rStyle w:val="23"/>
          <w:rFonts w:hint="eastAsia" w:ascii="仿宋" w:hAnsi="仿宋" w:eastAsia="仿宋"/>
          <w:b w:val="0"/>
          <w:bCs/>
          <w:color w:val="auto"/>
          <w:sz w:val="32"/>
          <w:szCs w:val="32"/>
          <w:lang w:val="en-US" w:eastAsia="zh-CN"/>
        </w:rPr>
        <w:t>20406司法支出644万元</w:t>
      </w:r>
    </w:p>
    <w:p>
      <w:pPr>
        <w:spacing w:line="600" w:lineRule="exact"/>
        <w:ind w:firstLine="640" w:firstLineChars="200"/>
        <w:rPr>
          <w:rStyle w:val="23"/>
          <w:rFonts w:hint="eastAsia" w:ascii="仿宋" w:hAnsi="仿宋" w:eastAsia="仿宋"/>
          <w:b w:val="0"/>
          <w:bCs/>
          <w:color w:val="auto"/>
          <w:sz w:val="32"/>
          <w:szCs w:val="32"/>
          <w:lang w:val="en-US" w:eastAsia="zh-CN"/>
        </w:rPr>
      </w:pPr>
      <w:r>
        <w:rPr>
          <w:rStyle w:val="23"/>
          <w:rFonts w:hint="eastAsia" w:ascii="仿宋" w:hAnsi="仿宋" w:eastAsia="仿宋"/>
          <w:b w:val="0"/>
          <w:bCs/>
          <w:color w:val="auto"/>
          <w:sz w:val="32"/>
          <w:szCs w:val="32"/>
          <w:lang w:val="en-US" w:eastAsia="zh-CN"/>
        </w:rPr>
        <w:t>2040601行政运行509.57万元</w:t>
      </w:r>
    </w:p>
    <w:p>
      <w:pPr>
        <w:spacing w:line="600" w:lineRule="exact"/>
        <w:ind w:firstLine="640" w:firstLineChars="200"/>
        <w:rPr>
          <w:rStyle w:val="23"/>
          <w:rFonts w:hint="eastAsia" w:ascii="仿宋" w:hAnsi="仿宋" w:eastAsia="仿宋"/>
          <w:b w:val="0"/>
          <w:bCs/>
          <w:color w:val="auto"/>
          <w:sz w:val="32"/>
          <w:szCs w:val="32"/>
          <w:lang w:val="en-US" w:eastAsia="zh-CN"/>
        </w:rPr>
      </w:pPr>
      <w:r>
        <w:rPr>
          <w:rStyle w:val="23"/>
          <w:rFonts w:hint="eastAsia" w:ascii="仿宋" w:hAnsi="仿宋" w:eastAsia="仿宋"/>
          <w:b w:val="0"/>
          <w:bCs/>
          <w:color w:val="auto"/>
          <w:sz w:val="32"/>
          <w:szCs w:val="32"/>
          <w:lang w:val="en-US" w:eastAsia="zh-CN"/>
        </w:rPr>
        <w:t>2040602一般行政管理事务28.13万元</w:t>
      </w:r>
    </w:p>
    <w:p>
      <w:pPr>
        <w:spacing w:line="600" w:lineRule="exact"/>
        <w:ind w:firstLine="640" w:firstLineChars="200"/>
        <w:rPr>
          <w:rStyle w:val="23"/>
          <w:rFonts w:hint="eastAsia" w:ascii="仿宋" w:hAnsi="仿宋" w:eastAsia="仿宋"/>
          <w:b w:val="0"/>
          <w:bCs/>
          <w:color w:val="auto"/>
          <w:sz w:val="32"/>
          <w:szCs w:val="32"/>
          <w:lang w:val="en-US" w:eastAsia="zh-CN"/>
        </w:rPr>
      </w:pPr>
      <w:r>
        <w:rPr>
          <w:rStyle w:val="23"/>
          <w:rFonts w:hint="eastAsia" w:ascii="仿宋" w:hAnsi="仿宋" w:eastAsia="仿宋"/>
          <w:b w:val="0"/>
          <w:bCs/>
          <w:color w:val="auto"/>
          <w:sz w:val="32"/>
          <w:szCs w:val="32"/>
          <w:lang w:val="en-US" w:eastAsia="zh-CN"/>
        </w:rPr>
        <w:t>2040605普法宣传8万元</w:t>
      </w:r>
    </w:p>
    <w:p>
      <w:pPr>
        <w:spacing w:line="600" w:lineRule="exact"/>
        <w:ind w:firstLine="640" w:firstLineChars="200"/>
        <w:rPr>
          <w:rStyle w:val="23"/>
          <w:rFonts w:hint="eastAsia" w:ascii="仿宋" w:hAnsi="仿宋" w:eastAsia="仿宋"/>
          <w:b w:val="0"/>
          <w:bCs/>
          <w:color w:val="auto"/>
          <w:sz w:val="32"/>
          <w:szCs w:val="32"/>
          <w:lang w:val="en-US" w:eastAsia="zh-CN"/>
        </w:rPr>
      </w:pPr>
      <w:r>
        <w:rPr>
          <w:rStyle w:val="23"/>
          <w:rFonts w:hint="eastAsia" w:ascii="仿宋" w:hAnsi="仿宋" w:eastAsia="仿宋"/>
          <w:b w:val="0"/>
          <w:bCs/>
          <w:color w:val="auto"/>
          <w:sz w:val="32"/>
          <w:szCs w:val="32"/>
          <w:lang w:val="en-US" w:eastAsia="zh-CN"/>
        </w:rPr>
        <w:t>2040607法律援助6.59万元</w:t>
      </w:r>
    </w:p>
    <w:p>
      <w:pPr>
        <w:pStyle w:val="2"/>
        <w:ind w:left="0" w:leftChars="0" w:firstLine="640" w:firstLineChars="200"/>
        <w:rPr>
          <w:rStyle w:val="23"/>
          <w:rFonts w:hint="eastAsia" w:ascii="仿宋" w:hAnsi="仿宋" w:eastAsia="仿宋"/>
          <w:b w:val="0"/>
          <w:bCs/>
          <w:color w:val="auto"/>
          <w:sz w:val="32"/>
          <w:szCs w:val="32"/>
          <w:lang w:val="en-US" w:eastAsia="zh-CN"/>
        </w:rPr>
      </w:pPr>
      <w:r>
        <w:rPr>
          <w:rStyle w:val="23"/>
          <w:rFonts w:hint="eastAsia" w:ascii="仿宋" w:hAnsi="仿宋" w:eastAsia="仿宋"/>
          <w:b w:val="0"/>
          <w:bCs/>
          <w:color w:val="auto"/>
          <w:sz w:val="32"/>
          <w:szCs w:val="32"/>
          <w:lang w:val="en-US" w:eastAsia="zh-CN"/>
        </w:rPr>
        <w:t>2040610 社区矫正7万元</w:t>
      </w:r>
    </w:p>
    <w:p>
      <w:pPr>
        <w:pStyle w:val="2"/>
        <w:ind w:left="0" w:leftChars="0" w:firstLine="640" w:firstLineChars="200"/>
        <w:rPr>
          <w:rStyle w:val="23"/>
          <w:rFonts w:hint="default" w:ascii="仿宋" w:hAnsi="仿宋" w:eastAsia="仿宋"/>
          <w:b w:val="0"/>
          <w:bCs/>
          <w:color w:val="auto"/>
          <w:sz w:val="32"/>
          <w:szCs w:val="32"/>
          <w:lang w:val="en-US" w:eastAsia="zh-CN"/>
        </w:rPr>
      </w:pPr>
      <w:r>
        <w:rPr>
          <w:rStyle w:val="23"/>
          <w:rFonts w:hint="eastAsia" w:ascii="仿宋" w:hAnsi="仿宋" w:eastAsia="仿宋"/>
          <w:b w:val="0"/>
          <w:bCs/>
          <w:color w:val="auto"/>
          <w:sz w:val="32"/>
          <w:szCs w:val="32"/>
          <w:lang w:val="en-US" w:eastAsia="zh-CN"/>
        </w:rPr>
        <w:t>2040612 法制建设6.54</w:t>
      </w:r>
    </w:p>
    <w:p>
      <w:pPr>
        <w:pStyle w:val="2"/>
        <w:ind w:left="0" w:leftChars="0" w:firstLine="640" w:firstLineChars="200"/>
        <w:rPr>
          <w:rStyle w:val="23"/>
          <w:rFonts w:hint="eastAsia" w:ascii="仿宋" w:hAnsi="仿宋" w:eastAsia="仿宋"/>
          <w:b w:val="0"/>
          <w:bCs/>
          <w:color w:val="auto"/>
          <w:sz w:val="32"/>
          <w:szCs w:val="32"/>
          <w:lang w:val="en-US" w:eastAsia="zh-CN"/>
        </w:rPr>
      </w:pPr>
      <w:r>
        <w:rPr>
          <w:rStyle w:val="23"/>
          <w:rFonts w:hint="eastAsia" w:ascii="仿宋" w:hAnsi="仿宋" w:eastAsia="仿宋"/>
          <w:b w:val="0"/>
          <w:bCs/>
          <w:color w:val="auto"/>
          <w:sz w:val="32"/>
          <w:szCs w:val="32"/>
          <w:lang w:val="en-US" w:eastAsia="zh-CN"/>
        </w:rPr>
        <w:t>2040650 事业运行33.19万元</w:t>
      </w:r>
    </w:p>
    <w:p>
      <w:pPr>
        <w:pStyle w:val="2"/>
        <w:ind w:left="0" w:leftChars="0" w:firstLine="640" w:firstLineChars="200"/>
        <w:rPr>
          <w:rStyle w:val="23"/>
          <w:rFonts w:hint="default" w:ascii="仿宋" w:hAnsi="仿宋" w:eastAsia="仿宋"/>
          <w:b w:val="0"/>
          <w:bCs/>
          <w:color w:val="000000"/>
          <w:sz w:val="32"/>
          <w:szCs w:val="32"/>
          <w:lang w:val="en-US" w:eastAsia="zh-CN"/>
        </w:rPr>
      </w:pPr>
      <w:r>
        <w:rPr>
          <w:rStyle w:val="23"/>
          <w:rFonts w:hint="eastAsia" w:ascii="仿宋" w:hAnsi="仿宋" w:eastAsia="仿宋"/>
          <w:b w:val="0"/>
          <w:bCs/>
          <w:color w:val="auto"/>
          <w:sz w:val="32"/>
          <w:szCs w:val="32"/>
          <w:lang w:val="en-US" w:eastAsia="zh-CN"/>
        </w:rPr>
        <w:t>2040699其他司法支出44.97万元</w:t>
      </w:r>
    </w:p>
    <w:p>
      <w:pPr>
        <w:numPr>
          <w:ilvl w:val="0"/>
          <w:numId w:val="0"/>
        </w:numPr>
        <w:spacing w:line="600" w:lineRule="exact"/>
        <w:ind w:firstLine="643" w:firstLineChars="200"/>
        <w:rPr>
          <w:rFonts w:ascii="仿宋" w:hAnsi="仿宋" w:eastAsia="仿宋"/>
          <w:b/>
          <w:color w:val="000000"/>
          <w:sz w:val="32"/>
          <w:szCs w:val="32"/>
        </w:rPr>
      </w:pPr>
      <w:r>
        <w:rPr>
          <w:rStyle w:val="23"/>
          <w:rFonts w:ascii="仿宋" w:hAnsi="仿宋" w:eastAsia="仿宋"/>
          <w:bCs/>
          <w:color w:val="000000"/>
          <w:sz w:val="32"/>
          <w:szCs w:val="32"/>
        </w:rPr>
        <w:t>2.</w:t>
      </w:r>
      <w:r>
        <w:rPr>
          <w:rStyle w:val="23"/>
          <w:rFonts w:hint="eastAsia" w:ascii="仿宋" w:hAnsi="仿宋" w:eastAsia="仿宋"/>
          <w:bCs/>
          <w:color w:val="000000"/>
          <w:sz w:val="32"/>
          <w:szCs w:val="32"/>
        </w:rPr>
        <w:t>教育</w:t>
      </w:r>
      <w:r>
        <w:rPr>
          <w:rStyle w:val="23"/>
          <w:rFonts w:hint="eastAsia" w:ascii="仿宋" w:hAnsi="仿宋" w:eastAsia="仿宋"/>
          <w:bCs/>
          <w:color w:val="000000"/>
          <w:sz w:val="32"/>
          <w:szCs w:val="32"/>
          <w:lang w:val="en-US" w:eastAsia="zh-CN"/>
        </w:rPr>
        <w:t>205</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0</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3"/>
          <w:rFonts w:ascii="仿宋" w:hAnsi="仿宋" w:eastAsia="仿宋"/>
          <w:bCs/>
          <w:color w:val="000000"/>
          <w:sz w:val="32"/>
          <w:szCs w:val="32"/>
        </w:rPr>
        <w:t>3.</w:t>
      </w:r>
      <w:r>
        <w:rPr>
          <w:rStyle w:val="23"/>
          <w:rFonts w:hint="eastAsia" w:ascii="仿宋" w:hAnsi="仿宋" w:eastAsia="仿宋"/>
          <w:bCs/>
          <w:color w:val="000000"/>
          <w:sz w:val="32"/>
          <w:szCs w:val="32"/>
        </w:rPr>
        <w:t>科学技术</w:t>
      </w:r>
      <w:r>
        <w:rPr>
          <w:rStyle w:val="23"/>
          <w:rFonts w:hint="eastAsia" w:ascii="仿宋" w:hAnsi="仿宋" w:eastAsia="仿宋"/>
          <w:bCs/>
          <w:color w:val="000000"/>
          <w:sz w:val="32"/>
          <w:szCs w:val="32"/>
          <w:lang w:val="en-US" w:eastAsia="zh-CN"/>
        </w:rPr>
        <w:t>206</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0</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3"/>
          <w:rFonts w:ascii="仿宋" w:hAnsi="仿宋" w:eastAsia="仿宋"/>
          <w:bCs/>
          <w:color w:val="000000"/>
          <w:sz w:val="32"/>
          <w:szCs w:val="32"/>
        </w:rPr>
        <w:t>4.</w:t>
      </w:r>
      <w:r>
        <w:rPr>
          <w:rStyle w:val="23"/>
          <w:rFonts w:hint="eastAsia" w:ascii="仿宋" w:hAnsi="仿宋" w:eastAsia="仿宋"/>
          <w:bCs/>
          <w:color w:val="000000"/>
          <w:sz w:val="32"/>
          <w:szCs w:val="32"/>
        </w:rPr>
        <w:t>文化旅游体育与传媒</w:t>
      </w:r>
      <w:r>
        <w:rPr>
          <w:rStyle w:val="23"/>
          <w:rFonts w:hint="eastAsia" w:ascii="仿宋" w:hAnsi="仿宋" w:eastAsia="仿宋"/>
          <w:bCs/>
          <w:color w:val="000000"/>
          <w:sz w:val="32"/>
          <w:szCs w:val="32"/>
          <w:lang w:val="en-US" w:eastAsia="zh-CN"/>
        </w:rPr>
        <w:t>207</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0</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spacing w:line="600" w:lineRule="exact"/>
        <w:ind w:firstLine="643" w:firstLineChars="200"/>
        <w:rPr>
          <w:rStyle w:val="23"/>
          <w:rFonts w:hint="eastAsia" w:ascii="仿宋" w:hAnsi="仿宋" w:eastAsia="仿宋"/>
          <w:b w:val="0"/>
          <w:bCs/>
          <w:color w:val="000000"/>
          <w:sz w:val="32"/>
          <w:szCs w:val="32"/>
        </w:rPr>
      </w:pPr>
      <w:r>
        <w:rPr>
          <w:rStyle w:val="23"/>
          <w:rFonts w:ascii="仿宋" w:hAnsi="仿宋" w:eastAsia="仿宋"/>
          <w:bCs/>
          <w:color w:val="000000"/>
          <w:sz w:val="32"/>
          <w:szCs w:val="32"/>
        </w:rPr>
        <w:t>5.</w:t>
      </w:r>
      <w:r>
        <w:rPr>
          <w:rStyle w:val="23"/>
          <w:rFonts w:hint="eastAsia" w:ascii="仿宋" w:hAnsi="仿宋" w:eastAsia="仿宋"/>
          <w:bCs/>
          <w:color w:val="000000"/>
          <w:sz w:val="32"/>
          <w:szCs w:val="32"/>
        </w:rPr>
        <w:t>社会保障和就业</w:t>
      </w:r>
      <w:r>
        <w:rPr>
          <w:rStyle w:val="23"/>
          <w:rFonts w:hint="eastAsia" w:ascii="仿宋" w:hAnsi="仿宋" w:eastAsia="仿宋"/>
          <w:bCs/>
          <w:color w:val="000000"/>
          <w:sz w:val="32"/>
          <w:szCs w:val="32"/>
          <w:lang w:eastAsia="zh-CN"/>
        </w:rPr>
        <w:t>支出</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75.63</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numPr>
          <w:ilvl w:val="0"/>
          <w:numId w:val="0"/>
        </w:numPr>
        <w:spacing w:line="600" w:lineRule="exact"/>
        <w:ind w:firstLine="640"/>
        <w:rPr>
          <w:rStyle w:val="23"/>
          <w:rFonts w:hint="eastAsia" w:ascii="仿宋" w:hAnsi="仿宋" w:eastAsia="仿宋"/>
          <w:b w:val="0"/>
          <w:bCs/>
          <w:color w:val="auto"/>
          <w:sz w:val="32"/>
          <w:szCs w:val="32"/>
          <w:lang w:val="en-US" w:eastAsia="zh-CN"/>
        </w:rPr>
      </w:pPr>
      <w:r>
        <w:rPr>
          <w:rStyle w:val="23"/>
          <w:rFonts w:hint="eastAsia" w:ascii="仿宋" w:hAnsi="仿宋" w:eastAsia="仿宋"/>
          <w:b w:val="0"/>
          <w:bCs/>
          <w:color w:val="auto"/>
          <w:sz w:val="32"/>
          <w:szCs w:val="32"/>
          <w:lang w:val="en-US" w:eastAsia="zh-CN"/>
        </w:rPr>
        <w:t>208社会保障和就业支出75.63万元</w:t>
      </w:r>
    </w:p>
    <w:p>
      <w:pPr>
        <w:numPr>
          <w:ilvl w:val="0"/>
          <w:numId w:val="0"/>
        </w:numPr>
        <w:spacing w:line="600" w:lineRule="exact"/>
        <w:ind w:firstLine="640"/>
        <w:rPr>
          <w:rStyle w:val="23"/>
          <w:rFonts w:hint="eastAsia" w:ascii="仿宋" w:hAnsi="仿宋" w:eastAsia="仿宋"/>
          <w:b w:val="0"/>
          <w:bCs/>
          <w:color w:val="auto"/>
          <w:sz w:val="32"/>
          <w:szCs w:val="32"/>
          <w:lang w:val="en-US" w:eastAsia="zh-CN"/>
        </w:rPr>
      </w:pPr>
      <w:r>
        <w:rPr>
          <w:rStyle w:val="23"/>
          <w:rFonts w:hint="eastAsia" w:ascii="仿宋" w:hAnsi="仿宋" w:eastAsia="仿宋"/>
          <w:b w:val="0"/>
          <w:bCs/>
          <w:color w:val="auto"/>
          <w:sz w:val="32"/>
          <w:szCs w:val="32"/>
          <w:lang w:val="en-US" w:eastAsia="zh-CN"/>
        </w:rPr>
        <w:t>20805行政事业单位离退休75.63万元</w:t>
      </w:r>
    </w:p>
    <w:p>
      <w:pPr>
        <w:numPr>
          <w:ilvl w:val="0"/>
          <w:numId w:val="0"/>
        </w:numPr>
        <w:spacing w:line="600" w:lineRule="exact"/>
        <w:ind w:firstLine="640"/>
        <w:rPr>
          <w:rStyle w:val="23"/>
          <w:rFonts w:hint="eastAsia" w:ascii="仿宋" w:hAnsi="仿宋" w:eastAsia="仿宋"/>
          <w:b w:val="0"/>
          <w:bCs/>
          <w:color w:val="auto"/>
          <w:sz w:val="32"/>
          <w:szCs w:val="32"/>
          <w:lang w:val="en-US" w:eastAsia="zh-CN"/>
        </w:rPr>
      </w:pPr>
      <w:r>
        <w:rPr>
          <w:rStyle w:val="23"/>
          <w:rFonts w:hint="eastAsia" w:ascii="仿宋" w:hAnsi="仿宋" w:eastAsia="仿宋"/>
          <w:b w:val="0"/>
          <w:bCs/>
          <w:color w:val="auto"/>
          <w:sz w:val="32"/>
          <w:szCs w:val="32"/>
          <w:lang w:val="en-US" w:eastAsia="zh-CN"/>
        </w:rPr>
        <w:t>2080505机构事业单位基本养老保险缴费支出50.42万元</w:t>
      </w:r>
    </w:p>
    <w:p>
      <w:pPr>
        <w:numPr>
          <w:ilvl w:val="0"/>
          <w:numId w:val="0"/>
        </w:numPr>
        <w:spacing w:line="600" w:lineRule="exact"/>
        <w:ind w:firstLine="640"/>
        <w:rPr>
          <w:rStyle w:val="23"/>
          <w:rFonts w:hint="eastAsia" w:ascii="仿宋" w:hAnsi="仿宋" w:eastAsia="仿宋"/>
          <w:b w:val="0"/>
          <w:bCs/>
          <w:color w:val="auto"/>
          <w:sz w:val="32"/>
          <w:szCs w:val="32"/>
          <w:lang w:val="en-US" w:eastAsia="zh-CN"/>
        </w:rPr>
      </w:pPr>
      <w:r>
        <w:rPr>
          <w:rStyle w:val="23"/>
          <w:rFonts w:hint="eastAsia" w:ascii="仿宋" w:hAnsi="仿宋" w:eastAsia="仿宋"/>
          <w:b w:val="0"/>
          <w:bCs/>
          <w:color w:val="auto"/>
          <w:sz w:val="32"/>
          <w:szCs w:val="32"/>
          <w:lang w:val="en-US" w:eastAsia="zh-CN"/>
        </w:rPr>
        <w:t>2080506机构事业单位职业年金缴费支出25.21万元</w:t>
      </w:r>
    </w:p>
    <w:p>
      <w:pPr>
        <w:pStyle w:val="2"/>
      </w:pPr>
    </w:p>
    <w:p>
      <w:pPr>
        <w:numPr>
          <w:ilvl w:val="0"/>
          <w:numId w:val="0"/>
        </w:numPr>
        <w:spacing w:line="600" w:lineRule="exact"/>
        <w:ind w:firstLine="643" w:firstLineChars="200"/>
        <w:rPr>
          <w:rStyle w:val="23"/>
          <w:rFonts w:hint="eastAsia" w:ascii="仿宋" w:hAnsi="仿宋" w:eastAsia="仿宋"/>
          <w:b w:val="0"/>
          <w:bCs/>
          <w:color w:val="auto"/>
          <w:sz w:val="32"/>
          <w:szCs w:val="32"/>
          <w:lang w:eastAsia="zh-CN"/>
        </w:rPr>
      </w:pPr>
      <w:r>
        <w:rPr>
          <w:rStyle w:val="23"/>
          <w:rFonts w:ascii="仿宋" w:hAnsi="仿宋" w:eastAsia="仿宋"/>
          <w:bCs/>
          <w:color w:val="000000"/>
          <w:sz w:val="32"/>
          <w:szCs w:val="32"/>
        </w:rPr>
        <w:t>6.</w:t>
      </w:r>
      <w:r>
        <w:rPr>
          <w:rStyle w:val="23"/>
          <w:rFonts w:hint="eastAsia" w:ascii="仿宋" w:hAnsi="仿宋" w:eastAsia="仿宋"/>
          <w:bCs/>
          <w:color w:val="auto"/>
          <w:sz w:val="32"/>
          <w:szCs w:val="32"/>
          <w:lang w:val="en-US" w:eastAsia="zh-CN"/>
        </w:rPr>
        <w:t>卫生健康类</w:t>
      </w:r>
      <w:r>
        <w:rPr>
          <w:rStyle w:val="23"/>
          <w:rFonts w:hint="eastAsia" w:ascii="仿宋" w:hAnsi="仿宋" w:eastAsia="仿宋"/>
          <w:bCs/>
          <w:color w:val="auto"/>
          <w:sz w:val="32"/>
          <w:szCs w:val="32"/>
          <w:lang w:eastAsia="zh-CN"/>
        </w:rPr>
        <w:t>支出</w:t>
      </w:r>
      <w:r>
        <w:rPr>
          <w:rStyle w:val="23"/>
          <w:rFonts w:ascii="仿宋" w:hAnsi="仿宋" w:eastAsia="仿宋"/>
          <w:bCs/>
          <w:color w:val="auto"/>
          <w:sz w:val="32"/>
          <w:szCs w:val="32"/>
        </w:rPr>
        <w:t>:</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37.76</w:t>
      </w:r>
      <w:r>
        <w:rPr>
          <w:rStyle w:val="23"/>
          <w:rFonts w:hint="eastAsia" w:ascii="仿宋" w:hAnsi="仿宋" w:eastAsia="仿宋"/>
          <w:b w:val="0"/>
          <w:bCs/>
          <w:color w:val="auto"/>
          <w:sz w:val="32"/>
          <w:szCs w:val="32"/>
        </w:rPr>
        <w:t>万元，完成预算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lang w:eastAsia="zh-CN"/>
        </w:rPr>
        <w:t>。</w:t>
      </w:r>
    </w:p>
    <w:p>
      <w:pPr>
        <w:numPr>
          <w:ilvl w:val="0"/>
          <w:numId w:val="0"/>
        </w:numPr>
        <w:spacing w:line="600" w:lineRule="exact"/>
        <w:ind w:leftChars="200" w:firstLine="320" w:firstLineChars="100"/>
        <w:rPr>
          <w:rStyle w:val="23"/>
          <w:rFonts w:hint="eastAsia" w:ascii="仿宋" w:hAnsi="仿宋" w:eastAsia="仿宋"/>
          <w:b w:val="0"/>
          <w:bCs w:val="0"/>
          <w:color w:val="auto"/>
          <w:sz w:val="32"/>
          <w:szCs w:val="32"/>
          <w:lang w:val="en-US" w:eastAsia="zh-CN"/>
        </w:rPr>
      </w:pPr>
      <w:r>
        <w:rPr>
          <w:rStyle w:val="23"/>
          <w:rFonts w:hint="eastAsia" w:ascii="仿宋" w:hAnsi="仿宋" w:eastAsia="仿宋"/>
          <w:b w:val="0"/>
          <w:bCs/>
          <w:color w:val="auto"/>
          <w:sz w:val="32"/>
          <w:szCs w:val="32"/>
          <w:lang w:val="en-US" w:eastAsia="zh-CN"/>
        </w:rPr>
        <w:t>210</w:t>
      </w:r>
      <w:r>
        <w:rPr>
          <w:rStyle w:val="23"/>
          <w:rFonts w:hint="eastAsia" w:ascii="仿宋" w:hAnsi="仿宋" w:eastAsia="仿宋"/>
          <w:b w:val="0"/>
          <w:bCs w:val="0"/>
          <w:color w:val="auto"/>
          <w:sz w:val="32"/>
          <w:szCs w:val="32"/>
        </w:rPr>
        <w:t>卫生</w:t>
      </w:r>
      <w:r>
        <w:rPr>
          <w:rStyle w:val="23"/>
          <w:rFonts w:hint="eastAsia" w:ascii="仿宋" w:hAnsi="仿宋" w:eastAsia="仿宋"/>
          <w:b w:val="0"/>
          <w:bCs w:val="0"/>
          <w:color w:val="auto"/>
          <w:sz w:val="32"/>
          <w:szCs w:val="32"/>
          <w:lang w:eastAsia="zh-CN"/>
        </w:rPr>
        <w:t>健康支出</w:t>
      </w:r>
      <w:r>
        <w:rPr>
          <w:rStyle w:val="23"/>
          <w:rFonts w:hint="eastAsia" w:ascii="仿宋" w:hAnsi="仿宋" w:eastAsia="仿宋"/>
          <w:b w:val="0"/>
          <w:bCs w:val="0"/>
          <w:color w:val="auto"/>
          <w:sz w:val="32"/>
          <w:szCs w:val="32"/>
          <w:lang w:val="en-US" w:eastAsia="zh-CN"/>
        </w:rPr>
        <w:t>37.76万元</w:t>
      </w:r>
    </w:p>
    <w:p>
      <w:pPr>
        <w:numPr>
          <w:ilvl w:val="0"/>
          <w:numId w:val="0"/>
        </w:numPr>
        <w:spacing w:line="600" w:lineRule="exact"/>
        <w:ind w:leftChars="200" w:firstLine="320" w:firstLineChars="100"/>
        <w:rPr>
          <w:rStyle w:val="23"/>
          <w:rFonts w:hint="eastAsia" w:ascii="仿宋" w:hAnsi="仿宋" w:eastAsia="仿宋"/>
          <w:b w:val="0"/>
          <w:bCs w:val="0"/>
          <w:color w:val="auto"/>
          <w:sz w:val="32"/>
          <w:szCs w:val="32"/>
          <w:lang w:val="en-US" w:eastAsia="zh-CN"/>
        </w:rPr>
      </w:pPr>
      <w:r>
        <w:rPr>
          <w:rStyle w:val="23"/>
          <w:rFonts w:hint="eastAsia" w:ascii="仿宋" w:hAnsi="仿宋" w:eastAsia="仿宋"/>
          <w:b w:val="0"/>
          <w:bCs w:val="0"/>
          <w:color w:val="auto"/>
          <w:sz w:val="32"/>
          <w:szCs w:val="32"/>
          <w:lang w:val="en-US" w:eastAsia="zh-CN"/>
        </w:rPr>
        <w:t>21011行政事业单位医疗37.76万元</w:t>
      </w:r>
    </w:p>
    <w:p>
      <w:pPr>
        <w:numPr>
          <w:ilvl w:val="0"/>
          <w:numId w:val="0"/>
        </w:numPr>
        <w:spacing w:line="600" w:lineRule="exact"/>
        <w:ind w:leftChars="200" w:firstLine="320" w:firstLineChars="100"/>
        <w:rPr>
          <w:rStyle w:val="23"/>
          <w:rFonts w:hint="eastAsia" w:ascii="仿宋" w:hAnsi="仿宋" w:eastAsia="仿宋"/>
          <w:b w:val="0"/>
          <w:bCs w:val="0"/>
          <w:color w:val="auto"/>
          <w:sz w:val="32"/>
          <w:szCs w:val="32"/>
          <w:lang w:val="en-US" w:eastAsia="zh-CN"/>
        </w:rPr>
      </w:pPr>
      <w:r>
        <w:rPr>
          <w:rStyle w:val="23"/>
          <w:rFonts w:hint="eastAsia" w:ascii="仿宋" w:hAnsi="仿宋" w:eastAsia="仿宋"/>
          <w:b w:val="0"/>
          <w:bCs w:val="0"/>
          <w:color w:val="auto"/>
          <w:sz w:val="32"/>
          <w:szCs w:val="32"/>
          <w:lang w:val="en-US" w:eastAsia="zh-CN"/>
        </w:rPr>
        <w:t>2101101行政单位医疗28.96万元</w:t>
      </w:r>
    </w:p>
    <w:p>
      <w:pPr>
        <w:numPr>
          <w:ilvl w:val="0"/>
          <w:numId w:val="0"/>
        </w:numPr>
        <w:spacing w:line="600" w:lineRule="exact"/>
        <w:ind w:leftChars="200" w:firstLine="320" w:firstLineChars="100"/>
        <w:rPr>
          <w:rStyle w:val="23"/>
          <w:rFonts w:hint="default" w:ascii="仿宋" w:hAnsi="仿宋" w:eastAsia="仿宋"/>
          <w:b w:val="0"/>
          <w:bCs w:val="0"/>
          <w:color w:val="auto"/>
          <w:sz w:val="32"/>
          <w:szCs w:val="32"/>
          <w:lang w:val="en-US" w:eastAsia="zh-CN"/>
        </w:rPr>
      </w:pPr>
      <w:r>
        <w:rPr>
          <w:rStyle w:val="23"/>
          <w:rFonts w:hint="eastAsia" w:ascii="仿宋" w:hAnsi="仿宋" w:eastAsia="仿宋"/>
          <w:b w:val="0"/>
          <w:bCs w:val="0"/>
          <w:color w:val="auto"/>
          <w:sz w:val="32"/>
          <w:szCs w:val="32"/>
          <w:lang w:val="en-US" w:eastAsia="zh-CN"/>
        </w:rPr>
        <w:t>2101102 事业单位医疗1.43万元</w:t>
      </w:r>
    </w:p>
    <w:p>
      <w:pPr>
        <w:numPr>
          <w:ilvl w:val="0"/>
          <w:numId w:val="0"/>
        </w:numPr>
        <w:spacing w:line="600" w:lineRule="exact"/>
        <w:ind w:leftChars="200" w:firstLine="320" w:firstLineChars="100"/>
        <w:rPr>
          <w:rStyle w:val="23"/>
          <w:rFonts w:hint="eastAsia" w:ascii="仿宋" w:hAnsi="仿宋" w:eastAsia="仿宋"/>
          <w:b w:val="0"/>
          <w:bCs w:val="0"/>
          <w:color w:val="auto"/>
          <w:sz w:val="32"/>
          <w:szCs w:val="32"/>
          <w:lang w:val="en-US" w:eastAsia="zh-CN"/>
        </w:rPr>
      </w:pPr>
      <w:r>
        <w:rPr>
          <w:rStyle w:val="23"/>
          <w:rFonts w:hint="eastAsia" w:ascii="仿宋" w:hAnsi="仿宋" w:eastAsia="仿宋"/>
          <w:b w:val="0"/>
          <w:bCs w:val="0"/>
          <w:color w:val="auto"/>
          <w:sz w:val="32"/>
          <w:szCs w:val="32"/>
          <w:lang w:val="en-US" w:eastAsia="zh-CN"/>
        </w:rPr>
        <w:t>2101103公务员医疗补助7万元</w:t>
      </w:r>
    </w:p>
    <w:p>
      <w:pPr>
        <w:spacing w:line="600" w:lineRule="exact"/>
        <w:ind w:firstLine="640" w:firstLineChars="200"/>
        <w:rPr>
          <w:rStyle w:val="23"/>
          <w:rFonts w:hint="eastAsia" w:ascii="仿宋" w:hAnsi="仿宋" w:eastAsia="仿宋"/>
          <w:b w:val="0"/>
          <w:bCs w:val="0"/>
          <w:color w:val="auto"/>
          <w:sz w:val="32"/>
          <w:szCs w:val="32"/>
          <w:lang w:val="en-US" w:eastAsia="zh-CN"/>
        </w:rPr>
      </w:pPr>
      <w:r>
        <w:rPr>
          <w:rStyle w:val="23"/>
          <w:rFonts w:hint="eastAsia" w:ascii="仿宋" w:hAnsi="仿宋" w:eastAsia="仿宋"/>
          <w:b w:val="0"/>
          <w:bCs w:val="0"/>
          <w:color w:val="auto"/>
          <w:sz w:val="32"/>
          <w:szCs w:val="32"/>
          <w:lang w:val="en-US" w:eastAsia="zh-CN"/>
        </w:rPr>
        <w:t>2101199其他行政事业单位医疗支出0.37万元</w:t>
      </w:r>
    </w:p>
    <w:p>
      <w:pPr>
        <w:spacing w:line="600" w:lineRule="exact"/>
        <w:ind w:firstLine="643" w:firstLineChars="200"/>
        <w:rPr>
          <w:rStyle w:val="23"/>
          <w:rFonts w:hint="eastAsia" w:ascii="仿宋" w:hAnsi="仿宋" w:eastAsia="仿宋"/>
          <w:b w:val="0"/>
          <w:bCs/>
          <w:color w:val="auto"/>
          <w:sz w:val="32"/>
          <w:szCs w:val="32"/>
          <w:lang w:eastAsia="zh-CN"/>
        </w:rPr>
      </w:pPr>
      <w:r>
        <w:rPr>
          <w:rFonts w:hint="eastAsia" w:ascii="仿宋" w:hAnsi="仿宋" w:eastAsia="仿宋"/>
          <w:b/>
          <w:bCs/>
          <w:color w:val="auto"/>
          <w:sz w:val="32"/>
          <w:szCs w:val="32"/>
          <w:lang w:val="en-US" w:eastAsia="zh-CN"/>
        </w:rPr>
        <w:t>7、</w:t>
      </w:r>
      <w:r>
        <w:rPr>
          <w:rFonts w:hint="eastAsia" w:ascii="仿宋" w:hAnsi="仿宋" w:eastAsia="仿宋"/>
          <w:b/>
          <w:bCs/>
          <w:color w:val="auto"/>
          <w:sz w:val="32"/>
          <w:szCs w:val="32"/>
        </w:rPr>
        <w:t>住房保障支出</w:t>
      </w:r>
      <w:r>
        <w:rPr>
          <w:rFonts w:hint="eastAsia" w:ascii="仿宋" w:hAnsi="仿宋" w:eastAsia="仿宋"/>
          <w:color w:val="auto"/>
          <w:sz w:val="32"/>
          <w:szCs w:val="32"/>
          <w:lang w:val="en-US" w:eastAsia="zh-CN"/>
        </w:rPr>
        <w:t>53.13</w:t>
      </w:r>
      <w:r>
        <w:rPr>
          <w:rFonts w:hint="eastAsia" w:ascii="仿宋" w:hAnsi="仿宋" w:eastAsia="仿宋"/>
          <w:color w:val="auto"/>
          <w:sz w:val="32"/>
          <w:szCs w:val="32"/>
        </w:rPr>
        <w:t>万元，</w:t>
      </w:r>
      <w:r>
        <w:rPr>
          <w:rStyle w:val="23"/>
          <w:rFonts w:hint="eastAsia" w:ascii="仿宋" w:hAnsi="仿宋" w:eastAsia="仿宋"/>
          <w:b w:val="0"/>
          <w:bCs/>
          <w:color w:val="auto"/>
          <w:sz w:val="32"/>
          <w:szCs w:val="32"/>
        </w:rPr>
        <w:t>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lang w:eastAsia="zh-CN"/>
        </w:rPr>
        <w:t>。</w:t>
      </w:r>
    </w:p>
    <w:p>
      <w:pPr>
        <w:spacing w:line="600" w:lineRule="exact"/>
        <w:ind w:firstLine="640" w:firstLineChars="200"/>
        <w:rPr>
          <w:rFonts w:hint="eastAsia" w:ascii="仿宋" w:hAnsi="仿宋" w:eastAsia="仿宋"/>
          <w:b w:val="0"/>
          <w:bCs w:val="0"/>
          <w:color w:val="auto"/>
          <w:sz w:val="32"/>
          <w:szCs w:val="32"/>
          <w:lang w:val="en-US" w:eastAsia="zh-CN"/>
        </w:rPr>
      </w:pPr>
      <w:r>
        <w:rPr>
          <w:rStyle w:val="23"/>
          <w:rFonts w:hint="eastAsia" w:ascii="仿宋" w:hAnsi="仿宋" w:eastAsia="仿宋"/>
          <w:b w:val="0"/>
          <w:bCs/>
          <w:color w:val="auto"/>
          <w:sz w:val="32"/>
          <w:szCs w:val="32"/>
          <w:lang w:val="en-US" w:eastAsia="zh-CN"/>
        </w:rPr>
        <w:t>221</w:t>
      </w:r>
      <w:r>
        <w:rPr>
          <w:rFonts w:hint="eastAsia" w:ascii="仿宋" w:hAnsi="仿宋" w:eastAsia="仿宋"/>
          <w:b w:val="0"/>
          <w:bCs w:val="0"/>
          <w:color w:val="auto"/>
          <w:sz w:val="32"/>
          <w:szCs w:val="32"/>
        </w:rPr>
        <w:t>住房保障支出</w:t>
      </w:r>
      <w:r>
        <w:rPr>
          <w:rFonts w:hint="eastAsia" w:ascii="仿宋" w:hAnsi="仿宋" w:eastAsia="仿宋"/>
          <w:b w:val="0"/>
          <w:bCs w:val="0"/>
          <w:color w:val="auto"/>
          <w:sz w:val="32"/>
          <w:szCs w:val="32"/>
          <w:lang w:val="en-US" w:eastAsia="zh-CN"/>
        </w:rPr>
        <w:t>53.13万元</w:t>
      </w:r>
    </w:p>
    <w:p>
      <w:pPr>
        <w:spacing w:line="600" w:lineRule="exact"/>
        <w:ind w:firstLine="640" w:firstLineChars="200"/>
        <w:rPr>
          <w:rFonts w:hint="eastAsia" w:ascii="仿宋" w:hAnsi="仿宋" w:eastAsia="仿宋"/>
          <w:b w:val="0"/>
          <w:bCs w:val="0"/>
          <w:color w:val="auto"/>
          <w:sz w:val="32"/>
          <w:szCs w:val="32"/>
          <w:lang w:val="en-US" w:eastAsia="zh-CN"/>
        </w:rPr>
      </w:pPr>
      <w:r>
        <w:rPr>
          <w:rFonts w:hint="eastAsia" w:ascii="仿宋" w:hAnsi="仿宋" w:eastAsia="仿宋"/>
          <w:b w:val="0"/>
          <w:bCs w:val="0"/>
          <w:color w:val="auto"/>
          <w:sz w:val="32"/>
          <w:szCs w:val="32"/>
          <w:lang w:val="en-US" w:eastAsia="zh-CN"/>
        </w:rPr>
        <w:t>22102住房改革支出53.13万元</w:t>
      </w:r>
    </w:p>
    <w:p>
      <w:pPr>
        <w:spacing w:line="600" w:lineRule="exact"/>
        <w:ind w:firstLine="640" w:firstLineChars="200"/>
        <w:rPr>
          <w:rFonts w:hint="default" w:ascii="仿宋" w:hAnsi="仿宋" w:eastAsia="仿宋"/>
          <w:b w:val="0"/>
          <w:bCs w:val="0"/>
          <w:color w:val="auto"/>
          <w:sz w:val="32"/>
          <w:szCs w:val="32"/>
          <w:lang w:val="en-US" w:eastAsia="zh-CN"/>
        </w:rPr>
      </w:pPr>
      <w:r>
        <w:rPr>
          <w:rFonts w:hint="eastAsia" w:ascii="仿宋" w:hAnsi="仿宋" w:eastAsia="仿宋"/>
          <w:b w:val="0"/>
          <w:bCs w:val="0"/>
          <w:color w:val="auto"/>
          <w:sz w:val="32"/>
          <w:szCs w:val="32"/>
          <w:lang w:val="en-US" w:eastAsia="zh-CN"/>
        </w:rPr>
        <w:t>2210201住房公积金支出53.13万元</w:t>
      </w:r>
    </w:p>
    <w:p>
      <w:pPr>
        <w:pStyle w:val="2"/>
      </w:pP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6"/>
        </w:rPr>
      </w:pPr>
      <w:bookmarkStart w:id="68" w:name="_Toc79163868"/>
      <w:bookmarkStart w:id="69" w:name="_Toc79163618"/>
      <w:bookmarkStart w:id="70" w:name="_Toc15377214"/>
      <w:bookmarkStart w:id="7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68"/>
      <w:bookmarkEnd w:id="69"/>
      <w:bookmarkEnd w:id="70"/>
      <w:bookmarkEnd w:id="7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709.3</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auto"/>
          <w:sz w:val="32"/>
          <w:szCs w:val="32"/>
          <w:lang w:eastAsia="zh-CN"/>
        </w:rPr>
      </w:pPr>
      <w:r>
        <w:rPr>
          <w:rFonts w:hint="eastAsia" w:ascii="仿宋" w:hAnsi="仿宋" w:eastAsia="仿宋"/>
          <w:color w:val="auto"/>
          <w:sz w:val="32"/>
          <w:szCs w:val="32"/>
        </w:rPr>
        <w:t>人员经费</w:t>
      </w:r>
      <w:r>
        <w:rPr>
          <w:rFonts w:hint="eastAsia" w:ascii="仿宋" w:hAnsi="仿宋" w:eastAsia="仿宋"/>
          <w:color w:val="auto"/>
          <w:sz w:val="32"/>
          <w:szCs w:val="32"/>
          <w:lang w:val="en-US" w:eastAsia="zh-CN"/>
        </w:rPr>
        <w:t>639.16</w:t>
      </w:r>
      <w:r>
        <w:rPr>
          <w:rFonts w:hint="eastAsia" w:ascii="仿宋" w:hAnsi="仿宋" w:eastAsia="仿宋"/>
          <w:color w:val="auto"/>
          <w:sz w:val="32"/>
          <w:szCs w:val="32"/>
        </w:rPr>
        <w:t>万元，主要包括：基本工资</w:t>
      </w:r>
      <w:r>
        <w:rPr>
          <w:rFonts w:hint="eastAsia" w:ascii="仿宋" w:hAnsi="仿宋" w:eastAsia="仿宋"/>
          <w:color w:val="auto"/>
          <w:sz w:val="32"/>
          <w:szCs w:val="32"/>
          <w:lang w:val="en-US" w:eastAsia="zh-CN"/>
        </w:rPr>
        <w:t>117.97万元</w:t>
      </w:r>
      <w:r>
        <w:rPr>
          <w:rFonts w:hint="eastAsia" w:ascii="仿宋" w:hAnsi="仿宋" w:eastAsia="仿宋"/>
          <w:color w:val="auto"/>
          <w:sz w:val="32"/>
          <w:szCs w:val="32"/>
        </w:rPr>
        <w:t>、津贴补贴</w:t>
      </w:r>
      <w:r>
        <w:rPr>
          <w:rFonts w:hint="eastAsia" w:ascii="仿宋" w:hAnsi="仿宋" w:eastAsia="仿宋"/>
          <w:color w:val="auto"/>
          <w:sz w:val="32"/>
          <w:szCs w:val="32"/>
          <w:lang w:val="en-US" w:eastAsia="zh-CN"/>
        </w:rPr>
        <w:t>329.26万元</w:t>
      </w:r>
      <w:r>
        <w:rPr>
          <w:rFonts w:hint="eastAsia" w:ascii="仿宋" w:hAnsi="仿宋" w:eastAsia="仿宋"/>
          <w:color w:val="auto"/>
          <w:sz w:val="32"/>
          <w:szCs w:val="32"/>
        </w:rPr>
        <w:t>、奖金</w:t>
      </w:r>
      <w:r>
        <w:rPr>
          <w:rFonts w:hint="eastAsia" w:ascii="仿宋" w:hAnsi="仿宋" w:eastAsia="仿宋"/>
          <w:color w:val="auto"/>
          <w:sz w:val="32"/>
          <w:szCs w:val="32"/>
          <w:lang w:val="en-US" w:eastAsia="zh-CN"/>
        </w:rPr>
        <w:t>9.76万元</w:t>
      </w:r>
      <w:r>
        <w:rPr>
          <w:rFonts w:hint="eastAsia" w:ascii="仿宋" w:hAnsi="仿宋" w:eastAsia="仿宋"/>
          <w:color w:val="auto"/>
          <w:sz w:val="32"/>
          <w:szCs w:val="32"/>
        </w:rPr>
        <w:t>、伙食补助费</w:t>
      </w:r>
      <w:r>
        <w:rPr>
          <w:rFonts w:hint="eastAsia" w:ascii="仿宋" w:hAnsi="仿宋" w:eastAsia="仿宋"/>
          <w:color w:val="auto"/>
          <w:sz w:val="32"/>
          <w:szCs w:val="32"/>
          <w:lang w:val="en-US" w:eastAsia="zh-CN"/>
        </w:rPr>
        <w:t>0元</w:t>
      </w:r>
      <w:r>
        <w:rPr>
          <w:rFonts w:hint="eastAsia" w:ascii="仿宋" w:hAnsi="仿宋" w:eastAsia="仿宋"/>
          <w:color w:val="auto"/>
          <w:sz w:val="32"/>
          <w:szCs w:val="32"/>
        </w:rPr>
        <w:t>、绩效工资</w:t>
      </w:r>
      <w:r>
        <w:rPr>
          <w:rFonts w:hint="eastAsia" w:ascii="仿宋" w:hAnsi="仿宋" w:eastAsia="仿宋"/>
          <w:color w:val="auto"/>
          <w:sz w:val="32"/>
          <w:szCs w:val="32"/>
          <w:lang w:val="en-US" w:eastAsia="zh-CN"/>
        </w:rPr>
        <w:t>1.97万元</w:t>
      </w:r>
      <w:r>
        <w:rPr>
          <w:rFonts w:hint="eastAsia" w:ascii="仿宋" w:hAnsi="仿宋" w:eastAsia="仿宋"/>
          <w:color w:val="auto"/>
          <w:sz w:val="32"/>
          <w:szCs w:val="32"/>
        </w:rPr>
        <w:t>、机关事业单位基本养老保险缴费</w:t>
      </w:r>
      <w:r>
        <w:rPr>
          <w:rFonts w:hint="eastAsia" w:ascii="仿宋" w:hAnsi="仿宋" w:eastAsia="仿宋"/>
          <w:color w:val="auto"/>
          <w:sz w:val="32"/>
          <w:szCs w:val="32"/>
          <w:lang w:val="en-US" w:eastAsia="zh-CN"/>
        </w:rPr>
        <w:t>50.42万元</w:t>
      </w:r>
      <w:r>
        <w:rPr>
          <w:rFonts w:hint="eastAsia" w:ascii="仿宋" w:hAnsi="仿宋" w:eastAsia="仿宋"/>
          <w:color w:val="auto"/>
          <w:sz w:val="32"/>
          <w:szCs w:val="32"/>
        </w:rPr>
        <w:t>、职业年金缴费</w:t>
      </w:r>
      <w:r>
        <w:rPr>
          <w:rFonts w:hint="eastAsia" w:ascii="仿宋" w:hAnsi="仿宋" w:eastAsia="仿宋"/>
          <w:color w:val="auto"/>
          <w:sz w:val="32"/>
          <w:szCs w:val="32"/>
          <w:lang w:val="en-US" w:eastAsia="zh-CN"/>
        </w:rPr>
        <w:t>25.21万元</w:t>
      </w:r>
      <w:r>
        <w:rPr>
          <w:rFonts w:hint="eastAsia" w:ascii="仿宋" w:hAnsi="仿宋" w:eastAsia="仿宋"/>
          <w:color w:val="auto"/>
          <w:sz w:val="32"/>
          <w:szCs w:val="32"/>
        </w:rPr>
        <w:t>、</w:t>
      </w:r>
      <w:r>
        <w:rPr>
          <w:rFonts w:hint="eastAsia" w:ascii="仿宋" w:hAnsi="仿宋" w:eastAsia="仿宋"/>
          <w:color w:val="auto"/>
          <w:sz w:val="32"/>
          <w:szCs w:val="32"/>
          <w:lang w:eastAsia="zh-CN"/>
        </w:rPr>
        <w:t>医疗保险</w:t>
      </w:r>
      <w:r>
        <w:rPr>
          <w:rFonts w:hint="eastAsia" w:ascii="仿宋" w:hAnsi="仿宋" w:eastAsia="仿宋"/>
          <w:color w:val="auto"/>
          <w:sz w:val="32"/>
          <w:szCs w:val="32"/>
          <w:lang w:val="en-US" w:eastAsia="zh-CN"/>
        </w:rPr>
        <w:t>30.39万元、公务员医疗补助7.37万元、</w:t>
      </w:r>
      <w:r>
        <w:rPr>
          <w:rFonts w:hint="eastAsia" w:ascii="仿宋" w:hAnsi="仿宋" w:eastAsia="仿宋"/>
          <w:color w:val="auto"/>
          <w:sz w:val="32"/>
          <w:szCs w:val="32"/>
        </w:rPr>
        <w:t>其他社会保障缴费</w:t>
      </w:r>
      <w:r>
        <w:rPr>
          <w:rFonts w:hint="eastAsia" w:ascii="仿宋" w:hAnsi="仿宋" w:eastAsia="仿宋"/>
          <w:color w:val="auto"/>
          <w:sz w:val="32"/>
          <w:szCs w:val="32"/>
          <w:lang w:val="en-US" w:eastAsia="zh-CN"/>
        </w:rPr>
        <w:t>7.06万元</w:t>
      </w:r>
      <w:r>
        <w:rPr>
          <w:rFonts w:hint="eastAsia" w:ascii="仿宋" w:hAnsi="仿宋" w:eastAsia="仿宋"/>
          <w:color w:val="auto"/>
          <w:sz w:val="32"/>
          <w:szCs w:val="32"/>
        </w:rPr>
        <w:t>、其他工资福利支出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、离休费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、退休费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、抚恤金</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、生活补助</w:t>
      </w:r>
      <w:r>
        <w:rPr>
          <w:rFonts w:hint="eastAsia" w:ascii="仿宋" w:hAnsi="仿宋" w:eastAsia="仿宋"/>
          <w:color w:val="auto"/>
          <w:sz w:val="32"/>
          <w:szCs w:val="32"/>
          <w:lang w:val="en-US" w:eastAsia="zh-CN"/>
        </w:rPr>
        <w:t>2.7万元</w:t>
      </w:r>
      <w:r>
        <w:rPr>
          <w:rFonts w:hint="eastAsia" w:ascii="仿宋" w:hAnsi="仿宋" w:eastAsia="仿宋"/>
          <w:color w:val="auto"/>
          <w:sz w:val="32"/>
          <w:szCs w:val="32"/>
        </w:rPr>
        <w:t>、医疗费</w:t>
      </w:r>
      <w:r>
        <w:rPr>
          <w:rFonts w:hint="eastAsia" w:ascii="仿宋" w:hAnsi="仿宋" w:eastAsia="仿宋"/>
          <w:color w:val="auto"/>
          <w:sz w:val="32"/>
          <w:szCs w:val="32"/>
          <w:lang w:val="en-US" w:eastAsia="zh-CN"/>
        </w:rPr>
        <w:t>3.9万元</w:t>
      </w:r>
      <w:r>
        <w:rPr>
          <w:rFonts w:hint="eastAsia" w:ascii="仿宋" w:hAnsi="仿宋" w:eastAsia="仿宋"/>
          <w:color w:val="auto"/>
          <w:sz w:val="32"/>
          <w:szCs w:val="32"/>
        </w:rPr>
        <w:t>、奖励金</w:t>
      </w:r>
      <w:r>
        <w:rPr>
          <w:rFonts w:hint="eastAsia" w:ascii="仿宋" w:hAnsi="仿宋" w:eastAsia="仿宋"/>
          <w:color w:val="auto"/>
          <w:sz w:val="32"/>
          <w:szCs w:val="32"/>
          <w:lang w:val="en-US" w:eastAsia="zh-CN"/>
        </w:rPr>
        <w:t>0.02万元</w:t>
      </w:r>
      <w:r>
        <w:rPr>
          <w:rFonts w:hint="eastAsia" w:ascii="仿宋" w:hAnsi="仿宋" w:eastAsia="仿宋"/>
          <w:color w:val="auto"/>
          <w:sz w:val="32"/>
          <w:szCs w:val="32"/>
        </w:rPr>
        <w:t>、住房公积金</w:t>
      </w:r>
      <w:r>
        <w:rPr>
          <w:rFonts w:hint="eastAsia" w:ascii="仿宋" w:hAnsi="仿宋" w:eastAsia="仿宋"/>
          <w:color w:val="auto"/>
          <w:sz w:val="32"/>
          <w:szCs w:val="32"/>
          <w:lang w:val="en-US" w:eastAsia="zh-CN"/>
        </w:rPr>
        <w:t>53.13万元</w:t>
      </w:r>
      <w:r>
        <w:rPr>
          <w:rFonts w:hint="eastAsia" w:ascii="仿宋" w:hAnsi="仿宋" w:eastAsia="仿宋"/>
          <w:color w:val="auto"/>
          <w:sz w:val="32"/>
          <w:szCs w:val="32"/>
        </w:rPr>
        <w:t>、</w:t>
      </w:r>
      <w:r>
        <w:rPr>
          <w:rFonts w:hint="eastAsia" w:ascii="仿宋" w:hAnsi="仿宋" w:eastAsia="仿宋"/>
          <w:color w:val="auto"/>
          <w:sz w:val="32"/>
          <w:szCs w:val="32"/>
          <w:lang w:eastAsia="zh-CN"/>
        </w:rPr>
        <w:t>其他</w:t>
      </w:r>
      <w:r>
        <w:rPr>
          <w:rFonts w:hint="eastAsia" w:ascii="仿宋" w:hAnsi="仿宋" w:eastAsia="仿宋"/>
          <w:color w:val="auto"/>
          <w:sz w:val="32"/>
          <w:szCs w:val="32"/>
        </w:rPr>
        <w:t>对个人和家庭的补助支出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等。</w:t>
      </w:r>
    </w:p>
    <w:p>
      <w:pPr>
        <w:spacing w:line="600" w:lineRule="exact"/>
        <w:ind w:firstLine="645"/>
        <w:rPr>
          <w:rFonts w:ascii="仿宋" w:hAnsi="仿宋" w:eastAsia="仿宋"/>
          <w:color w:val="auto"/>
          <w:sz w:val="32"/>
          <w:szCs w:val="32"/>
        </w:rPr>
      </w:pPr>
      <w:r>
        <w:rPr>
          <w:rFonts w:hint="eastAsia" w:ascii="仿宋" w:hAnsi="仿宋" w:eastAsia="仿宋"/>
          <w:color w:val="auto"/>
          <w:sz w:val="32"/>
          <w:szCs w:val="32"/>
        </w:rPr>
        <w:t>　　公用经费</w:t>
      </w:r>
      <w:r>
        <w:rPr>
          <w:rFonts w:hint="eastAsia" w:ascii="仿宋" w:hAnsi="仿宋" w:eastAsia="仿宋"/>
          <w:color w:val="auto"/>
          <w:sz w:val="32"/>
          <w:szCs w:val="32"/>
          <w:lang w:val="en-US" w:eastAsia="zh-CN"/>
        </w:rPr>
        <w:t>70.14</w:t>
      </w:r>
      <w:r>
        <w:rPr>
          <w:rFonts w:hint="eastAsia" w:ascii="仿宋" w:hAnsi="仿宋" w:eastAsia="仿宋"/>
          <w:color w:val="auto"/>
          <w:sz w:val="32"/>
          <w:szCs w:val="32"/>
        </w:rPr>
        <w:t>万元，主要包括：办公费</w:t>
      </w:r>
      <w:r>
        <w:rPr>
          <w:rFonts w:hint="eastAsia" w:ascii="仿宋" w:hAnsi="仿宋" w:eastAsia="仿宋"/>
          <w:color w:val="auto"/>
          <w:sz w:val="32"/>
          <w:szCs w:val="32"/>
          <w:lang w:val="en-US" w:eastAsia="zh-CN"/>
        </w:rPr>
        <w:t>21.54万元</w:t>
      </w:r>
      <w:r>
        <w:rPr>
          <w:rFonts w:hint="eastAsia" w:ascii="仿宋" w:hAnsi="仿宋" w:eastAsia="仿宋"/>
          <w:color w:val="auto"/>
          <w:sz w:val="32"/>
          <w:szCs w:val="32"/>
        </w:rPr>
        <w:t>、印刷费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、咨询费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、手续费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、水费</w:t>
      </w:r>
      <w:r>
        <w:rPr>
          <w:rFonts w:hint="eastAsia" w:ascii="仿宋" w:hAnsi="仿宋" w:eastAsia="仿宋"/>
          <w:color w:val="auto"/>
          <w:sz w:val="32"/>
          <w:szCs w:val="32"/>
          <w:lang w:val="en-US" w:eastAsia="zh-CN"/>
        </w:rPr>
        <w:t>0.36万元</w:t>
      </w:r>
      <w:r>
        <w:rPr>
          <w:rFonts w:hint="eastAsia" w:ascii="仿宋" w:hAnsi="仿宋" w:eastAsia="仿宋"/>
          <w:color w:val="auto"/>
          <w:sz w:val="32"/>
          <w:szCs w:val="32"/>
        </w:rPr>
        <w:t>、电费</w:t>
      </w:r>
      <w:r>
        <w:rPr>
          <w:rFonts w:hint="eastAsia" w:ascii="仿宋" w:hAnsi="仿宋" w:eastAsia="仿宋"/>
          <w:color w:val="auto"/>
          <w:sz w:val="32"/>
          <w:szCs w:val="32"/>
          <w:lang w:val="en-US" w:eastAsia="zh-CN"/>
        </w:rPr>
        <w:t>3.69万元</w:t>
      </w:r>
      <w:r>
        <w:rPr>
          <w:rFonts w:hint="eastAsia" w:ascii="仿宋" w:hAnsi="仿宋" w:eastAsia="仿宋"/>
          <w:color w:val="auto"/>
          <w:sz w:val="32"/>
          <w:szCs w:val="32"/>
        </w:rPr>
        <w:t>、邮电费</w:t>
      </w:r>
      <w:r>
        <w:rPr>
          <w:rFonts w:hint="eastAsia" w:ascii="仿宋" w:hAnsi="仿宋" w:eastAsia="仿宋"/>
          <w:color w:val="auto"/>
          <w:sz w:val="32"/>
          <w:szCs w:val="32"/>
          <w:lang w:val="en-US" w:eastAsia="zh-CN"/>
        </w:rPr>
        <w:t>10.52万元</w:t>
      </w:r>
      <w:r>
        <w:rPr>
          <w:rFonts w:hint="eastAsia" w:ascii="仿宋" w:hAnsi="仿宋" w:eastAsia="仿宋"/>
          <w:color w:val="auto"/>
          <w:sz w:val="32"/>
          <w:szCs w:val="32"/>
        </w:rPr>
        <w:t>、取暖费</w:t>
      </w:r>
      <w:r>
        <w:rPr>
          <w:rFonts w:hint="eastAsia" w:ascii="仿宋" w:hAnsi="仿宋" w:eastAsia="仿宋"/>
          <w:color w:val="auto"/>
          <w:sz w:val="32"/>
          <w:szCs w:val="32"/>
          <w:lang w:val="en-US" w:eastAsia="zh-CN"/>
        </w:rPr>
        <w:t>2.03万元</w:t>
      </w:r>
      <w:r>
        <w:rPr>
          <w:rFonts w:hint="eastAsia" w:ascii="仿宋" w:hAnsi="仿宋" w:eastAsia="仿宋"/>
          <w:color w:val="auto"/>
          <w:sz w:val="32"/>
          <w:szCs w:val="32"/>
        </w:rPr>
        <w:t>、物业管理费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、差旅费</w:t>
      </w:r>
      <w:r>
        <w:rPr>
          <w:rFonts w:hint="eastAsia" w:ascii="仿宋" w:hAnsi="仿宋" w:eastAsia="仿宋"/>
          <w:color w:val="auto"/>
          <w:sz w:val="32"/>
          <w:szCs w:val="32"/>
          <w:lang w:val="en-US" w:eastAsia="zh-CN"/>
        </w:rPr>
        <w:t>7.09万元</w:t>
      </w:r>
      <w:r>
        <w:rPr>
          <w:rFonts w:hint="eastAsia" w:ascii="仿宋" w:hAnsi="仿宋" w:eastAsia="仿宋"/>
          <w:color w:val="auto"/>
          <w:sz w:val="32"/>
          <w:szCs w:val="32"/>
        </w:rPr>
        <w:t>、因公出国（境）费用</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、维修（护）费</w:t>
      </w:r>
      <w:r>
        <w:rPr>
          <w:rFonts w:hint="eastAsia" w:ascii="仿宋" w:hAnsi="仿宋" w:eastAsia="仿宋"/>
          <w:color w:val="auto"/>
          <w:sz w:val="32"/>
          <w:szCs w:val="32"/>
          <w:lang w:val="en-US" w:eastAsia="zh-CN"/>
        </w:rPr>
        <w:t>3.6万元</w:t>
      </w:r>
      <w:r>
        <w:rPr>
          <w:rFonts w:hint="eastAsia" w:ascii="仿宋" w:hAnsi="仿宋" w:eastAsia="仿宋"/>
          <w:color w:val="auto"/>
          <w:sz w:val="32"/>
          <w:szCs w:val="32"/>
        </w:rPr>
        <w:t>、租赁费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、会议费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、培训费</w:t>
      </w:r>
      <w:r>
        <w:rPr>
          <w:rFonts w:hint="eastAsia" w:ascii="仿宋" w:hAnsi="仿宋" w:eastAsia="仿宋"/>
          <w:color w:val="auto"/>
          <w:sz w:val="32"/>
          <w:szCs w:val="32"/>
          <w:lang w:val="en-US" w:eastAsia="zh-CN"/>
        </w:rPr>
        <w:t>0.58万元</w:t>
      </w:r>
      <w:r>
        <w:rPr>
          <w:rFonts w:hint="eastAsia" w:ascii="仿宋" w:hAnsi="仿宋" w:eastAsia="仿宋"/>
          <w:color w:val="auto"/>
          <w:sz w:val="32"/>
          <w:szCs w:val="32"/>
        </w:rPr>
        <w:t>、公务接待费</w:t>
      </w:r>
      <w:r>
        <w:rPr>
          <w:rFonts w:hint="eastAsia" w:ascii="仿宋" w:hAnsi="仿宋" w:eastAsia="仿宋"/>
          <w:color w:val="auto"/>
          <w:sz w:val="32"/>
          <w:szCs w:val="32"/>
          <w:lang w:val="en-US" w:eastAsia="zh-CN"/>
        </w:rPr>
        <w:t>1.2万元</w:t>
      </w:r>
      <w:r>
        <w:rPr>
          <w:rFonts w:hint="eastAsia" w:ascii="仿宋" w:hAnsi="仿宋" w:eastAsia="仿宋"/>
          <w:color w:val="auto"/>
          <w:sz w:val="32"/>
          <w:szCs w:val="32"/>
        </w:rPr>
        <w:t>、劳务费</w:t>
      </w:r>
      <w:r>
        <w:rPr>
          <w:rFonts w:hint="eastAsia" w:ascii="仿宋" w:hAnsi="仿宋" w:eastAsia="仿宋"/>
          <w:color w:val="auto"/>
          <w:sz w:val="32"/>
          <w:szCs w:val="32"/>
          <w:lang w:val="en-US" w:eastAsia="zh-CN"/>
        </w:rPr>
        <w:t>1.86万元</w:t>
      </w:r>
      <w:r>
        <w:rPr>
          <w:rFonts w:hint="eastAsia" w:ascii="仿宋" w:hAnsi="仿宋" w:eastAsia="仿宋"/>
          <w:color w:val="auto"/>
          <w:sz w:val="32"/>
          <w:szCs w:val="32"/>
        </w:rPr>
        <w:t>、委托业务费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、工会经费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、福利费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、公务用车运行维护费</w:t>
      </w:r>
      <w:r>
        <w:rPr>
          <w:rFonts w:hint="eastAsia" w:ascii="仿宋" w:hAnsi="仿宋" w:eastAsia="仿宋"/>
          <w:color w:val="auto"/>
          <w:sz w:val="32"/>
          <w:szCs w:val="32"/>
          <w:lang w:val="en-US" w:eastAsia="zh-CN"/>
        </w:rPr>
        <w:t>16.59万元</w:t>
      </w:r>
      <w:r>
        <w:rPr>
          <w:rFonts w:hint="eastAsia" w:ascii="仿宋" w:hAnsi="仿宋" w:eastAsia="仿宋"/>
          <w:color w:val="auto"/>
          <w:sz w:val="32"/>
          <w:szCs w:val="32"/>
        </w:rPr>
        <w:t>、其他交通费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、税金及附加费用</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、其他商品和服务支出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、办公设备购置</w:t>
      </w:r>
      <w:r>
        <w:rPr>
          <w:rFonts w:hint="eastAsia" w:ascii="仿宋" w:hAnsi="仿宋" w:eastAsia="仿宋"/>
          <w:color w:val="auto"/>
          <w:sz w:val="32"/>
          <w:szCs w:val="32"/>
          <w:lang w:val="en-US" w:eastAsia="zh-CN"/>
        </w:rPr>
        <w:t>1.08万元</w:t>
      </w:r>
      <w:r>
        <w:rPr>
          <w:rFonts w:hint="eastAsia" w:ascii="仿宋" w:hAnsi="仿宋" w:eastAsia="仿宋"/>
          <w:color w:val="auto"/>
          <w:sz w:val="32"/>
          <w:szCs w:val="32"/>
        </w:rPr>
        <w:t>、专用设备购置</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、信息网络及软件购置更新</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、其他资本性支出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等。</w:t>
      </w:r>
    </w:p>
    <w:p>
      <w:pPr>
        <w:spacing w:line="600" w:lineRule="exact"/>
        <w:ind w:firstLine="640"/>
        <w:outlineLvl w:val="1"/>
        <w:rPr>
          <w:rStyle w:val="26"/>
          <w:rFonts w:ascii="黑体" w:hAnsi="黑体" w:eastAsia="黑体"/>
          <w:b w:val="0"/>
        </w:rPr>
      </w:pPr>
      <w:r>
        <w:rPr>
          <w:rFonts w:hint="eastAsia" w:ascii="仿宋" w:hAnsi="仿宋" w:eastAsia="仿宋"/>
          <w:color w:val="000000"/>
          <w:sz w:val="32"/>
          <w:szCs w:val="32"/>
        </w:rPr>
        <w:t>　</w:t>
      </w:r>
      <w:bookmarkStart w:id="72" w:name="_Toc15396609"/>
      <w:bookmarkStart w:id="73" w:name="_Toc15377215"/>
      <w:bookmarkStart w:id="74" w:name="_Toc79163619"/>
      <w:bookmarkStart w:id="75" w:name="_Toc7916386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377216"/>
      <w:bookmarkStart w:id="77" w:name="_Toc79163620"/>
      <w:bookmarkStart w:id="78" w:name="_Toc7916387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18.71</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p>
    <w:p>
      <w:pPr>
        <w:spacing w:line="600" w:lineRule="exact"/>
        <w:ind w:firstLine="640"/>
        <w:outlineLvl w:val="2"/>
        <w:rPr>
          <w:rFonts w:ascii="仿宋" w:hAnsi="仿宋" w:eastAsia="仿宋"/>
          <w:b/>
          <w:color w:val="000000"/>
          <w:sz w:val="32"/>
          <w:szCs w:val="32"/>
        </w:rPr>
      </w:pPr>
      <w:bookmarkStart w:id="79" w:name="_Toc15377217"/>
      <w:bookmarkStart w:id="80" w:name="_Toc79163621"/>
      <w:bookmarkStart w:id="81" w:name="_Toc79163871"/>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17.51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93.59</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1.2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6.41</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5408" behindDoc="0" locked="0" layoutInCell="1" allowOverlap="1">
            <wp:simplePos x="0" y="0"/>
            <wp:positionH relativeFrom="column">
              <wp:posOffset>448310</wp:posOffset>
            </wp:positionH>
            <wp:positionV relativeFrom="paragraph">
              <wp:posOffset>368935</wp:posOffset>
            </wp:positionV>
            <wp:extent cx="4216400" cy="2972435"/>
            <wp:effectExtent l="0" t="0" r="12700" b="18415"/>
            <wp:wrapNone/>
            <wp:docPr id="13" name="图片 13" descr="图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7"/>
                    <pic:cNvPicPr>
                      <a:picLocks noChangeAspect="1"/>
                    </pic:cNvPicPr>
                  </pic:nvPicPr>
                  <pic:blipFill>
                    <a:blip r:embed="rId12"/>
                    <a:stretch>
                      <a:fillRect/>
                    </a:stretch>
                  </pic:blipFill>
                  <pic:spPr>
                    <a:xfrm>
                      <a:off x="0" y="0"/>
                      <a:ext cx="4216400" cy="2972435"/>
                    </a:xfrm>
                    <a:prstGeom prst="rect">
                      <a:avLst/>
                    </a:prstGeom>
                  </pic:spPr>
                </pic:pic>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lang w:eastAsia="zh-CN"/>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17.51</w:t>
      </w:r>
      <w:r>
        <w:rPr>
          <w:rFonts w:hint="eastAsia" w:ascii="仿宋_GB2312" w:eastAsia="仿宋_GB2312"/>
          <w:color w:val="000000"/>
          <w:sz w:val="32"/>
          <w:szCs w:val="32"/>
        </w:rPr>
        <w:t>万元</w:t>
      </w:r>
      <w:r>
        <w:rPr>
          <w:rFonts w:ascii="仿宋_GB2312" w:eastAsia="仿宋_GB2312"/>
          <w:color w:val="000000"/>
          <w:sz w:val="32"/>
          <w:szCs w:val="32"/>
        </w:rPr>
        <w:t>,</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1.44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7.59</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厉行节约，减少支出</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17.51</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维稳、基层司法业务</w:t>
      </w:r>
      <w:r>
        <w:rPr>
          <w:rFonts w:hint="eastAsia" w:ascii="仿宋_GB2312" w:eastAsia="仿宋_GB2312"/>
          <w:color w:val="000000"/>
          <w:sz w:val="32"/>
          <w:szCs w:val="32"/>
        </w:rPr>
        <w:t>等所需的公务用车燃料费、维修费、过路过桥费、保险费等支出。</w:t>
      </w:r>
    </w:p>
    <w:p>
      <w:pPr>
        <w:numPr>
          <w:ilvl w:val="0"/>
          <w:numId w:val="5"/>
        </w:numPr>
        <w:spacing w:line="60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度持平。</w:t>
      </w:r>
    </w:p>
    <w:p>
      <w:pPr>
        <w:numPr>
          <w:ilvl w:val="0"/>
          <w:numId w:val="5"/>
        </w:num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1.2</w:t>
      </w:r>
      <w:r>
        <w:rPr>
          <w:rFonts w:hint="eastAsia" w:ascii="仿宋_GB2312" w:eastAsia="仿宋_GB2312"/>
          <w:color w:val="000000"/>
          <w:sz w:val="32"/>
          <w:szCs w:val="32"/>
        </w:rPr>
        <w:t>万元，主要用于执行公务、开展业务活动开支</w:t>
      </w:r>
      <w:r>
        <w:rPr>
          <w:rFonts w:hint="eastAsia" w:ascii="仿宋_GB2312" w:eastAsia="仿宋_GB2312"/>
          <w:color w:val="000000"/>
          <w:sz w:val="32"/>
          <w:szCs w:val="32"/>
          <w:lang w:eastAsia="zh-CN"/>
        </w:rPr>
        <w:t>的</w:t>
      </w:r>
      <w:r>
        <w:rPr>
          <w:rFonts w:hint="eastAsia" w:ascii="仿宋_GB2312" w:eastAsia="仿宋_GB2312"/>
          <w:color w:val="000000"/>
          <w:sz w:val="32"/>
          <w:szCs w:val="32"/>
        </w:rPr>
        <w:t>住宿费、用餐费等。国内公务接待</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91</w:t>
      </w:r>
      <w:r>
        <w:rPr>
          <w:rFonts w:hint="eastAsia" w:ascii="仿宋_GB2312" w:eastAsia="仿宋_GB2312"/>
          <w:color w:val="000000"/>
          <w:sz w:val="32"/>
          <w:szCs w:val="32"/>
        </w:rPr>
        <w:t>人次，共计支出</w:t>
      </w: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lang w:eastAsia="zh-CN"/>
        </w:rPr>
        <w:t>）接待江苏师范大学教授来我县调研，</w:t>
      </w:r>
      <w:r>
        <w:rPr>
          <w:rFonts w:hint="eastAsia" w:ascii="仿宋_GB2312" w:eastAsia="仿宋_GB2312"/>
          <w:color w:val="000000"/>
          <w:sz w:val="32"/>
          <w:szCs w:val="32"/>
          <w:lang w:val="en-US" w:eastAsia="zh-CN"/>
        </w:rPr>
        <w:t>3人次，金额800元；（2）接待德阳市司法局来我县开展援助工作，5人次，金额2600元；（3）接待同心律师团来我县开展援助工作,7人次，金额3000元；（4）接待全州法治进校园活动，70人次，金额3600元；（5）接待四川司法警官职业学院到我县调研，5人次，金额2000元。</w:t>
      </w:r>
    </w:p>
    <w:p>
      <w:pPr>
        <w:spacing w:line="600" w:lineRule="exact"/>
        <w:ind w:firstLine="643" w:firstLineChars="200"/>
        <w:rPr>
          <w:rFonts w:hint="eastAsia" w:ascii="仿宋_GB2312" w:eastAsia="仿宋_GB2312"/>
          <w:color w:val="000000"/>
          <w:sz w:val="32"/>
          <w:szCs w:val="32"/>
          <w:lang w:val="en-US" w:eastAsia="zh-CN"/>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firstLineChars="200"/>
        <w:rPr>
          <w:rFonts w:ascii="仿宋_GB2312" w:eastAsia="仿宋_GB2312"/>
          <w:color w:val="000000"/>
          <w:sz w:val="32"/>
          <w:szCs w:val="32"/>
        </w:rPr>
      </w:pPr>
    </w:p>
    <w:p>
      <w:pPr>
        <w:spacing w:line="600" w:lineRule="exact"/>
        <w:ind w:firstLine="640"/>
        <w:outlineLvl w:val="1"/>
        <w:rPr>
          <w:rStyle w:val="26"/>
          <w:rFonts w:ascii="黑体" w:hAnsi="黑体" w:eastAsia="黑体"/>
        </w:rPr>
      </w:pPr>
      <w:bookmarkStart w:id="82" w:name="_Toc15396610"/>
      <w:bookmarkStart w:id="83" w:name="_Toc15377218"/>
      <w:bookmarkStart w:id="84" w:name="_Toc79163622"/>
      <w:bookmarkStart w:id="85" w:name="_Toc79163872"/>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6"/>
        </w:numPr>
        <w:spacing w:line="600" w:lineRule="exact"/>
        <w:ind w:firstLine="640"/>
        <w:outlineLvl w:val="1"/>
        <w:rPr>
          <w:rStyle w:val="26"/>
          <w:rFonts w:ascii="黑体" w:hAnsi="黑体" w:eastAsia="黑体"/>
          <w:b w:val="0"/>
        </w:rPr>
      </w:pPr>
      <w:bookmarkStart w:id="86" w:name="_Toc15377219"/>
      <w:bookmarkStart w:id="87" w:name="_Toc15396611"/>
      <w:bookmarkStart w:id="88" w:name="_Toc79163623"/>
      <w:bookmarkStart w:id="89" w:name="_Toc79163873"/>
      <w:r>
        <w:rPr>
          <w:rStyle w:val="26"/>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6"/>
          <w:rFonts w:ascii="黑体" w:hAnsi="黑体" w:eastAsia="黑体"/>
        </w:rPr>
      </w:pPr>
      <w:bookmarkStart w:id="90" w:name="_Toc15396612"/>
      <w:bookmarkStart w:id="91" w:name="_Toc15377221"/>
      <w:bookmarkStart w:id="92" w:name="_Toc79163624"/>
      <w:bookmarkStart w:id="93" w:name="_Toc79163874"/>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90"/>
      <w:bookmarkEnd w:id="91"/>
      <w:bookmarkEnd w:id="92"/>
      <w:bookmarkEnd w:id="93"/>
    </w:p>
    <w:p>
      <w:pPr>
        <w:spacing w:line="600" w:lineRule="exact"/>
        <w:ind w:firstLine="643" w:firstLineChars="200"/>
        <w:outlineLvl w:val="2"/>
        <w:rPr>
          <w:rFonts w:ascii="仿宋" w:hAnsi="仿宋" w:eastAsia="仿宋"/>
          <w:color w:val="000000"/>
          <w:sz w:val="32"/>
          <w:szCs w:val="32"/>
        </w:rPr>
      </w:pPr>
      <w:bookmarkStart w:id="94" w:name="_Toc15377222"/>
      <w:bookmarkStart w:id="95" w:name="_Toc79163625"/>
      <w:bookmarkStart w:id="96" w:name="_Toc79163875"/>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我局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63.89</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7.72</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10.78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厉行节约，减少开支。</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15377223"/>
      <w:bookmarkStart w:id="98" w:name="_Toc79163626"/>
      <w:bookmarkStart w:id="99" w:name="_Toc79163876"/>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我局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1.08</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1.08</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办公室供暖</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15377224"/>
      <w:bookmarkStart w:id="101" w:name="_Toc79163627"/>
      <w:bookmarkStart w:id="102" w:name="_Toc79163877"/>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我局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执法执勤用车</w:t>
      </w:r>
      <w:r>
        <w:rPr>
          <w:rFonts w:hint="eastAsia" w:ascii="仿宋_GB2312" w:eastAsia="仿宋_GB2312"/>
          <w:color w:val="000000"/>
          <w:sz w:val="32"/>
          <w:szCs w:val="32"/>
          <w:lang w:val="en-US" w:eastAsia="zh-CN"/>
        </w:rPr>
        <w:t>2辆，</w:t>
      </w:r>
      <w:r>
        <w:rPr>
          <w:rFonts w:hint="eastAsia" w:ascii="仿宋_GB2312" w:eastAsia="仿宋_GB2312"/>
          <w:color w:val="000000"/>
          <w:sz w:val="32"/>
          <w:szCs w:val="32"/>
        </w:rPr>
        <w:t>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numPr>
          <w:ilvl w:val="0"/>
          <w:numId w:val="7"/>
        </w:numPr>
        <w:autoSpaceDE w:val="0"/>
        <w:autoSpaceDN w:val="0"/>
        <w:adjustRightInd w:val="0"/>
        <w:spacing w:line="600" w:lineRule="exact"/>
        <w:ind w:firstLine="643" w:firstLineChars="200"/>
        <w:jc w:val="left"/>
        <w:outlineLvl w:val="2"/>
        <w:rPr>
          <w:rFonts w:hint="eastAsia" w:ascii="仿宋" w:hAnsi="仿宋" w:eastAsia="仿宋"/>
          <w:b/>
          <w:color w:val="000000"/>
          <w:sz w:val="32"/>
          <w:szCs w:val="32"/>
        </w:rPr>
      </w:pPr>
      <w:bookmarkStart w:id="103" w:name="_Toc79163628"/>
      <w:bookmarkStart w:id="104" w:name="_Toc79163878"/>
      <w:r>
        <w:rPr>
          <w:rFonts w:hint="eastAsia" w:ascii="仿宋" w:hAnsi="仿宋" w:eastAsia="仿宋"/>
          <w:b/>
          <w:color w:val="000000"/>
          <w:sz w:val="32"/>
          <w:szCs w:val="32"/>
        </w:rPr>
        <w:t>预算绩效管理情况。</w:t>
      </w:r>
      <w:bookmarkEnd w:id="103"/>
      <w:bookmarkEnd w:id="104"/>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根据预算绩效管理要求，本单位在年初预算编制阶段，组织对“</w:t>
      </w:r>
      <w:r>
        <w:rPr>
          <w:rFonts w:hint="eastAsia" w:ascii="仿宋_GB2312" w:hAnsi="仿宋_GB2312" w:eastAsia="仿宋_GB2312" w:cs="仿宋_GB2312"/>
          <w:color w:val="auto"/>
          <w:sz w:val="32"/>
          <w:szCs w:val="32"/>
          <w:lang w:eastAsia="zh-CN"/>
        </w:rPr>
        <w:t>一般行政管理事务</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“法制建设”</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普法宣传</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“法律援助”“社区矫正”</w:t>
      </w:r>
      <w:r>
        <w:rPr>
          <w:rFonts w:hint="eastAsia" w:ascii="仿宋_GB2312" w:hAnsi="仿宋_GB2312" w:eastAsia="仿宋_GB2312" w:cs="仿宋_GB2312"/>
          <w:color w:val="auto"/>
          <w:sz w:val="32"/>
          <w:szCs w:val="32"/>
          <w:lang w:val="en-US" w:eastAsia="zh-CN"/>
        </w:rPr>
        <w:t>5个</w:t>
      </w:r>
      <w:r>
        <w:rPr>
          <w:rFonts w:hint="eastAsia" w:ascii="仿宋_GB2312" w:hAnsi="仿宋_GB2312" w:eastAsia="仿宋_GB2312" w:cs="仿宋_GB2312"/>
          <w:color w:val="auto"/>
          <w:sz w:val="32"/>
          <w:szCs w:val="32"/>
        </w:rPr>
        <w:t>项目开展了预算事前绩效评估，对</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个项目编制了绩效目标，预算执行过程中，选取</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个项目开展绩效监控，年终执行完毕后，对</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个项目开展了绩效目标完成情况梳理填报。</w:t>
      </w:r>
    </w:p>
    <w:p>
      <w:pPr>
        <w:pStyle w:val="20"/>
        <w:widowControl/>
        <w:shd w:val="clear" w:color="auto" w:fill="FFFFFF"/>
        <w:spacing w:before="0" w:beforeAutospacing="0" w:after="0" w:afterAutospacing="0" w:line="315" w:lineRule="atLeast"/>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rPr>
        <w:t>本部门按要求对20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年部门整体支出开展绩效自评，从评价情况来看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i w:val="0"/>
          <w:caps w:val="0"/>
          <w:color w:val="auto"/>
          <w:spacing w:val="0"/>
          <w:sz w:val="32"/>
          <w:szCs w:val="32"/>
          <w:shd w:val="clear" w:fill="FFFFFF"/>
        </w:rPr>
        <w:t>我局严格按照年初预算进行部门整体支出。在支出过程中，能严格遵守各项规章制度，“三公经费”明显下降。所有项目都详细制定了方案，严格按方案组织实施，并加强了监督。尤其是在专项经费支出上，我们能专款专用，按项目实施计划的进度情况进行资金拨付，无截留、无挪用等现象。</w:t>
      </w:r>
      <w:r>
        <w:rPr>
          <w:rFonts w:hint="eastAsia" w:ascii="仿宋_GB2312" w:hAnsi="宋体" w:eastAsia="仿宋_GB2312" w:cs="宋体"/>
          <w:color w:val="auto"/>
          <w:sz w:val="32"/>
          <w:szCs w:val="32"/>
          <w:lang w:val="zh-CN" w:bidi="ar"/>
        </w:rPr>
        <w:t>根据《20</w:t>
      </w:r>
      <w:r>
        <w:rPr>
          <w:rFonts w:hint="eastAsia" w:ascii="仿宋_GB2312" w:hAnsi="宋体" w:eastAsia="仿宋_GB2312" w:cs="宋体"/>
          <w:color w:val="auto"/>
          <w:sz w:val="32"/>
          <w:szCs w:val="32"/>
          <w:lang w:val="en-US" w:eastAsia="zh-CN" w:bidi="ar"/>
        </w:rPr>
        <w:t>20</w:t>
      </w:r>
      <w:r>
        <w:rPr>
          <w:rFonts w:hint="eastAsia" w:ascii="仿宋_GB2312" w:hAnsi="宋体" w:eastAsia="仿宋_GB2312" w:cs="宋体"/>
          <w:color w:val="auto"/>
          <w:sz w:val="32"/>
          <w:szCs w:val="32"/>
          <w:lang w:val="zh-CN" w:bidi="ar"/>
        </w:rPr>
        <w:t>年红原县部门支出绩效评价指标体系》评分得分</w:t>
      </w:r>
      <w:r>
        <w:rPr>
          <w:rFonts w:hint="eastAsia" w:ascii="仿宋_GB2312" w:hAnsi="宋体" w:eastAsia="仿宋_GB2312" w:cs="宋体"/>
          <w:color w:val="auto"/>
          <w:sz w:val="32"/>
          <w:szCs w:val="32"/>
          <w:lang w:val="en-US" w:eastAsia="zh-CN" w:bidi="ar"/>
        </w:rPr>
        <w:t>90</w:t>
      </w:r>
      <w:bookmarkStart w:id="158" w:name="_GoBack"/>
      <w:bookmarkEnd w:id="158"/>
      <w:r>
        <w:rPr>
          <w:rFonts w:hint="eastAsia" w:ascii="仿宋_GB2312" w:hAnsi="宋体" w:eastAsia="仿宋_GB2312" w:cs="宋体"/>
          <w:color w:val="auto"/>
          <w:sz w:val="32"/>
          <w:szCs w:val="32"/>
          <w:lang w:val="zh-CN" w:bidi="ar"/>
        </w:rPr>
        <w:t>分，部门整体支出绩效为“好”。</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firstLine="640" w:firstLineChars="200"/>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color w:val="auto"/>
          <w:sz w:val="32"/>
          <w:szCs w:val="32"/>
        </w:rPr>
        <w:t>本部门还自行组织了</w:t>
      </w:r>
      <w:r>
        <w:rPr>
          <w:rFonts w:hint="eastAsia" w:ascii="仿宋_GB2312" w:hAnsi="仿宋_GB2312" w:eastAsia="仿宋_GB2312" w:cs="仿宋_GB2312"/>
          <w:color w:val="auto"/>
          <w:sz w:val="32"/>
          <w:szCs w:val="32"/>
          <w:lang w:eastAsia="zh-CN"/>
        </w:rPr>
        <w:t>对法治宣传工作经费</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个项目绩效评价，从评价情况来看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i w:val="0"/>
          <w:caps w:val="0"/>
          <w:color w:val="auto"/>
          <w:spacing w:val="0"/>
          <w:sz w:val="32"/>
          <w:szCs w:val="32"/>
          <w:shd w:val="clear" w:fill="FFFFFF"/>
        </w:rPr>
        <w:t>普法宣传工作，使</w:t>
      </w:r>
      <w:r>
        <w:rPr>
          <w:rFonts w:hint="eastAsia" w:ascii="仿宋_GB2312" w:hAnsi="仿宋_GB2312" w:eastAsia="仿宋_GB2312" w:cs="仿宋_GB2312"/>
          <w:b w:val="0"/>
          <w:i w:val="0"/>
          <w:caps w:val="0"/>
          <w:color w:val="auto"/>
          <w:spacing w:val="0"/>
          <w:sz w:val="32"/>
          <w:szCs w:val="32"/>
          <w:shd w:val="clear" w:fill="FFFFFF"/>
          <w:lang w:eastAsia="zh-CN"/>
        </w:rPr>
        <w:t>人民群众</w:t>
      </w:r>
      <w:r>
        <w:rPr>
          <w:rFonts w:hint="eastAsia" w:ascii="仿宋_GB2312" w:hAnsi="仿宋_GB2312" w:eastAsia="仿宋_GB2312" w:cs="仿宋_GB2312"/>
          <w:b w:val="0"/>
          <w:i w:val="0"/>
          <w:caps w:val="0"/>
          <w:color w:val="auto"/>
          <w:spacing w:val="0"/>
          <w:sz w:val="32"/>
          <w:szCs w:val="32"/>
          <w:shd w:val="clear" w:fill="FFFFFF"/>
        </w:rPr>
        <w:t>法</w:t>
      </w:r>
      <w:r>
        <w:rPr>
          <w:rFonts w:hint="eastAsia" w:ascii="仿宋_GB2312" w:hAnsi="仿宋_GB2312" w:eastAsia="仿宋_GB2312" w:cs="仿宋_GB2312"/>
          <w:b w:val="0"/>
          <w:i w:val="0"/>
          <w:caps w:val="0"/>
          <w:color w:val="auto"/>
          <w:spacing w:val="0"/>
          <w:sz w:val="32"/>
          <w:szCs w:val="32"/>
          <w:shd w:val="clear" w:fill="FFFFFF"/>
          <w:lang w:eastAsia="zh-CN"/>
        </w:rPr>
        <w:t>律意识</w:t>
      </w:r>
      <w:r>
        <w:rPr>
          <w:rFonts w:hint="eastAsia" w:ascii="仿宋_GB2312" w:hAnsi="仿宋_GB2312" w:eastAsia="仿宋_GB2312" w:cs="仿宋_GB2312"/>
          <w:b w:val="0"/>
          <w:i w:val="0"/>
          <w:caps w:val="0"/>
          <w:color w:val="auto"/>
          <w:spacing w:val="0"/>
          <w:sz w:val="32"/>
          <w:szCs w:val="32"/>
          <w:shd w:val="clear" w:fill="FFFFFF"/>
        </w:rPr>
        <w:t>走入日常生活，越来越多的群众学会拿起法律的武器来维护自身的权益，树立了法治观念</w:t>
      </w:r>
      <w:r>
        <w:rPr>
          <w:rFonts w:hint="eastAsia" w:ascii="仿宋_GB2312" w:hAnsi="仿宋_GB2312" w:eastAsia="仿宋_GB2312" w:cs="仿宋_GB2312"/>
          <w:b w:val="0"/>
          <w:i w:val="0"/>
          <w:caps w:val="0"/>
          <w:color w:val="auto"/>
          <w:spacing w:val="0"/>
          <w:sz w:val="32"/>
          <w:szCs w:val="32"/>
          <w:shd w:val="clear" w:fill="FFFFFF"/>
          <w:lang w:val="en-US" w:eastAsia="zh-CN"/>
        </w:rPr>
        <w:t>,</w:t>
      </w:r>
      <w:r>
        <w:rPr>
          <w:rFonts w:hint="eastAsia" w:ascii="仿宋_GB2312" w:hAnsi="仿宋_GB2312" w:eastAsia="仿宋_GB2312" w:cs="仿宋_GB2312"/>
          <w:b w:val="0"/>
          <w:i w:val="0"/>
          <w:caps w:val="0"/>
          <w:color w:val="auto"/>
          <w:spacing w:val="0"/>
          <w:sz w:val="32"/>
          <w:szCs w:val="32"/>
          <w:shd w:val="clear" w:fill="FFFFFF"/>
        </w:rPr>
        <w:t>维护社会和谐稳定中发挥了重要作用。</w:t>
      </w:r>
    </w:p>
    <w:p>
      <w:pPr>
        <w:numPr>
          <w:ilvl w:val="0"/>
          <w:numId w:val="0"/>
        </w:numPr>
        <w:spacing w:line="580" w:lineRule="exact"/>
        <w:ind w:firstLine="643" w:firstLineChars="200"/>
        <w:rPr>
          <w:rFonts w:hint="eastAsia" w:ascii="仿宋" w:hAnsi="仿宋" w:eastAsia="仿宋" w:cs="楷体_GB2312"/>
          <w:b/>
          <w:bCs/>
          <w:color w:val="auto"/>
          <w:sz w:val="32"/>
          <w:szCs w:val="32"/>
          <w:lang w:eastAsia="zh-CN"/>
        </w:rPr>
      </w:pPr>
      <w:r>
        <w:rPr>
          <w:rFonts w:hint="eastAsia" w:ascii="仿宋" w:hAnsi="仿宋" w:eastAsia="仿宋" w:cs="楷体_GB2312"/>
          <w:b/>
          <w:bCs/>
          <w:color w:val="auto"/>
          <w:sz w:val="32"/>
          <w:szCs w:val="32"/>
          <w:lang w:val="en-US" w:eastAsia="zh-CN"/>
        </w:rPr>
        <w:t>1.</w:t>
      </w:r>
      <w:r>
        <w:rPr>
          <w:rFonts w:hint="eastAsia" w:ascii="仿宋" w:hAnsi="仿宋" w:eastAsia="仿宋" w:cs="楷体_GB2312"/>
          <w:b/>
          <w:bCs/>
          <w:color w:val="auto"/>
          <w:sz w:val="32"/>
          <w:szCs w:val="32"/>
        </w:rPr>
        <w:t>项目绩效目标完成情况。</w:t>
      </w:r>
    </w:p>
    <w:p>
      <w:pPr>
        <w:numPr>
          <w:ilvl w:val="0"/>
          <w:numId w:val="0"/>
        </w:numPr>
        <w:spacing w:line="58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    本部门在20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年度部门决算中反映“</w:t>
      </w:r>
      <w:r>
        <w:rPr>
          <w:rFonts w:hint="eastAsia" w:ascii="仿宋_GB2312" w:hAnsi="仿宋_GB2312" w:eastAsia="仿宋_GB2312" w:cs="仿宋_GB2312"/>
          <w:color w:val="auto"/>
          <w:sz w:val="32"/>
          <w:szCs w:val="32"/>
          <w:lang w:eastAsia="zh-CN"/>
        </w:rPr>
        <w:t>一般行政管理事务</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“法制建设”</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普法宣传</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“法律援助”“社区矫正”</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个项目绩效目标实际完成情况</w:t>
      </w:r>
      <w:r>
        <w:rPr>
          <w:rFonts w:hint="eastAsia" w:ascii="仿宋_GB2312" w:hAnsi="仿宋_GB2312" w:eastAsia="仿宋_GB2312" w:cs="仿宋_GB2312"/>
          <w:color w:val="auto"/>
          <w:sz w:val="32"/>
          <w:szCs w:val="32"/>
          <w:lang w:eastAsia="zh-CN"/>
        </w:rPr>
        <w:t>。</w:t>
      </w:r>
    </w:p>
    <w:p>
      <w:pPr>
        <w:numPr>
          <w:ilvl w:val="0"/>
          <w:numId w:val="0"/>
        </w:num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）一般行政管理事务项目</w:t>
      </w:r>
      <w:r>
        <w:rPr>
          <w:rFonts w:hint="eastAsia" w:ascii="仿宋_GB2312" w:hAnsi="仿宋_GB2312" w:eastAsia="仿宋_GB2312" w:cs="仿宋_GB2312"/>
          <w:color w:val="auto"/>
          <w:sz w:val="32"/>
          <w:szCs w:val="32"/>
        </w:rPr>
        <w:t>绩效目标完成情况综述。项目全年预算数</w:t>
      </w:r>
      <w:r>
        <w:rPr>
          <w:rFonts w:hint="eastAsia" w:ascii="仿宋_GB2312" w:hAnsi="仿宋_GB2312" w:eastAsia="仿宋_GB2312" w:cs="仿宋_GB2312"/>
          <w:color w:val="auto"/>
          <w:sz w:val="32"/>
          <w:szCs w:val="32"/>
          <w:lang w:val="en-US" w:eastAsia="zh-CN"/>
        </w:rPr>
        <w:t>28.13</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28.13</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此项目主要用于维稳，人民调解等基层业务，</w:t>
      </w:r>
      <w:r>
        <w:rPr>
          <w:rFonts w:hint="eastAsia" w:ascii="仿宋_GB2312" w:hAnsi="仿宋_GB2312" w:eastAsia="仿宋_GB2312" w:cs="仿宋_GB2312"/>
          <w:color w:val="auto"/>
          <w:sz w:val="32"/>
          <w:szCs w:val="32"/>
        </w:rPr>
        <w:t>通过项目实施，</w:t>
      </w:r>
      <w:r>
        <w:rPr>
          <w:rFonts w:hint="eastAsia" w:ascii="仿宋_GB2312" w:hAnsi="仿宋_GB2312" w:eastAsia="仿宋_GB2312" w:cs="仿宋_GB2312"/>
          <w:b w:val="0"/>
          <w:bCs w:val="0"/>
          <w:i w:val="0"/>
          <w:caps w:val="0"/>
          <w:color w:val="auto"/>
          <w:spacing w:val="0"/>
          <w:sz w:val="32"/>
          <w:szCs w:val="32"/>
          <w:shd w:val="clear" w:fill="FFFFFF"/>
        </w:rPr>
        <w:t>避免了纠纷激化升级，有力地保障了我县的社会稳定</w:t>
      </w:r>
      <w:r>
        <w:rPr>
          <w:rFonts w:ascii="微软雅黑" w:hAnsi="微软雅黑" w:eastAsia="微软雅黑" w:cs="微软雅黑"/>
          <w:b w:val="0"/>
          <w:bCs w:val="0"/>
          <w:i w:val="0"/>
          <w:caps w:val="0"/>
          <w:color w:val="auto"/>
          <w:spacing w:val="0"/>
          <w:sz w:val="18"/>
          <w:szCs w:val="18"/>
          <w:shd w:val="clear" w:fill="FFFFFF"/>
        </w:rPr>
        <w:t>。</w:t>
      </w:r>
    </w:p>
    <w:p>
      <w:pPr>
        <w:numPr>
          <w:ilvl w:val="0"/>
          <w:numId w:val="0"/>
        </w:numPr>
        <w:spacing w:line="580" w:lineRule="exact"/>
        <w:ind w:firstLine="640" w:firstLineChars="200"/>
        <w:rPr>
          <w:rFonts w:hint="eastAsia" w:ascii="仿宋" w:hAnsi="仿宋" w:eastAsia="仿宋" w:cs="仿宋"/>
          <w:i w:val="0"/>
          <w:iCs w:val="0"/>
          <w:caps w:val="0"/>
          <w:color w:val="000000"/>
          <w:spacing w:val="0"/>
          <w:sz w:val="32"/>
          <w:szCs w:val="32"/>
          <w:shd w:val="clear" w:color="auto" w:fill="FFFFFF"/>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）法制建设</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6.54</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6.54</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此项目主要</w:t>
      </w:r>
      <w:r>
        <w:rPr>
          <w:rFonts w:hint="eastAsia" w:ascii="仿宋" w:hAnsi="仿宋" w:eastAsia="仿宋" w:cs="仿宋"/>
          <w:i w:val="0"/>
          <w:iCs w:val="0"/>
          <w:caps w:val="0"/>
          <w:color w:val="000000"/>
          <w:spacing w:val="0"/>
          <w:sz w:val="32"/>
          <w:szCs w:val="32"/>
          <w:shd w:val="clear" w:color="auto" w:fill="FFFFFF"/>
          <w:lang w:val="en-US" w:eastAsia="zh-CN"/>
        </w:rPr>
        <w:t>负责对法治政府工作的指导管理，组织实施、拟定法治政府工作发展规划、管理制度，并组织实施、监督检查法治政府工作情况。指导全县依法行政工作，加强对法治政府工作的监管工作。</w:t>
      </w:r>
    </w:p>
    <w:p>
      <w:pPr>
        <w:numPr>
          <w:ilvl w:val="0"/>
          <w:numId w:val="0"/>
        </w:num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）普法宣传</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%。通过项目实施，</w:t>
      </w:r>
      <w:r>
        <w:rPr>
          <w:rFonts w:hint="eastAsia" w:ascii="仿宋_GB2312" w:hAnsi="仿宋_GB2312" w:eastAsia="仿宋_GB2312" w:cs="仿宋_GB2312"/>
          <w:b w:val="0"/>
          <w:i w:val="0"/>
          <w:caps w:val="0"/>
          <w:color w:val="auto"/>
          <w:spacing w:val="0"/>
          <w:sz w:val="32"/>
          <w:szCs w:val="32"/>
          <w:shd w:val="clear" w:fill="FFFFFF"/>
        </w:rPr>
        <w:t>使广大人民群众在浓郁的法治氛围中学法用法，在潜移默化中接受法律的熏陶，取得了很好的社会效果</w:t>
      </w:r>
      <w:r>
        <w:rPr>
          <w:rFonts w:ascii="微软雅黑" w:hAnsi="微软雅黑" w:eastAsia="微软雅黑" w:cs="微软雅黑"/>
          <w:b w:val="0"/>
          <w:i w:val="0"/>
          <w:caps w:val="0"/>
          <w:color w:val="auto"/>
          <w:spacing w:val="0"/>
          <w:sz w:val="18"/>
          <w:szCs w:val="18"/>
          <w:shd w:val="clear" w:fill="FFFFFF"/>
        </w:rPr>
        <w:t>。</w:t>
      </w:r>
    </w:p>
    <w:p>
      <w:pPr>
        <w:numPr>
          <w:ilvl w:val="0"/>
          <w:numId w:val="0"/>
        </w:num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）法律援助</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6.59</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6.59</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%。通过项目实施，</w:t>
      </w:r>
      <w:r>
        <w:rPr>
          <w:rFonts w:hint="eastAsia" w:ascii="仿宋_GB2312" w:hAnsi="仿宋_GB2312" w:eastAsia="仿宋_GB2312" w:cs="仿宋_GB2312"/>
          <w:b w:val="0"/>
          <w:i w:val="0"/>
          <w:caps w:val="0"/>
          <w:color w:val="auto"/>
          <w:spacing w:val="0"/>
          <w:sz w:val="32"/>
          <w:szCs w:val="32"/>
          <w:shd w:val="clear" w:fill="FFFFFF"/>
        </w:rPr>
        <w:t>让更多的老百姓知晓法律援助制度，懂得维权的基本程序和方法，应用法律手段捍卫自己的权益，不仅是新形势下推动社会管理创新的需要，也是法律援助事业不断发展壮大的需要。</w:t>
      </w:r>
    </w:p>
    <w:p>
      <w:pPr>
        <w:numPr>
          <w:ilvl w:val="0"/>
          <w:numId w:val="0"/>
        </w:numPr>
        <w:spacing w:line="580" w:lineRule="exact"/>
        <w:ind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lang w:eastAsia="zh-CN"/>
        </w:rPr>
        <w:t>）社区矫正</w:t>
      </w:r>
      <w:r>
        <w:rPr>
          <w:rFonts w:hint="eastAsia" w:ascii="仿宋_GB2312" w:hAnsi="仿宋_GB2312" w:eastAsia="仿宋_GB2312" w:cs="仿宋_GB2312"/>
          <w:b w:val="0"/>
          <w:bCs w:val="0"/>
          <w:color w:val="auto"/>
          <w:sz w:val="32"/>
          <w:szCs w:val="32"/>
        </w:rPr>
        <w:t>项目绩效目标完成情况综述。项目全年预算数</w:t>
      </w:r>
      <w:r>
        <w:rPr>
          <w:rFonts w:hint="eastAsia" w:ascii="仿宋_GB2312" w:hAnsi="仿宋_GB2312" w:eastAsia="仿宋_GB2312" w:cs="仿宋_GB2312"/>
          <w:b w:val="0"/>
          <w:bCs w:val="0"/>
          <w:color w:val="auto"/>
          <w:sz w:val="32"/>
          <w:szCs w:val="32"/>
          <w:lang w:val="en-US" w:eastAsia="zh-CN"/>
        </w:rPr>
        <w:t>7</w:t>
      </w:r>
      <w:r>
        <w:rPr>
          <w:rFonts w:hint="eastAsia" w:ascii="仿宋_GB2312" w:hAnsi="仿宋_GB2312" w:eastAsia="仿宋_GB2312" w:cs="仿宋_GB2312"/>
          <w:b w:val="0"/>
          <w:bCs w:val="0"/>
          <w:color w:val="auto"/>
          <w:sz w:val="32"/>
          <w:szCs w:val="32"/>
        </w:rPr>
        <w:t>万元，执行数为</w:t>
      </w:r>
      <w:r>
        <w:rPr>
          <w:rFonts w:hint="eastAsia" w:ascii="仿宋_GB2312" w:hAnsi="仿宋_GB2312" w:eastAsia="仿宋_GB2312" w:cs="仿宋_GB2312"/>
          <w:b w:val="0"/>
          <w:bCs w:val="0"/>
          <w:color w:val="auto"/>
          <w:sz w:val="32"/>
          <w:szCs w:val="32"/>
          <w:lang w:val="en-US" w:eastAsia="zh-CN"/>
        </w:rPr>
        <w:t>7</w:t>
      </w:r>
      <w:r>
        <w:rPr>
          <w:rFonts w:hint="eastAsia" w:ascii="仿宋_GB2312" w:hAnsi="仿宋_GB2312" w:eastAsia="仿宋_GB2312" w:cs="仿宋_GB2312"/>
          <w:b w:val="0"/>
          <w:bCs w:val="0"/>
          <w:color w:val="auto"/>
          <w:sz w:val="32"/>
          <w:szCs w:val="32"/>
        </w:rPr>
        <w:t>万元，完成预算的</w:t>
      </w:r>
      <w:r>
        <w:rPr>
          <w:rFonts w:hint="eastAsia" w:ascii="仿宋_GB2312" w:hAnsi="仿宋_GB2312" w:eastAsia="仿宋_GB2312" w:cs="仿宋_GB2312"/>
          <w:b w:val="0"/>
          <w:bCs w:val="0"/>
          <w:color w:val="auto"/>
          <w:sz w:val="32"/>
          <w:szCs w:val="32"/>
          <w:lang w:val="en-US" w:eastAsia="zh-CN"/>
        </w:rPr>
        <w:t>100</w:t>
      </w:r>
      <w:r>
        <w:rPr>
          <w:rFonts w:hint="eastAsia" w:ascii="仿宋_GB2312" w:hAnsi="仿宋_GB2312" w:eastAsia="仿宋_GB2312" w:cs="仿宋_GB2312"/>
          <w:b w:val="0"/>
          <w:bCs w:val="0"/>
          <w:color w:val="auto"/>
          <w:sz w:val="32"/>
          <w:szCs w:val="32"/>
        </w:rPr>
        <w:t>%。通过项目实施，</w:t>
      </w:r>
      <w:r>
        <w:rPr>
          <w:rFonts w:hint="eastAsia" w:ascii="仿宋_GB2312" w:hAnsi="仿宋_GB2312" w:eastAsia="仿宋_GB2312" w:cs="仿宋_GB2312"/>
          <w:b w:val="0"/>
          <w:bCs w:val="0"/>
          <w:i w:val="0"/>
          <w:caps w:val="0"/>
          <w:color w:val="auto"/>
          <w:spacing w:val="0"/>
          <w:sz w:val="32"/>
          <w:szCs w:val="32"/>
          <w:shd w:val="clear" w:fill="FFFFFF"/>
        </w:rPr>
        <w:t>实现了社区矫正人员无漏管、脱管和重新犯罪的目标。为</w:t>
      </w:r>
      <w:r>
        <w:rPr>
          <w:rFonts w:hint="eastAsia" w:ascii="仿宋_GB2312" w:hAnsi="仿宋_GB2312" w:eastAsia="仿宋_GB2312" w:cs="仿宋_GB2312"/>
          <w:b w:val="0"/>
          <w:bCs w:val="0"/>
          <w:i w:val="0"/>
          <w:caps w:val="0"/>
          <w:color w:val="auto"/>
          <w:spacing w:val="0"/>
          <w:sz w:val="32"/>
          <w:szCs w:val="32"/>
          <w:shd w:val="clear" w:fill="FFFFFF"/>
          <w:lang w:eastAsia="zh-CN"/>
        </w:rPr>
        <w:t>全县</w:t>
      </w:r>
      <w:r>
        <w:rPr>
          <w:rFonts w:hint="eastAsia" w:ascii="仿宋_GB2312" w:hAnsi="仿宋_GB2312" w:eastAsia="仿宋_GB2312" w:cs="仿宋_GB2312"/>
          <w:b w:val="0"/>
          <w:bCs w:val="0"/>
          <w:i w:val="0"/>
          <w:caps w:val="0"/>
          <w:color w:val="auto"/>
          <w:spacing w:val="0"/>
          <w:sz w:val="32"/>
          <w:szCs w:val="32"/>
          <w:shd w:val="clear" w:fill="FFFFFF"/>
        </w:rPr>
        <w:t>的</w:t>
      </w:r>
      <w:r>
        <w:rPr>
          <w:rFonts w:hint="eastAsia" w:ascii="仿宋_GB2312" w:hAnsi="仿宋_GB2312" w:eastAsia="仿宋_GB2312" w:cs="仿宋_GB2312"/>
          <w:b w:val="0"/>
          <w:bCs w:val="0"/>
          <w:i w:val="0"/>
          <w:caps w:val="0"/>
          <w:color w:val="auto"/>
          <w:spacing w:val="0"/>
          <w:sz w:val="32"/>
          <w:szCs w:val="32"/>
          <w:shd w:val="clear" w:fill="FFFFFF"/>
          <w:lang w:eastAsia="zh-CN"/>
        </w:rPr>
        <w:t>平安</w:t>
      </w:r>
      <w:r>
        <w:rPr>
          <w:rFonts w:hint="eastAsia" w:ascii="仿宋_GB2312" w:hAnsi="仿宋_GB2312" w:eastAsia="仿宋_GB2312" w:cs="仿宋_GB2312"/>
          <w:b w:val="0"/>
          <w:bCs w:val="0"/>
          <w:i w:val="0"/>
          <w:caps w:val="0"/>
          <w:color w:val="auto"/>
          <w:spacing w:val="0"/>
          <w:sz w:val="32"/>
          <w:szCs w:val="32"/>
          <w:shd w:val="clear" w:fill="FFFFFF"/>
        </w:rPr>
        <w:t>建设作出了积极贡献。</w:t>
      </w:r>
    </w:p>
    <w:p>
      <w:pPr>
        <w:jc w:val="center"/>
        <w:rPr>
          <w:rFonts w:hint="eastAsia" w:ascii="仿宋_GB2312" w:hAnsi="仿宋_GB2312" w:eastAsia="仿宋_GB2312" w:cs="仿宋_GB2312"/>
          <w:color w:val="auto"/>
          <w:sz w:val="32"/>
          <w:szCs w:val="32"/>
        </w:rPr>
      </w:pPr>
    </w:p>
    <w:tbl>
      <w:tblPr>
        <w:tblStyle w:val="21"/>
        <w:tblW w:w="9525" w:type="dxa"/>
        <w:tblInd w:w="0" w:type="dxa"/>
        <w:shd w:val="clear" w:color="auto" w:fill="auto"/>
        <w:tblLayout w:type="fixed"/>
        <w:tblCellMar>
          <w:top w:w="0" w:type="dxa"/>
          <w:left w:w="0" w:type="dxa"/>
          <w:bottom w:w="0" w:type="dxa"/>
          <w:right w:w="0" w:type="dxa"/>
        </w:tblCellMar>
      </w:tblPr>
      <w:tblGrid>
        <w:gridCol w:w="449"/>
        <w:gridCol w:w="834"/>
        <w:gridCol w:w="1042"/>
        <w:gridCol w:w="746"/>
        <w:gridCol w:w="1176"/>
        <w:gridCol w:w="1742"/>
        <w:gridCol w:w="1620"/>
        <w:gridCol w:w="1916"/>
      </w:tblGrid>
      <w:tr>
        <w:tblPrEx>
          <w:shd w:val="clear" w:color="auto" w:fill="auto"/>
          <w:tblCellMar>
            <w:top w:w="0" w:type="dxa"/>
            <w:left w:w="0" w:type="dxa"/>
            <w:bottom w:w="0" w:type="dxa"/>
            <w:right w:w="0" w:type="dxa"/>
          </w:tblCellMar>
        </w:tblPrEx>
        <w:trPr>
          <w:trHeight w:val="555" w:hRule="atLeast"/>
        </w:trPr>
        <w:tc>
          <w:tcPr>
            <w:tcW w:w="9525" w:type="dxa"/>
            <w:gridSpan w:val="8"/>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b/>
                <w:bCs/>
                <w:sz w:val="32"/>
                <w:szCs w:val="32"/>
                <w:lang w:val="en-US" w:eastAsia="zh-CN"/>
              </w:rPr>
            </w:pPr>
            <w:r>
              <w:rPr>
                <w:rFonts w:hint="eastAsia"/>
                <w:b/>
                <w:bCs/>
                <w:sz w:val="32"/>
                <w:szCs w:val="32"/>
                <w:lang w:val="en-US" w:eastAsia="zh-CN"/>
              </w:rPr>
              <w:t>项目绩效目标完成情况表</w:t>
            </w:r>
          </w:p>
          <w:p>
            <w:pPr>
              <w:pStyle w:val="2"/>
              <w:ind w:firstLine="3534" w:firstLineChars="1100"/>
              <w:jc w:val="both"/>
              <w:rPr>
                <w:rFonts w:hint="eastAsia"/>
                <w:lang w:val="en-US" w:eastAsia="zh-CN"/>
              </w:rPr>
            </w:pPr>
            <w:r>
              <w:rPr>
                <w:rFonts w:hint="eastAsia" w:ascii="宋体" w:hAnsi="宋体" w:cs="宋体"/>
                <w:b/>
                <w:i w:val="0"/>
                <w:color w:val="auto"/>
                <w:sz w:val="32"/>
                <w:szCs w:val="32"/>
                <w:u w:val="none"/>
                <w:lang w:val="en-US" w:eastAsia="zh-CN"/>
              </w:rPr>
              <w:t>（2020年度）</w:t>
            </w:r>
          </w:p>
        </w:tc>
      </w:tr>
      <w:tr>
        <w:tblPrEx>
          <w:shd w:val="clear" w:color="auto" w:fill="auto"/>
          <w:tblCellMar>
            <w:top w:w="0" w:type="dxa"/>
            <w:left w:w="0" w:type="dxa"/>
            <w:bottom w:w="0" w:type="dxa"/>
            <w:right w:w="0" w:type="dxa"/>
          </w:tblCellMar>
        </w:tblPrEx>
        <w:trPr>
          <w:trHeight w:val="555" w:hRule="atLeast"/>
        </w:trPr>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项目名称</w:t>
            </w:r>
          </w:p>
        </w:tc>
        <w:tc>
          <w:tcPr>
            <w:tcW w:w="720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auto"/>
                <w:sz w:val="24"/>
                <w:szCs w:val="24"/>
                <w:u w:val="none"/>
                <w:lang w:eastAsia="zh-CN"/>
              </w:rPr>
            </w:pPr>
            <w:r>
              <w:rPr>
                <w:rFonts w:hint="eastAsia" w:ascii="宋体" w:hAnsi="宋体" w:cs="宋体"/>
                <w:b/>
                <w:i w:val="0"/>
                <w:color w:val="auto"/>
                <w:sz w:val="24"/>
                <w:szCs w:val="24"/>
                <w:u w:val="none"/>
                <w:lang w:eastAsia="zh-CN"/>
              </w:rPr>
              <w:t>一般行政管理事务、法制建设、普法宣传、法律援助、社区矫正</w:t>
            </w:r>
          </w:p>
        </w:tc>
      </w:tr>
      <w:tr>
        <w:tblPrEx>
          <w:shd w:val="clear" w:color="auto" w:fill="auto"/>
          <w:tblCellMar>
            <w:top w:w="0" w:type="dxa"/>
            <w:left w:w="0" w:type="dxa"/>
            <w:bottom w:w="0" w:type="dxa"/>
            <w:right w:w="0" w:type="dxa"/>
          </w:tblCellMar>
        </w:tblPrEx>
        <w:trPr>
          <w:trHeight w:val="555" w:hRule="atLeast"/>
        </w:trPr>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预算单位</w:t>
            </w:r>
          </w:p>
        </w:tc>
        <w:tc>
          <w:tcPr>
            <w:tcW w:w="720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auto"/>
                <w:sz w:val="24"/>
                <w:szCs w:val="24"/>
                <w:u w:val="none"/>
                <w:lang w:eastAsia="zh-CN"/>
              </w:rPr>
            </w:pPr>
            <w:r>
              <w:rPr>
                <w:rFonts w:hint="eastAsia" w:ascii="宋体" w:hAnsi="宋体" w:cs="宋体"/>
                <w:b/>
                <w:i w:val="0"/>
                <w:color w:val="auto"/>
                <w:sz w:val="24"/>
                <w:szCs w:val="24"/>
                <w:u w:val="none"/>
                <w:lang w:eastAsia="zh-CN"/>
              </w:rPr>
              <w:t>红原县司法局</w:t>
            </w:r>
          </w:p>
        </w:tc>
      </w:tr>
      <w:tr>
        <w:tblPrEx>
          <w:shd w:val="clear" w:color="auto" w:fill="auto"/>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预算执行情况(万元</w:t>
            </w: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预算数:</w:t>
            </w:r>
          </w:p>
        </w:tc>
        <w:tc>
          <w:tcPr>
            <w:tcW w:w="19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101.23</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执行数:</w:t>
            </w:r>
          </w:p>
        </w:tc>
        <w:tc>
          <w:tcPr>
            <w:tcW w:w="3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101.23</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0"/>
                <w:szCs w:val="20"/>
                <w:u w:val="none"/>
              </w:rPr>
            </w:pP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其中-财政拨款:</w:t>
            </w:r>
          </w:p>
        </w:tc>
        <w:tc>
          <w:tcPr>
            <w:tcW w:w="19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101.23</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其中-财政拨款:</w:t>
            </w:r>
          </w:p>
        </w:tc>
        <w:tc>
          <w:tcPr>
            <w:tcW w:w="3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101.23</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0"/>
                <w:szCs w:val="20"/>
                <w:u w:val="none"/>
              </w:rPr>
            </w:pP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其它资金:</w:t>
            </w:r>
          </w:p>
        </w:tc>
        <w:tc>
          <w:tcPr>
            <w:tcW w:w="19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auto"/>
                <w:sz w:val="24"/>
                <w:szCs w:val="24"/>
                <w:u w:val="none"/>
              </w:rPr>
            </w:pP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其它资金:</w:t>
            </w:r>
          </w:p>
        </w:tc>
        <w:tc>
          <w:tcPr>
            <w:tcW w:w="3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auto"/>
                <w:sz w:val="24"/>
                <w:szCs w:val="24"/>
                <w:u w:val="none"/>
              </w:rPr>
            </w:pPr>
          </w:p>
        </w:tc>
      </w:tr>
      <w:tr>
        <w:tblPrEx>
          <w:shd w:val="clear" w:color="auto" w:fill="auto"/>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年度目标完成情况</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预期目标</w:t>
            </w:r>
          </w:p>
        </w:tc>
        <w:tc>
          <w:tcPr>
            <w:tcW w:w="645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实际完成目标</w:t>
            </w:r>
          </w:p>
        </w:tc>
      </w:tr>
      <w:tr>
        <w:tblPrEx>
          <w:shd w:val="clear" w:color="auto" w:fill="auto"/>
          <w:tblCellMar>
            <w:top w:w="0" w:type="dxa"/>
            <w:left w:w="0" w:type="dxa"/>
            <w:bottom w:w="0" w:type="dxa"/>
            <w:right w:w="0"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0"/>
                <w:szCs w:val="20"/>
                <w:u w:val="none"/>
              </w:rPr>
            </w:pP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eastAsia="宋体"/>
                <w:color w:val="auto"/>
                <w:lang w:val="en-US" w:eastAsia="zh-CN"/>
              </w:rPr>
            </w:pPr>
            <w:r>
              <w:rPr>
                <w:rFonts w:ascii="宋体" w:hAnsi="宋体" w:cs="宋体"/>
                <w:b/>
                <w:color w:val="auto"/>
                <w:sz w:val="24"/>
              </w:rPr>
              <w:t>保障业务费和装备购置费</w:t>
            </w:r>
            <w:r>
              <w:rPr>
                <w:rFonts w:hint="eastAsia" w:ascii="宋体" w:hAnsi="宋体" w:cs="宋体"/>
                <w:b/>
                <w:color w:val="auto"/>
                <w:sz w:val="24"/>
                <w:lang w:eastAsia="zh-CN"/>
              </w:rPr>
              <w:t>顺利实施</w:t>
            </w:r>
          </w:p>
          <w:p>
            <w:pPr>
              <w:pStyle w:val="2"/>
              <w:rPr>
                <w:rFonts w:hint="default"/>
                <w:color w:val="auto"/>
                <w:lang w:val="en-US" w:eastAsia="zh-CN"/>
              </w:rPr>
            </w:pPr>
          </w:p>
        </w:tc>
        <w:tc>
          <w:tcPr>
            <w:tcW w:w="645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b/>
                <w:i w:val="0"/>
                <w:color w:val="auto"/>
                <w:sz w:val="24"/>
                <w:szCs w:val="24"/>
                <w:u w:val="none"/>
                <w:lang w:val="en-US" w:eastAsia="zh-CN"/>
              </w:rPr>
            </w:pPr>
            <w:r>
              <w:rPr>
                <w:rFonts w:hint="eastAsia" w:ascii="宋体" w:hAnsi="宋体" w:cs="宋体"/>
                <w:b/>
                <w:color w:val="auto"/>
                <w:sz w:val="24"/>
                <w:lang w:eastAsia="zh-CN"/>
              </w:rPr>
              <w:t>业务经费及装备购置费</w:t>
            </w:r>
            <w:r>
              <w:rPr>
                <w:rFonts w:hint="eastAsia" w:ascii="宋体" w:hAnsi="宋体" w:cs="宋体"/>
                <w:b/>
                <w:color w:val="auto"/>
                <w:sz w:val="24"/>
              </w:rPr>
              <w:t>使用规范、合理，进一步提升了</w:t>
            </w:r>
            <w:r>
              <w:rPr>
                <w:rFonts w:hint="eastAsia" w:ascii="宋体" w:hAnsi="宋体" w:cs="宋体"/>
                <w:b/>
                <w:color w:val="auto"/>
                <w:sz w:val="24"/>
                <w:lang w:eastAsia="zh-CN"/>
              </w:rPr>
              <w:t>工作效率，顺利完成各项目标</w:t>
            </w:r>
            <w:r>
              <w:rPr>
                <w:rFonts w:hint="eastAsia" w:ascii="宋体" w:hAnsi="宋体" w:cs="宋体"/>
                <w:b/>
                <w:color w:val="auto"/>
                <w:sz w:val="24"/>
              </w:rPr>
              <w:t>。</w:t>
            </w:r>
          </w:p>
        </w:tc>
      </w:tr>
      <w:tr>
        <w:tblPrEx>
          <w:shd w:val="clear" w:color="auto" w:fill="auto"/>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 name="直接连接符_10"/>
                  <wp:cNvGraphicFramePr/>
                  <a:graphic xmlns:a="http://schemas.openxmlformats.org/drawingml/2006/main">
                    <a:graphicData uri="http://schemas.openxmlformats.org/drawingml/2006/picture">
                      <pic:pic xmlns:pic="http://schemas.openxmlformats.org/drawingml/2006/picture">
                        <pic:nvPicPr>
                          <pic:cNvPr id="1"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 name="直接连接符_8"/>
                  <wp:cNvGraphicFramePr/>
                  <a:graphic xmlns:a="http://schemas.openxmlformats.org/drawingml/2006/main">
                    <a:graphicData uri="http://schemas.openxmlformats.org/drawingml/2006/picture">
                      <pic:pic xmlns:pic="http://schemas.openxmlformats.org/drawingml/2006/picture">
                        <pic:nvPicPr>
                          <pic:cNvPr id="2"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 name="直接连接符_9"/>
                  <wp:cNvGraphicFramePr/>
                  <a:graphic xmlns:a="http://schemas.openxmlformats.org/drawingml/2006/main">
                    <a:graphicData uri="http://schemas.openxmlformats.org/drawingml/2006/picture">
                      <pic:pic xmlns:pic="http://schemas.openxmlformats.org/drawingml/2006/picture">
                        <pic:nvPicPr>
                          <pic:cNvPr id="3"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 name="直接连接符_7"/>
                  <wp:cNvGraphicFramePr/>
                  <a:graphic xmlns:a="http://schemas.openxmlformats.org/drawingml/2006/main">
                    <a:graphicData uri="http://schemas.openxmlformats.org/drawingml/2006/picture">
                      <pic:pic xmlns:pic="http://schemas.openxmlformats.org/drawingml/2006/picture">
                        <pic:nvPicPr>
                          <pic:cNvPr id="4"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lang w:val="en-US" w:eastAsia="zh-CN" w:bidi="ar"/>
              </w:rPr>
              <w:t>一级指标</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二级指标</w:t>
            </w: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三级指标</w:t>
            </w:r>
          </w:p>
        </w:tc>
        <w:tc>
          <w:tcPr>
            <w:tcW w:w="29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指标评价内容</w:t>
            </w: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预期指标值(包含数字及文字描述)</w:t>
            </w:r>
          </w:p>
        </w:tc>
        <w:tc>
          <w:tcPr>
            <w:tcW w:w="19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实际完成指标值(包含数字及文字描述)</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2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r>
      <w:tr>
        <w:tblPrEx>
          <w:shd w:val="clear" w:color="auto" w:fill="auto"/>
          <w:tblCellMar>
            <w:top w:w="0" w:type="dxa"/>
            <w:left w:w="0" w:type="dxa"/>
            <w:bottom w:w="0" w:type="dxa"/>
            <w:right w:w="0"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2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r>
      <w:tr>
        <w:tblPrEx>
          <w:shd w:val="clear" w:color="auto" w:fill="auto"/>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项目决策</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绩效目标</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目标内容</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项目预期提供的产品、服务、效益或其他目标明确,即绩效目标实际明确个数/应当明确个数×100%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tblPrEx>
          <w:shd w:val="clear" w:color="auto" w:fill="auto"/>
          <w:tblCellMar>
            <w:top w:w="0" w:type="dxa"/>
            <w:left w:w="0" w:type="dxa"/>
            <w:bottom w:w="0" w:type="dxa"/>
            <w:right w:w="0"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进度计划</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项目计划实施进度明确</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明确</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both"/>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明确</w:t>
            </w:r>
          </w:p>
          <w:p>
            <w:pPr>
              <w:jc w:val="center"/>
              <w:rPr>
                <w:rFonts w:hint="eastAsia" w:ascii="宋体" w:hAnsi="宋体" w:cs="宋体"/>
                <w:i w:val="0"/>
                <w:color w:val="auto"/>
                <w:sz w:val="20"/>
                <w:szCs w:val="20"/>
                <w:u w:val="none"/>
                <w:lang w:val="en-US" w:eastAsia="zh-CN"/>
              </w:rPr>
            </w:pPr>
          </w:p>
        </w:tc>
      </w:tr>
      <w:tr>
        <w:tblPrEx>
          <w:shd w:val="clear" w:color="auto" w:fill="auto"/>
          <w:tblCellMar>
            <w:top w:w="0" w:type="dxa"/>
            <w:left w:w="0" w:type="dxa"/>
            <w:bottom w:w="0" w:type="dxa"/>
            <w:right w:w="0"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目标匹配</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绩效目标设定符合实际需求的抽样项目点个数/抽样项目点总数×100%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tblPrEx>
          <w:shd w:val="clear" w:color="auto" w:fill="auto"/>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决策依据</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政策依据</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项目符合党中央、国务院和省委、省政府决策部署；符合当前经济社会发展需要</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实施规划</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连续性项目根据需要制定中长期实施规划</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有</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有</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实施规划符合实际，并根据情况变化适时调整</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管理制度</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制定项目资金管理办法</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有</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有</w:t>
            </w:r>
          </w:p>
        </w:tc>
      </w:tr>
      <w:tr>
        <w:tblPrEx>
          <w:shd w:val="clear" w:color="auto" w:fill="auto"/>
          <w:tblCellMar>
            <w:top w:w="0" w:type="dxa"/>
            <w:left w:w="0" w:type="dxa"/>
            <w:bottom w:w="0" w:type="dxa"/>
            <w:right w:w="0"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项目资金分配决策程序明确</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明确</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明确</w:t>
            </w:r>
          </w:p>
        </w:tc>
      </w:tr>
      <w:tr>
        <w:tblPrEx>
          <w:shd w:val="clear" w:color="auto" w:fill="auto"/>
          <w:tblCellMar>
            <w:top w:w="0" w:type="dxa"/>
            <w:left w:w="0" w:type="dxa"/>
            <w:bottom w:w="0" w:type="dxa"/>
            <w:right w:w="0"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资金分配</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分配方法</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资金分配方法是否科学合理</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是</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分配过程</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分配过程符合相关规定</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tblPrEx>
          <w:shd w:val="clear" w:color="auto" w:fill="auto"/>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分配结果</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审核把关</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符合申报条件的抽样项目点个数/抽样项目点总数×100%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tblPrEx>
          <w:shd w:val="clear" w:color="auto" w:fill="auto"/>
          <w:tblCellMar>
            <w:top w:w="0" w:type="dxa"/>
            <w:left w:w="0" w:type="dxa"/>
            <w:bottom w:w="0" w:type="dxa"/>
            <w:right w:w="0"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资金集中</w:t>
            </w: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集中</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财政资金占项目资金总额比重较小项目个数/项目总数×100%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tblPrEx>
          <w:shd w:val="clear" w:color="auto" w:fill="auto"/>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（均衡）</w:t>
            </w: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均衡</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按实际分配结果选择客观因素测算验证资金分配方法制定、分配要素设定、基础数据应用、测算依据选取等是否科学合理（2分）</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合理</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合理</w:t>
            </w:r>
          </w:p>
        </w:tc>
      </w:tr>
      <w:tr>
        <w:tblPrEx>
          <w:shd w:val="clear" w:color="auto" w:fill="auto"/>
          <w:tblCellMar>
            <w:top w:w="0" w:type="dxa"/>
            <w:left w:w="0" w:type="dxa"/>
            <w:bottom w:w="0" w:type="dxa"/>
            <w:right w:w="0"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项目管理</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 资金到位</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分配时效</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县级主管部门按规定及时分配资金</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及时</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及时</w:t>
            </w:r>
          </w:p>
        </w:tc>
      </w:tr>
      <w:tr>
        <w:tblPrEx>
          <w:shd w:val="clear" w:color="auto" w:fill="auto"/>
          <w:tblCellMar>
            <w:top w:w="0" w:type="dxa"/>
            <w:left w:w="0" w:type="dxa"/>
            <w:bottom w:w="0" w:type="dxa"/>
            <w:right w:w="0"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资金拨付</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按规定及时拨付资金</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及时</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及时</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资金管理  </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使用范围</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资金使用是否合规</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是</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支付依据</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资金支付依据符合规定，即支付依旧合规资金量/资金总量×100%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cs="宋体"/>
                <w:i w:val="0"/>
                <w:color w:val="auto"/>
                <w:sz w:val="20"/>
                <w:szCs w:val="20"/>
                <w:u w:val="none"/>
                <w:lang w:val="en-US" w:eastAsia="zh-CN"/>
              </w:rPr>
            </w:pPr>
          </w:p>
          <w:p>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开支标准</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资金开支标准符合规定，即开支标准合规资金量/资金总量×100%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tblPrEx>
          <w:shd w:val="clear" w:color="auto" w:fill="auto"/>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财务管理</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财务制度</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财务制度健全，管理规范</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规范</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规范</w:t>
            </w:r>
          </w:p>
        </w:tc>
      </w:tr>
      <w:tr>
        <w:tblPrEx>
          <w:shd w:val="clear" w:color="auto" w:fill="auto"/>
          <w:tblCellMar>
            <w:top w:w="0" w:type="dxa"/>
            <w:left w:w="0" w:type="dxa"/>
            <w:bottom w:w="0" w:type="dxa"/>
            <w:right w:w="0" w:type="dxa"/>
          </w:tblCellMar>
        </w:tblPrEx>
        <w:trPr>
          <w:trHeight w:val="689"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会计核算</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会计核算规范</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规范</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cs="宋体"/>
                <w:i w:val="0"/>
                <w:color w:val="auto"/>
                <w:sz w:val="20"/>
                <w:szCs w:val="20"/>
                <w:u w:val="none"/>
                <w:lang w:val="en-US" w:eastAsia="zh-CN"/>
              </w:rPr>
            </w:pPr>
          </w:p>
          <w:p>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规范</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组织实施（4分）</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项目调整</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项目调整严格履行相关手续</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履行</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履行</w:t>
            </w:r>
          </w:p>
        </w:tc>
      </w:tr>
      <w:tr>
        <w:tblPrEx>
          <w:shd w:val="clear" w:color="auto" w:fill="auto"/>
          <w:tblCellMar>
            <w:top w:w="0" w:type="dxa"/>
            <w:left w:w="0" w:type="dxa"/>
            <w:bottom w:w="0" w:type="dxa"/>
            <w:right w:w="0"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投资变更</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项目投资变更额/项目总投入×100%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否</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否</w:t>
            </w:r>
          </w:p>
        </w:tc>
      </w:tr>
      <w:tr>
        <w:tblPrEx>
          <w:shd w:val="clear" w:color="auto" w:fill="auto"/>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制度执行</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严格执行项目有关制度规定</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严格</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严格</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5" name="直接连接符_6"/>
                  <wp:cNvGraphicFramePr/>
                  <a:graphic xmlns:a="http://schemas.openxmlformats.org/drawingml/2006/main">
                    <a:graphicData uri="http://schemas.openxmlformats.org/drawingml/2006/picture">
                      <pic:pic xmlns:pic="http://schemas.openxmlformats.org/drawingml/2006/picture">
                        <pic:nvPicPr>
                          <pic:cNvPr id="5"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宋体" w:hAnsi="宋体" w:eastAsia="宋体" w:cs="宋体"/>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6" name="直接连接符_5"/>
                  <wp:cNvGraphicFramePr/>
                  <a:graphic xmlns:a="http://schemas.openxmlformats.org/drawingml/2006/main">
                    <a:graphicData uri="http://schemas.openxmlformats.org/drawingml/2006/picture">
                      <pic:pic xmlns:pic="http://schemas.openxmlformats.org/drawingml/2006/picture">
                        <pic:nvPicPr>
                          <pic:cNvPr id="6"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color w:val="auto"/>
                <w:kern w:val="0"/>
                <w:sz w:val="20"/>
                <w:szCs w:val="20"/>
                <w:u w:val="none"/>
                <w:lang w:val="en-US" w:eastAsia="zh-CN" w:bidi="ar"/>
              </w:rPr>
              <w:t>项目绩效</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项目完成</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完成数量</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实际完成任务量/绩效目标设定任务量×100%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完成质量</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符合绩效目标设定的验收标准，达到行业基准水平</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tblPrEx>
          <w:shd w:val="clear" w:color="auto" w:fill="auto"/>
          <w:tblCellMar>
            <w:top w:w="0" w:type="dxa"/>
            <w:left w:w="0" w:type="dxa"/>
            <w:bottom w:w="0" w:type="dxa"/>
            <w:right w:w="0" w:type="dxa"/>
          </w:tblCellMar>
        </w:tblPrEx>
        <w:trPr>
          <w:trHeight w:val="8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完成时效</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（实际完成时间-绩效目标设定完成时间）/绩效目标设定完成时间×100%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rPr>
            </w:pPr>
            <w:r>
              <w:rPr>
                <w:rFonts w:hint="eastAsia" w:ascii="宋体" w:hAnsi="宋体" w:cs="宋体"/>
                <w:i w:val="0"/>
                <w:color w:val="auto"/>
                <w:sz w:val="20"/>
                <w:szCs w:val="20"/>
                <w:u w:val="none"/>
                <w:lang w:val="en-US" w:eastAsia="zh-CN"/>
              </w:rPr>
              <w:t>及时</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及时</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完成成本</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（实际完成成本-预计完成成本）/预计完成成本×100%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rPr>
            </w:pPr>
            <w:r>
              <w:rPr>
                <w:rFonts w:hint="eastAsia" w:ascii="宋体" w:hAnsi="宋体" w:cs="宋体"/>
                <w:i w:val="0"/>
                <w:color w:val="auto"/>
                <w:sz w:val="20"/>
                <w:szCs w:val="20"/>
                <w:u w:val="none"/>
                <w:lang w:val="en-US"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tblPrEx>
          <w:shd w:val="clear" w:color="auto" w:fill="auto"/>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项目效益</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经济效益</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反映相关产出对经济社会发展带来的影响和效果，根据项目实际细化具体指标。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tblPrEx>
          <w:shd w:val="clear" w:color="auto" w:fill="auto"/>
          <w:tblCellMar>
            <w:top w:w="0" w:type="dxa"/>
            <w:left w:w="0" w:type="dxa"/>
            <w:bottom w:w="0" w:type="dxa"/>
            <w:right w:w="0"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社会效益</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反映相关产出对社会发展带来的影响和效果，根据项目实际细化具体指标。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生态效益</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反映相关产出对自然环境带来的影响和效果，根据项目实际细化具体指标。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tblPrEx>
          <w:tblCellMar>
            <w:top w:w="0" w:type="dxa"/>
            <w:left w:w="0" w:type="dxa"/>
            <w:bottom w:w="0" w:type="dxa"/>
            <w:right w:w="0" w:type="dxa"/>
          </w:tblCellMar>
        </w:tblPrEx>
        <w:trPr>
          <w:trHeight w:val="76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可持续效益</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反映相关产出带来影响的可持续期限，根据项目实际细化具体指标。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tblPrEx>
          <w:tblCellMar>
            <w:top w:w="0" w:type="dxa"/>
            <w:left w:w="0" w:type="dxa"/>
            <w:bottom w:w="0" w:type="dxa"/>
            <w:right w:w="0"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满意度</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服务对象满意度</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反映服务对象或项目受益人对相关产出及其影响的认可程度，根据项目实际细化具体指标。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满意</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满意</w:t>
            </w:r>
          </w:p>
        </w:tc>
      </w:tr>
    </w:tbl>
    <w:p>
      <w:pPr>
        <w:numPr>
          <w:ilvl w:val="0"/>
          <w:numId w:val="0"/>
        </w:numPr>
        <w:spacing w:line="580" w:lineRule="exact"/>
        <w:rPr>
          <w:rFonts w:hint="eastAsia" w:ascii="仿宋" w:hAnsi="仿宋" w:eastAsia="仿宋" w:cs="楷体_GB2312"/>
          <w:b/>
          <w:bCs/>
          <w:color w:val="auto"/>
          <w:sz w:val="32"/>
          <w:szCs w:val="32"/>
        </w:rPr>
      </w:pPr>
    </w:p>
    <w:p>
      <w:pPr>
        <w:pStyle w:val="2"/>
        <w:numPr>
          <w:ilvl w:val="0"/>
          <w:numId w:val="0"/>
        </w:numPr>
        <w:ind w:leftChars="400" w:right="0" w:rightChars="0"/>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numPr>
          <w:ilvl w:val="0"/>
          <w:numId w:val="8"/>
        </w:numPr>
        <w:spacing w:line="580" w:lineRule="exact"/>
        <w:ind w:left="63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部门绩效评价结果。</w:t>
      </w:r>
    </w:p>
    <w:p>
      <w:pPr>
        <w:pageBreakBefore w:val="0"/>
        <w:kinsoku/>
        <w:wordWrap/>
        <w:overflowPunct/>
        <w:topLinePunct w:val="0"/>
        <w:bidi w:val="0"/>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本部门按要求对20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年部门整体支出绩效评价情况开展自评，《</w:t>
      </w:r>
      <w:r>
        <w:rPr>
          <w:rFonts w:hint="eastAsia" w:ascii="仿宋_GB2312" w:hAnsi="仿宋_GB2312" w:eastAsia="仿宋_GB2312" w:cs="仿宋_GB2312"/>
          <w:color w:val="auto"/>
          <w:sz w:val="32"/>
          <w:szCs w:val="32"/>
          <w:lang w:eastAsia="zh-CN"/>
        </w:rPr>
        <w:t>司法局</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年部门整体支出绩效评价报告》见附件</w:t>
      </w: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p>
    <w:p>
      <w:pPr>
        <w:pageBreakBefore w:val="0"/>
        <w:kinsoku/>
        <w:wordWrap/>
        <w:overflowPunct/>
        <w:topLinePunct w:val="0"/>
        <w:bidi w:val="0"/>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w:t>
      </w:r>
      <w:r>
        <w:rPr>
          <w:rFonts w:hint="eastAsia" w:ascii="仿宋_GB2312" w:hAnsi="仿宋_GB2312" w:eastAsia="仿宋_GB2312" w:cs="仿宋_GB2312"/>
          <w:color w:val="auto"/>
          <w:sz w:val="32"/>
          <w:szCs w:val="32"/>
          <w:lang w:eastAsia="zh-CN"/>
        </w:rPr>
        <w:t>自行组织</w:t>
      </w:r>
      <w:r>
        <w:rPr>
          <w:rFonts w:hint="eastAsia" w:ascii="仿宋_GB2312" w:hAnsi="仿宋_GB2312" w:eastAsia="仿宋_GB2312" w:cs="仿宋_GB2312"/>
          <w:color w:val="auto"/>
          <w:sz w:val="32"/>
          <w:szCs w:val="32"/>
        </w:rPr>
        <w:t>对</w:t>
      </w:r>
      <w:r>
        <w:rPr>
          <w:rFonts w:hint="eastAsia" w:ascii="仿宋_GB2312" w:hAnsi="仿宋_GB2312" w:eastAsia="仿宋_GB2312" w:cs="仿宋_GB2312"/>
          <w:color w:val="auto"/>
          <w:sz w:val="32"/>
          <w:szCs w:val="32"/>
          <w:lang w:eastAsia="zh-CN"/>
        </w:rPr>
        <w:t>普法宣传项目开展了绩效评价，</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普法宣传项目</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年绩效评价报告》见附件</w:t>
      </w: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p>
    <w:p>
      <w:pPr>
        <w:pStyle w:val="2"/>
        <w:numPr>
          <w:ilvl w:val="0"/>
          <w:numId w:val="0"/>
        </w:numPr>
        <w:ind w:leftChars="400" w:right="0" w:rightChars="0"/>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9"/>
        </w:numPr>
        <w:spacing w:line="600" w:lineRule="exact"/>
        <w:ind w:firstLine="660" w:firstLineChars="150"/>
        <w:jc w:val="center"/>
        <w:outlineLvl w:val="0"/>
        <w:rPr>
          <w:rStyle w:val="25"/>
          <w:rFonts w:ascii="黑体" w:hAnsi="黑体" w:eastAsia="黑体"/>
          <w:b w:val="0"/>
        </w:rPr>
      </w:pPr>
      <w:bookmarkStart w:id="105" w:name="_Toc15396613"/>
      <w:bookmarkStart w:id="106" w:name="_Toc15377225"/>
      <w:bookmarkStart w:id="107" w:name="_Toc79163629"/>
      <w:bookmarkStart w:id="108" w:name="_Toc79163879"/>
      <w:r>
        <w:rPr>
          <w:rFonts w:hint="eastAsia" w:ascii="黑体" w:hAnsi="黑体" w:eastAsia="黑体"/>
          <w:color w:val="000000"/>
          <w:sz w:val="44"/>
          <w:szCs w:val="44"/>
        </w:rPr>
        <w:t>名</w:t>
      </w:r>
      <w:r>
        <w:rPr>
          <w:rStyle w:val="25"/>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lang w:eastAsia="zh-CN"/>
        </w:rPr>
        <w:t>.</w:t>
      </w:r>
      <w:r>
        <w:rPr>
          <w:rFonts w:hint="eastAsia" w:ascii="仿宋_GB2312" w:eastAsia="仿宋_GB2312"/>
          <w:sz w:val="32"/>
          <w:szCs w:val="32"/>
        </w:rPr>
        <w:t>年末结转和结余：指单位按有关规定结转到下年或以后年度继续使用的资金。</w:t>
      </w:r>
    </w:p>
    <w:p>
      <w:pPr>
        <w:pStyle w:val="35"/>
        <w:spacing w:line="560" w:lineRule="exact"/>
        <w:ind w:firstLine="640" w:firstLineChars="200"/>
        <w:rPr>
          <w:rFonts w:hint="eastAsia" w:ascii="仿宋_GB2312" w:hAnsi="仿宋_GB2312" w:eastAsia="仿宋_GB2312" w:cs="仿宋_GB2312"/>
          <w:color w:val="auto"/>
          <w:sz w:val="32"/>
          <w:szCs w:val="32"/>
          <w:lang w:val="en-US" w:eastAsia="zh-CN"/>
        </w:rPr>
      </w:pPr>
      <w:r>
        <w:rPr>
          <w:rFonts w:ascii="仿宋_GB2312" w:eastAsia="仿宋_GB2312"/>
          <w:color w:val="000000"/>
          <w:sz w:val="32"/>
          <w:szCs w:val="32"/>
        </w:rPr>
        <w:t>9.</w:t>
      </w:r>
      <w:r>
        <w:rPr>
          <w:rFonts w:hint="eastAsia" w:ascii="仿宋_GB2312" w:hAnsi="仿宋_GB2312" w:eastAsia="仿宋_GB2312" w:cs="仿宋_GB2312"/>
          <w:color w:val="auto"/>
          <w:sz w:val="32"/>
          <w:szCs w:val="32"/>
          <w:lang w:val="en-US" w:eastAsia="zh-CN"/>
        </w:rPr>
        <w:t>公共安全支出：反映政府维护社会公共安全方面的支出。</w:t>
      </w:r>
    </w:p>
    <w:p>
      <w:pPr>
        <w:pStyle w:val="2"/>
        <w:ind w:left="0" w:leftChars="0" w:firstLine="640" w:firstLineChars="200"/>
        <w:rPr>
          <w:rFonts w:ascii="仿宋_GB2312" w:eastAsia="仿宋_GB2312"/>
          <w:color w:val="auto"/>
          <w:sz w:val="32"/>
          <w:szCs w:val="32"/>
        </w:rPr>
      </w:pPr>
      <w:r>
        <w:rPr>
          <w:rFonts w:hint="eastAsia" w:ascii="仿宋_GB2312" w:hAnsi="仿宋_GB2312" w:eastAsia="仿宋_GB2312" w:cs="仿宋_GB2312"/>
          <w:color w:val="auto"/>
          <w:sz w:val="32"/>
          <w:szCs w:val="32"/>
          <w:lang w:val="en-US" w:eastAsia="zh-CN"/>
        </w:rPr>
        <w:t>10.行政运行：</w:t>
      </w:r>
      <w:r>
        <w:rPr>
          <w:rFonts w:hint="eastAsia" w:ascii="仿宋_GB2312" w:eastAsia="仿宋_GB2312"/>
          <w:color w:val="auto"/>
          <w:sz w:val="32"/>
          <w:szCs w:val="32"/>
          <w:lang w:eastAsia="zh-CN"/>
        </w:rPr>
        <w:t>行政运行</w:t>
      </w:r>
      <w:r>
        <w:rPr>
          <w:rFonts w:hint="eastAsia" w:ascii="仿宋_GB2312" w:eastAsia="仿宋_GB2312"/>
          <w:color w:val="auto"/>
          <w:sz w:val="32"/>
          <w:szCs w:val="32"/>
        </w:rPr>
        <w:t>：指</w:t>
      </w:r>
      <w:r>
        <w:rPr>
          <w:rFonts w:hint="eastAsia" w:ascii="仿宋_GB2312" w:eastAsia="仿宋_GB2312"/>
          <w:color w:val="auto"/>
          <w:sz w:val="32"/>
          <w:szCs w:val="32"/>
          <w:lang w:eastAsia="zh-CN"/>
        </w:rPr>
        <w:t>行政单位（包括实行公务员管理的事业单位）的基本支出</w:t>
      </w:r>
      <w:r>
        <w:rPr>
          <w:rFonts w:hint="eastAsia" w:ascii="仿宋_GB2312" w:eastAsia="仿宋_GB2312"/>
          <w:color w:val="auto"/>
          <w:sz w:val="32"/>
          <w:szCs w:val="32"/>
        </w:rPr>
        <w:t>。</w:t>
      </w:r>
    </w:p>
    <w:p>
      <w:pPr>
        <w:pStyle w:val="35"/>
        <w:spacing w:line="560" w:lineRule="exact"/>
        <w:ind w:firstLine="640" w:firstLineChars="200"/>
        <w:rPr>
          <w:rFonts w:hint="eastAsia" w:ascii="仿宋_GB2312" w:eastAsia="仿宋_GB2312"/>
          <w:color w:val="auto"/>
          <w:sz w:val="32"/>
          <w:szCs w:val="32"/>
        </w:rPr>
      </w:pPr>
      <w:r>
        <w:rPr>
          <w:rFonts w:hint="eastAsia" w:ascii="仿宋_GB2312" w:hAnsi="仿宋_GB2312" w:eastAsia="仿宋_GB2312" w:cs="仿宋_GB2312"/>
          <w:color w:val="auto"/>
          <w:sz w:val="32"/>
          <w:szCs w:val="32"/>
          <w:lang w:val="en-US" w:eastAsia="zh-CN"/>
        </w:rPr>
        <w:t>11.</w:t>
      </w:r>
      <w:r>
        <w:rPr>
          <w:rFonts w:hint="eastAsia" w:ascii="仿宋_GB2312" w:eastAsia="仿宋_GB2312"/>
          <w:color w:val="auto"/>
          <w:sz w:val="32"/>
          <w:szCs w:val="32"/>
          <w:lang w:eastAsia="zh-CN"/>
        </w:rPr>
        <w:t>一般行政管理事务</w:t>
      </w:r>
      <w:r>
        <w:rPr>
          <w:rFonts w:hint="eastAsia" w:ascii="仿宋_GB2312" w:eastAsia="仿宋_GB2312"/>
          <w:color w:val="auto"/>
          <w:sz w:val="32"/>
          <w:szCs w:val="32"/>
        </w:rPr>
        <w:t>：指</w:t>
      </w:r>
      <w:r>
        <w:rPr>
          <w:rFonts w:hint="eastAsia" w:ascii="仿宋_GB2312" w:eastAsia="仿宋_GB2312"/>
          <w:color w:val="auto"/>
          <w:sz w:val="32"/>
          <w:szCs w:val="32"/>
          <w:lang w:eastAsia="zh-CN"/>
        </w:rPr>
        <w:t>行政单位（包括实行公务员管理的事业单位）未单独设置项级科目的其他项目支出</w:t>
      </w:r>
      <w:r>
        <w:rPr>
          <w:rFonts w:hint="eastAsia" w:ascii="仿宋_GB2312" w:eastAsia="仿宋_GB2312"/>
          <w:color w:val="auto"/>
          <w:sz w:val="32"/>
          <w:szCs w:val="32"/>
        </w:rPr>
        <w:t>。</w:t>
      </w:r>
    </w:p>
    <w:p>
      <w:pPr>
        <w:pStyle w:val="35"/>
        <w:spacing w:line="56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12.基层司法业务：反映各级司法行政部门用于基础业务的支出。</w:t>
      </w:r>
    </w:p>
    <w:p>
      <w:pPr>
        <w:pStyle w:val="35"/>
        <w:spacing w:line="56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13.普法宣传：反映各级司法行政部门用于组织各种媒体的宣传、普法装备与设施、宣传资料等支出。</w:t>
      </w:r>
    </w:p>
    <w:p>
      <w:pPr>
        <w:pStyle w:val="35"/>
        <w:spacing w:line="56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14.法律援助：指各级法律援助机构用于开展法律援助工作的支出。</w:t>
      </w:r>
    </w:p>
    <w:p>
      <w:pPr>
        <w:pStyle w:val="35"/>
        <w:spacing w:line="56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15.社区矫正：反映各级司法行政部门用于社区矫正的支出。</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16.社会保障和就业（类）行政事业单位离退休（款）机关事业单位基本养老保险缴费支出（项）：反映机关事业单位实施养老保险制度由单位缴纳的基本养老保险费支出。</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17.社会保障和就业（类）行政事业单位离退休（款）机关事业单位职业年金缴费支出（项）: 反映机关事业单位实施养老保险制度由单位实际缴纳的职业年金支出。</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18.医疗卫生与计划生育（类）行政事业单位医疗（款）行政单位医疗（项）: 反映财政部门集中安排的行政单位基本医疗保险缴费经费，未参加医疗保险的行政单位的公费医疗经费，按国家规定享受离休人员待遇的医疗经费。</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color w:val="auto"/>
          <w:sz w:val="32"/>
          <w:szCs w:val="32"/>
        </w:rPr>
        <w:t>.住房保障支出（类）住房改革支出（款）住房公积金（项）: 反映行政事业单位按人力资源和社会保障部、财政部规定的基本工资和津贴补贴以及规定比例为职工缴纳的住房公积金。</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.基本支出：指为保障机构正常运转、完成日常工作任务而发生的人员支出和公用支出。</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 xml:space="preserve">.项目支出：指在基本支出之外为完成特定行政任务和事业发展目标所发生的支出。 </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.经营支出：指事业单位在专业业务活动及其辅助活动之外开展非独立核算经营活动发生的支出。</w:t>
      </w:r>
    </w:p>
    <w:p>
      <w:pPr>
        <w:pStyle w:val="35"/>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both"/>
        <w:outlineLvl w:val="0"/>
        <w:rPr>
          <w:rFonts w:hint="eastAsia" w:ascii="黑体" w:hAnsi="黑体" w:eastAsia="黑体"/>
          <w:color w:val="auto"/>
          <w:sz w:val="44"/>
          <w:szCs w:val="44"/>
        </w:rPr>
      </w:pPr>
    </w:p>
    <w:p>
      <w:pPr>
        <w:spacing w:line="600" w:lineRule="exact"/>
        <w:ind w:firstLine="640"/>
        <w:rPr>
          <w:rFonts w:ascii="仿宋" w:hAnsi="仿宋" w:eastAsia="仿宋"/>
          <w:b/>
          <w:color w:val="000000"/>
          <w:sz w:val="32"/>
          <w:szCs w:val="32"/>
        </w:rPr>
      </w:pPr>
    </w:p>
    <w:p>
      <w:pPr>
        <w:numPr>
          <w:ilvl w:val="0"/>
          <w:numId w:val="9"/>
        </w:numPr>
        <w:spacing w:line="600" w:lineRule="exact"/>
        <w:ind w:left="0" w:leftChars="0" w:firstLine="660" w:firstLineChars="150"/>
        <w:jc w:val="center"/>
        <w:outlineLvl w:val="0"/>
        <w:rPr>
          <w:rStyle w:val="25"/>
          <w:rFonts w:hint="eastAsia" w:ascii="黑体" w:hAnsi="黑体" w:eastAsia="黑体"/>
          <w:b w:val="0"/>
        </w:rPr>
      </w:pPr>
      <w:bookmarkStart w:id="109" w:name="_Toc15396614"/>
      <w:bookmarkStart w:id="110" w:name="_Toc79163630"/>
      <w:bookmarkStart w:id="111" w:name="_Toc79163880"/>
      <w:bookmarkStart w:id="112" w:name="_Toc15377226"/>
      <w:r>
        <w:rPr>
          <w:rStyle w:val="25"/>
          <w:rFonts w:hint="eastAsia" w:ascii="黑体" w:hAnsi="黑体" w:eastAsia="黑体"/>
          <w:b w:val="0"/>
        </w:rPr>
        <w:t>附件</w:t>
      </w:r>
      <w:bookmarkEnd w:id="109"/>
      <w:bookmarkEnd w:id="110"/>
      <w:bookmarkEnd w:id="111"/>
    </w:p>
    <w:p>
      <w:pPr>
        <w:numPr>
          <w:ilvl w:val="0"/>
          <w:numId w:val="0"/>
        </w:numPr>
        <w:spacing w:line="600" w:lineRule="exact"/>
        <w:jc w:val="both"/>
        <w:outlineLvl w:val="0"/>
        <w:rPr>
          <w:rStyle w:val="40"/>
          <w:rFonts w:ascii="仿宋" w:hAnsi="仿宋" w:eastAsia="仿宋"/>
          <w:b w:val="0"/>
          <w:bCs w:val="0"/>
          <w:color w:val="auto"/>
          <w:sz w:val="32"/>
          <w:szCs w:val="32"/>
        </w:rPr>
      </w:pPr>
      <w:r>
        <w:rPr>
          <w:rStyle w:val="40"/>
          <w:rFonts w:hint="eastAsia" w:ascii="仿宋" w:hAnsi="仿宋" w:eastAsia="仿宋"/>
          <w:b w:val="0"/>
          <w:bCs w:val="0"/>
          <w:color w:val="auto"/>
          <w:sz w:val="32"/>
          <w:szCs w:val="32"/>
        </w:rPr>
        <w:t>附件1</w:t>
      </w:r>
    </w:p>
    <w:p>
      <w:pPr>
        <w:jc w:val="both"/>
        <w:rPr>
          <w:rFonts w:hint="eastAsia" w:ascii="方正小标宋简体" w:hAnsi="方正小标宋简体" w:eastAsia="方正小标宋简体" w:cs="方正小标宋简体"/>
          <w:b/>
          <w:bCs/>
          <w:color w:val="auto"/>
          <w:sz w:val="44"/>
          <w:szCs w:val="44"/>
        </w:rPr>
      </w:pPr>
      <w:bookmarkStart w:id="113" w:name="_Toc15396617"/>
      <w:r>
        <w:rPr>
          <w:rFonts w:hint="eastAsia" w:ascii="方正小标宋简体" w:hAnsi="方正小标宋简体" w:eastAsia="方正小标宋简体" w:cs="方正小标宋简体"/>
          <w:b/>
          <w:bCs/>
          <w:color w:val="auto"/>
          <w:sz w:val="44"/>
          <w:szCs w:val="44"/>
        </w:rPr>
        <w:t>司法局</w:t>
      </w:r>
      <w:r>
        <w:rPr>
          <w:rFonts w:hint="eastAsia" w:ascii="方正小标宋简体" w:hAnsi="方正小标宋简体" w:eastAsia="方正小标宋简体" w:cs="方正小标宋简体"/>
          <w:b/>
          <w:bCs/>
          <w:color w:val="auto"/>
          <w:sz w:val="44"/>
          <w:szCs w:val="44"/>
          <w:lang w:val="en-US" w:eastAsia="zh-CN"/>
        </w:rPr>
        <w:t>2020年部门</w:t>
      </w:r>
      <w:r>
        <w:rPr>
          <w:rFonts w:hint="eastAsia" w:ascii="方正小标宋简体" w:hAnsi="方正小标宋简体" w:eastAsia="方正小标宋简体" w:cs="方正小标宋简体"/>
          <w:b/>
          <w:bCs/>
          <w:color w:val="auto"/>
          <w:sz w:val="44"/>
          <w:szCs w:val="44"/>
        </w:rPr>
        <w:t>整体支出绩效</w:t>
      </w:r>
      <w:r>
        <w:rPr>
          <w:rFonts w:hint="eastAsia" w:ascii="方正小标宋简体" w:hAnsi="方正小标宋简体" w:eastAsia="方正小标宋简体" w:cs="方正小标宋简体"/>
          <w:b/>
          <w:bCs/>
          <w:color w:val="auto"/>
          <w:sz w:val="44"/>
          <w:szCs w:val="44"/>
          <w:lang w:eastAsia="zh-CN"/>
        </w:rPr>
        <w:t>评价</w:t>
      </w:r>
      <w:r>
        <w:rPr>
          <w:rFonts w:hint="eastAsia" w:ascii="方正小标宋简体" w:hAnsi="方正小标宋简体" w:eastAsia="方正小标宋简体" w:cs="方正小标宋简体"/>
          <w:b/>
          <w:bCs/>
          <w:color w:val="auto"/>
          <w:sz w:val="44"/>
          <w:szCs w:val="44"/>
        </w:rPr>
        <w:t>报告</w:t>
      </w:r>
    </w:p>
    <w:p>
      <w:pPr>
        <w:spacing w:line="560" w:lineRule="exact"/>
        <w:ind w:firstLine="643" w:firstLineChars="200"/>
        <w:jc w:val="left"/>
        <w:rPr>
          <w:rFonts w:hint="eastAsia" w:ascii="黑体" w:hAnsi="黑体" w:eastAsia="黑体" w:cs="黑体"/>
          <w:b/>
          <w:bCs/>
          <w:color w:val="auto"/>
          <w:sz w:val="32"/>
          <w:szCs w:val="32"/>
        </w:rPr>
      </w:pPr>
      <w:r>
        <w:rPr>
          <w:rFonts w:hint="eastAsia" w:ascii="黑体" w:hAnsi="黑体" w:eastAsia="黑体" w:cs="黑体"/>
          <w:b/>
          <w:bCs/>
          <w:color w:val="auto"/>
          <w:sz w:val="32"/>
          <w:szCs w:val="32"/>
        </w:rPr>
        <w:t>一、部门（单位）慨况</w:t>
      </w:r>
    </w:p>
    <w:p>
      <w:pPr>
        <w:spacing w:line="560" w:lineRule="exact"/>
        <w:ind w:firstLine="643" w:firstLineChars="200"/>
        <w:jc w:val="left"/>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（一）机构组成</w:t>
      </w:r>
    </w:p>
    <w:p>
      <w:pPr>
        <w:spacing w:line="560" w:lineRule="exact"/>
        <w:ind w:firstLine="640" w:firstLineChars="200"/>
        <w:jc w:val="left"/>
        <w:rPr>
          <w:rFonts w:hint="eastAsia" w:ascii="仿宋_GB2312" w:hAnsi="仿宋_GB2312" w:eastAsia="仿宋_GB2312" w:cs="仿宋_GB2312"/>
          <w:bCs/>
          <w:color w:val="auto"/>
          <w:sz w:val="32"/>
          <w:szCs w:val="32"/>
        </w:rPr>
      </w:pPr>
      <w:r>
        <w:rPr>
          <w:rFonts w:hint="eastAsia" w:ascii="仿宋_GB2312" w:hAnsi="仿宋_GB2312" w:eastAsia="仿宋_GB2312" w:cs="仿宋_GB2312"/>
          <w:bCs/>
          <w:sz w:val="32"/>
          <w:szCs w:val="32"/>
          <w:lang w:eastAsia="zh-CN"/>
        </w:rPr>
        <w:t>红原县司法局</w:t>
      </w:r>
      <w:r>
        <w:rPr>
          <w:rFonts w:hint="eastAsia" w:ascii="仿宋_GB2312" w:hAnsi="仿宋_GB2312" w:eastAsia="仿宋_GB2312" w:cs="仿宋_GB2312"/>
          <w:bCs/>
          <w:sz w:val="32"/>
          <w:szCs w:val="32"/>
        </w:rPr>
        <w:t>为独立核算全额拨款行政单位，下设</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个</w:t>
      </w:r>
      <w:r>
        <w:rPr>
          <w:rFonts w:hint="eastAsia" w:ascii="仿宋_GB2312" w:hAnsi="仿宋_GB2312" w:eastAsia="仿宋_GB2312" w:cs="仿宋_GB2312"/>
          <w:bCs/>
          <w:sz w:val="32"/>
          <w:szCs w:val="32"/>
          <w:lang w:eastAsia="zh-CN"/>
        </w:rPr>
        <w:t>机构</w:t>
      </w:r>
      <w:r>
        <w:rPr>
          <w:rFonts w:hint="eastAsia" w:ascii="仿宋_GB2312" w:hAnsi="仿宋_GB2312" w:eastAsia="仿宋_GB2312" w:cs="仿宋_GB2312"/>
          <w:bCs/>
          <w:sz w:val="32"/>
          <w:szCs w:val="32"/>
        </w:rPr>
        <w:t>：办公室、</w:t>
      </w:r>
      <w:r>
        <w:rPr>
          <w:rFonts w:hint="eastAsia" w:ascii="仿宋_GB2312" w:hAnsi="仿宋_GB2312" w:eastAsia="仿宋_GB2312" w:cs="仿宋_GB2312"/>
          <w:bCs/>
          <w:sz w:val="32"/>
          <w:szCs w:val="32"/>
          <w:lang w:eastAsia="zh-CN"/>
        </w:rPr>
        <w:t>法制股、</w:t>
      </w:r>
      <w:r>
        <w:rPr>
          <w:rFonts w:hint="eastAsia" w:ascii="仿宋_GB2312" w:hAnsi="仿宋_GB2312" w:eastAsia="仿宋_GB2312" w:cs="仿宋_GB2312"/>
          <w:bCs/>
          <w:sz w:val="32"/>
          <w:szCs w:val="32"/>
        </w:rPr>
        <w:t>基层工作股、法治宣传</w:t>
      </w:r>
      <w:r>
        <w:rPr>
          <w:rFonts w:hint="eastAsia" w:ascii="仿宋_GB2312" w:hAnsi="仿宋_GB2312" w:eastAsia="仿宋_GB2312" w:cs="仿宋_GB2312"/>
          <w:bCs/>
          <w:sz w:val="32"/>
          <w:szCs w:val="32"/>
          <w:lang w:eastAsia="zh-CN"/>
        </w:rPr>
        <w:t>教育</w:t>
      </w:r>
      <w:r>
        <w:rPr>
          <w:rFonts w:hint="eastAsia" w:ascii="仿宋_GB2312" w:hAnsi="仿宋_GB2312" w:eastAsia="仿宋_GB2312" w:cs="仿宋_GB2312"/>
          <w:bCs/>
          <w:sz w:val="32"/>
          <w:szCs w:val="32"/>
        </w:rPr>
        <w:t>股、</w:t>
      </w:r>
      <w:r>
        <w:rPr>
          <w:rFonts w:hint="eastAsia" w:ascii="仿宋_GB2312" w:hAnsi="仿宋_GB2312" w:eastAsia="仿宋_GB2312" w:cs="仿宋_GB2312"/>
          <w:bCs/>
          <w:sz w:val="32"/>
          <w:szCs w:val="32"/>
          <w:lang w:eastAsia="zh-CN"/>
        </w:rPr>
        <w:t>装备财务保障股、公共法律服务管理股、政工室、社区矫正执法大队。</w:t>
      </w:r>
    </w:p>
    <w:p>
      <w:pPr>
        <w:spacing w:line="560" w:lineRule="exact"/>
        <w:ind w:firstLine="643" w:firstLineChars="200"/>
        <w:jc w:val="left"/>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（二）机构职能</w:t>
      </w:r>
    </w:p>
    <w:p>
      <w:pPr>
        <w:pStyle w:val="8"/>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rPr>
        <w:t>（一）贯彻执行国家、省、州、县关于司法行政工作的方针、政策和法律、法规及规章，制订司法行政规范性文件和工作发展规划、工作计划并组织实施。</w:t>
      </w:r>
    </w:p>
    <w:p>
      <w:pPr>
        <w:pStyle w:val="8"/>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rPr>
        <w:t>（二）</w:t>
      </w:r>
      <w:r>
        <w:rPr>
          <w:rFonts w:hint="eastAsia" w:hAnsi="仿宋_GB2312" w:cs="仿宋_GB2312"/>
          <w:bCs/>
          <w:color w:val="auto"/>
          <w:sz w:val="32"/>
          <w:szCs w:val="32"/>
          <w:lang w:eastAsia="zh-CN"/>
        </w:rPr>
        <w:t>按照县委全面依法治县委员会要求，贯彻落实依法治县决策部署。</w:t>
      </w:r>
    </w:p>
    <w:p>
      <w:pPr>
        <w:pStyle w:val="8"/>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rPr>
        <w:t>（三）</w:t>
      </w:r>
      <w:r>
        <w:rPr>
          <w:rFonts w:hint="eastAsia" w:hAnsi="仿宋_GB2312" w:cs="仿宋_GB2312"/>
          <w:bCs/>
          <w:color w:val="auto"/>
          <w:sz w:val="32"/>
          <w:szCs w:val="32"/>
          <w:lang w:eastAsia="zh-CN"/>
        </w:rPr>
        <w:t>负责县政府规范性文件、重大行政决策发布前的合法性审查。</w:t>
      </w:r>
    </w:p>
    <w:p>
      <w:pPr>
        <w:pStyle w:val="8"/>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rPr>
        <w:t>（四）</w:t>
      </w:r>
      <w:r>
        <w:rPr>
          <w:rFonts w:hint="eastAsia" w:hAnsi="仿宋_GB2312" w:cs="仿宋_GB2312"/>
          <w:bCs/>
          <w:color w:val="auto"/>
          <w:sz w:val="32"/>
          <w:szCs w:val="32"/>
          <w:lang w:eastAsia="zh-CN"/>
        </w:rPr>
        <w:t>承担统筹推进法治政府建设的责任。</w:t>
      </w:r>
    </w:p>
    <w:p>
      <w:pPr>
        <w:pStyle w:val="8"/>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rPr>
        <w:t>（五）</w:t>
      </w:r>
      <w:r>
        <w:rPr>
          <w:rFonts w:hint="eastAsia" w:hAnsi="仿宋_GB2312" w:cs="仿宋_GB2312"/>
          <w:bCs/>
          <w:color w:val="auto"/>
          <w:sz w:val="32"/>
          <w:szCs w:val="32"/>
          <w:lang w:eastAsia="zh-CN"/>
        </w:rPr>
        <w:t>负责拟定法制宣传教育计划，组织实施普法宣传工作，指导全县各行业的法治宣传和依法治理工作。</w:t>
      </w:r>
    </w:p>
    <w:p>
      <w:pPr>
        <w:pStyle w:val="8"/>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rPr>
        <w:t>（六）</w:t>
      </w:r>
      <w:r>
        <w:rPr>
          <w:rFonts w:hint="eastAsia" w:hAnsi="仿宋_GB2312" w:cs="仿宋_GB2312"/>
          <w:bCs/>
          <w:color w:val="auto"/>
          <w:sz w:val="32"/>
          <w:szCs w:val="32"/>
          <w:lang w:eastAsia="zh-CN"/>
        </w:rPr>
        <w:t>负责拟定全县公共法律服务体系建设规划并指导实施。</w:t>
      </w:r>
    </w:p>
    <w:p>
      <w:pPr>
        <w:pStyle w:val="8"/>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rPr>
        <w:t>（七）</w:t>
      </w:r>
      <w:r>
        <w:rPr>
          <w:rFonts w:hint="eastAsia" w:hAnsi="仿宋_GB2312" w:cs="仿宋_GB2312"/>
          <w:bCs/>
          <w:color w:val="auto"/>
          <w:sz w:val="32"/>
          <w:szCs w:val="32"/>
          <w:lang w:eastAsia="zh-CN"/>
        </w:rPr>
        <w:t>指导、监督基层司法所建设和人民调解、基层法律服务管理工作。</w:t>
      </w:r>
    </w:p>
    <w:p>
      <w:pPr>
        <w:pStyle w:val="8"/>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rPr>
        <w:t>（八）</w:t>
      </w:r>
      <w:r>
        <w:rPr>
          <w:rFonts w:hint="eastAsia" w:hAnsi="仿宋_GB2312" w:cs="仿宋_GB2312"/>
          <w:bCs/>
          <w:color w:val="auto"/>
          <w:sz w:val="32"/>
          <w:szCs w:val="32"/>
          <w:lang w:eastAsia="zh-CN"/>
        </w:rPr>
        <w:t>指导管理社区矫正工作，指导刑满释放人员帮教安置工作。</w:t>
      </w:r>
    </w:p>
    <w:p>
      <w:pPr>
        <w:pStyle w:val="8"/>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rPr>
        <w:t>（九）</w:t>
      </w:r>
      <w:r>
        <w:rPr>
          <w:rFonts w:hint="eastAsia" w:hAnsi="仿宋_GB2312" w:cs="仿宋_GB2312"/>
          <w:bCs/>
          <w:color w:val="auto"/>
          <w:sz w:val="32"/>
          <w:szCs w:val="32"/>
          <w:lang w:eastAsia="zh-CN"/>
        </w:rPr>
        <w:t>协助上级主管部门开展国家司法考试、司法鉴定工作。</w:t>
      </w:r>
    </w:p>
    <w:p>
      <w:pPr>
        <w:pStyle w:val="8"/>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rPr>
        <w:t>（十）指导管理全县司法行政系统的计划、财务、车辆、服装等物资装备工作。</w:t>
      </w:r>
    </w:p>
    <w:p>
      <w:pPr>
        <w:pStyle w:val="8"/>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rPr>
        <w:t>（十一）指导、监督全县司法行政系统队伍建设和思想政治工作，负责本系统人事警务和干警培训工作。</w:t>
      </w:r>
    </w:p>
    <w:p>
      <w:pPr>
        <w:spacing w:line="560" w:lineRule="exact"/>
        <w:ind w:firstLine="640" w:firstLineChars="200"/>
        <w:jc w:val="left"/>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（十二）</w:t>
      </w:r>
      <w:r>
        <w:rPr>
          <w:rFonts w:hint="eastAsia" w:ascii="仿宋_GB2312" w:hAnsi="仿宋_GB2312" w:eastAsia="仿宋_GB2312" w:cs="仿宋_GB2312"/>
          <w:bCs/>
          <w:color w:val="auto"/>
          <w:sz w:val="32"/>
          <w:szCs w:val="32"/>
          <w:lang w:eastAsia="zh-CN"/>
        </w:rPr>
        <w:t>完成县委、县政府交办的其他任务。</w:t>
      </w:r>
    </w:p>
    <w:p>
      <w:pPr>
        <w:spacing w:line="560" w:lineRule="exact"/>
        <w:ind w:firstLine="643" w:firstLineChars="200"/>
        <w:jc w:val="left"/>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（三）人员概况</w:t>
      </w:r>
    </w:p>
    <w:p>
      <w:pPr>
        <w:spacing w:line="560" w:lineRule="exact"/>
        <w:ind w:firstLine="640" w:firstLineChars="200"/>
        <w:jc w:val="left"/>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截止20</w:t>
      </w:r>
      <w:r>
        <w:rPr>
          <w:rFonts w:hint="eastAsia" w:ascii="仿宋_GB2312" w:hAnsi="仿宋_GB2312" w:eastAsia="仿宋_GB2312" w:cs="仿宋_GB2312"/>
          <w:bCs/>
          <w:color w:val="auto"/>
          <w:sz w:val="32"/>
          <w:szCs w:val="32"/>
          <w:lang w:val="en-US" w:eastAsia="zh-CN"/>
        </w:rPr>
        <w:t>20</w:t>
      </w:r>
      <w:r>
        <w:rPr>
          <w:rFonts w:hint="eastAsia" w:ascii="仿宋_GB2312" w:hAnsi="仿宋_GB2312" w:eastAsia="仿宋_GB2312" w:cs="仿宋_GB2312"/>
          <w:bCs/>
          <w:color w:val="auto"/>
          <w:sz w:val="32"/>
          <w:szCs w:val="32"/>
        </w:rPr>
        <w:t>年底我单位共有编制35个，其中公务员编制28个，行政工勤编制2个，事业编制5个，在职</w:t>
      </w:r>
      <w:r>
        <w:rPr>
          <w:rFonts w:hint="eastAsia" w:ascii="仿宋_GB2312" w:hAnsi="仿宋_GB2312" w:eastAsia="仿宋_GB2312" w:cs="仿宋_GB2312"/>
          <w:bCs/>
          <w:color w:val="auto"/>
          <w:sz w:val="32"/>
          <w:szCs w:val="32"/>
          <w:lang w:val="en-US" w:eastAsia="zh-CN"/>
        </w:rPr>
        <w:t>31</w:t>
      </w:r>
      <w:r>
        <w:rPr>
          <w:rFonts w:hint="eastAsia" w:ascii="仿宋_GB2312" w:hAnsi="仿宋_GB2312" w:eastAsia="仿宋_GB2312" w:cs="仿宋_GB2312"/>
          <w:bCs/>
          <w:color w:val="auto"/>
          <w:sz w:val="32"/>
          <w:szCs w:val="32"/>
        </w:rPr>
        <w:t>人，其中参公0人，公务员2</w:t>
      </w:r>
      <w:r>
        <w:rPr>
          <w:rFonts w:hint="eastAsia" w:ascii="仿宋_GB2312" w:hAnsi="仿宋_GB2312" w:eastAsia="仿宋_GB2312" w:cs="仿宋_GB2312"/>
          <w:bCs/>
          <w:color w:val="auto"/>
          <w:sz w:val="32"/>
          <w:szCs w:val="32"/>
          <w:lang w:val="en-US" w:eastAsia="zh-CN"/>
        </w:rPr>
        <w:t>8</w:t>
      </w:r>
      <w:r>
        <w:rPr>
          <w:rFonts w:hint="eastAsia" w:ascii="仿宋_GB2312" w:hAnsi="仿宋_GB2312" w:eastAsia="仿宋_GB2312" w:cs="仿宋_GB2312"/>
          <w:bCs/>
          <w:color w:val="auto"/>
          <w:sz w:val="32"/>
          <w:szCs w:val="32"/>
        </w:rPr>
        <w:t>人，事业</w:t>
      </w:r>
      <w:r>
        <w:rPr>
          <w:rFonts w:hint="eastAsia" w:ascii="仿宋_GB2312" w:hAnsi="仿宋_GB2312" w:eastAsia="仿宋_GB2312" w:cs="仿宋_GB2312"/>
          <w:bCs/>
          <w:color w:val="auto"/>
          <w:sz w:val="32"/>
          <w:szCs w:val="32"/>
          <w:lang w:val="en-US" w:eastAsia="zh-CN"/>
        </w:rPr>
        <w:t>1</w:t>
      </w:r>
      <w:r>
        <w:rPr>
          <w:rFonts w:hint="eastAsia" w:ascii="仿宋_GB2312" w:hAnsi="仿宋_GB2312" w:eastAsia="仿宋_GB2312" w:cs="仿宋_GB2312"/>
          <w:bCs/>
          <w:color w:val="auto"/>
          <w:sz w:val="32"/>
          <w:szCs w:val="32"/>
        </w:rPr>
        <w:t>人</w:t>
      </w:r>
      <w:r>
        <w:rPr>
          <w:rFonts w:hint="eastAsia" w:ascii="仿宋_GB2312" w:hAnsi="仿宋_GB2312" w:eastAsia="仿宋_GB2312" w:cs="仿宋_GB2312"/>
          <w:bCs/>
          <w:color w:val="auto"/>
          <w:sz w:val="32"/>
          <w:szCs w:val="32"/>
          <w:lang w:val="en-US" w:eastAsia="zh-CN"/>
        </w:rPr>
        <w:t>,行政工勤2人</w:t>
      </w:r>
      <w:r>
        <w:rPr>
          <w:rFonts w:hint="eastAsia" w:ascii="仿宋_GB2312" w:hAnsi="仿宋_GB2312" w:eastAsia="仿宋_GB2312" w:cs="仿宋_GB2312"/>
          <w:bCs/>
          <w:color w:val="auto"/>
          <w:sz w:val="32"/>
          <w:szCs w:val="32"/>
        </w:rPr>
        <w:t>。</w:t>
      </w:r>
    </w:p>
    <w:p>
      <w:pPr>
        <w:ind w:firstLine="643" w:firstLineChars="200"/>
        <w:rPr>
          <w:rFonts w:hint="eastAsia" w:ascii="黑体" w:hAnsi="黑体" w:eastAsia="黑体" w:cs="黑体"/>
          <w:b/>
          <w:bCs/>
          <w:color w:val="auto"/>
          <w:sz w:val="32"/>
          <w:szCs w:val="32"/>
        </w:rPr>
      </w:pPr>
      <w:r>
        <w:rPr>
          <w:rFonts w:hint="eastAsia" w:ascii="黑体" w:hAnsi="黑体" w:eastAsia="黑体" w:cs="黑体"/>
          <w:b/>
          <w:bCs/>
          <w:color w:val="auto"/>
          <w:sz w:val="32"/>
          <w:szCs w:val="32"/>
        </w:rPr>
        <w:t>二、部门财政资金收支情况</w:t>
      </w:r>
    </w:p>
    <w:p>
      <w:pPr>
        <w:spacing w:line="560" w:lineRule="exact"/>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(一)部门财政资金收入情况。</w:t>
      </w:r>
    </w:p>
    <w:p>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年本年收入合计</w:t>
      </w:r>
      <w:r>
        <w:rPr>
          <w:rFonts w:hint="eastAsia" w:ascii="仿宋_GB2312" w:eastAsia="仿宋_GB2312"/>
          <w:color w:val="auto"/>
          <w:sz w:val="32"/>
          <w:szCs w:val="32"/>
          <w:lang w:val="en-US" w:eastAsia="zh-CN"/>
        </w:rPr>
        <w:t>911.87万</w:t>
      </w:r>
      <w:r>
        <w:rPr>
          <w:rFonts w:hint="eastAsia" w:ascii="仿宋_GB2312" w:eastAsia="仿宋_GB2312"/>
          <w:color w:val="auto"/>
          <w:sz w:val="32"/>
          <w:szCs w:val="32"/>
        </w:rPr>
        <w:t>元，其中：一般公共预算财政拨款收入</w:t>
      </w:r>
      <w:r>
        <w:rPr>
          <w:rFonts w:hint="eastAsia" w:ascii="仿宋_GB2312" w:eastAsia="仿宋_GB2312"/>
          <w:color w:val="auto"/>
          <w:sz w:val="32"/>
          <w:szCs w:val="32"/>
          <w:lang w:val="en-US" w:eastAsia="zh-CN"/>
        </w:rPr>
        <w:t>906.83万</w:t>
      </w:r>
      <w:r>
        <w:rPr>
          <w:rFonts w:hint="eastAsia" w:ascii="仿宋_GB2312" w:eastAsia="仿宋_GB2312"/>
          <w:color w:val="auto"/>
          <w:sz w:val="32"/>
          <w:szCs w:val="32"/>
        </w:rPr>
        <w:t>元，占</w:t>
      </w:r>
      <w:r>
        <w:rPr>
          <w:rFonts w:hint="eastAsia" w:ascii="仿宋_GB2312" w:eastAsia="仿宋_GB2312"/>
          <w:color w:val="auto"/>
          <w:sz w:val="32"/>
          <w:szCs w:val="32"/>
          <w:lang w:val="en-US" w:eastAsia="zh-CN"/>
        </w:rPr>
        <w:t>99.45</w:t>
      </w:r>
      <w:r>
        <w:rPr>
          <w:rFonts w:hint="eastAsia" w:ascii="仿宋_GB2312" w:eastAsia="仿宋_GB2312"/>
          <w:color w:val="auto"/>
          <w:sz w:val="32"/>
          <w:szCs w:val="32"/>
        </w:rPr>
        <w:t>%；其他收入</w:t>
      </w:r>
      <w:r>
        <w:rPr>
          <w:rFonts w:hint="eastAsia" w:ascii="仿宋_GB2312" w:eastAsia="仿宋_GB2312"/>
          <w:color w:val="auto"/>
          <w:sz w:val="32"/>
          <w:szCs w:val="32"/>
          <w:lang w:val="en-US" w:eastAsia="zh-CN"/>
        </w:rPr>
        <w:t>5.04万</w:t>
      </w:r>
      <w:r>
        <w:rPr>
          <w:rFonts w:hint="eastAsia" w:ascii="仿宋_GB2312" w:eastAsia="仿宋_GB2312"/>
          <w:color w:val="auto"/>
          <w:sz w:val="32"/>
          <w:szCs w:val="32"/>
        </w:rPr>
        <w:t>元，占</w:t>
      </w:r>
      <w:r>
        <w:rPr>
          <w:rFonts w:hint="eastAsia" w:ascii="仿宋_GB2312" w:eastAsia="仿宋_GB2312"/>
          <w:color w:val="auto"/>
          <w:sz w:val="32"/>
          <w:szCs w:val="32"/>
          <w:lang w:val="en-US" w:eastAsia="zh-CN"/>
        </w:rPr>
        <w:t>0.55</w:t>
      </w:r>
      <w:r>
        <w:rPr>
          <w:rFonts w:hint="eastAsia" w:ascii="仿宋_GB2312" w:eastAsia="仿宋_GB2312"/>
          <w:color w:val="auto"/>
          <w:sz w:val="32"/>
          <w:szCs w:val="32"/>
        </w:rPr>
        <w:t>%。</w:t>
      </w:r>
    </w:p>
    <w:p>
      <w:pPr>
        <w:numPr>
          <w:ilvl w:val="0"/>
          <w:numId w:val="10"/>
        </w:numPr>
        <w:spacing w:line="560" w:lineRule="exact"/>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部门财政资金支出情况。</w:t>
      </w:r>
    </w:p>
    <w:p>
      <w:pPr>
        <w:spacing w:line="560" w:lineRule="exact"/>
        <w:ind w:firstLine="645"/>
        <w:rPr>
          <w:rFonts w:hint="eastAsia"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年本年支出合计</w:t>
      </w:r>
      <w:r>
        <w:rPr>
          <w:rFonts w:hint="eastAsia" w:ascii="仿宋_GB2312" w:eastAsia="仿宋_GB2312"/>
          <w:color w:val="auto"/>
          <w:sz w:val="32"/>
          <w:szCs w:val="32"/>
          <w:lang w:val="en-US" w:eastAsia="zh-CN"/>
        </w:rPr>
        <w:t>815.51万</w:t>
      </w:r>
      <w:r>
        <w:rPr>
          <w:rFonts w:hint="eastAsia" w:ascii="仿宋_GB2312" w:eastAsia="仿宋_GB2312"/>
          <w:color w:val="auto"/>
          <w:sz w:val="32"/>
          <w:szCs w:val="32"/>
        </w:rPr>
        <w:t>元，其中：基本支出</w:t>
      </w:r>
      <w:r>
        <w:rPr>
          <w:rFonts w:hint="eastAsia" w:ascii="仿宋_GB2312" w:eastAsia="仿宋_GB2312"/>
          <w:color w:val="auto"/>
          <w:sz w:val="32"/>
          <w:szCs w:val="32"/>
          <w:lang w:val="en-US" w:eastAsia="zh-CN"/>
        </w:rPr>
        <w:t>714.27</w:t>
      </w:r>
      <w:r>
        <w:rPr>
          <w:rFonts w:hint="eastAsia" w:ascii="仿宋_GB2312" w:eastAsia="仿宋_GB2312"/>
          <w:color w:val="auto"/>
          <w:sz w:val="32"/>
          <w:szCs w:val="32"/>
        </w:rPr>
        <w:t>元，占</w:t>
      </w:r>
      <w:r>
        <w:rPr>
          <w:rFonts w:hint="eastAsia" w:ascii="仿宋_GB2312" w:eastAsia="仿宋_GB2312"/>
          <w:color w:val="auto"/>
          <w:sz w:val="32"/>
          <w:szCs w:val="32"/>
          <w:lang w:val="en-US" w:eastAsia="zh-CN"/>
        </w:rPr>
        <w:t>87.59</w:t>
      </w:r>
      <w:r>
        <w:rPr>
          <w:rFonts w:hint="eastAsia" w:ascii="仿宋_GB2312" w:eastAsia="仿宋_GB2312"/>
          <w:color w:val="auto"/>
          <w:sz w:val="32"/>
          <w:szCs w:val="32"/>
        </w:rPr>
        <w:t>%；项目支出</w:t>
      </w:r>
      <w:r>
        <w:rPr>
          <w:rFonts w:hint="eastAsia" w:ascii="仿宋_GB2312" w:eastAsia="仿宋_GB2312"/>
          <w:color w:val="auto"/>
          <w:sz w:val="32"/>
          <w:szCs w:val="32"/>
          <w:lang w:val="en-US" w:eastAsia="zh-CN"/>
        </w:rPr>
        <w:t>101.23</w:t>
      </w:r>
      <w:r>
        <w:rPr>
          <w:rFonts w:hint="eastAsia" w:ascii="仿宋_GB2312" w:eastAsia="仿宋_GB2312"/>
          <w:color w:val="auto"/>
          <w:sz w:val="32"/>
          <w:szCs w:val="32"/>
        </w:rPr>
        <w:t>元，占</w:t>
      </w:r>
      <w:r>
        <w:rPr>
          <w:rFonts w:hint="eastAsia" w:ascii="仿宋_GB2312" w:eastAsia="仿宋_GB2312"/>
          <w:color w:val="auto"/>
          <w:sz w:val="32"/>
          <w:szCs w:val="32"/>
          <w:lang w:val="en-US" w:eastAsia="zh-CN"/>
        </w:rPr>
        <w:t>12.41</w:t>
      </w:r>
      <w:r>
        <w:rPr>
          <w:rFonts w:hint="eastAsia" w:ascii="仿宋_GB2312" w:eastAsia="仿宋_GB2312"/>
          <w:color w:val="auto"/>
          <w:sz w:val="32"/>
          <w:szCs w:val="32"/>
        </w:rPr>
        <w:t>%。</w:t>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709.3</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auto"/>
          <w:sz w:val="32"/>
          <w:szCs w:val="32"/>
          <w:lang w:eastAsia="zh-CN"/>
        </w:rPr>
      </w:pPr>
      <w:r>
        <w:rPr>
          <w:rFonts w:hint="eastAsia" w:ascii="仿宋" w:hAnsi="仿宋" w:eastAsia="仿宋"/>
          <w:color w:val="auto"/>
          <w:sz w:val="32"/>
          <w:szCs w:val="32"/>
        </w:rPr>
        <w:t>人员经费</w:t>
      </w:r>
      <w:r>
        <w:rPr>
          <w:rFonts w:hint="eastAsia" w:ascii="仿宋" w:hAnsi="仿宋" w:eastAsia="仿宋"/>
          <w:color w:val="auto"/>
          <w:sz w:val="32"/>
          <w:szCs w:val="32"/>
          <w:lang w:val="en-US" w:eastAsia="zh-CN"/>
        </w:rPr>
        <w:t>639.16</w:t>
      </w:r>
      <w:r>
        <w:rPr>
          <w:rFonts w:hint="eastAsia" w:ascii="仿宋" w:hAnsi="仿宋" w:eastAsia="仿宋"/>
          <w:color w:val="auto"/>
          <w:sz w:val="32"/>
          <w:szCs w:val="32"/>
        </w:rPr>
        <w:t>万元，主要包括：基本工资</w:t>
      </w:r>
      <w:r>
        <w:rPr>
          <w:rFonts w:hint="eastAsia" w:ascii="仿宋" w:hAnsi="仿宋" w:eastAsia="仿宋"/>
          <w:color w:val="auto"/>
          <w:sz w:val="32"/>
          <w:szCs w:val="32"/>
          <w:lang w:val="en-US" w:eastAsia="zh-CN"/>
        </w:rPr>
        <w:t>117.97万元</w:t>
      </w:r>
      <w:r>
        <w:rPr>
          <w:rFonts w:hint="eastAsia" w:ascii="仿宋" w:hAnsi="仿宋" w:eastAsia="仿宋"/>
          <w:color w:val="auto"/>
          <w:sz w:val="32"/>
          <w:szCs w:val="32"/>
        </w:rPr>
        <w:t>、津贴补贴</w:t>
      </w:r>
      <w:r>
        <w:rPr>
          <w:rFonts w:hint="eastAsia" w:ascii="仿宋" w:hAnsi="仿宋" w:eastAsia="仿宋"/>
          <w:color w:val="auto"/>
          <w:sz w:val="32"/>
          <w:szCs w:val="32"/>
          <w:lang w:val="en-US" w:eastAsia="zh-CN"/>
        </w:rPr>
        <w:t>329.26万元</w:t>
      </w:r>
      <w:r>
        <w:rPr>
          <w:rFonts w:hint="eastAsia" w:ascii="仿宋" w:hAnsi="仿宋" w:eastAsia="仿宋"/>
          <w:color w:val="auto"/>
          <w:sz w:val="32"/>
          <w:szCs w:val="32"/>
        </w:rPr>
        <w:t>、奖金</w:t>
      </w:r>
      <w:r>
        <w:rPr>
          <w:rFonts w:hint="eastAsia" w:ascii="仿宋" w:hAnsi="仿宋" w:eastAsia="仿宋"/>
          <w:color w:val="auto"/>
          <w:sz w:val="32"/>
          <w:szCs w:val="32"/>
          <w:lang w:val="en-US" w:eastAsia="zh-CN"/>
        </w:rPr>
        <w:t>9.76万元</w:t>
      </w:r>
      <w:r>
        <w:rPr>
          <w:rFonts w:hint="eastAsia" w:ascii="仿宋" w:hAnsi="仿宋" w:eastAsia="仿宋"/>
          <w:color w:val="auto"/>
          <w:sz w:val="32"/>
          <w:szCs w:val="32"/>
        </w:rPr>
        <w:t>、伙食补助费</w:t>
      </w:r>
      <w:r>
        <w:rPr>
          <w:rFonts w:hint="eastAsia" w:ascii="仿宋" w:hAnsi="仿宋" w:eastAsia="仿宋"/>
          <w:color w:val="auto"/>
          <w:sz w:val="32"/>
          <w:szCs w:val="32"/>
          <w:lang w:val="en-US" w:eastAsia="zh-CN"/>
        </w:rPr>
        <w:t>0元</w:t>
      </w:r>
      <w:r>
        <w:rPr>
          <w:rFonts w:hint="eastAsia" w:ascii="仿宋" w:hAnsi="仿宋" w:eastAsia="仿宋"/>
          <w:color w:val="auto"/>
          <w:sz w:val="32"/>
          <w:szCs w:val="32"/>
        </w:rPr>
        <w:t>、绩效工资</w:t>
      </w:r>
      <w:r>
        <w:rPr>
          <w:rFonts w:hint="eastAsia" w:ascii="仿宋" w:hAnsi="仿宋" w:eastAsia="仿宋"/>
          <w:color w:val="auto"/>
          <w:sz w:val="32"/>
          <w:szCs w:val="32"/>
          <w:lang w:val="en-US" w:eastAsia="zh-CN"/>
        </w:rPr>
        <w:t>1.97万元</w:t>
      </w:r>
      <w:r>
        <w:rPr>
          <w:rFonts w:hint="eastAsia" w:ascii="仿宋" w:hAnsi="仿宋" w:eastAsia="仿宋"/>
          <w:color w:val="auto"/>
          <w:sz w:val="32"/>
          <w:szCs w:val="32"/>
        </w:rPr>
        <w:t>、机关事业单位基本养老保险缴费</w:t>
      </w:r>
      <w:r>
        <w:rPr>
          <w:rFonts w:hint="eastAsia" w:ascii="仿宋" w:hAnsi="仿宋" w:eastAsia="仿宋"/>
          <w:color w:val="auto"/>
          <w:sz w:val="32"/>
          <w:szCs w:val="32"/>
          <w:lang w:val="en-US" w:eastAsia="zh-CN"/>
        </w:rPr>
        <w:t>50.42万元</w:t>
      </w:r>
      <w:r>
        <w:rPr>
          <w:rFonts w:hint="eastAsia" w:ascii="仿宋" w:hAnsi="仿宋" w:eastAsia="仿宋"/>
          <w:color w:val="auto"/>
          <w:sz w:val="32"/>
          <w:szCs w:val="32"/>
        </w:rPr>
        <w:t>、职业年金缴费</w:t>
      </w:r>
      <w:r>
        <w:rPr>
          <w:rFonts w:hint="eastAsia" w:ascii="仿宋" w:hAnsi="仿宋" w:eastAsia="仿宋"/>
          <w:color w:val="auto"/>
          <w:sz w:val="32"/>
          <w:szCs w:val="32"/>
          <w:lang w:val="en-US" w:eastAsia="zh-CN"/>
        </w:rPr>
        <w:t>25.21万元</w:t>
      </w:r>
      <w:r>
        <w:rPr>
          <w:rFonts w:hint="eastAsia" w:ascii="仿宋" w:hAnsi="仿宋" w:eastAsia="仿宋"/>
          <w:color w:val="auto"/>
          <w:sz w:val="32"/>
          <w:szCs w:val="32"/>
        </w:rPr>
        <w:t>、</w:t>
      </w:r>
      <w:r>
        <w:rPr>
          <w:rFonts w:hint="eastAsia" w:ascii="仿宋" w:hAnsi="仿宋" w:eastAsia="仿宋"/>
          <w:color w:val="auto"/>
          <w:sz w:val="32"/>
          <w:szCs w:val="32"/>
          <w:lang w:eastAsia="zh-CN"/>
        </w:rPr>
        <w:t>医疗保险</w:t>
      </w:r>
      <w:r>
        <w:rPr>
          <w:rFonts w:hint="eastAsia" w:ascii="仿宋" w:hAnsi="仿宋" w:eastAsia="仿宋"/>
          <w:color w:val="auto"/>
          <w:sz w:val="32"/>
          <w:szCs w:val="32"/>
          <w:lang w:val="en-US" w:eastAsia="zh-CN"/>
        </w:rPr>
        <w:t>30.39万元、公务员医疗补助7.37万元、</w:t>
      </w:r>
      <w:r>
        <w:rPr>
          <w:rFonts w:hint="eastAsia" w:ascii="仿宋" w:hAnsi="仿宋" w:eastAsia="仿宋"/>
          <w:color w:val="auto"/>
          <w:sz w:val="32"/>
          <w:szCs w:val="32"/>
        </w:rPr>
        <w:t>其他社会保障缴费</w:t>
      </w:r>
      <w:r>
        <w:rPr>
          <w:rFonts w:hint="eastAsia" w:ascii="仿宋" w:hAnsi="仿宋" w:eastAsia="仿宋"/>
          <w:color w:val="auto"/>
          <w:sz w:val="32"/>
          <w:szCs w:val="32"/>
          <w:lang w:val="en-US" w:eastAsia="zh-CN"/>
        </w:rPr>
        <w:t>7.06万元</w:t>
      </w:r>
      <w:r>
        <w:rPr>
          <w:rFonts w:hint="eastAsia" w:ascii="仿宋" w:hAnsi="仿宋" w:eastAsia="仿宋"/>
          <w:color w:val="auto"/>
          <w:sz w:val="32"/>
          <w:szCs w:val="32"/>
        </w:rPr>
        <w:t>、其他工资福利支出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、离休费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、退休费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、抚恤金</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、生活补助</w:t>
      </w:r>
      <w:r>
        <w:rPr>
          <w:rFonts w:hint="eastAsia" w:ascii="仿宋" w:hAnsi="仿宋" w:eastAsia="仿宋"/>
          <w:color w:val="auto"/>
          <w:sz w:val="32"/>
          <w:szCs w:val="32"/>
          <w:lang w:val="en-US" w:eastAsia="zh-CN"/>
        </w:rPr>
        <w:t>2.7万元</w:t>
      </w:r>
      <w:r>
        <w:rPr>
          <w:rFonts w:hint="eastAsia" w:ascii="仿宋" w:hAnsi="仿宋" w:eastAsia="仿宋"/>
          <w:color w:val="auto"/>
          <w:sz w:val="32"/>
          <w:szCs w:val="32"/>
        </w:rPr>
        <w:t>、医疗费</w:t>
      </w:r>
      <w:r>
        <w:rPr>
          <w:rFonts w:hint="eastAsia" w:ascii="仿宋" w:hAnsi="仿宋" w:eastAsia="仿宋"/>
          <w:color w:val="auto"/>
          <w:sz w:val="32"/>
          <w:szCs w:val="32"/>
          <w:lang w:val="en-US" w:eastAsia="zh-CN"/>
        </w:rPr>
        <w:t>3.9万元</w:t>
      </w:r>
      <w:r>
        <w:rPr>
          <w:rFonts w:hint="eastAsia" w:ascii="仿宋" w:hAnsi="仿宋" w:eastAsia="仿宋"/>
          <w:color w:val="auto"/>
          <w:sz w:val="32"/>
          <w:szCs w:val="32"/>
        </w:rPr>
        <w:t>、奖励金</w:t>
      </w:r>
      <w:r>
        <w:rPr>
          <w:rFonts w:hint="eastAsia" w:ascii="仿宋" w:hAnsi="仿宋" w:eastAsia="仿宋"/>
          <w:color w:val="auto"/>
          <w:sz w:val="32"/>
          <w:szCs w:val="32"/>
          <w:lang w:val="en-US" w:eastAsia="zh-CN"/>
        </w:rPr>
        <w:t>0.02万元</w:t>
      </w:r>
      <w:r>
        <w:rPr>
          <w:rFonts w:hint="eastAsia" w:ascii="仿宋" w:hAnsi="仿宋" w:eastAsia="仿宋"/>
          <w:color w:val="auto"/>
          <w:sz w:val="32"/>
          <w:szCs w:val="32"/>
        </w:rPr>
        <w:t>、住房公积金</w:t>
      </w:r>
      <w:r>
        <w:rPr>
          <w:rFonts w:hint="eastAsia" w:ascii="仿宋" w:hAnsi="仿宋" w:eastAsia="仿宋"/>
          <w:color w:val="auto"/>
          <w:sz w:val="32"/>
          <w:szCs w:val="32"/>
          <w:lang w:val="en-US" w:eastAsia="zh-CN"/>
        </w:rPr>
        <w:t>53.13万元</w:t>
      </w:r>
      <w:r>
        <w:rPr>
          <w:rFonts w:hint="eastAsia" w:ascii="仿宋" w:hAnsi="仿宋" w:eastAsia="仿宋"/>
          <w:color w:val="auto"/>
          <w:sz w:val="32"/>
          <w:szCs w:val="32"/>
        </w:rPr>
        <w:t>、</w:t>
      </w:r>
      <w:r>
        <w:rPr>
          <w:rFonts w:hint="eastAsia" w:ascii="仿宋" w:hAnsi="仿宋" w:eastAsia="仿宋"/>
          <w:color w:val="auto"/>
          <w:sz w:val="32"/>
          <w:szCs w:val="32"/>
          <w:lang w:eastAsia="zh-CN"/>
        </w:rPr>
        <w:t>其他</w:t>
      </w:r>
      <w:r>
        <w:rPr>
          <w:rFonts w:hint="eastAsia" w:ascii="仿宋" w:hAnsi="仿宋" w:eastAsia="仿宋"/>
          <w:color w:val="auto"/>
          <w:sz w:val="32"/>
          <w:szCs w:val="32"/>
        </w:rPr>
        <w:t>对个人和家庭的补助支出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等。</w:t>
      </w:r>
    </w:p>
    <w:p>
      <w:pPr>
        <w:spacing w:line="600" w:lineRule="exact"/>
        <w:ind w:firstLine="645"/>
        <w:rPr>
          <w:rFonts w:ascii="仿宋" w:hAnsi="仿宋" w:eastAsia="仿宋"/>
          <w:color w:val="auto"/>
          <w:sz w:val="32"/>
          <w:szCs w:val="32"/>
        </w:rPr>
      </w:pPr>
      <w:r>
        <w:rPr>
          <w:rFonts w:hint="eastAsia" w:ascii="仿宋" w:hAnsi="仿宋" w:eastAsia="仿宋"/>
          <w:color w:val="auto"/>
          <w:sz w:val="32"/>
          <w:szCs w:val="32"/>
        </w:rPr>
        <w:t>　　公用经费</w:t>
      </w:r>
      <w:r>
        <w:rPr>
          <w:rFonts w:hint="eastAsia" w:ascii="仿宋" w:hAnsi="仿宋" w:eastAsia="仿宋"/>
          <w:color w:val="auto"/>
          <w:sz w:val="32"/>
          <w:szCs w:val="32"/>
          <w:lang w:val="en-US" w:eastAsia="zh-CN"/>
        </w:rPr>
        <w:t>70.14</w:t>
      </w:r>
      <w:r>
        <w:rPr>
          <w:rFonts w:hint="eastAsia" w:ascii="仿宋" w:hAnsi="仿宋" w:eastAsia="仿宋"/>
          <w:color w:val="auto"/>
          <w:sz w:val="32"/>
          <w:szCs w:val="32"/>
        </w:rPr>
        <w:t>万元，主要包括：办公费</w:t>
      </w:r>
      <w:r>
        <w:rPr>
          <w:rFonts w:hint="eastAsia" w:ascii="仿宋" w:hAnsi="仿宋" w:eastAsia="仿宋"/>
          <w:color w:val="auto"/>
          <w:sz w:val="32"/>
          <w:szCs w:val="32"/>
          <w:lang w:val="en-US" w:eastAsia="zh-CN"/>
        </w:rPr>
        <w:t>21.54万元</w:t>
      </w:r>
      <w:r>
        <w:rPr>
          <w:rFonts w:hint="eastAsia" w:ascii="仿宋" w:hAnsi="仿宋" w:eastAsia="仿宋"/>
          <w:color w:val="auto"/>
          <w:sz w:val="32"/>
          <w:szCs w:val="32"/>
        </w:rPr>
        <w:t>、印刷费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、咨询费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、手续费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、水费</w:t>
      </w:r>
      <w:r>
        <w:rPr>
          <w:rFonts w:hint="eastAsia" w:ascii="仿宋" w:hAnsi="仿宋" w:eastAsia="仿宋"/>
          <w:color w:val="auto"/>
          <w:sz w:val="32"/>
          <w:szCs w:val="32"/>
          <w:lang w:val="en-US" w:eastAsia="zh-CN"/>
        </w:rPr>
        <w:t>0.36万元</w:t>
      </w:r>
      <w:r>
        <w:rPr>
          <w:rFonts w:hint="eastAsia" w:ascii="仿宋" w:hAnsi="仿宋" w:eastAsia="仿宋"/>
          <w:color w:val="auto"/>
          <w:sz w:val="32"/>
          <w:szCs w:val="32"/>
        </w:rPr>
        <w:t>、电费</w:t>
      </w:r>
      <w:r>
        <w:rPr>
          <w:rFonts w:hint="eastAsia" w:ascii="仿宋" w:hAnsi="仿宋" w:eastAsia="仿宋"/>
          <w:color w:val="auto"/>
          <w:sz w:val="32"/>
          <w:szCs w:val="32"/>
          <w:lang w:val="en-US" w:eastAsia="zh-CN"/>
        </w:rPr>
        <w:t>3.69万元</w:t>
      </w:r>
      <w:r>
        <w:rPr>
          <w:rFonts w:hint="eastAsia" w:ascii="仿宋" w:hAnsi="仿宋" w:eastAsia="仿宋"/>
          <w:color w:val="auto"/>
          <w:sz w:val="32"/>
          <w:szCs w:val="32"/>
        </w:rPr>
        <w:t>、邮电费</w:t>
      </w:r>
      <w:r>
        <w:rPr>
          <w:rFonts w:hint="eastAsia" w:ascii="仿宋" w:hAnsi="仿宋" w:eastAsia="仿宋"/>
          <w:color w:val="auto"/>
          <w:sz w:val="32"/>
          <w:szCs w:val="32"/>
          <w:lang w:val="en-US" w:eastAsia="zh-CN"/>
        </w:rPr>
        <w:t>10.52万元</w:t>
      </w:r>
      <w:r>
        <w:rPr>
          <w:rFonts w:hint="eastAsia" w:ascii="仿宋" w:hAnsi="仿宋" w:eastAsia="仿宋"/>
          <w:color w:val="auto"/>
          <w:sz w:val="32"/>
          <w:szCs w:val="32"/>
        </w:rPr>
        <w:t>、取暖费</w:t>
      </w:r>
      <w:r>
        <w:rPr>
          <w:rFonts w:hint="eastAsia" w:ascii="仿宋" w:hAnsi="仿宋" w:eastAsia="仿宋"/>
          <w:color w:val="auto"/>
          <w:sz w:val="32"/>
          <w:szCs w:val="32"/>
          <w:lang w:val="en-US" w:eastAsia="zh-CN"/>
        </w:rPr>
        <w:t>2.03万元</w:t>
      </w:r>
      <w:r>
        <w:rPr>
          <w:rFonts w:hint="eastAsia" w:ascii="仿宋" w:hAnsi="仿宋" w:eastAsia="仿宋"/>
          <w:color w:val="auto"/>
          <w:sz w:val="32"/>
          <w:szCs w:val="32"/>
        </w:rPr>
        <w:t>、物业管理费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、差旅费</w:t>
      </w:r>
      <w:r>
        <w:rPr>
          <w:rFonts w:hint="eastAsia" w:ascii="仿宋" w:hAnsi="仿宋" w:eastAsia="仿宋"/>
          <w:color w:val="auto"/>
          <w:sz w:val="32"/>
          <w:szCs w:val="32"/>
          <w:lang w:val="en-US" w:eastAsia="zh-CN"/>
        </w:rPr>
        <w:t>7.09万元</w:t>
      </w:r>
      <w:r>
        <w:rPr>
          <w:rFonts w:hint="eastAsia" w:ascii="仿宋" w:hAnsi="仿宋" w:eastAsia="仿宋"/>
          <w:color w:val="auto"/>
          <w:sz w:val="32"/>
          <w:szCs w:val="32"/>
        </w:rPr>
        <w:t>、因公出国（境）费用</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、维修（护）费</w:t>
      </w:r>
      <w:r>
        <w:rPr>
          <w:rFonts w:hint="eastAsia" w:ascii="仿宋" w:hAnsi="仿宋" w:eastAsia="仿宋"/>
          <w:color w:val="auto"/>
          <w:sz w:val="32"/>
          <w:szCs w:val="32"/>
          <w:lang w:val="en-US" w:eastAsia="zh-CN"/>
        </w:rPr>
        <w:t>3.6万元</w:t>
      </w:r>
      <w:r>
        <w:rPr>
          <w:rFonts w:hint="eastAsia" w:ascii="仿宋" w:hAnsi="仿宋" w:eastAsia="仿宋"/>
          <w:color w:val="auto"/>
          <w:sz w:val="32"/>
          <w:szCs w:val="32"/>
        </w:rPr>
        <w:t>、租赁费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、会议费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、培训费</w:t>
      </w:r>
      <w:r>
        <w:rPr>
          <w:rFonts w:hint="eastAsia" w:ascii="仿宋" w:hAnsi="仿宋" w:eastAsia="仿宋"/>
          <w:color w:val="auto"/>
          <w:sz w:val="32"/>
          <w:szCs w:val="32"/>
          <w:lang w:val="en-US" w:eastAsia="zh-CN"/>
        </w:rPr>
        <w:t>0.58万元</w:t>
      </w:r>
      <w:r>
        <w:rPr>
          <w:rFonts w:hint="eastAsia" w:ascii="仿宋" w:hAnsi="仿宋" w:eastAsia="仿宋"/>
          <w:color w:val="auto"/>
          <w:sz w:val="32"/>
          <w:szCs w:val="32"/>
        </w:rPr>
        <w:t>、公务接待费</w:t>
      </w:r>
      <w:r>
        <w:rPr>
          <w:rFonts w:hint="eastAsia" w:ascii="仿宋" w:hAnsi="仿宋" w:eastAsia="仿宋"/>
          <w:color w:val="auto"/>
          <w:sz w:val="32"/>
          <w:szCs w:val="32"/>
          <w:lang w:val="en-US" w:eastAsia="zh-CN"/>
        </w:rPr>
        <w:t>1.2万元</w:t>
      </w:r>
      <w:r>
        <w:rPr>
          <w:rFonts w:hint="eastAsia" w:ascii="仿宋" w:hAnsi="仿宋" w:eastAsia="仿宋"/>
          <w:color w:val="auto"/>
          <w:sz w:val="32"/>
          <w:szCs w:val="32"/>
        </w:rPr>
        <w:t>、劳务费</w:t>
      </w:r>
      <w:r>
        <w:rPr>
          <w:rFonts w:hint="eastAsia" w:ascii="仿宋" w:hAnsi="仿宋" w:eastAsia="仿宋"/>
          <w:color w:val="auto"/>
          <w:sz w:val="32"/>
          <w:szCs w:val="32"/>
          <w:lang w:val="en-US" w:eastAsia="zh-CN"/>
        </w:rPr>
        <w:t>1.86万元</w:t>
      </w:r>
      <w:r>
        <w:rPr>
          <w:rFonts w:hint="eastAsia" w:ascii="仿宋" w:hAnsi="仿宋" w:eastAsia="仿宋"/>
          <w:color w:val="auto"/>
          <w:sz w:val="32"/>
          <w:szCs w:val="32"/>
        </w:rPr>
        <w:t>、委托业务费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、工会经费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、福利费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、公务用车运行维护费</w:t>
      </w:r>
      <w:r>
        <w:rPr>
          <w:rFonts w:hint="eastAsia" w:ascii="仿宋" w:hAnsi="仿宋" w:eastAsia="仿宋"/>
          <w:color w:val="auto"/>
          <w:sz w:val="32"/>
          <w:szCs w:val="32"/>
          <w:lang w:val="en-US" w:eastAsia="zh-CN"/>
        </w:rPr>
        <w:t>16.59万元</w:t>
      </w:r>
      <w:r>
        <w:rPr>
          <w:rFonts w:hint="eastAsia" w:ascii="仿宋" w:hAnsi="仿宋" w:eastAsia="仿宋"/>
          <w:color w:val="auto"/>
          <w:sz w:val="32"/>
          <w:szCs w:val="32"/>
        </w:rPr>
        <w:t>、其他交通费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、税金及附加费用</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、其他商品和服务支出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、办公设备购置</w:t>
      </w:r>
      <w:r>
        <w:rPr>
          <w:rFonts w:hint="eastAsia" w:ascii="仿宋" w:hAnsi="仿宋" w:eastAsia="仿宋"/>
          <w:color w:val="auto"/>
          <w:sz w:val="32"/>
          <w:szCs w:val="32"/>
          <w:lang w:val="en-US" w:eastAsia="zh-CN"/>
        </w:rPr>
        <w:t>1.08万元</w:t>
      </w:r>
      <w:r>
        <w:rPr>
          <w:rFonts w:hint="eastAsia" w:ascii="仿宋" w:hAnsi="仿宋" w:eastAsia="仿宋"/>
          <w:color w:val="auto"/>
          <w:sz w:val="32"/>
          <w:szCs w:val="32"/>
        </w:rPr>
        <w:t>、专用设备购置</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、信息网络及软件购置更新</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、其他资本性支出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等。</w:t>
      </w:r>
    </w:p>
    <w:p>
      <w:pPr>
        <w:spacing w:line="560" w:lineRule="exact"/>
        <w:ind w:firstLine="645"/>
        <w:rPr>
          <w:rFonts w:hint="default" w:ascii="仿宋_GB2312" w:eastAsia="仿宋_GB2312"/>
          <w:color w:val="auto"/>
          <w:sz w:val="32"/>
          <w:szCs w:val="32"/>
          <w:lang w:val="en-US" w:eastAsia="zh-CN"/>
        </w:rPr>
      </w:pPr>
      <w:r>
        <w:rPr>
          <w:rFonts w:hint="eastAsia" w:ascii="仿宋_GB2312" w:eastAsia="仿宋_GB2312"/>
          <w:color w:val="auto"/>
          <w:sz w:val="32"/>
          <w:szCs w:val="32"/>
        </w:rPr>
        <w:t>项目支出</w:t>
      </w:r>
      <w:r>
        <w:rPr>
          <w:rFonts w:hint="eastAsia" w:ascii="仿宋_GB2312" w:eastAsia="仿宋_GB2312"/>
          <w:color w:val="auto"/>
          <w:sz w:val="32"/>
          <w:szCs w:val="32"/>
          <w:lang w:val="en-US" w:eastAsia="zh-CN"/>
        </w:rPr>
        <w:t>101.23万</w:t>
      </w:r>
      <w:r>
        <w:rPr>
          <w:rFonts w:hint="eastAsia" w:ascii="仿宋_GB2312" w:eastAsia="仿宋_GB2312"/>
          <w:color w:val="auto"/>
          <w:sz w:val="32"/>
          <w:szCs w:val="32"/>
        </w:rPr>
        <w:t>元，</w:t>
      </w:r>
      <w:r>
        <w:rPr>
          <w:rFonts w:hint="eastAsia" w:ascii="仿宋_GB2312" w:eastAsia="仿宋_GB2312"/>
          <w:color w:val="auto"/>
          <w:sz w:val="32"/>
          <w:szCs w:val="32"/>
          <w:lang w:eastAsia="zh-CN"/>
        </w:rPr>
        <w:t>一般行政管理事务</w:t>
      </w:r>
      <w:r>
        <w:rPr>
          <w:rFonts w:hint="eastAsia" w:ascii="仿宋_GB2312" w:eastAsia="仿宋_GB2312"/>
          <w:color w:val="auto"/>
          <w:sz w:val="32"/>
          <w:szCs w:val="32"/>
          <w:lang w:val="en-US" w:eastAsia="zh-CN"/>
        </w:rPr>
        <w:t>28.13万元，法制建设6.54万元，</w:t>
      </w:r>
      <w:r>
        <w:rPr>
          <w:rFonts w:hint="eastAsia" w:ascii="仿宋_GB2312" w:eastAsia="仿宋_GB2312"/>
          <w:color w:val="auto"/>
          <w:sz w:val="32"/>
          <w:szCs w:val="32"/>
        </w:rPr>
        <w:t>普法宣传</w:t>
      </w:r>
      <w:r>
        <w:rPr>
          <w:rFonts w:hint="eastAsia" w:ascii="仿宋_GB2312" w:eastAsia="仿宋_GB2312"/>
          <w:color w:val="auto"/>
          <w:sz w:val="32"/>
          <w:szCs w:val="32"/>
          <w:lang w:val="en-US" w:eastAsia="zh-CN"/>
        </w:rPr>
        <w:t>8万</w:t>
      </w:r>
      <w:r>
        <w:rPr>
          <w:rFonts w:hint="eastAsia" w:ascii="仿宋_GB2312" w:eastAsia="仿宋_GB2312"/>
          <w:color w:val="auto"/>
          <w:sz w:val="32"/>
          <w:szCs w:val="32"/>
        </w:rPr>
        <w:t>元，法律援助</w:t>
      </w:r>
      <w:r>
        <w:rPr>
          <w:rFonts w:hint="eastAsia" w:ascii="仿宋_GB2312" w:eastAsia="仿宋_GB2312"/>
          <w:color w:val="auto"/>
          <w:sz w:val="32"/>
          <w:szCs w:val="32"/>
          <w:lang w:val="en-US" w:eastAsia="zh-CN"/>
        </w:rPr>
        <w:t>6.59万</w:t>
      </w:r>
      <w:r>
        <w:rPr>
          <w:rFonts w:hint="eastAsia" w:ascii="仿宋_GB2312" w:eastAsia="仿宋_GB2312"/>
          <w:color w:val="auto"/>
          <w:sz w:val="32"/>
          <w:szCs w:val="32"/>
        </w:rPr>
        <w:t>元，社区矫正7</w:t>
      </w:r>
      <w:r>
        <w:rPr>
          <w:rFonts w:hint="eastAsia" w:ascii="仿宋_GB2312" w:eastAsia="仿宋_GB2312"/>
          <w:color w:val="auto"/>
          <w:sz w:val="32"/>
          <w:szCs w:val="32"/>
          <w:lang w:eastAsia="zh-CN"/>
        </w:rPr>
        <w:t>万</w:t>
      </w:r>
      <w:r>
        <w:rPr>
          <w:rFonts w:hint="eastAsia" w:ascii="仿宋_GB2312" w:eastAsia="仿宋_GB2312"/>
          <w:color w:val="auto"/>
          <w:sz w:val="32"/>
          <w:szCs w:val="32"/>
        </w:rPr>
        <w:t>元</w:t>
      </w:r>
      <w:r>
        <w:rPr>
          <w:rFonts w:hint="eastAsia" w:ascii="仿宋_GB2312" w:eastAsia="仿宋_GB2312"/>
          <w:color w:val="auto"/>
          <w:sz w:val="32"/>
          <w:szCs w:val="32"/>
          <w:lang w:eastAsia="zh-CN"/>
        </w:rPr>
        <w:t>，其他司法支出</w:t>
      </w:r>
      <w:r>
        <w:rPr>
          <w:rFonts w:hint="eastAsia" w:ascii="仿宋_GB2312" w:eastAsia="仿宋_GB2312"/>
          <w:color w:val="auto"/>
          <w:sz w:val="32"/>
          <w:szCs w:val="32"/>
          <w:lang w:val="en-US" w:eastAsia="zh-CN"/>
        </w:rPr>
        <w:t>44.97万元。</w:t>
      </w:r>
    </w:p>
    <w:p>
      <w:pPr>
        <w:spacing w:line="560" w:lineRule="exact"/>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三、部门</w:t>
      </w:r>
      <w:r>
        <w:rPr>
          <w:rFonts w:hint="eastAsia" w:ascii="仿宋_GB2312" w:hAnsi="仿宋_GB2312" w:eastAsia="仿宋_GB2312" w:cs="仿宋_GB2312"/>
          <w:b/>
          <w:bCs/>
          <w:color w:val="auto"/>
          <w:sz w:val="32"/>
          <w:szCs w:val="32"/>
          <w:lang w:eastAsia="zh-CN"/>
        </w:rPr>
        <w:t>整体预算绩效</w:t>
      </w:r>
      <w:r>
        <w:rPr>
          <w:rFonts w:hint="eastAsia" w:ascii="仿宋_GB2312" w:hAnsi="仿宋_GB2312" w:eastAsia="仿宋_GB2312" w:cs="仿宋_GB2312"/>
          <w:b/>
          <w:bCs/>
          <w:color w:val="auto"/>
          <w:sz w:val="32"/>
          <w:szCs w:val="32"/>
        </w:rPr>
        <w:t>管理情况</w:t>
      </w:r>
    </w:p>
    <w:p>
      <w:pPr>
        <w:pStyle w:val="20"/>
        <w:widowControl/>
        <w:shd w:val="clear" w:color="auto" w:fill="FFFFFF"/>
        <w:spacing w:before="0" w:beforeAutospacing="0" w:after="0" w:afterAutospacing="0" w:line="315" w:lineRule="atLeast"/>
        <w:ind w:firstLine="643" w:firstLineChars="200"/>
        <w:rPr>
          <w:rFonts w:hint="eastAsia" w:ascii="仿宋_GB2312" w:hAnsi="仿宋_GB2312" w:eastAsia="仿宋_GB2312" w:cs="仿宋_GB2312"/>
          <w:b/>
          <w:bCs/>
          <w:color w:val="auto"/>
          <w:sz w:val="32"/>
          <w:szCs w:val="32"/>
          <w:shd w:val="clear" w:color="auto" w:fill="FFFFFF"/>
          <w:lang w:eastAsia="zh-CN"/>
        </w:rPr>
      </w:pPr>
      <w:r>
        <w:rPr>
          <w:rFonts w:hint="eastAsia" w:ascii="仿宋_GB2312" w:hAnsi="仿宋_GB2312" w:eastAsia="仿宋_GB2312" w:cs="仿宋_GB2312"/>
          <w:b/>
          <w:bCs/>
          <w:color w:val="auto"/>
          <w:sz w:val="32"/>
          <w:szCs w:val="32"/>
          <w:shd w:val="clear" w:color="auto" w:fill="FFFFFF"/>
        </w:rPr>
        <w:t>（一）</w:t>
      </w:r>
      <w:r>
        <w:rPr>
          <w:rFonts w:hint="eastAsia" w:ascii="仿宋_GB2312" w:hAnsi="仿宋_GB2312" w:eastAsia="仿宋_GB2312" w:cs="仿宋_GB2312"/>
          <w:b/>
          <w:bCs/>
          <w:color w:val="auto"/>
          <w:sz w:val="32"/>
          <w:szCs w:val="32"/>
          <w:shd w:val="clear" w:color="auto" w:fill="FFFFFF"/>
          <w:lang w:eastAsia="zh-CN"/>
        </w:rPr>
        <w:t>部门预算管理</w:t>
      </w:r>
    </w:p>
    <w:p>
      <w:pPr>
        <w:pStyle w:val="20"/>
        <w:widowControl/>
        <w:shd w:val="clear" w:color="auto" w:fill="FFFFFF"/>
        <w:spacing w:before="0" w:beforeAutospacing="0" w:after="0" w:afterAutospacing="0" w:line="315" w:lineRule="atLeast"/>
        <w:ind w:firstLine="643" w:firstLineChars="200"/>
        <w:rPr>
          <w:rFonts w:hint="default" w:ascii="仿宋_GB2312" w:hAnsi="仿宋_GB2312" w:eastAsia="仿宋_GB2312" w:cs="仿宋_GB2312"/>
          <w:b/>
          <w:bCs/>
          <w:color w:val="auto"/>
          <w:sz w:val="32"/>
          <w:szCs w:val="32"/>
          <w:shd w:val="clear" w:color="auto" w:fill="FFFFFF"/>
          <w:lang w:val="en-US" w:eastAsia="zh-CN"/>
        </w:rPr>
      </w:pPr>
      <w:r>
        <w:rPr>
          <w:rFonts w:hint="eastAsia" w:ascii="仿宋_GB2312" w:hAnsi="仿宋_GB2312" w:eastAsia="仿宋_GB2312" w:cs="仿宋_GB2312"/>
          <w:b/>
          <w:bCs/>
          <w:color w:val="auto"/>
          <w:sz w:val="32"/>
          <w:szCs w:val="32"/>
          <w:shd w:val="clear" w:color="auto" w:fill="FFFFFF"/>
          <w:lang w:val="en-US" w:eastAsia="zh-CN"/>
        </w:rPr>
        <w:t>1、预算编制情况</w:t>
      </w:r>
    </w:p>
    <w:p>
      <w:pPr>
        <w:pStyle w:val="20"/>
        <w:widowControl/>
        <w:shd w:val="clear" w:color="auto" w:fill="FFFFFF"/>
        <w:spacing w:before="0" w:beforeAutospacing="0" w:after="0" w:afterAutospacing="0" w:line="315" w:lineRule="atLeas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根据《中华人民共和国预算法》及县财政局印发的《关于编制 20</w:t>
      </w:r>
      <w:r>
        <w:rPr>
          <w:rFonts w:hint="eastAsia" w:ascii="仿宋_GB2312" w:hAnsi="仿宋_GB2312" w:eastAsia="仿宋_GB2312" w:cs="仿宋_GB2312"/>
          <w:color w:val="auto"/>
          <w:sz w:val="32"/>
          <w:szCs w:val="32"/>
          <w:shd w:val="clear" w:color="auto" w:fill="FFFFFF"/>
          <w:lang w:val="en-US" w:eastAsia="zh-CN"/>
        </w:rPr>
        <w:t>20</w:t>
      </w:r>
      <w:r>
        <w:rPr>
          <w:rFonts w:hint="eastAsia" w:ascii="仿宋_GB2312" w:hAnsi="仿宋_GB2312" w:eastAsia="仿宋_GB2312" w:cs="仿宋_GB2312"/>
          <w:color w:val="auto"/>
          <w:sz w:val="32"/>
          <w:szCs w:val="32"/>
          <w:shd w:val="clear" w:color="auto" w:fill="FFFFFF"/>
        </w:rPr>
        <w:t>年部门预算的通知》要求，结合本单位实际，按照增收节支、保障重点、优化结构、厉行节约、绩效优化的原则，严控“三公”经费管理，从严从紧编制预算。</w:t>
      </w:r>
    </w:p>
    <w:p>
      <w:pPr>
        <w:pStyle w:val="20"/>
        <w:widowControl/>
        <w:shd w:val="clear" w:color="auto" w:fill="FFFFFF"/>
        <w:spacing w:before="0" w:beforeAutospacing="0" w:after="0" w:afterAutospacing="0" w:line="315" w:lineRule="atLeast"/>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shd w:val="clear" w:color="auto" w:fill="FFFFFF"/>
          <w:lang w:val="en-US" w:eastAsia="zh-CN"/>
        </w:rPr>
        <w:t>2、</w:t>
      </w:r>
      <w:r>
        <w:rPr>
          <w:rFonts w:hint="eastAsia" w:ascii="仿宋_GB2312" w:hAnsi="仿宋_GB2312" w:eastAsia="仿宋_GB2312" w:cs="仿宋_GB2312"/>
          <w:b/>
          <w:bCs/>
          <w:color w:val="auto"/>
          <w:sz w:val="32"/>
          <w:szCs w:val="32"/>
          <w:shd w:val="clear" w:color="auto" w:fill="FFFFFF"/>
        </w:rPr>
        <w:t>执行管理情况</w:t>
      </w:r>
    </w:p>
    <w:p>
      <w:pPr>
        <w:widowControl/>
        <w:adjustRightInd w:val="0"/>
        <w:snapToGrid w:val="0"/>
        <w:spacing w:line="480" w:lineRule="exact"/>
        <w:ind w:firstLine="720"/>
        <w:jc w:val="left"/>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本着遵循先预算后支出的原则，20</w:t>
      </w:r>
      <w:r>
        <w:rPr>
          <w:rFonts w:hint="eastAsia" w:ascii="仿宋_GB2312" w:hAnsi="仿宋_GB2312" w:eastAsia="仿宋_GB2312" w:cs="仿宋_GB2312"/>
          <w:color w:val="auto"/>
          <w:sz w:val="32"/>
          <w:szCs w:val="32"/>
          <w:shd w:val="clear" w:color="auto" w:fill="FFFFFF"/>
          <w:lang w:val="en-US" w:eastAsia="zh-CN"/>
        </w:rPr>
        <w:t>20</w:t>
      </w:r>
      <w:r>
        <w:rPr>
          <w:rFonts w:hint="eastAsia" w:ascii="仿宋_GB2312" w:hAnsi="仿宋_GB2312" w:eastAsia="仿宋_GB2312" w:cs="仿宋_GB2312"/>
          <w:color w:val="auto"/>
          <w:sz w:val="32"/>
          <w:szCs w:val="32"/>
          <w:shd w:val="clear" w:color="auto" w:fill="FFFFFF"/>
        </w:rPr>
        <w:t>年财政预算支出（包括财政应返还额度）全面落实到位，均按规定的用途支付。</w:t>
      </w:r>
    </w:p>
    <w:p>
      <w:pPr>
        <w:widowControl/>
        <w:adjustRightInd w:val="0"/>
        <w:snapToGrid w:val="0"/>
        <w:spacing w:line="480" w:lineRule="exact"/>
        <w:ind w:firstLine="643" w:firstLineChars="200"/>
        <w:jc w:val="left"/>
        <w:rPr>
          <w:rFonts w:ascii="楷体" w:hAnsi="楷体" w:eastAsia="楷体" w:cs="宋体"/>
          <w:color w:val="auto"/>
          <w:kern w:val="0"/>
          <w:lang w:val="zh-CN"/>
        </w:rPr>
      </w:pPr>
      <w:r>
        <w:rPr>
          <w:rFonts w:hint="eastAsia" w:ascii="仿宋_GB2312" w:hAnsi="仿宋_GB2312" w:eastAsia="仿宋_GB2312" w:cs="仿宋_GB2312"/>
          <w:b/>
          <w:bCs/>
          <w:color w:val="auto"/>
          <w:kern w:val="0"/>
          <w:sz w:val="32"/>
          <w:szCs w:val="32"/>
          <w:lang w:val="en-US" w:eastAsia="zh-CN" w:bidi="ar"/>
        </w:rPr>
        <w:t>3</w:t>
      </w:r>
      <w:r>
        <w:rPr>
          <w:rFonts w:hint="eastAsia" w:ascii="仿宋_GB2312" w:hAnsi="仿宋_GB2312" w:eastAsia="仿宋_GB2312" w:cs="仿宋_GB2312"/>
          <w:b/>
          <w:bCs/>
          <w:color w:val="auto"/>
          <w:kern w:val="0"/>
          <w:sz w:val="32"/>
          <w:szCs w:val="32"/>
          <w:lang w:val="zh-CN" w:bidi="ar"/>
        </w:rPr>
        <w:t>综合管理情况</w:t>
      </w:r>
    </w:p>
    <w:p>
      <w:pPr>
        <w:spacing w:line="576"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财务管理过程中建立健全财务核算制度、严格执行国家相关财经法规，加强了会计基础工作、逐渐规范了财务管理行为。严格按照《行政单位会计制度》和《行政单位财务规则》的规定设置会计科目，建立了科学有效的会计核算方式，均真实、合法、准确的反映各项收支活动；建立健全了内控制度，加强和完善了经费收支和财务管理，积极配合各级财政部门开展相关经费的考评工作；</w:t>
      </w:r>
      <w:r>
        <w:rPr>
          <w:rFonts w:hint="eastAsia" w:ascii="仿宋_GB2312" w:hAnsi="仿宋_GB2312" w:eastAsia="仿宋_GB2312" w:cs="仿宋_GB2312"/>
          <w:color w:val="auto"/>
          <w:sz w:val="32"/>
          <w:szCs w:val="32"/>
          <w:lang w:eastAsia="zh-CN"/>
        </w:rPr>
        <w:t>我局</w:t>
      </w:r>
      <w:r>
        <w:rPr>
          <w:rFonts w:hint="eastAsia" w:ascii="仿宋_GB2312" w:hAnsi="仿宋_GB2312" w:eastAsia="仿宋_GB2312" w:cs="仿宋_GB2312"/>
          <w:color w:val="auto"/>
          <w:sz w:val="32"/>
          <w:szCs w:val="32"/>
        </w:rPr>
        <w:t>在资金使用过程中，合理使用各项资金，严格执行各项经费开支范围和标准。对中央转移支付资金的使用全部用于与</w:t>
      </w:r>
      <w:r>
        <w:rPr>
          <w:rFonts w:hint="eastAsia" w:ascii="仿宋_GB2312" w:hAnsi="仿宋_GB2312" w:eastAsia="仿宋_GB2312" w:cs="仿宋_GB2312"/>
          <w:color w:val="auto"/>
          <w:sz w:val="32"/>
          <w:szCs w:val="32"/>
          <w:lang w:eastAsia="zh-CN"/>
        </w:rPr>
        <w:t>司法业务</w:t>
      </w:r>
      <w:r>
        <w:rPr>
          <w:rFonts w:hint="eastAsia" w:ascii="仿宋_GB2312" w:hAnsi="仿宋_GB2312" w:eastAsia="仿宋_GB2312" w:cs="仿宋_GB2312"/>
          <w:color w:val="auto"/>
          <w:sz w:val="32"/>
          <w:szCs w:val="32"/>
        </w:rPr>
        <w:t>直接相关的业务及装备支出，并确保专款专用；在账务报销过程中贯彻执行国家颁布的有关财务制度，严格按照《会计法》规定以完整、合法的原始凭证及财务报销手续进行报账、核算，做到了手续齐备、内容真实、数据准确、账目清晰，认真及时的填报了各项年度统计报表；在整个财务收支管理中做到了会计核算与财政收支账一致，实现了会计电算化，在采购资金支出时手续齐备，采购的固定资产及时登记并入账；严格落实</w:t>
      </w:r>
      <w:r>
        <w:rPr>
          <w:rFonts w:hint="eastAsia" w:ascii="仿宋_GB2312" w:hAnsi="仿宋_GB2312" w:eastAsia="仿宋_GB2312" w:cs="仿宋_GB2312"/>
          <w:color w:val="auto"/>
          <w:sz w:val="32"/>
          <w:szCs w:val="32"/>
          <w:lang w:eastAsia="zh-CN"/>
        </w:rPr>
        <w:t>中央“八项规定”“六项禁令”</w:t>
      </w:r>
      <w:r>
        <w:rPr>
          <w:rFonts w:hint="eastAsia" w:ascii="仿宋_GB2312" w:hAnsi="仿宋_GB2312" w:eastAsia="仿宋_GB2312" w:cs="仿宋_GB2312"/>
          <w:color w:val="auto"/>
          <w:sz w:val="32"/>
          <w:szCs w:val="32"/>
        </w:rPr>
        <w:t>的相关规定，进一步规范了“三公经费”的管理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并严格控制了“三公经费”的支出。</w:t>
      </w:r>
    </w:p>
    <w:p>
      <w:pPr>
        <w:widowControl/>
        <w:adjustRightInd w:val="0"/>
        <w:snapToGrid w:val="0"/>
        <w:spacing w:line="480" w:lineRule="exact"/>
        <w:ind w:firstLine="643" w:firstLineChars="200"/>
        <w:jc w:val="left"/>
        <w:rPr>
          <w:rFonts w:hint="eastAsia" w:ascii="仿宋_GB2312" w:hAnsi="仿宋_GB2312" w:eastAsia="仿宋_GB2312" w:cs="仿宋_GB2312"/>
          <w:b/>
          <w:bCs/>
          <w:color w:val="auto"/>
          <w:kern w:val="0"/>
          <w:sz w:val="32"/>
          <w:szCs w:val="32"/>
          <w:lang w:val="zh-CN"/>
        </w:rPr>
      </w:pPr>
      <w:r>
        <w:rPr>
          <w:rFonts w:hint="eastAsia" w:ascii="仿宋_GB2312" w:hAnsi="仿宋_GB2312" w:eastAsia="仿宋_GB2312" w:cs="仿宋_GB2312"/>
          <w:b/>
          <w:bCs/>
          <w:color w:val="auto"/>
          <w:kern w:val="0"/>
          <w:sz w:val="32"/>
          <w:szCs w:val="32"/>
          <w:lang w:val="zh-CN" w:bidi="ar"/>
        </w:rPr>
        <w:t>（二）结果应用情况</w:t>
      </w:r>
    </w:p>
    <w:p>
      <w:pPr>
        <w:spacing w:line="576"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从整体情况来看，我局严格按照年初预算进行部门整体支出。在支出过程中，能严格遵守各项规章制度，“三公经费”明显下降。所有项目都详细制定了方案，严格按方案组织实施，并加强了监督。尤其是在专项经费支出上，我们能专款专用，按项目实施计划的进度情况进行资金拨付，无截留、无挪用等现象。实行先有预算、后有执行、“用钱必问效、无效必问责”的工作机制。</w:t>
      </w:r>
    </w:p>
    <w:p>
      <w:pPr>
        <w:pStyle w:val="20"/>
        <w:widowControl/>
        <w:shd w:val="clear" w:color="auto" w:fill="FFFFFF"/>
        <w:spacing w:before="0" w:beforeAutospacing="0" w:after="0" w:afterAutospacing="0" w:line="315" w:lineRule="atLeast"/>
        <w:ind w:firstLine="643" w:firstLineChars="200"/>
        <w:rPr>
          <w:rFonts w:hint="eastAsia" w:ascii="黑体" w:hAnsi="黑体" w:eastAsia="黑体" w:cs="黑体"/>
          <w:color w:val="auto"/>
          <w:sz w:val="32"/>
          <w:szCs w:val="32"/>
        </w:rPr>
      </w:pPr>
      <w:r>
        <w:rPr>
          <w:rFonts w:hint="eastAsia" w:ascii="黑体" w:hAnsi="黑体" w:eastAsia="黑体" w:cs="黑体"/>
          <w:b/>
          <w:bCs/>
          <w:color w:val="auto"/>
          <w:sz w:val="32"/>
          <w:szCs w:val="32"/>
          <w:shd w:val="clear" w:color="auto" w:fill="FFFFFF"/>
        </w:rPr>
        <w:t> 四、评价结论及建议</w:t>
      </w:r>
    </w:p>
    <w:p>
      <w:pPr>
        <w:pStyle w:val="20"/>
        <w:widowControl/>
        <w:shd w:val="clear" w:color="auto" w:fill="FFFFFF"/>
        <w:spacing w:before="0" w:beforeAutospacing="0" w:after="0" w:afterAutospacing="0" w:line="315" w:lineRule="atLeast"/>
        <w:ind w:firstLine="48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 </w:t>
      </w:r>
      <w:r>
        <w:rPr>
          <w:rFonts w:hint="eastAsia" w:ascii="仿宋_GB2312" w:hAnsi="仿宋_GB2312" w:eastAsia="仿宋_GB2312" w:cs="仿宋_GB2312"/>
          <w:b/>
          <w:bCs/>
          <w:color w:val="auto"/>
          <w:sz w:val="32"/>
          <w:szCs w:val="32"/>
          <w:shd w:val="clear" w:color="auto" w:fill="FFFFFF"/>
        </w:rPr>
        <w:t>（一）评价结论</w:t>
      </w:r>
    </w:p>
    <w:p>
      <w:pPr>
        <w:pStyle w:val="20"/>
        <w:widowControl/>
        <w:shd w:val="clear" w:color="auto" w:fill="FFFFFF"/>
        <w:spacing w:before="0" w:beforeAutospacing="0" w:after="0" w:afterAutospacing="0" w:line="315" w:lineRule="atLeast"/>
        <w:ind w:firstLine="600" w:firstLineChars="200"/>
        <w:rPr>
          <w:rFonts w:hint="eastAsia" w:ascii="仿宋_GB2312" w:hAnsi="宋体" w:eastAsia="仿宋_GB2312" w:cs="宋体"/>
          <w:color w:val="auto"/>
          <w:sz w:val="30"/>
          <w:szCs w:val="30"/>
          <w:lang w:val="zh-CN" w:bidi="ar"/>
        </w:rPr>
      </w:pPr>
      <w:r>
        <w:rPr>
          <w:rFonts w:hint="eastAsia" w:ascii="仿宋_GB2312" w:hAnsi="宋体" w:eastAsia="仿宋_GB2312" w:cs="宋体"/>
          <w:color w:val="auto"/>
          <w:sz w:val="30"/>
          <w:szCs w:val="30"/>
          <w:lang w:val="zh-CN" w:bidi="ar"/>
        </w:rPr>
        <w:t>根据《20</w:t>
      </w:r>
      <w:r>
        <w:rPr>
          <w:rFonts w:hint="eastAsia" w:ascii="仿宋_GB2312" w:hAnsi="宋体" w:eastAsia="仿宋_GB2312" w:cs="宋体"/>
          <w:color w:val="auto"/>
          <w:sz w:val="30"/>
          <w:szCs w:val="30"/>
          <w:lang w:val="en-US" w:eastAsia="zh-CN" w:bidi="ar"/>
        </w:rPr>
        <w:t>20</w:t>
      </w:r>
      <w:r>
        <w:rPr>
          <w:rFonts w:hint="eastAsia" w:ascii="仿宋_GB2312" w:hAnsi="宋体" w:eastAsia="仿宋_GB2312" w:cs="宋体"/>
          <w:color w:val="auto"/>
          <w:sz w:val="30"/>
          <w:szCs w:val="30"/>
          <w:lang w:val="zh-CN" w:bidi="ar"/>
        </w:rPr>
        <w:t>年红原县部门支出绩效评价指标体系》评分得分</w:t>
      </w:r>
      <w:r>
        <w:rPr>
          <w:rFonts w:hint="eastAsia" w:ascii="仿宋_GB2312" w:hAnsi="宋体" w:eastAsia="仿宋_GB2312" w:cs="宋体"/>
          <w:color w:val="auto"/>
          <w:sz w:val="30"/>
          <w:szCs w:val="30"/>
          <w:lang w:val="en-US" w:eastAsia="zh-CN" w:bidi="ar"/>
        </w:rPr>
        <w:t>90</w:t>
      </w:r>
      <w:r>
        <w:rPr>
          <w:rFonts w:hint="eastAsia" w:ascii="仿宋_GB2312" w:hAnsi="宋体" w:eastAsia="仿宋_GB2312" w:cs="宋体"/>
          <w:color w:val="auto"/>
          <w:sz w:val="30"/>
          <w:szCs w:val="30"/>
          <w:lang w:val="zh-CN" w:bidi="ar"/>
        </w:rPr>
        <w:t>分，部门整体支出绩效为“好”。</w:t>
      </w:r>
    </w:p>
    <w:p>
      <w:pPr>
        <w:pStyle w:val="20"/>
        <w:widowControl/>
        <w:shd w:val="clear" w:color="auto" w:fill="FFFFFF"/>
        <w:spacing w:before="0" w:beforeAutospacing="0" w:after="0" w:afterAutospacing="0" w:line="315" w:lineRule="atLeast"/>
        <w:ind w:firstLine="643" w:firstLineChars="200"/>
        <w:rPr>
          <w:rFonts w:hint="eastAsia" w:ascii="宋体" w:hAnsi="宋体" w:eastAsia="宋体" w:cs="宋体"/>
          <w:b w:val="0"/>
          <w:i w:val="0"/>
          <w:caps w:val="0"/>
          <w:color w:val="auto"/>
          <w:spacing w:val="0"/>
          <w:sz w:val="24"/>
          <w:szCs w:val="24"/>
        </w:rPr>
      </w:pPr>
      <w:r>
        <w:rPr>
          <w:rFonts w:hint="eastAsia" w:ascii="仿宋_GB2312" w:hAnsi="仿宋_GB2312" w:eastAsia="仿宋_GB2312" w:cs="仿宋_GB2312"/>
          <w:b/>
          <w:bCs/>
          <w:color w:val="auto"/>
          <w:sz w:val="32"/>
          <w:szCs w:val="32"/>
          <w:shd w:val="clear" w:color="auto" w:fill="FFFFFF"/>
        </w:rPr>
        <w:t>（二）存在问题</w:t>
      </w:r>
      <w:r>
        <w:rPr>
          <w:rFonts w:hint="eastAsia" w:ascii="仿宋_GB2312" w:hAnsi="仿宋_GB2312" w:eastAsia="仿宋_GB2312" w:cs="仿宋_GB2312"/>
          <w:color w:val="auto"/>
          <w:sz w:val="32"/>
          <w:szCs w:val="32"/>
          <w:shd w:val="clear" w:color="auto" w:fill="FFFFFF"/>
        </w:rPr>
        <w:t> </w:t>
      </w:r>
    </w:p>
    <w:p>
      <w:pPr>
        <w:pStyle w:val="20"/>
        <w:keepNext w:val="0"/>
        <w:keepLines w:val="0"/>
        <w:widowControl/>
        <w:suppressLineNumbers w:val="0"/>
        <w:shd w:val="clear" w:fill="FFFFFF"/>
        <w:spacing w:before="0" w:beforeAutospacing="0" w:after="0" w:afterAutospacing="0" w:line="33" w:lineRule="atLeast"/>
        <w:ind w:left="0" w:firstLine="420"/>
        <w:jc w:val="both"/>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lang w:val="en-US" w:eastAsia="zh-CN"/>
        </w:rPr>
        <w:t>1、</w:t>
      </w:r>
      <w:r>
        <w:rPr>
          <w:rFonts w:hint="eastAsia" w:ascii="仿宋_GB2312" w:hAnsi="仿宋_GB2312" w:eastAsia="仿宋_GB2312" w:cs="仿宋_GB2312"/>
          <w:b w:val="0"/>
          <w:i w:val="0"/>
          <w:caps w:val="0"/>
          <w:color w:val="auto"/>
          <w:spacing w:val="0"/>
          <w:sz w:val="32"/>
          <w:szCs w:val="32"/>
          <w:shd w:val="clear" w:fill="FFFFFF"/>
        </w:rPr>
        <w:t>预算编制仍需进一步精准细化。</w:t>
      </w:r>
    </w:p>
    <w:p>
      <w:pPr>
        <w:pStyle w:val="20"/>
        <w:keepNext w:val="0"/>
        <w:keepLines w:val="0"/>
        <w:widowControl/>
        <w:suppressLineNumbers w:val="0"/>
        <w:shd w:val="clear" w:fill="FFFFFF"/>
        <w:spacing w:before="0" w:beforeAutospacing="0" w:after="0" w:afterAutospacing="0" w:line="33" w:lineRule="atLeast"/>
        <w:ind w:left="0" w:firstLine="420"/>
        <w:jc w:val="both"/>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随着财务工作日益细化，各项资金需要完全按照所下指标用途分类来使用，我局目前还需要进一步提升对预算的细化工作，加强对资金使用的前瞻性预估。</w:t>
      </w:r>
    </w:p>
    <w:p>
      <w:pPr>
        <w:pStyle w:val="20"/>
        <w:keepNext w:val="0"/>
        <w:keepLines w:val="0"/>
        <w:widowControl/>
        <w:suppressLineNumbers w:val="0"/>
        <w:shd w:val="clear" w:fill="FFFFFF"/>
        <w:spacing w:before="0" w:beforeAutospacing="0" w:after="0" w:afterAutospacing="0" w:line="33" w:lineRule="atLeast"/>
        <w:ind w:left="0" w:firstLine="420"/>
        <w:jc w:val="both"/>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lang w:val="en-US" w:eastAsia="zh-CN"/>
        </w:rPr>
        <w:t>2、</w:t>
      </w:r>
      <w:r>
        <w:rPr>
          <w:rFonts w:hint="eastAsia" w:ascii="仿宋_GB2312" w:hAnsi="仿宋_GB2312" w:eastAsia="仿宋_GB2312" w:cs="仿宋_GB2312"/>
          <w:b w:val="0"/>
          <w:i w:val="0"/>
          <w:caps w:val="0"/>
          <w:color w:val="auto"/>
          <w:spacing w:val="0"/>
          <w:sz w:val="32"/>
          <w:szCs w:val="32"/>
          <w:shd w:val="clear" w:fill="FFFFFF"/>
        </w:rPr>
        <w:t>资产管理资料更新速度较慢。</w:t>
      </w:r>
    </w:p>
    <w:p>
      <w:pPr>
        <w:pStyle w:val="20"/>
        <w:widowControl/>
        <w:shd w:val="clear" w:color="auto" w:fill="FFFFFF"/>
        <w:spacing w:before="0" w:beforeAutospacing="0" w:after="0" w:afterAutospacing="0" w:line="315" w:lineRule="atLeas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shd w:val="clear" w:color="auto" w:fill="FFFFFF"/>
        </w:rPr>
        <w:t>（三）改进建议</w:t>
      </w:r>
    </w:p>
    <w:p>
      <w:pPr>
        <w:pStyle w:val="20"/>
        <w:keepNext w:val="0"/>
        <w:keepLines w:val="0"/>
        <w:widowControl/>
        <w:suppressLineNumbers w:val="0"/>
        <w:shd w:val="clear" w:fill="FFFFFF"/>
        <w:spacing w:before="0" w:beforeAutospacing="0" w:after="0" w:afterAutospacing="0" w:line="33" w:lineRule="atLeast"/>
        <w:ind w:firstLine="640" w:firstLineChars="200"/>
        <w:jc w:val="both"/>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lang w:val="en-US" w:eastAsia="zh-CN"/>
        </w:rPr>
        <w:t>1、</w:t>
      </w:r>
      <w:r>
        <w:rPr>
          <w:rFonts w:hint="eastAsia" w:ascii="仿宋_GB2312" w:hAnsi="仿宋_GB2312" w:eastAsia="仿宋_GB2312" w:cs="仿宋_GB2312"/>
          <w:b w:val="0"/>
          <w:i w:val="0"/>
          <w:caps w:val="0"/>
          <w:color w:val="auto"/>
          <w:spacing w:val="0"/>
          <w:sz w:val="32"/>
          <w:szCs w:val="32"/>
          <w:shd w:val="clear" w:fill="FFFFFF"/>
        </w:rPr>
        <w:t>科学合理编制预算，严格执行预算。在预算的编制阶段，多花时间、下功夫，将每项支出的预算做好做细。在预算的执行阶段，严格控制每项支出，并定期将预算使用情况向局党组汇报，针对突发性支出做好准备工作。</w:t>
      </w:r>
    </w:p>
    <w:p>
      <w:pPr>
        <w:pStyle w:val="20"/>
        <w:keepNext w:val="0"/>
        <w:keepLines w:val="0"/>
        <w:widowControl/>
        <w:suppressLineNumbers w:val="0"/>
        <w:shd w:val="clear" w:fill="FFFFFF"/>
        <w:spacing w:before="0" w:beforeAutospacing="0" w:after="0" w:afterAutospacing="0" w:line="33" w:lineRule="atLeast"/>
        <w:ind w:left="0" w:firstLine="420"/>
        <w:jc w:val="both"/>
        <w:rPr>
          <w:rFonts w:hint="eastAsia" w:ascii="仿宋_GB2312" w:hAnsi="仿宋_GB2312" w:eastAsia="仿宋_GB2312" w:cs="仿宋_GB2312"/>
          <w:b w:val="0"/>
          <w:i w:val="0"/>
          <w:caps w:val="0"/>
          <w:color w:val="auto"/>
          <w:spacing w:val="0"/>
          <w:sz w:val="32"/>
          <w:szCs w:val="32"/>
          <w:lang w:eastAsia="zh-CN"/>
        </w:rPr>
      </w:pPr>
      <w:r>
        <w:rPr>
          <w:rFonts w:hint="eastAsia" w:ascii="仿宋_GB2312" w:hAnsi="仿宋_GB2312" w:eastAsia="仿宋_GB2312" w:cs="仿宋_GB2312"/>
          <w:b w:val="0"/>
          <w:i w:val="0"/>
          <w:caps w:val="0"/>
          <w:color w:val="auto"/>
          <w:spacing w:val="0"/>
          <w:sz w:val="32"/>
          <w:szCs w:val="32"/>
          <w:shd w:val="clear" w:fill="FFFFFF"/>
          <w:lang w:val="en-US" w:eastAsia="zh-CN"/>
        </w:rPr>
        <w:t>2、</w:t>
      </w:r>
      <w:r>
        <w:rPr>
          <w:rFonts w:hint="eastAsia" w:ascii="仿宋_GB2312" w:hAnsi="仿宋_GB2312" w:eastAsia="仿宋_GB2312" w:cs="仿宋_GB2312"/>
          <w:b w:val="0"/>
          <w:i w:val="0"/>
          <w:caps w:val="0"/>
          <w:color w:val="auto"/>
          <w:spacing w:val="0"/>
          <w:sz w:val="32"/>
          <w:szCs w:val="32"/>
          <w:shd w:val="clear" w:fill="FFFFFF"/>
        </w:rPr>
        <w:t>完善管理制度，进一步加强资产管理。严格按照《固定资产管理办法》的规定加强固定资产管理</w:t>
      </w:r>
      <w:r>
        <w:rPr>
          <w:rFonts w:hint="eastAsia" w:ascii="仿宋_GB2312" w:hAnsi="仿宋_GB2312" w:eastAsia="仿宋_GB2312" w:cs="仿宋_GB2312"/>
          <w:b w:val="0"/>
          <w:i w:val="0"/>
          <w:caps w:val="0"/>
          <w:color w:val="auto"/>
          <w:spacing w:val="0"/>
          <w:sz w:val="32"/>
          <w:szCs w:val="32"/>
          <w:shd w:val="clear" w:fill="FFFFFF"/>
          <w:lang w:eastAsia="zh-CN"/>
        </w:rPr>
        <w:t>。</w:t>
      </w:r>
    </w:p>
    <w:p>
      <w:pPr>
        <w:pStyle w:val="20"/>
        <w:keepNext w:val="0"/>
        <w:keepLines w:val="0"/>
        <w:widowControl/>
        <w:suppressLineNumbers w:val="0"/>
        <w:shd w:val="clear" w:fill="FFFFFF"/>
        <w:spacing w:before="0" w:beforeAutospacing="0" w:after="0" w:afterAutospacing="0" w:line="33" w:lineRule="atLeast"/>
        <w:ind w:left="0" w:firstLine="420"/>
        <w:jc w:val="both"/>
        <w:rPr>
          <w:rFonts w:hint="eastAsia" w:ascii="宋体" w:hAnsi="宋体" w:eastAsia="宋体" w:cs="宋体"/>
          <w:b w:val="0"/>
          <w:i w:val="0"/>
          <w:caps w:val="0"/>
          <w:color w:val="auto"/>
          <w:spacing w:val="0"/>
          <w:sz w:val="24"/>
          <w:szCs w:val="24"/>
        </w:rPr>
      </w:pPr>
    </w:p>
    <w:p>
      <w:pPr>
        <w:pStyle w:val="20"/>
        <w:keepNext w:val="0"/>
        <w:keepLines w:val="0"/>
        <w:widowControl/>
        <w:suppressLineNumbers w:val="0"/>
        <w:shd w:val="clear" w:fill="FFFFFF"/>
        <w:spacing w:before="0" w:beforeAutospacing="0" w:after="0" w:afterAutospacing="0" w:line="33" w:lineRule="atLeast"/>
        <w:ind w:left="0" w:firstLine="420"/>
        <w:jc w:val="both"/>
        <w:rPr>
          <w:rFonts w:hint="eastAsia" w:ascii="宋体" w:hAnsi="宋体" w:eastAsia="宋体" w:cs="宋体"/>
          <w:b w:val="0"/>
          <w:i w:val="0"/>
          <w:caps w:val="0"/>
          <w:color w:val="auto"/>
          <w:spacing w:val="0"/>
          <w:sz w:val="24"/>
          <w:szCs w:val="24"/>
        </w:rPr>
      </w:pPr>
    </w:p>
    <w:p>
      <w:pPr>
        <w:pStyle w:val="20"/>
        <w:widowControl/>
        <w:shd w:val="clear" w:color="auto" w:fill="FFFFFF"/>
        <w:spacing w:before="0" w:beforeAutospacing="0" w:after="0" w:afterAutospacing="0" w:line="315" w:lineRule="atLeast"/>
        <w:ind w:firstLine="960" w:firstLineChars="300"/>
        <w:rPr>
          <w:rStyle w:val="40"/>
          <w:rFonts w:hint="eastAsia" w:ascii="仿宋" w:hAnsi="仿宋" w:eastAsia="仿宋"/>
          <w:b w:val="0"/>
          <w:bCs w:val="0"/>
          <w:color w:val="auto"/>
          <w:sz w:val="32"/>
          <w:szCs w:val="32"/>
        </w:rPr>
      </w:pPr>
      <w:r>
        <w:rPr>
          <w:rStyle w:val="40"/>
          <w:rFonts w:hint="eastAsia" w:ascii="仿宋" w:hAnsi="仿宋" w:eastAsia="仿宋"/>
          <w:b w:val="0"/>
          <w:bCs w:val="0"/>
          <w:color w:val="auto"/>
          <w:sz w:val="32"/>
          <w:szCs w:val="32"/>
        </w:rPr>
        <w:t>附件2</w:t>
      </w:r>
      <w:bookmarkEnd w:id="113"/>
    </w:p>
    <w:p>
      <w:pPr>
        <w:pStyle w:val="20"/>
        <w:widowControl/>
        <w:shd w:val="clear" w:color="auto" w:fill="FFFFFF"/>
        <w:spacing w:before="0" w:beforeAutospacing="0" w:after="0" w:afterAutospacing="0" w:line="315" w:lineRule="atLeast"/>
        <w:ind w:firstLine="960" w:firstLineChars="300"/>
        <w:rPr>
          <w:rStyle w:val="40"/>
          <w:rFonts w:hint="eastAsia" w:ascii="仿宋" w:hAnsi="仿宋" w:eastAsia="仿宋"/>
          <w:b w:val="0"/>
          <w:bCs w:val="0"/>
          <w:color w:val="auto"/>
          <w:sz w:val="32"/>
          <w:szCs w:val="32"/>
        </w:rPr>
      </w:pPr>
    </w:p>
    <w:p>
      <w:pPr>
        <w:keepNext w:val="0"/>
        <w:keepLines w:val="0"/>
        <w:widowControl w:val="0"/>
        <w:suppressLineNumbers w:val="0"/>
        <w:snapToGrid w:val="0"/>
        <w:spacing w:before="0" w:beforeAutospacing="0" w:after="0" w:afterAutospacing="0" w:line="580" w:lineRule="exact"/>
        <w:ind w:left="0" w:right="0"/>
        <w:jc w:val="center"/>
        <w:rPr>
          <w:rFonts w:hint="eastAsia" w:ascii="方正小标宋简体" w:hAnsi="宋体" w:eastAsia="方正小标宋简体" w:cs="方正小标宋简体"/>
          <w:color w:val="auto"/>
          <w:sz w:val="44"/>
          <w:szCs w:val="44"/>
          <w:lang w:val="en-US"/>
        </w:rPr>
      </w:pPr>
      <w:r>
        <w:rPr>
          <w:rFonts w:hint="eastAsia" w:ascii="方正小标宋简体" w:hAnsi="宋体" w:eastAsia="方正小标宋简体" w:cs="方正小标宋简体"/>
          <w:color w:val="auto"/>
          <w:kern w:val="2"/>
          <w:sz w:val="44"/>
          <w:szCs w:val="44"/>
          <w:lang w:val="en-US" w:eastAsia="zh-CN" w:bidi="ar"/>
        </w:rPr>
        <w:t>普法宣传项目2020年绩效评价报告</w:t>
      </w:r>
    </w:p>
    <w:p>
      <w:pPr>
        <w:keepNext w:val="0"/>
        <w:keepLines w:val="0"/>
        <w:widowControl w:val="0"/>
        <w:suppressLineNumbers w:val="0"/>
        <w:tabs>
          <w:tab w:val="left" w:pos="3885"/>
        </w:tabs>
        <w:snapToGrid w:val="0"/>
        <w:spacing w:before="0" w:beforeAutospacing="0" w:after="0" w:afterAutospacing="0" w:line="580" w:lineRule="exact"/>
        <w:ind w:left="0" w:right="0" w:firstLine="422" w:firstLineChars="200"/>
        <w:jc w:val="left"/>
        <w:rPr>
          <w:rFonts w:hint="eastAsia" w:ascii="宋体" w:hAnsi="宋体" w:eastAsia="仿宋_GB2312" w:cs="宋体"/>
          <w:b/>
          <w:bCs w:val="0"/>
          <w:color w:val="auto"/>
          <w:szCs w:val="21"/>
          <w:lang w:val="en-US"/>
        </w:rPr>
      </w:pPr>
    </w:p>
    <w:p>
      <w:pPr>
        <w:pStyle w:val="20"/>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黑体" w:hAnsi="宋体" w:eastAsia="黑体" w:cs="黑体"/>
          <w:color w:val="auto"/>
          <w:kern w:val="2"/>
          <w:sz w:val="32"/>
          <w:szCs w:val="21"/>
          <w:lang w:val="en-US" w:eastAsia="zh-CN" w:bidi="ar"/>
        </w:rPr>
      </w:pPr>
      <w:r>
        <w:rPr>
          <w:rFonts w:hint="eastAsia" w:ascii="黑体" w:hAnsi="宋体" w:eastAsia="黑体" w:cs="黑体"/>
          <w:color w:val="auto"/>
          <w:kern w:val="2"/>
          <w:sz w:val="32"/>
          <w:szCs w:val="21"/>
          <w:lang w:val="en-US" w:eastAsia="zh-CN" w:bidi="ar"/>
        </w:rPr>
        <w:t>项目慨况</w:t>
      </w:r>
    </w:p>
    <w:p>
      <w:pPr>
        <w:pStyle w:val="20"/>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495" w:leftChars="0" w:right="0" w:rightChars="0"/>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w:t>
      </w:r>
      <w:r>
        <w:rPr>
          <w:rFonts w:hint="eastAsia" w:ascii="仿宋_GB2312" w:hAnsi="仿宋_GB2312" w:eastAsia="仿宋_GB2312" w:cs="仿宋_GB2312"/>
          <w:b/>
          <w:bCs/>
          <w:i w:val="0"/>
          <w:caps w:val="0"/>
          <w:color w:val="auto"/>
          <w:spacing w:val="0"/>
          <w:sz w:val="32"/>
          <w:szCs w:val="32"/>
          <w:shd w:val="clear" w:fill="FFFFFF"/>
        </w:rPr>
        <w:t>一)项目基本情况</w:t>
      </w:r>
      <w:r>
        <w:rPr>
          <w:rFonts w:hint="eastAsia" w:ascii="仿宋_GB2312" w:hAnsi="仿宋_GB2312" w:eastAsia="仿宋_GB2312" w:cs="仿宋_GB2312"/>
          <w:b w:val="0"/>
          <w:i w:val="0"/>
          <w:caps w:val="0"/>
          <w:color w:val="auto"/>
          <w:spacing w:val="0"/>
          <w:sz w:val="32"/>
          <w:szCs w:val="32"/>
          <w:shd w:val="clear" w:fill="FFFFFF"/>
        </w:rPr>
        <w:t>。</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普法经费项目涉</w:t>
      </w:r>
      <w:r>
        <w:rPr>
          <w:rFonts w:hint="eastAsia" w:ascii="仿宋_GB2312" w:hAnsi="仿宋_GB2312" w:eastAsia="仿宋_GB2312" w:cs="仿宋_GB2312"/>
          <w:b w:val="0"/>
          <w:i w:val="0"/>
          <w:caps w:val="0"/>
          <w:color w:val="auto"/>
          <w:spacing w:val="0"/>
          <w:sz w:val="32"/>
          <w:szCs w:val="32"/>
          <w:shd w:val="clear" w:fill="FFFFFF"/>
          <w:lang w:eastAsia="zh-CN"/>
        </w:rPr>
        <w:t>及全县所有人员</w:t>
      </w:r>
      <w:r>
        <w:rPr>
          <w:rFonts w:hint="eastAsia" w:ascii="仿宋_GB2312" w:hAnsi="仿宋_GB2312" w:eastAsia="仿宋_GB2312" w:cs="仿宋_GB2312"/>
          <w:b w:val="0"/>
          <w:i w:val="0"/>
          <w:caps w:val="0"/>
          <w:color w:val="auto"/>
          <w:spacing w:val="0"/>
          <w:sz w:val="32"/>
          <w:szCs w:val="32"/>
          <w:shd w:val="clear" w:fill="FFFFFF"/>
        </w:rPr>
        <w:t>。普法宣传工作，是全县依法治县工作的重点工作，也是涉及民生及维稳的重大工程。县司法局认真按照上级部门的统一部署，统一思想认识，强化资金使用绩效，狠抓责任落实，推进普法宣传，建立完善普法宣传长效机制。</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bCs/>
          <w:i w:val="0"/>
          <w:caps w:val="0"/>
          <w:color w:val="auto"/>
          <w:spacing w:val="0"/>
          <w:sz w:val="32"/>
          <w:szCs w:val="32"/>
          <w:shd w:val="clear" w:fill="FFFFFF"/>
        </w:rPr>
        <w:t>(二)项目绩效目标</w:t>
      </w:r>
      <w:r>
        <w:rPr>
          <w:rFonts w:hint="eastAsia" w:ascii="仿宋_GB2312" w:hAnsi="仿宋_GB2312" w:eastAsia="仿宋_GB2312" w:cs="仿宋_GB2312"/>
          <w:b w:val="0"/>
          <w:i w:val="0"/>
          <w:caps w:val="0"/>
          <w:color w:val="auto"/>
          <w:spacing w:val="0"/>
          <w:sz w:val="32"/>
          <w:szCs w:val="32"/>
          <w:shd w:val="clear" w:fill="FFFFFF"/>
        </w:rPr>
        <w:t>。</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普法经费项目以“治蜀兴川、建设法治</w:t>
      </w:r>
      <w:r>
        <w:rPr>
          <w:rFonts w:hint="eastAsia" w:ascii="仿宋_GB2312" w:hAnsi="仿宋_GB2312" w:eastAsia="仿宋_GB2312" w:cs="仿宋_GB2312"/>
          <w:b w:val="0"/>
          <w:i w:val="0"/>
          <w:caps w:val="0"/>
          <w:color w:val="auto"/>
          <w:spacing w:val="0"/>
          <w:sz w:val="32"/>
          <w:szCs w:val="32"/>
          <w:shd w:val="clear" w:fill="FFFFFF"/>
          <w:lang w:eastAsia="zh-CN"/>
        </w:rPr>
        <w:t>红原</w:t>
      </w:r>
      <w:r>
        <w:rPr>
          <w:rFonts w:hint="eastAsia" w:ascii="仿宋_GB2312" w:hAnsi="仿宋_GB2312" w:eastAsia="仿宋_GB2312" w:cs="仿宋_GB2312"/>
          <w:b w:val="0"/>
          <w:i w:val="0"/>
          <w:caps w:val="0"/>
          <w:color w:val="auto"/>
          <w:spacing w:val="0"/>
          <w:sz w:val="32"/>
          <w:szCs w:val="32"/>
          <w:shd w:val="clear" w:fill="FFFFFF"/>
        </w:rPr>
        <w:t>”为目标，严格按照法治宣传工作要求，深入开展法治宣传教育，弘扬社会主义法治精神，推进法治宣传教育与法治实践相结合，推动全社会树立法治意识，为我县经济社会发展营造良好法治环境。</w:t>
      </w:r>
    </w:p>
    <w:p>
      <w:pPr>
        <w:keepNext w:val="0"/>
        <w:keepLines w:val="0"/>
        <w:widowControl w:val="0"/>
        <w:suppressLineNumbers w:val="0"/>
        <w:tabs>
          <w:tab w:val="left" w:pos="3885"/>
        </w:tabs>
        <w:snapToGrid w:val="0"/>
        <w:spacing w:before="0" w:beforeAutospacing="0" w:after="0" w:afterAutospacing="0" w:line="580" w:lineRule="exact"/>
        <w:ind w:left="0" w:right="0" w:firstLine="420" w:firstLineChars="200"/>
        <w:jc w:val="left"/>
        <w:rPr>
          <w:rFonts w:hint="eastAsia" w:ascii="黑体" w:hAnsi="宋体" w:eastAsia="黑体" w:cs="黑体"/>
          <w:color w:val="auto"/>
          <w:szCs w:val="21"/>
          <w:lang w:val="en-US"/>
        </w:rPr>
      </w:pP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黑体" w:hAnsi="宋体" w:eastAsia="黑体" w:cs="黑体"/>
          <w:color w:val="auto"/>
          <w:szCs w:val="21"/>
          <w:lang w:val="en-US"/>
        </w:rPr>
      </w:pPr>
      <w:r>
        <w:rPr>
          <w:rFonts w:hint="eastAsia" w:ascii="仿宋_GB2312" w:hAnsi="仿宋_GB2312" w:eastAsia="仿宋_GB2312" w:cs="仿宋_GB2312"/>
          <w:b/>
          <w:bCs/>
          <w:i w:val="0"/>
          <w:caps w:val="0"/>
          <w:color w:val="auto"/>
          <w:spacing w:val="0"/>
          <w:sz w:val="32"/>
          <w:szCs w:val="32"/>
          <w:shd w:val="clear" w:fill="FFFFFF"/>
        </w:rPr>
        <w:t>(</w:t>
      </w:r>
      <w:r>
        <w:rPr>
          <w:rFonts w:hint="eastAsia" w:ascii="仿宋_GB2312" w:hAnsi="仿宋_GB2312" w:eastAsia="仿宋_GB2312" w:cs="仿宋_GB2312"/>
          <w:b/>
          <w:bCs/>
          <w:i w:val="0"/>
          <w:caps w:val="0"/>
          <w:color w:val="auto"/>
          <w:spacing w:val="0"/>
          <w:sz w:val="32"/>
          <w:szCs w:val="32"/>
          <w:shd w:val="clear" w:fill="FFFFFF"/>
          <w:lang w:eastAsia="zh-CN"/>
        </w:rPr>
        <w:t>三</w:t>
      </w:r>
      <w:r>
        <w:rPr>
          <w:rFonts w:hint="eastAsia" w:ascii="仿宋_GB2312" w:hAnsi="仿宋_GB2312" w:eastAsia="仿宋_GB2312" w:cs="仿宋_GB2312"/>
          <w:b/>
          <w:bCs/>
          <w:i w:val="0"/>
          <w:caps w:val="0"/>
          <w:color w:val="auto"/>
          <w:spacing w:val="0"/>
          <w:sz w:val="32"/>
          <w:szCs w:val="32"/>
          <w:shd w:val="clear" w:fill="FFFFFF"/>
        </w:rPr>
        <w:t>)项目</w:t>
      </w:r>
      <w:r>
        <w:rPr>
          <w:rFonts w:hint="eastAsia" w:ascii="仿宋_GB2312" w:hAnsi="仿宋_GB2312" w:eastAsia="仿宋_GB2312" w:cs="仿宋_GB2312"/>
          <w:b/>
          <w:bCs/>
          <w:i w:val="0"/>
          <w:caps w:val="0"/>
          <w:color w:val="auto"/>
          <w:spacing w:val="0"/>
          <w:sz w:val="32"/>
          <w:szCs w:val="32"/>
          <w:shd w:val="clear" w:fill="FFFFFF"/>
          <w:lang w:eastAsia="zh-CN"/>
        </w:rPr>
        <w:t>自评步骤及方法</w:t>
      </w:r>
      <w:r>
        <w:rPr>
          <w:rFonts w:hint="eastAsia" w:ascii="仿宋_GB2312" w:hAnsi="仿宋_GB2312" w:eastAsia="仿宋_GB2312" w:cs="仿宋_GB2312"/>
          <w:b w:val="0"/>
          <w:i w:val="0"/>
          <w:caps w:val="0"/>
          <w:color w:val="auto"/>
          <w:spacing w:val="0"/>
          <w:sz w:val="32"/>
          <w:szCs w:val="32"/>
          <w:shd w:val="clear" w:fill="FFFFFF"/>
        </w:rPr>
        <w:t>。</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bCs w:val="0"/>
          <w:color w:val="auto"/>
          <w:kern w:val="2"/>
          <w:sz w:val="32"/>
          <w:szCs w:val="32"/>
          <w:lang w:val="en-US" w:eastAsia="zh-CN" w:bidi="ar"/>
        </w:rPr>
        <w:t>我局</w:t>
      </w:r>
      <w:r>
        <w:rPr>
          <w:rFonts w:hint="eastAsia" w:ascii="仿宋_GB2312" w:hAnsi="仿宋_GB2312" w:eastAsia="仿宋_GB2312" w:cs="仿宋_GB2312"/>
          <w:b w:val="0"/>
          <w:i w:val="0"/>
          <w:caps w:val="0"/>
          <w:color w:val="auto"/>
          <w:spacing w:val="0"/>
          <w:sz w:val="32"/>
          <w:szCs w:val="32"/>
          <w:shd w:val="clear" w:fill="FFFFFF"/>
        </w:rPr>
        <w:t>高度重视普法宣传工作，把此项工作作为重中之重来抓。制定普法宣传工作计划、工作方案和管理制度。落实工作人员，明确工作责任。加强监督，落实专人负责普法宣传工作的日常管理和监督，充分调动普法工作积极性。</w:t>
      </w:r>
    </w:p>
    <w:p>
      <w:pPr>
        <w:keepNext w:val="0"/>
        <w:keepLines w:val="0"/>
        <w:widowControl w:val="0"/>
        <w:numPr>
          <w:ilvl w:val="0"/>
          <w:numId w:val="0"/>
        </w:numPr>
        <w:suppressLineNumbers w:val="0"/>
        <w:tabs>
          <w:tab w:val="left" w:pos="392"/>
        </w:tabs>
        <w:snapToGrid w:val="0"/>
        <w:spacing w:before="0" w:beforeAutospacing="0" w:after="0" w:afterAutospacing="0" w:line="580" w:lineRule="exact"/>
        <w:ind w:right="0" w:rightChars="0" w:firstLine="640" w:firstLineChars="200"/>
        <w:jc w:val="both"/>
        <w:rPr>
          <w:rFonts w:hint="eastAsia" w:ascii="黑体" w:hAnsi="宋体" w:eastAsia="黑体" w:cs="黑体"/>
          <w:color w:val="auto"/>
          <w:kern w:val="2"/>
          <w:sz w:val="32"/>
          <w:szCs w:val="21"/>
          <w:lang w:val="en-US" w:eastAsia="zh-CN" w:bidi="ar"/>
        </w:rPr>
      </w:pPr>
      <w:r>
        <w:rPr>
          <w:rFonts w:hint="eastAsia" w:ascii="黑体" w:hAnsi="宋体" w:eastAsia="黑体" w:cs="黑体"/>
          <w:color w:val="auto"/>
          <w:kern w:val="2"/>
          <w:sz w:val="32"/>
          <w:szCs w:val="21"/>
          <w:lang w:val="en-US" w:eastAsia="zh-CN" w:bidi="ar"/>
        </w:rPr>
        <w:t>二、项目资金申报及使用情况</w:t>
      </w:r>
    </w:p>
    <w:p>
      <w:pPr>
        <w:keepNext w:val="0"/>
        <w:keepLines w:val="0"/>
        <w:widowControl w:val="0"/>
        <w:numPr>
          <w:ilvl w:val="0"/>
          <w:numId w:val="12"/>
        </w:numPr>
        <w:suppressLineNumbers w:val="0"/>
        <w:snapToGrid w:val="0"/>
        <w:spacing w:before="0" w:beforeAutospacing="0" w:after="0" w:afterAutospacing="0" w:line="580" w:lineRule="exact"/>
        <w:ind w:left="495" w:leftChars="0" w:right="0" w:rightChars="0"/>
        <w:jc w:val="both"/>
        <w:rPr>
          <w:rFonts w:hint="eastAsia" w:ascii="黑体" w:hAnsi="宋体" w:eastAsia="黑体" w:cs="黑体"/>
          <w:color w:val="auto"/>
          <w:kern w:val="2"/>
          <w:sz w:val="32"/>
          <w:szCs w:val="21"/>
          <w:lang w:val="en-US" w:eastAsia="zh-CN" w:bidi="ar"/>
        </w:rPr>
      </w:pPr>
      <w:r>
        <w:rPr>
          <w:rFonts w:hint="eastAsia" w:ascii="黑体" w:hAnsi="宋体" w:eastAsia="黑体" w:cs="黑体"/>
          <w:color w:val="auto"/>
          <w:kern w:val="2"/>
          <w:sz w:val="32"/>
          <w:szCs w:val="21"/>
          <w:lang w:val="en-US" w:eastAsia="zh-CN" w:bidi="ar"/>
        </w:rPr>
        <w:t>项目资金申报及批复情况</w:t>
      </w:r>
    </w:p>
    <w:p>
      <w:pPr>
        <w:keepNext w:val="0"/>
        <w:keepLines w:val="0"/>
        <w:widowControl w:val="0"/>
        <w:numPr>
          <w:ilvl w:val="0"/>
          <w:numId w:val="0"/>
        </w:numPr>
        <w:suppressLineNumbers w:val="0"/>
        <w:snapToGrid w:val="0"/>
        <w:spacing w:before="0" w:beforeAutospacing="0" w:after="0" w:afterAutospacing="0" w:line="580" w:lineRule="exact"/>
        <w:ind w:right="0" w:rightChars="0" w:firstLine="640" w:firstLineChars="200"/>
        <w:jc w:val="both"/>
        <w:rPr>
          <w:rFonts w:hint="eastAsia" w:ascii="仿宋_GB2312" w:hAnsi="仿宋_GB2312" w:eastAsia="仿宋_GB2312" w:cs="仿宋_GB2312"/>
          <w:color w:val="auto"/>
          <w:kern w:val="2"/>
          <w:sz w:val="32"/>
          <w:szCs w:val="21"/>
          <w:lang w:val="en-US" w:eastAsia="zh-CN" w:bidi="ar"/>
        </w:rPr>
      </w:pPr>
      <w:r>
        <w:rPr>
          <w:rFonts w:hint="eastAsia" w:ascii="仿宋_GB2312" w:hAnsi="仿宋_GB2312" w:eastAsia="仿宋_GB2312" w:cs="仿宋_GB2312"/>
          <w:color w:val="auto"/>
          <w:kern w:val="2"/>
          <w:sz w:val="32"/>
          <w:szCs w:val="21"/>
          <w:lang w:val="en-US" w:eastAsia="zh-CN" w:bidi="ar"/>
        </w:rPr>
        <w:t>我局项目资金申报及批复按正常程序进行，程序规范合理。</w:t>
      </w:r>
    </w:p>
    <w:p>
      <w:pPr>
        <w:keepNext w:val="0"/>
        <w:keepLines w:val="0"/>
        <w:widowControl w:val="0"/>
        <w:numPr>
          <w:ilvl w:val="0"/>
          <w:numId w:val="12"/>
        </w:numPr>
        <w:suppressLineNumbers w:val="0"/>
        <w:snapToGrid w:val="0"/>
        <w:spacing w:before="0" w:beforeAutospacing="0" w:after="0" w:afterAutospacing="0" w:line="580" w:lineRule="exact"/>
        <w:ind w:left="495" w:leftChars="0" w:right="0" w:firstLine="0" w:firstLineChars="0"/>
        <w:jc w:val="both"/>
        <w:rPr>
          <w:rFonts w:hint="eastAsia" w:ascii="楷体_GB2312" w:hAnsi="宋体" w:eastAsia="楷体_GB2312" w:cs="楷体_GB2312"/>
          <w:b/>
          <w:bCs w:val="0"/>
          <w:color w:val="auto"/>
          <w:kern w:val="2"/>
          <w:sz w:val="32"/>
          <w:szCs w:val="21"/>
          <w:lang w:val="en-US" w:eastAsia="zh-CN" w:bidi="ar"/>
        </w:rPr>
      </w:pPr>
      <w:r>
        <w:rPr>
          <w:rFonts w:hint="eastAsia" w:ascii="楷体_GB2312" w:hAnsi="宋体" w:eastAsia="楷体_GB2312" w:cs="楷体_GB2312"/>
          <w:b/>
          <w:bCs w:val="0"/>
          <w:color w:val="auto"/>
          <w:kern w:val="2"/>
          <w:sz w:val="32"/>
          <w:szCs w:val="21"/>
          <w:lang w:val="en-US" w:eastAsia="zh-CN" w:bidi="ar"/>
        </w:rPr>
        <w:t>资金计划、到位及使用情况</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1、资金计划。司法局普法</w:t>
      </w:r>
      <w:r>
        <w:rPr>
          <w:rFonts w:hint="eastAsia" w:ascii="仿宋_GB2312" w:hAnsi="仿宋_GB2312" w:eastAsia="仿宋_GB2312" w:cs="仿宋_GB2312"/>
          <w:b w:val="0"/>
          <w:i w:val="0"/>
          <w:caps w:val="0"/>
          <w:color w:val="auto"/>
          <w:spacing w:val="0"/>
          <w:sz w:val="32"/>
          <w:szCs w:val="32"/>
          <w:shd w:val="clear" w:fill="FFFFFF"/>
          <w:lang w:eastAsia="zh-CN"/>
        </w:rPr>
        <w:t>宣传</w:t>
      </w:r>
      <w:r>
        <w:rPr>
          <w:rFonts w:hint="eastAsia" w:ascii="仿宋_GB2312" w:hAnsi="仿宋_GB2312" w:eastAsia="仿宋_GB2312" w:cs="仿宋_GB2312"/>
          <w:b w:val="0"/>
          <w:i w:val="0"/>
          <w:caps w:val="0"/>
          <w:color w:val="auto"/>
          <w:spacing w:val="0"/>
          <w:sz w:val="32"/>
          <w:szCs w:val="32"/>
          <w:shd w:val="clear" w:fill="FFFFFF"/>
        </w:rPr>
        <w:t>经费年初预算资金</w:t>
      </w:r>
      <w:r>
        <w:rPr>
          <w:rFonts w:hint="eastAsia" w:ascii="仿宋_GB2312" w:hAnsi="仿宋_GB2312" w:eastAsia="仿宋_GB2312" w:cs="仿宋_GB2312"/>
          <w:b w:val="0"/>
          <w:i w:val="0"/>
          <w:caps w:val="0"/>
          <w:color w:val="auto"/>
          <w:spacing w:val="0"/>
          <w:sz w:val="32"/>
          <w:szCs w:val="32"/>
          <w:shd w:val="clear" w:fill="FFFFFF"/>
          <w:lang w:val="en-US" w:eastAsia="zh-CN"/>
        </w:rPr>
        <w:t>8</w:t>
      </w:r>
      <w:r>
        <w:rPr>
          <w:rFonts w:hint="eastAsia" w:ascii="仿宋_GB2312" w:hAnsi="仿宋_GB2312" w:eastAsia="仿宋_GB2312" w:cs="仿宋_GB2312"/>
          <w:b w:val="0"/>
          <w:i w:val="0"/>
          <w:caps w:val="0"/>
          <w:color w:val="auto"/>
          <w:spacing w:val="0"/>
          <w:sz w:val="32"/>
          <w:szCs w:val="32"/>
          <w:shd w:val="clear" w:fill="FFFFFF"/>
        </w:rPr>
        <w:t>万元。在实施过程中，于20</w:t>
      </w:r>
      <w:r>
        <w:rPr>
          <w:rFonts w:hint="eastAsia" w:ascii="仿宋_GB2312" w:hAnsi="仿宋_GB2312" w:eastAsia="仿宋_GB2312" w:cs="仿宋_GB2312"/>
          <w:b w:val="0"/>
          <w:i w:val="0"/>
          <w:caps w:val="0"/>
          <w:color w:val="auto"/>
          <w:spacing w:val="0"/>
          <w:sz w:val="32"/>
          <w:szCs w:val="32"/>
          <w:shd w:val="clear" w:fill="FFFFFF"/>
          <w:lang w:val="en-US" w:eastAsia="zh-CN"/>
        </w:rPr>
        <w:t>20</w:t>
      </w:r>
      <w:r>
        <w:rPr>
          <w:rFonts w:hint="eastAsia" w:ascii="仿宋_GB2312" w:hAnsi="仿宋_GB2312" w:eastAsia="仿宋_GB2312" w:cs="仿宋_GB2312"/>
          <w:b w:val="0"/>
          <w:i w:val="0"/>
          <w:caps w:val="0"/>
          <w:color w:val="auto"/>
          <w:spacing w:val="0"/>
          <w:sz w:val="32"/>
          <w:szCs w:val="32"/>
          <w:shd w:val="clear" w:fill="FFFFFF"/>
        </w:rPr>
        <w:t>年申请并批复资金共计</w:t>
      </w:r>
      <w:r>
        <w:rPr>
          <w:rFonts w:hint="eastAsia" w:ascii="仿宋_GB2312" w:hAnsi="仿宋_GB2312" w:eastAsia="仿宋_GB2312" w:cs="仿宋_GB2312"/>
          <w:b w:val="0"/>
          <w:i w:val="0"/>
          <w:caps w:val="0"/>
          <w:color w:val="auto"/>
          <w:spacing w:val="0"/>
          <w:sz w:val="32"/>
          <w:szCs w:val="32"/>
          <w:shd w:val="clear" w:fill="FFFFFF"/>
          <w:lang w:val="en-US" w:eastAsia="zh-CN"/>
        </w:rPr>
        <w:t>8</w:t>
      </w:r>
      <w:r>
        <w:rPr>
          <w:rFonts w:hint="eastAsia" w:ascii="仿宋_GB2312" w:hAnsi="仿宋_GB2312" w:eastAsia="仿宋_GB2312" w:cs="仿宋_GB2312"/>
          <w:b w:val="0"/>
          <w:i w:val="0"/>
          <w:caps w:val="0"/>
          <w:color w:val="auto"/>
          <w:spacing w:val="0"/>
          <w:sz w:val="32"/>
          <w:szCs w:val="32"/>
          <w:shd w:val="clear" w:fill="FFFFFF"/>
        </w:rPr>
        <w:t>万元。</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2、资金到位。截止20</w:t>
      </w:r>
      <w:r>
        <w:rPr>
          <w:rFonts w:hint="eastAsia" w:ascii="仿宋_GB2312" w:hAnsi="仿宋_GB2312" w:eastAsia="仿宋_GB2312" w:cs="仿宋_GB2312"/>
          <w:b w:val="0"/>
          <w:i w:val="0"/>
          <w:caps w:val="0"/>
          <w:color w:val="auto"/>
          <w:spacing w:val="0"/>
          <w:sz w:val="32"/>
          <w:szCs w:val="32"/>
          <w:shd w:val="clear" w:fill="FFFFFF"/>
          <w:lang w:val="en-US" w:eastAsia="zh-CN"/>
        </w:rPr>
        <w:t>20</w:t>
      </w:r>
      <w:r>
        <w:rPr>
          <w:rFonts w:hint="eastAsia" w:ascii="仿宋_GB2312" w:hAnsi="仿宋_GB2312" w:eastAsia="仿宋_GB2312" w:cs="仿宋_GB2312"/>
          <w:b w:val="0"/>
          <w:i w:val="0"/>
          <w:caps w:val="0"/>
          <w:color w:val="auto"/>
          <w:spacing w:val="0"/>
          <w:sz w:val="32"/>
          <w:szCs w:val="32"/>
          <w:shd w:val="clear" w:fill="FFFFFF"/>
        </w:rPr>
        <w:t>年12月31日，所有计划资金全部到位，共计</w:t>
      </w:r>
      <w:r>
        <w:rPr>
          <w:rFonts w:hint="eastAsia" w:ascii="仿宋_GB2312" w:hAnsi="仿宋_GB2312" w:eastAsia="仿宋_GB2312" w:cs="仿宋_GB2312"/>
          <w:b w:val="0"/>
          <w:i w:val="0"/>
          <w:caps w:val="0"/>
          <w:color w:val="auto"/>
          <w:spacing w:val="0"/>
          <w:sz w:val="32"/>
          <w:szCs w:val="32"/>
          <w:shd w:val="clear" w:fill="FFFFFF"/>
          <w:lang w:val="en-US" w:eastAsia="zh-CN"/>
        </w:rPr>
        <w:t>8</w:t>
      </w:r>
      <w:r>
        <w:rPr>
          <w:rFonts w:hint="eastAsia" w:ascii="仿宋_GB2312" w:hAnsi="仿宋_GB2312" w:eastAsia="仿宋_GB2312" w:cs="仿宋_GB2312"/>
          <w:b w:val="0"/>
          <w:i w:val="0"/>
          <w:caps w:val="0"/>
          <w:color w:val="auto"/>
          <w:spacing w:val="0"/>
          <w:sz w:val="32"/>
          <w:szCs w:val="32"/>
          <w:shd w:val="clear" w:fill="FFFFFF"/>
        </w:rPr>
        <w:t>万元。</w:t>
      </w:r>
    </w:p>
    <w:p>
      <w:pPr>
        <w:adjustRightInd w:val="0"/>
        <w:snapToGrid w:val="0"/>
        <w:spacing w:line="600" w:lineRule="exact"/>
        <w:ind w:firstLine="720"/>
        <w:rPr>
          <w:rFonts w:hint="eastAsia" w:ascii="仿宋_GB2312" w:hAnsi="仿宋_GB2312" w:eastAsia="仿宋_GB2312" w:cs="仿宋_GB2312"/>
          <w:b w:val="0"/>
          <w:i w:val="0"/>
          <w:caps w:val="0"/>
          <w:color w:val="auto"/>
          <w:spacing w:val="0"/>
          <w:sz w:val="32"/>
          <w:szCs w:val="32"/>
          <w:shd w:val="clear" w:fill="FFFFFF"/>
        </w:rPr>
      </w:pPr>
      <w:r>
        <w:rPr>
          <w:rFonts w:hint="eastAsia" w:ascii="仿宋_GB2312" w:hAnsi="仿宋_GB2312" w:eastAsia="仿宋_GB2312" w:cs="仿宋_GB2312"/>
          <w:b w:val="0"/>
          <w:i w:val="0"/>
          <w:caps w:val="0"/>
          <w:color w:val="auto"/>
          <w:spacing w:val="0"/>
          <w:sz w:val="32"/>
          <w:szCs w:val="32"/>
          <w:shd w:val="clear" w:fill="FFFFFF"/>
        </w:rPr>
        <w:t>3、资金使用。截止20</w:t>
      </w:r>
      <w:r>
        <w:rPr>
          <w:rFonts w:hint="eastAsia" w:ascii="仿宋_GB2312" w:hAnsi="仿宋_GB2312" w:eastAsia="仿宋_GB2312" w:cs="仿宋_GB2312"/>
          <w:b w:val="0"/>
          <w:i w:val="0"/>
          <w:caps w:val="0"/>
          <w:color w:val="auto"/>
          <w:spacing w:val="0"/>
          <w:sz w:val="32"/>
          <w:szCs w:val="32"/>
          <w:shd w:val="clear" w:fill="FFFFFF"/>
          <w:lang w:val="en-US" w:eastAsia="zh-CN"/>
        </w:rPr>
        <w:t>20</w:t>
      </w:r>
      <w:r>
        <w:rPr>
          <w:rFonts w:hint="eastAsia" w:ascii="仿宋_GB2312" w:hAnsi="仿宋_GB2312" w:eastAsia="仿宋_GB2312" w:cs="仿宋_GB2312"/>
          <w:b w:val="0"/>
          <w:i w:val="0"/>
          <w:caps w:val="0"/>
          <w:color w:val="auto"/>
          <w:spacing w:val="0"/>
          <w:sz w:val="32"/>
          <w:szCs w:val="32"/>
          <w:shd w:val="clear" w:fill="FFFFFF"/>
        </w:rPr>
        <w:t>年12月31日，普法经费已全部支出，共计</w:t>
      </w:r>
      <w:r>
        <w:rPr>
          <w:rFonts w:hint="eastAsia" w:ascii="仿宋_GB2312" w:hAnsi="仿宋_GB2312" w:eastAsia="仿宋_GB2312" w:cs="仿宋_GB2312"/>
          <w:b w:val="0"/>
          <w:i w:val="0"/>
          <w:caps w:val="0"/>
          <w:color w:val="auto"/>
          <w:spacing w:val="0"/>
          <w:sz w:val="32"/>
          <w:szCs w:val="32"/>
          <w:shd w:val="clear" w:fill="FFFFFF"/>
          <w:lang w:val="en-US" w:eastAsia="zh-CN"/>
        </w:rPr>
        <w:t>8</w:t>
      </w:r>
      <w:r>
        <w:rPr>
          <w:rFonts w:hint="eastAsia" w:ascii="仿宋_GB2312" w:hAnsi="仿宋_GB2312" w:eastAsia="仿宋_GB2312" w:cs="仿宋_GB2312"/>
          <w:b w:val="0"/>
          <w:i w:val="0"/>
          <w:caps w:val="0"/>
          <w:color w:val="auto"/>
          <w:spacing w:val="0"/>
          <w:sz w:val="32"/>
          <w:szCs w:val="32"/>
          <w:shd w:val="clear" w:fill="FFFFFF"/>
        </w:rPr>
        <w:t>万元，主要用于：普法宣传资料、普法宣传活动、12.4宪法日宣传活动</w:t>
      </w:r>
      <w:r>
        <w:rPr>
          <w:rFonts w:hint="eastAsia" w:ascii="仿宋_GB2312" w:hAnsi="仿宋_GB2312" w:eastAsia="仿宋_GB2312" w:cs="仿宋_GB2312"/>
          <w:b w:val="0"/>
          <w:i w:val="0"/>
          <w:caps w:val="0"/>
          <w:color w:val="auto"/>
          <w:spacing w:val="0"/>
          <w:sz w:val="32"/>
          <w:szCs w:val="32"/>
          <w:shd w:val="clear" w:fill="FFFFFF"/>
          <w:lang w:eastAsia="zh-CN"/>
        </w:rPr>
        <w:t>等</w:t>
      </w:r>
      <w:r>
        <w:rPr>
          <w:rFonts w:hint="eastAsia" w:ascii="仿宋_GB2312" w:hAnsi="仿宋_GB2312" w:eastAsia="仿宋_GB2312" w:cs="仿宋_GB2312"/>
          <w:b w:val="0"/>
          <w:i w:val="0"/>
          <w:caps w:val="0"/>
          <w:color w:val="auto"/>
          <w:spacing w:val="0"/>
          <w:sz w:val="32"/>
          <w:szCs w:val="32"/>
          <w:shd w:val="clear" w:fill="FFFFFF"/>
        </w:rPr>
        <w:t>支出。</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仿宋_GB2312" w:eastAsia="仿宋_GB2312" w:cs="仿宋_GB2312"/>
          <w:b w:val="0"/>
          <w:i w:val="0"/>
          <w:caps w:val="0"/>
          <w:color w:val="auto"/>
          <w:spacing w:val="0"/>
          <w:sz w:val="32"/>
          <w:szCs w:val="32"/>
          <w:shd w:val="clear" w:fill="FFFFFF"/>
          <w:lang w:eastAsia="zh-CN"/>
        </w:rPr>
        <w:t>（三）</w:t>
      </w:r>
      <w:r>
        <w:rPr>
          <w:rFonts w:hint="eastAsia" w:ascii="楷体_GB2312" w:hAnsi="宋体" w:eastAsia="楷体_GB2312"/>
          <w:b/>
          <w:sz w:val="32"/>
          <w:szCs w:val="32"/>
          <w:lang w:val="zh-CN"/>
        </w:rPr>
        <w:t>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司法局各项目实施财务管理制度健全，严格执行财务管理制度，账务处理及时，会计核算规范。</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firstLine="640" w:firstLineChars="200"/>
        <w:jc w:val="left"/>
        <w:rPr>
          <w:rFonts w:hint="eastAsia" w:ascii="黑体" w:hAnsi="黑体" w:eastAsia="黑体" w:cs="黑体"/>
          <w:b w:val="0"/>
          <w:i w:val="0"/>
          <w:caps w:val="0"/>
          <w:color w:val="auto"/>
          <w:spacing w:val="0"/>
          <w:sz w:val="32"/>
          <w:szCs w:val="32"/>
        </w:rPr>
      </w:pPr>
      <w:r>
        <w:rPr>
          <w:rFonts w:hint="eastAsia" w:ascii="黑体" w:hAnsi="黑体" w:eastAsia="黑体" w:cs="黑体"/>
          <w:b w:val="0"/>
          <w:i w:val="0"/>
          <w:caps w:val="0"/>
          <w:color w:val="auto"/>
          <w:spacing w:val="0"/>
          <w:sz w:val="32"/>
          <w:szCs w:val="32"/>
          <w:shd w:val="clear" w:fill="FFFFFF"/>
          <w:lang w:eastAsia="zh-CN"/>
        </w:rPr>
        <w:t>三、</w:t>
      </w:r>
      <w:r>
        <w:rPr>
          <w:rFonts w:hint="eastAsia" w:ascii="黑体" w:hAnsi="黑体" w:eastAsia="黑体" w:cs="黑体"/>
          <w:b w:val="0"/>
          <w:i w:val="0"/>
          <w:caps w:val="0"/>
          <w:color w:val="auto"/>
          <w:spacing w:val="0"/>
          <w:sz w:val="32"/>
          <w:szCs w:val="32"/>
          <w:shd w:val="clear" w:fill="FFFFFF"/>
        </w:rPr>
        <w:t>项目</w:t>
      </w:r>
      <w:r>
        <w:rPr>
          <w:rFonts w:hint="eastAsia" w:ascii="黑体" w:hAnsi="黑体" w:eastAsia="黑体" w:cs="黑体"/>
          <w:b w:val="0"/>
          <w:i w:val="0"/>
          <w:caps w:val="0"/>
          <w:color w:val="auto"/>
          <w:spacing w:val="0"/>
          <w:sz w:val="32"/>
          <w:szCs w:val="32"/>
          <w:shd w:val="clear" w:fill="FFFFFF"/>
          <w:lang w:eastAsia="zh-CN"/>
        </w:rPr>
        <w:t>实施及</w:t>
      </w:r>
      <w:r>
        <w:rPr>
          <w:rFonts w:hint="eastAsia" w:ascii="黑体" w:hAnsi="黑体" w:eastAsia="黑体" w:cs="黑体"/>
          <w:b w:val="0"/>
          <w:i w:val="0"/>
          <w:caps w:val="0"/>
          <w:color w:val="auto"/>
          <w:spacing w:val="0"/>
          <w:sz w:val="32"/>
          <w:szCs w:val="32"/>
          <w:shd w:val="clear" w:fill="FFFFFF"/>
        </w:rPr>
        <w:t>管理情况。</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该项目严格会计核算，确保专款专用，实行专账核算；加强财务管理</w:t>
      </w:r>
      <w:r>
        <w:rPr>
          <w:rFonts w:hint="eastAsia" w:ascii="仿宋_GB2312" w:hAnsi="仿宋_GB2312" w:eastAsia="仿宋_GB2312" w:cs="仿宋_GB2312"/>
          <w:b w:val="0"/>
          <w:i w:val="0"/>
          <w:caps w:val="0"/>
          <w:color w:val="auto"/>
          <w:spacing w:val="0"/>
          <w:sz w:val="32"/>
          <w:szCs w:val="32"/>
          <w:shd w:val="clear" w:fill="FFFFFF"/>
          <w:lang w:val="en-US" w:eastAsia="zh-CN"/>
        </w:rPr>
        <w:t>,经费</w:t>
      </w:r>
      <w:r>
        <w:rPr>
          <w:rFonts w:hint="eastAsia" w:ascii="仿宋_GB2312" w:hAnsi="仿宋_GB2312" w:eastAsia="仿宋_GB2312" w:cs="仿宋_GB2312"/>
          <w:b w:val="0"/>
          <w:i w:val="0"/>
          <w:caps w:val="0"/>
          <w:color w:val="auto"/>
          <w:spacing w:val="0"/>
          <w:sz w:val="32"/>
          <w:szCs w:val="32"/>
          <w:shd w:val="clear" w:fill="FFFFFF"/>
        </w:rPr>
        <w:t>一律通过银行进行转帐结算；在资金使用过程中，严把监督审核关，建立健全内部审核制度，坚持经手、复核、领导审签后财务划款原则。</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黑体" w:hAnsi="黑体" w:eastAsia="黑体" w:cs="黑体"/>
          <w:color w:val="auto"/>
          <w:sz w:val="32"/>
          <w:szCs w:val="32"/>
          <w:lang w:val="en-US"/>
        </w:rPr>
      </w:pPr>
      <w:r>
        <w:rPr>
          <w:rFonts w:hint="eastAsia" w:ascii="黑体" w:hAnsi="黑体" w:eastAsia="黑体" w:cs="黑体"/>
          <w:color w:val="auto"/>
          <w:kern w:val="2"/>
          <w:sz w:val="32"/>
          <w:szCs w:val="32"/>
          <w:lang w:val="en-US" w:eastAsia="zh-CN" w:bidi="ar"/>
        </w:rPr>
        <w:t>四、项目绩效情况</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宋体" w:hAnsi="宋体" w:eastAsia="仿宋_GB2312" w:cs="仿宋_GB2312"/>
          <w:b/>
          <w:bCs/>
          <w:color w:val="auto"/>
          <w:kern w:val="2"/>
          <w:sz w:val="32"/>
          <w:szCs w:val="21"/>
          <w:lang w:val="en-US" w:eastAsia="zh-CN" w:bidi="ar"/>
        </w:rPr>
      </w:pPr>
      <w:r>
        <w:rPr>
          <w:rFonts w:hint="eastAsia" w:ascii="宋体" w:hAnsi="宋体" w:eastAsia="仿宋_GB2312" w:cs="仿宋_GB2312"/>
          <w:b/>
          <w:bCs/>
          <w:color w:val="auto"/>
          <w:kern w:val="2"/>
          <w:sz w:val="32"/>
          <w:szCs w:val="21"/>
          <w:lang w:val="en-US" w:eastAsia="zh-CN" w:bidi="ar"/>
        </w:rPr>
        <w:t>（一）项目完成情况</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firstLine="640" w:firstLineChars="200"/>
        <w:jc w:val="left"/>
        <w:rPr>
          <w:rFonts w:hint="eastAsia" w:ascii="仿宋_GB2312" w:hAnsi="仿宋_GB2312" w:eastAsia="仿宋_GB2312" w:cs="仿宋_GB2312"/>
          <w:b w:val="0"/>
          <w:i w:val="0"/>
          <w:caps w:val="0"/>
          <w:color w:val="auto"/>
          <w:spacing w:val="0"/>
          <w:sz w:val="32"/>
          <w:szCs w:val="32"/>
          <w:shd w:val="clear" w:fill="FFFFFF"/>
        </w:rPr>
      </w:pPr>
      <w:r>
        <w:rPr>
          <w:rFonts w:hint="eastAsia" w:ascii="仿宋_GB2312" w:hAnsi="仿宋_GB2312" w:eastAsia="仿宋_GB2312" w:cs="仿宋_GB2312"/>
          <w:b w:val="0"/>
          <w:i w:val="0"/>
          <w:caps w:val="0"/>
          <w:color w:val="auto"/>
          <w:spacing w:val="0"/>
          <w:sz w:val="32"/>
          <w:szCs w:val="32"/>
          <w:shd w:val="clear" w:fill="FFFFFF"/>
          <w:lang w:val="en-US" w:eastAsia="zh-CN"/>
        </w:rPr>
        <w:t>1、</w:t>
      </w:r>
      <w:r>
        <w:rPr>
          <w:rFonts w:hint="eastAsia" w:ascii="仿宋_GB2312" w:hAnsi="仿宋_GB2312" w:eastAsia="仿宋_GB2312" w:cs="仿宋_GB2312"/>
          <w:b w:val="0"/>
          <w:i w:val="0"/>
          <w:caps w:val="0"/>
          <w:color w:val="auto"/>
          <w:spacing w:val="0"/>
          <w:sz w:val="32"/>
          <w:szCs w:val="32"/>
          <w:shd w:val="clear" w:fill="FFFFFF"/>
        </w:rPr>
        <w:t>目标完成任务量。</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2020年，累计开展各类法治宣讲活动已达227次，各项培训共计27次，举办各类法治讲座27次，受教育人数达62540人，发放各类宣传资料71420份。</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lang w:val="en-US" w:eastAsia="zh-CN"/>
        </w:rPr>
        <w:t>2、</w:t>
      </w:r>
      <w:r>
        <w:rPr>
          <w:rFonts w:hint="eastAsia" w:ascii="仿宋_GB2312" w:hAnsi="仿宋_GB2312" w:eastAsia="仿宋_GB2312" w:cs="仿宋_GB2312"/>
          <w:b w:val="0"/>
          <w:i w:val="0"/>
          <w:caps w:val="0"/>
          <w:color w:val="auto"/>
          <w:spacing w:val="0"/>
          <w:sz w:val="32"/>
          <w:szCs w:val="32"/>
          <w:shd w:val="clear" w:fill="FFFFFF"/>
        </w:rPr>
        <w:t>目标完成质量。</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普法经费项目在上级有关部门的关心帮助下，在县委、县政府的领导下，顺利推进，圆满完成任务，达到预期目的。</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lang w:val="en-US" w:eastAsia="zh-CN"/>
        </w:rPr>
        <w:t>3、</w:t>
      </w:r>
      <w:r>
        <w:rPr>
          <w:rFonts w:hint="eastAsia" w:ascii="仿宋_GB2312" w:hAnsi="仿宋_GB2312" w:eastAsia="仿宋_GB2312" w:cs="仿宋_GB2312"/>
          <w:b w:val="0"/>
          <w:i w:val="0"/>
          <w:caps w:val="0"/>
          <w:color w:val="auto"/>
          <w:spacing w:val="0"/>
          <w:sz w:val="32"/>
          <w:szCs w:val="32"/>
          <w:shd w:val="clear" w:fill="FFFFFF"/>
        </w:rPr>
        <w:t>目标完成进度。</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截止20</w:t>
      </w:r>
      <w:r>
        <w:rPr>
          <w:rFonts w:hint="eastAsia" w:ascii="仿宋_GB2312" w:hAnsi="仿宋_GB2312" w:eastAsia="仿宋_GB2312" w:cs="仿宋_GB2312"/>
          <w:b w:val="0"/>
          <w:i w:val="0"/>
          <w:caps w:val="0"/>
          <w:color w:val="auto"/>
          <w:spacing w:val="0"/>
          <w:sz w:val="32"/>
          <w:szCs w:val="32"/>
          <w:shd w:val="clear" w:fill="FFFFFF"/>
          <w:lang w:val="en-US" w:eastAsia="zh-CN"/>
        </w:rPr>
        <w:t>20</w:t>
      </w:r>
      <w:r>
        <w:rPr>
          <w:rFonts w:hint="eastAsia" w:ascii="仿宋_GB2312" w:hAnsi="仿宋_GB2312" w:eastAsia="仿宋_GB2312" w:cs="仿宋_GB2312"/>
          <w:b w:val="0"/>
          <w:i w:val="0"/>
          <w:caps w:val="0"/>
          <w:color w:val="auto"/>
          <w:spacing w:val="0"/>
          <w:sz w:val="32"/>
          <w:szCs w:val="32"/>
          <w:shd w:val="clear" w:fill="FFFFFF"/>
        </w:rPr>
        <w:t>年12月</w:t>
      </w:r>
      <w:r>
        <w:rPr>
          <w:rFonts w:hint="eastAsia" w:ascii="仿宋_GB2312" w:hAnsi="仿宋_GB2312" w:eastAsia="仿宋_GB2312" w:cs="仿宋_GB2312"/>
          <w:b w:val="0"/>
          <w:i w:val="0"/>
          <w:caps w:val="0"/>
          <w:color w:val="auto"/>
          <w:spacing w:val="0"/>
          <w:sz w:val="32"/>
          <w:szCs w:val="32"/>
          <w:shd w:val="clear" w:fill="FFFFFF"/>
          <w:lang w:val="en-US" w:eastAsia="zh-CN"/>
        </w:rPr>
        <w:t>31日</w:t>
      </w:r>
      <w:r>
        <w:rPr>
          <w:rFonts w:hint="eastAsia" w:ascii="仿宋_GB2312" w:hAnsi="仿宋_GB2312" w:eastAsia="仿宋_GB2312" w:cs="仿宋_GB2312"/>
          <w:b w:val="0"/>
          <w:i w:val="0"/>
          <w:caps w:val="0"/>
          <w:color w:val="auto"/>
          <w:spacing w:val="0"/>
          <w:sz w:val="32"/>
          <w:szCs w:val="32"/>
          <w:shd w:val="clear" w:fill="FFFFFF"/>
        </w:rPr>
        <w:t>，普法经费项目已全面完成。</w:t>
      </w:r>
    </w:p>
    <w:p>
      <w:pPr>
        <w:pStyle w:val="2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eastAsia" w:ascii="黑体" w:hAnsi="黑体" w:eastAsia="黑体" w:cs="黑体"/>
          <w:b w:val="0"/>
          <w:i w:val="0"/>
          <w:caps w:val="0"/>
          <w:color w:val="auto"/>
          <w:spacing w:val="0"/>
          <w:sz w:val="21"/>
          <w:szCs w:val="21"/>
        </w:rPr>
      </w:pPr>
      <w:r>
        <w:rPr>
          <w:rFonts w:hint="eastAsia" w:ascii="黑体" w:hAnsi="黑体" w:eastAsia="黑体" w:cs="黑体"/>
          <w:color w:val="auto"/>
          <w:kern w:val="2"/>
          <w:sz w:val="32"/>
          <w:szCs w:val="21"/>
          <w:lang w:val="en-US" w:eastAsia="zh-CN" w:bidi="ar"/>
        </w:rPr>
        <w:t>（二）项目效益情况</w:t>
      </w:r>
    </w:p>
    <w:p>
      <w:pPr>
        <w:pStyle w:val="2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eastAsia" w:ascii="宋体" w:hAnsi="宋体" w:eastAsia="仿宋_GB2312" w:cs="宋体"/>
          <w:b w:val="0"/>
          <w:i w:val="0"/>
          <w:caps w:val="0"/>
          <w:color w:val="auto"/>
          <w:spacing w:val="0"/>
          <w:sz w:val="21"/>
          <w:szCs w:val="21"/>
          <w:lang w:eastAsia="zh-CN"/>
        </w:rPr>
      </w:pPr>
      <w:r>
        <w:rPr>
          <w:rFonts w:hint="eastAsia" w:ascii="仿宋_GB2312" w:hAnsi="宋体" w:eastAsia="仿宋_GB2312" w:cs="仿宋_GB2312"/>
          <w:b w:val="0"/>
          <w:i w:val="0"/>
          <w:caps w:val="0"/>
          <w:color w:val="auto"/>
          <w:spacing w:val="0"/>
          <w:sz w:val="31"/>
          <w:szCs w:val="31"/>
        </w:rPr>
        <w:t>司法局项目经济效益指标是确保资金使用合理合规，加强保障</w:t>
      </w:r>
      <w:r>
        <w:rPr>
          <w:rFonts w:hint="eastAsia" w:ascii="仿宋_GB2312" w:hAnsi="宋体" w:eastAsia="仿宋_GB2312" w:cs="仿宋_GB2312"/>
          <w:b w:val="0"/>
          <w:i w:val="0"/>
          <w:caps w:val="0"/>
          <w:color w:val="auto"/>
          <w:spacing w:val="0"/>
          <w:sz w:val="31"/>
          <w:szCs w:val="31"/>
          <w:lang w:eastAsia="zh-CN"/>
        </w:rPr>
        <w:t>我县</w:t>
      </w:r>
      <w:r>
        <w:rPr>
          <w:rFonts w:hint="eastAsia" w:ascii="仿宋_GB2312" w:hAnsi="宋体" w:eastAsia="仿宋_GB2312" w:cs="仿宋_GB2312"/>
          <w:b w:val="0"/>
          <w:i w:val="0"/>
          <w:caps w:val="0"/>
          <w:color w:val="auto"/>
          <w:spacing w:val="0"/>
          <w:sz w:val="31"/>
          <w:szCs w:val="31"/>
        </w:rPr>
        <w:t>经济发展，创造良好环境。社会效益指标是不断提升司法行政各项业务工作能力，充分化解矛盾纠纷，加强律师培训，保证弱势群体应援尽援，维护</w:t>
      </w:r>
      <w:r>
        <w:rPr>
          <w:rFonts w:hint="eastAsia" w:ascii="仿宋_GB2312" w:hAnsi="宋体" w:eastAsia="仿宋_GB2312" w:cs="仿宋_GB2312"/>
          <w:b w:val="0"/>
          <w:i w:val="0"/>
          <w:caps w:val="0"/>
          <w:color w:val="auto"/>
          <w:spacing w:val="0"/>
          <w:sz w:val="31"/>
          <w:szCs w:val="31"/>
          <w:lang w:eastAsia="zh-CN"/>
        </w:rPr>
        <w:t>社会</w:t>
      </w:r>
      <w:r>
        <w:rPr>
          <w:rFonts w:hint="eastAsia" w:ascii="仿宋_GB2312" w:hAnsi="宋体" w:eastAsia="仿宋_GB2312" w:cs="仿宋_GB2312"/>
          <w:b w:val="0"/>
          <w:i w:val="0"/>
          <w:caps w:val="0"/>
          <w:color w:val="auto"/>
          <w:spacing w:val="0"/>
          <w:sz w:val="31"/>
          <w:szCs w:val="31"/>
        </w:rPr>
        <w:t>和谐稳定；生态效益指标是创造良好环境，保障人民群众安居乐业；可持续指标是维护社会政治稳定，不断提高公众安全感和满意度，做到人民群众满意</w:t>
      </w:r>
      <w:r>
        <w:rPr>
          <w:rFonts w:hint="eastAsia" w:ascii="仿宋_GB2312" w:hAnsi="宋体" w:eastAsia="仿宋_GB2312" w:cs="仿宋_GB2312"/>
          <w:b w:val="0"/>
          <w:i w:val="0"/>
          <w:caps w:val="0"/>
          <w:color w:val="auto"/>
          <w:spacing w:val="0"/>
          <w:sz w:val="31"/>
          <w:szCs w:val="31"/>
          <w:lang w:eastAsia="zh-CN"/>
        </w:rPr>
        <w:t>。</w:t>
      </w:r>
    </w:p>
    <w:p>
      <w:pPr>
        <w:pStyle w:val="20"/>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640" w:leftChars="0" w:right="0" w:rightChars="0"/>
        <w:jc w:val="left"/>
        <w:rPr>
          <w:rFonts w:hint="eastAsia" w:ascii="黑体" w:hAnsi="宋体" w:eastAsia="黑体" w:cs="黑体"/>
          <w:color w:val="auto"/>
          <w:kern w:val="2"/>
          <w:sz w:val="32"/>
          <w:szCs w:val="21"/>
          <w:lang w:val="en-US" w:eastAsia="zh-CN" w:bidi="ar"/>
        </w:rPr>
      </w:pPr>
      <w:r>
        <w:rPr>
          <w:rFonts w:hint="eastAsia" w:ascii="黑体" w:hAnsi="宋体" w:eastAsia="黑体" w:cs="黑体"/>
          <w:color w:val="auto"/>
          <w:kern w:val="2"/>
          <w:sz w:val="32"/>
          <w:szCs w:val="21"/>
          <w:lang w:val="en-US" w:eastAsia="zh-CN" w:bidi="ar"/>
        </w:rPr>
        <w:t>五、评价结论及建议</w:t>
      </w:r>
    </w:p>
    <w:p>
      <w:pPr>
        <w:pStyle w:val="20"/>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640" w:leftChars="0" w:right="0" w:rightChars="0"/>
        <w:jc w:val="left"/>
        <w:rPr>
          <w:rFonts w:hint="eastAsia" w:ascii="黑体" w:hAnsi="宋体" w:eastAsia="黑体" w:cs="黑体"/>
          <w:color w:val="auto"/>
          <w:kern w:val="2"/>
          <w:sz w:val="32"/>
          <w:szCs w:val="21"/>
          <w:lang w:val="en-US" w:eastAsia="zh-CN" w:bidi="ar"/>
        </w:rPr>
      </w:pPr>
      <w:r>
        <w:rPr>
          <w:rFonts w:hint="eastAsia" w:ascii="黑体" w:hAnsi="宋体" w:eastAsia="黑体" w:cs="黑体"/>
          <w:color w:val="auto"/>
          <w:kern w:val="2"/>
          <w:sz w:val="32"/>
          <w:szCs w:val="21"/>
          <w:lang w:val="en-US" w:eastAsia="zh-CN" w:bidi="ar"/>
        </w:rPr>
        <w:t>（一）评价结论</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shd w:val="clear" w:fill="FFFFFF"/>
          <w:lang w:val="en-US" w:eastAsia="zh-CN"/>
        </w:rPr>
      </w:pPr>
      <w:r>
        <w:rPr>
          <w:rFonts w:hint="eastAsia" w:ascii="仿宋_GB2312" w:hAnsi="仿宋_GB2312" w:eastAsia="仿宋_GB2312" w:cs="仿宋_GB2312"/>
          <w:b w:val="0"/>
          <w:i w:val="0"/>
          <w:caps w:val="0"/>
          <w:color w:val="auto"/>
          <w:spacing w:val="0"/>
          <w:sz w:val="32"/>
          <w:szCs w:val="32"/>
          <w:shd w:val="clear" w:fill="FFFFFF"/>
        </w:rPr>
        <w:t>通过全县普法宣传工作，使普法宣传走入人民群众日常生活，越来越多的群众学会拿起法律的武器来维护自身的权益，树立了法治观念</w:t>
      </w:r>
      <w:r>
        <w:rPr>
          <w:rFonts w:hint="eastAsia" w:ascii="仿宋_GB2312" w:hAnsi="仿宋_GB2312" w:eastAsia="仿宋_GB2312" w:cs="仿宋_GB2312"/>
          <w:b w:val="0"/>
          <w:i w:val="0"/>
          <w:caps w:val="0"/>
          <w:color w:val="auto"/>
          <w:spacing w:val="0"/>
          <w:sz w:val="32"/>
          <w:szCs w:val="32"/>
          <w:shd w:val="clear" w:fill="FFFFFF"/>
          <w:lang w:val="en-US" w:eastAsia="zh-CN"/>
        </w:rPr>
        <w:t>,</w:t>
      </w:r>
      <w:r>
        <w:rPr>
          <w:rFonts w:hint="eastAsia" w:ascii="仿宋_GB2312" w:hAnsi="仿宋_GB2312" w:eastAsia="仿宋_GB2312" w:cs="仿宋_GB2312"/>
          <w:b w:val="0"/>
          <w:i w:val="0"/>
          <w:caps w:val="0"/>
          <w:color w:val="auto"/>
          <w:spacing w:val="0"/>
          <w:sz w:val="32"/>
          <w:szCs w:val="32"/>
          <w:shd w:val="clear" w:fill="FFFFFF"/>
        </w:rPr>
        <w:t>维护社会和谐稳定中发挥了重要作用。</w:t>
      </w:r>
      <w:r>
        <w:rPr>
          <w:rFonts w:hint="eastAsia" w:ascii="仿宋_GB2312" w:hAnsi="仿宋_GB2312" w:eastAsia="仿宋_GB2312" w:cs="仿宋_GB2312"/>
          <w:b w:val="0"/>
          <w:i w:val="0"/>
          <w:caps w:val="0"/>
          <w:color w:val="auto"/>
          <w:spacing w:val="0"/>
          <w:sz w:val="32"/>
          <w:szCs w:val="32"/>
          <w:shd w:val="clear" w:fill="FFFFFF"/>
          <w:lang w:eastAsia="zh-CN"/>
        </w:rPr>
        <w:t>项目评价得分</w:t>
      </w:r>
      <w:r>
        <w:rPr>
          <w:rFonts w:hint="eastAsia" w:ascii="仿宋_GB2312" w:hAnsi="仿宋_GB2312" w:eastAsia="仿宋_GB2312" w:cs="仿宋_GB2312"/>
          <w:b w:val="0"/>
          <w:i w:val="0"/>
          <w:caps w:val="0"/>
          <w:color w:val="auto"/>
          <w:spacing w:val="0"/>
          <w:sz w:val="32"/>
          <w:szCs w:val="32"/>
          <w:shd w:val="clear" w:fill="FFFFFF"/>
          <w:lang w:val="en-US" w:eastAsia="zh-CN"/>
        </w:rPr>
        <w:t>98分。</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黑体" w:hAnsi="黑体" w:eastAsia="黑体" w:cs="黑体"/>
          <w:b/>
          <w:bCs/>
          <w:i w:val="0"/>
          <w:caps w:val="0"/>
          <w:color w:val="auto"/>
          <w:spacing w:val="0"/>
          <w:sz w:val="32"/>
          <w:szCs w:val="32"/>
          <w:shd w:val="clear" w:fill="FFFFFF"/>
          <w:lang w:val="en-US" w:eastAsia="zh-CN"/>
        </w:rPr>
      </w:pPr>
      <w:r>
        <w:rPr>
          <w:rFonts w:hint="eastAsia" w:ascii="黑体" w:hAnsi="黑体" w:eastAsia="黑体" w:cs="黑体"/>
          <w:b/>
          <w:bCs/>
          <w:i w:val="0"/>
          <w:caps w:val="0"/>
          <w:color w:val="auto"/>
          <w:spacing w:val="0"/>
          <w:sz w:val="32"/>
          <w:szCs w:val="32"/>
          <w:shd w:val="clear" w:fill="FFFFFF"/>
          <w:lang w:val="en-US" w:eastAsia="zh-CN"/>
        </w:rPr>
        <w:t>（二）存在的问题</w:t>
      </w:r>
    </w:p>
    <w:p>
      <w:pPr>
        <w:pStyle w:val="20"/>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rightChars="0" w:firstLine="640" w:firstLineChars="200"/>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普法是一项需要长期坚持的工作，要让群众真正成为法律的守护者、真正能运用法律来维护自身的合法权益还需要长期的时间。</w:t>
      </w:r>
    </w:p>
    <w:p>
      <w:pPr>
        <w:pStyle w:val="20"/>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rightChars="0" w:firstLine="640" w:firstLineChars="200"/>
        <w:jc w:val="left"/>
        <w:rPr>
          <w:rFonts w:hint="eastAsia" w:ascii="黑体" w:hAnsi="宋体" w:eastAsia="黑体" w:cs="黑体"/>
          <w:color w:val="auto"/>
          <w:kern w:val="2"/>
          <w:sz w:val="32"/>
          <w:szCs w:val="21"/>
          <w:lang w:val="en-US" w:eastAsia="zh-CN" w:bidi="ar"/>
        </w:rPr>
      </w:pPr>
      <w:r>
        <w:rPr>
          <w:rFonts w:hint="eastAsia" w:ascii="黑体" w:hAnsi="宋体" w:eastAsia="黑体" w:cs="黑体"/>
          <w:color w:val="auto"/>
          <w:kern w:val="2"/>
          <w:sz w:val="32"/>
          <w:szCs w:val="21"/>
          <w:lang w:val="en-US" w:eastAsia="zh-CN" w:bidi="ar"/>
        </w:rPr>
        <w:t>五、相关建议</w:t>
      </w:r>
    </w:p>
    <w:p>
      <w:pPr>
        <w:pStyle w:val="20"/>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rightChars="0" w:firstLine="640" w:firstLineChars="200"/>
        <w:jc w:val="left"/>
        <w:rPr>
          <w:rFonts w:hint="eastAsia" w:ascii="仿宋_GB2312" w:hAnsi="仿宋_GB2312" w:eastAsia="仿宋_GB2312" w:cs="仿宋_GB2312"/>
          <w:b w:val="0"/>
          <w:i w:val="0"/>
          <w:caps w:val="0"/>
          <w:color w:val="auto"/>
          <w:spacing w:val="0"/>
          <w:sz w:val="32"/>
          <w:szCs w:val="32"/>
          <w:lang w:eastAsia="zh-CN"/>
        </w:rPr>
      </w:pPr>
      <w:r>
        <w:rPr>
          <w:rFonts w:hint="eastAsia" w:ascii="仿宋_GB2312" w:hAnsi="仿宋_GB2312" w:eastAsia="仿宋_GB2312" w:cs="仿宋_GB2312"/>
          <w:b w:val="0"/>
          <w:i w:val="0"/>
          <w:caps w:val="0"/>
          <w:color w:val="auto"/>
          <w:spacing w:val="0"/>
          <w:sz w:val="32"/>
          <w:szCs w:val="32"/>
          <w:shd w:val="clear" w:fill="FFFFFF"/>
        </w:rPr>
        <w:t>适当增加普法经费的预算，完善普法配套设施，真正实现全县普法宣传工作能够全面覆盖</w:t>
      </w:r>
      <w:r>
        <w:rPr>
          <w:rFonts w:hint="eastAsia" w:ascii="仿宋_GB2312" w:hAnsi="仿宋_GB2312" w:eastAsia="仿宋_GB2312" w:cs="仿宋_GB2312"/>
          <w:b w:val="0"/>
          <w:i w:val="0"/>
          <w:caps w:val="0"/>
          <w:color w:val="auto"/>
          <w:spacing w:val="0"/>
          <w:sz w:val="32"/>
          <w:szCs w:val="32"/>
          <w:shd w:val="clear" w:fill="FFFFFF"/>
          <w:lang w:eastAsia="zh-CN"/>
        </w:rPr>
        <w:t>。</w:t>
      </w:r>
    </w:p>
    <w:p>
      <w:pPr>
        <w:pStyle w:val="2"/>
        <w:numPr>
          <w:ilvl w:val="0"/>
          <w:numId w:val="0"/>
        </w:numPr>
        <w:ind w:leftChars="150" w:right="0" w:rightChars="0"/>
      </w:pPr>
    </w:p>
    <w:p>
      <w:pPr>
        <w:spacing w:line="580" w:lineRule="exact"/>
        <w:ind w:firstLine="640" w:firstLineChars="200"/>
        <w:rPr>
          <w:rFonts w:ascii="仿宋_GB2312" w:hAnsi="仿宋_GB2312" w:eastAsia="仿宋_GB2312" w:cs="仿宋_GB2312"/>
          <w:sz w:val="32"/>
          <w:szCs w:val="32"/>
        </w:rPr>
      </w:pPr>
    </w:p>
    <w:p>
      <w:pPr>
        <w:widowControl/>
        <w:jc w:val="left"/>
        <w:rPr>
          <w:rStyle w:val="25"/>
          <w:rFonts w:ascii="黑体" w:hAnsi="黑体" w:eastAsia="黑体"/>
          <w:b w:val="0"/>
        </w:rPr>
      </w:pPr>
    </w:p>
    <w:p>
      <w:pPr>
        <w:widowControl/>
        <w:jc w:val="left"/>
        <w:rPr>
          <w:rStyle w:val="25"/>
          <w:rFonts w:ascii="黑体" w:hAnsi="黑体" w:eastAsia="黑体"/>
          <w:b w:val="0"/>
        </w:rPr>
      </w:pPr>
      <w:bookmarkStart w:id="114" w:name="_Toc79163885"/>
      <w:bookmarkStart w:id="115" w:name="_Toc15396618"/>
      <w:bookmarkStart w:id="116" w:name="_Toc79163635"/>
      <w:r>
        <w:rPr>
          <w:rFonts w:hint="eastAsia" w:ascii="黑体" w:hAnsi="黑体" w:eastAsia="黑体"/>
          <w:color w:val="000000"/>
          <w:sz w:val="44"/>
          <w:szCs w:val="44"/>
        </w:rPr>
        <w:t>第</w:t>
      </w:r>
      <w:r>
        <w:rPr>
          <w:rStyle w:val="25"/>
          <w:rFonts w:hint="eastAsia" w:ascii="黑体" w:hAnsi="黑体" w:eastAsia="黑体"/>
          <w:b w:val="0"/>
        </w:rPr>
        <w:t>五部分</w:t>
      </w:r>
      <w:r>
        <w:rPr>
          <w:rStyle w:val="25"/>
          <w:rFonts w:ascii="黑体" w:hAnsi="黑体" w:eastAsia="黑体"/>
          <w:b w:val="0"/>
        </w:rPr>
        <w:t xml:space="preserve"> </w:t>
      </w:r>
      <w:r>
        <w:rPr>
          <w:rStyle w:val="25"/>
          <w:rFonts w:hint="eastAsia" w:ascii="黑体" w:hAnsi="黑体" w:eastAsia="黑体"/>
          <w:b w:val="0"/>
        </w:rPr>
        <w:t>附表</w:t>
      </w:r>
      <w:bookmarkEnd w:id="112"/>
      <w:bookmarkEnd w:id="114"/>
      <w:bookmarkEnd w:id="115"/>
      <w:bookmarkEnd w:id="116"/>
    </w:p>
    <w:p>
      <w:pPr>
        <w:pStyle w:val="5"/>
        <w:rPr>
          <w:rFonts w:ascii="仿宋" w:hAnsi="仿宋" w:eastAsia="仿宋"/>
          <w:color w:val="000000"/>
        </w:rPr>
      </w:pPr>
      <w:bookmarkStart w:id="117" w:name="_Toc79163886"/>
      <w:bookmarkStart w:id="118" w:name="_Toc79163636"/>
      <w:bookmarkStart w:id="119"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117"/>
      <w:bookmarkEnd w:id="118"/>
      <w:bookmarkEnd w:id="119"/>
    </w:p>
    <w:p>
      <w:pPr>
        <w:pStyle w:val="5"/>
        <w:rPr>
          <w:rFonts w:ascii="仿宋" w:hAnsi="仿宋" w:eastAsia="仿宋"/>
          <w:color w:val="000000"/>
        </w:rPr>
      </w:pPr>
      <w:bookmarkStart w:id="120" w:name="_Toc15396620"/>
      <w:bookmarkStart w:id="121" w:name="_Toc79163887"/>
      <w:bookmarkStart w:id="122" w:name="_Toc79163637"/>
      <w:r>
        <w:rPr>
          <w:rFonts w:hint="eastAsia" w:ascii="仿宋" w:hAnsi="仿宋" w:eastAsia="仿宋"/>
          <w:b w:val="0"/>
          <w:color w:val="000000"/>
        </w:rPr>
        <w:t>二、收</w:t>
      </w:r>
      <w:r>
        <w:rPr>
          <w:rStyle w:val="26"/>
          <w:rFonts w:hint="eastAsia" w:ascii="仿宋" w:hAnsi="仿宋" w:eastAsia="仿宋"/>
          <w:b w:val="0"/>
          <w:bCs w:val="0"/>
        </w:rPr>
        <w:t>入决算表</w:t>
      </w:r>
      <w:bookmarkEnd w:id="120"/>
      <w:bookmarkEnd w:id="121"/>
      <w:bookmarkEnd w:id="122"/>
    </w:p>
    <w:p>
      <w:pPr>
        <w:pStyle w:val="5"/>
        <w:rPr>
          <w:rFonts w:ascii="仿宋" w:hAnsi="仿宋" w:eastAsia="仿宋"/>
          <w:color w:val="000000"/>
        </w:rPr>
      </w:pPr>
      <w:bookmarkStart w:id="123" w:name="_Toc79163888"/>
      <w:bookmarkStart w:id="124" w:name="_Toc79163638"/>
      <w:bookmarkStart w:id="125"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123"/>
      <w:bookmarkEnd w:id="124"/>
      <w:bookmarkEnd w:id="125"/>
    </w:p>
    <w:p>
      <w:pPr>
        <w:pStyle w:val="5"/>
        <w:rPr>
          <w:rFonts w:ascii="仿宋" w:hAnsi="仿宋" w:eastAsia="仿宋"/>
          <w:b w:val="0"/>
          <w:color w:val="000000"/>
        </w:rPr>
      </w:pPr>
      <w:bookmarkStart w:id="126" w:name="_Toc79163889"/>
      <w:bookmarkStart w:id="127" w:name="_Toc79163639"/>
      <w:bookmarkStart w:id="128"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126"/>
      <w:bookmarkEnd w:id="127"/>
      <w:bookmarkEnd w:id="128"/>
    </w:p>
    <w:p>
      <w:pPr>
        <w:pStyle w:val="5"/>
        <w:rPr>
          <w:rStyle w:val="26"/>
          <w:rFonts w:ascii="仿宋" w:hAnsi="仿宋" w:eastAsia="仿宋"/>
          <w:b w:val="0"/>
          <w:bCs w:val="0"/>
        </w:rPr>
      </w:pPr>
      <w:bookmarkStart w:id="129" w:name="_Toc15396623"/>
      <w:bookmarkStart w:id="130" w:name="_Toc79163890"/>
      <w:bookmarkStart w:id="131" w:name="_Toc79163640"/>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129"/>
      <w:bookmarkEnd w:id="130"/>
      <w:bookmarkEnd w:id="131"/>
      <w:bookmarkStart w:id="132" w:name="_Toc15396624"/>
    </w:p>
    <w:p>
      <w:pPr>
        <w:pStyle w:val="5"/>
        <w:rPr>
          <w:rFonts w:ascii="仿宋" w:hAnsi="仿宋" w:eastAsia="仿宋"/>
          <w:color w:val="000000"/>
        </w:rPr>
      </w:pPr>
      <w:bookmarkStart w:id="133" w:name="_Toc79163891"/>
      <w:bookmarkStart w:id="134" w:name="_Toc79163641"/>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32"/>
      <w:bookmarkEnd w:id="133"/>
      <w:bookmarkEnd w:id="134"/>
    </w:p>
    <w:p>
      <w:pPr>
        <w:pStyle w:val="5"/>
        <w:rPr>
          <w:rFonts w:ascii="仿宋" w:hAnsi="仿宋" w:eastAsia="仿宋"/>
          <w:color w:val="000000"/>
        </w:rPr>
      </w:pPr>
      <w:bookmarkStart w:id="135" w:name="_Toc79163892"/>
      <w:bookmarkStart w:id="136" w:name="_Toc79163642"/>
      <w:bookmarkStart w:id="137"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35"/>
      <w:bookmarkEnd w:id="136"/>
      <w:bookmarkEnd w:id="137"/>
    </w:p>
    <w:p>
      <w:pPr>
        <w:pStyle w:val="5"/>
        <w:rPr>
          <w:rFonts w:ascii="仿宋" w:hAnsi="仿宋" w:eastAsia="仿宋"/>
          <w:color w:val="000000"/>
        </w:rPr>
      </w:pPr>
      <w:bookmarkStart w:id="138" w:name="_Toc79163893"/>
      <w:bookmarkStart w:id="139" w:name="_Toc79163643"/>
      <w:bookmarkStart w:id="140"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38"/>
      <w:bookmarkEnd w:id="139"/>
      <w:bookmarkEnd w:id="140"/>
    </w:p>
    <w:p>
      <w:pPr>
        <w:pStyle w:val="5"/>
        <w:rPr>
          <w:rFonts w:ascii="仿宋" w:hAnsi="仿宋" w:eastAsia="仿宋"/>
          <w:color w:val="000000"/>
        </w:rPr>
      </w:pPr>
      <w:bookmarkStart w:id="141" w:name="_Toc15396627"/>
      <w:bookmarkStart w:id="142" w:name="_Toc79163894"/>
      <w:bookmarkStart w:id="143" w:name="_Toc79163644"/>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41"/>
      <w:bookmarkEnd w:id="142"/>
      <w:bookmarkEnd w:id="143"/>
    </w:p>
    <w:p>
      <w:pPr>
        <w:pStyle w:val="5"/>
        <w:rPr>
          <w:rFonts w:ascii="仿宋" w:hAnsi="仿宋" w:eastAsia="仿宋"/>
          <w:color w:val="000000"/>
        </w:rPr>
      </w:pPr>
      <w:bookmarkStart w:id="144" w:name="_Toc79163895"/>
      <w:bookmarkStart w:id="145" w:name="_Toc79163645"/>
      <w:bookmarkStart w:id="146"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144"/>
      <w:bookmarkEnd w:id="145"/>
      <w:bookmarkEnd w:id="146"/>
    </w:p>
    <w:p>
      <w:pPr>
        <w:pStyle w:val="5"/>
        <w:rPr>
          <w:rFonts w:ascii="仿宋" w:hAnsi="仿宋" w:eastAsia="仿宋"/>
          <w:color w:val="000000"/>
        </w:rPr>
      </w:pPr>
      <w:bookmarkStart w:id="147" w:name="_Toc79163896"/>
      <w:bookmarkStart w:id="148" w:name="_Toc79163646"/>
      <w:bookmarkStart w:id="149"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147"/>
      <w:bookmarkEnd w:id="148"/>
      <w:bookmarkEnd w:id="149"/>
    </w:p>
    <w:p>
      <w:pPr>
        <w:pStyle w:val="5"/>
        <w:rPr>
          <w:rFonts w:ascii="仿宋" w:hAnsi="仿宋" w:eastAsia="仿宋"/>
          <w:color w:val="000000"/>
        </w:rPr>
      </w:pPr>
      <w:bookmarkStart w:id="150" w:name="_Toc79163897"/>
      <w:bookmarkStart w:id="151" w:name="_Toc79163647"/>
      <w:bookmarkStart w:id="152"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150"/>
      <w:bookmarkEnd w:id="151"/>
      <w:bookmarkEnd w:id="152"/>
    </w:p>
    <w:p>
      <w:pPr>
        <w:pStyle w:val="5"/>
        <w:rPr>
          <w:rStyle w:val="26"/>
          <w:rFonts w:ascii="仿宋" w:hAnsi="仿宋" w:eastAsia="仿宋"/>
          <w:b w:val="0"/>
          <w:bCs w:val="0"/>
        </w:rPr>
      </w:pPr>
      <w:bookmarkStart w:id="153" w:name="_Toc79163898"/>
      <w:bookmarkStart w:id="154" w:name="_Toc79163648"/>
      <w:bookmarkStart w:id="155"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有资本经营预算财政拨款支出决算表</w:t>
      </w:r>
      <w:bookmarkEnd w:id="153"/>
      <w:bookmarkEnd w:id="154"/>
      <w:bookmarkEnd w:id="155"/>
    </w:p>
    <w:p>
      <w:pPr>
        <w:pStyle w:val="5"/>
        <w:rPr>
          <w:rStyle w:val="26"/>
          <w:rFonts w:ascii="仿宋" w:hAnsi="仿宋" w:eastAsia="仿宋"/>
          <w:b w:val="0"/>
          <w:bCs w:val="0"/>
        </w:rPr>
      </w:pPr>
      <w:bookmarkStart w:id="156" w:name="_Toc79163899"/>
      <w:bookmarkStart w:id="157" w:name="_Toc79163649"/>
      <w:r>
        <w:rPr>
          <w:rStyle w:val="26"/>
          <w:rFonts w:hint="eastAsia" w:ascii="仿宋" w:hAnsi="仿宋" w:eastAsia="仿宋"/>
          <w:b w:val="0"/>
          <w:bCs w:val="0"/>
        </w:rPr>
        <w:t>十四、国有资本经营预算财政拨款支出决算表</w:t>
      </w:r>
      <w:bookmarkEnd w:id="156"/>
      <w:bookmarkEnd w:id="157"/>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Courier New"/>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667D8A"/>
    <w:multiLevelType w:val="singleLevel"/>
    <w:tmpl w:val="94667D8A"/>
    <w:lvl w:ilvl="0" w:tentative="0">
      <w:start w:val="1"/>
      <w:numFmt w:val="chineseCounting"/>
      <w:suff w:val="nothing"/>
      <w:lvlText w:val="（%1）"/>
      <w:lvlJc w:val="left"/>
      <w:rPr>
        <w:rFonts w:hint="eastAsia"/>
      </w:rPr>
    </w:lvl>
  </w:abstractNum>
  <w:abstractNum w:abstractNumId="1">
    <w:nsid w:val="CC0DE7E8"/>
    <w:multiLevelType w:val="singleLevel"/>
    <w:tmpl w:val="CC0DE7E8"/>
    <w:lvl w:ilvl="0" w:tentative="0">
      <w:start w:val="7"/>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3">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4">
    <w:nsid w:val="F91D3298"/>
    <w:multiLevelType w:val="singleLevel"/>
    <w:tmpl w:val="F91D3298"/>
    <w:lvl w:ilvl="0" w:tentative="0">
      <w:start w:val="3"/>
      <w:numFmt w:val="decimal"/>
      <w:lvlText w:val="%1."/>
      <w:lvlJc w:val="left"/>
      <w:pPr>
        <w:tabs>
          <w:tab w:val="left" w:pos="312"/>
        </w:tabs>
      </w:pPr>
    </w:lvl>
  </w:abstractNum>
  <w:abstractNum w:abstractNumId="5">
    <w:nsid w:val="07F3D84C"/>
    <w:multiLevelType w:val="singleLevel"/>
    <w:tmpl w:val="07F3D84C"/>
    <w:lvl w:ilvl="0" w:tentative="0">
      <w:start w:val="2"/>
      <w:numFmt w:val="chineseCounting"/>
      <w:suff w:val="nothing"/>
      <w:lvlText w:val="（%1）"/>
      <w:lvlJc w:val="left"/>
      <w:rPr>
        <w:rFonts w:hint="eastAsia"/>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7">
    <w:nsid w:val="14F7A59B"/>
    <w:multiLevelType w:val="singleLevel"/>
    <w:tmpl w:val="14F7A59B"/>
    <w:lvl w:ilvl="0" w:tentative="0">
      <w:start w:val="1"/>
      <w:numFmt w:val="chineseCounting"/>
      <w:suff w:val="nothing"/>
      <w:lvlText w:val="（%1）"/>
      <w:lvlJc w:val="left"/>
      <w:rPr>
        <w:rFonts w:hint="eastAsia"/>
      </w:rPr>
    </w:lvl>
  </w:abstractNum>
  <w:abstractNum w:abstractNumId="8">
    <w:nsid w:val="44F80EDE"/>
    <w:multiLevelType w:val="singleLevel"/>
    <w:tmpl w:val="44F80EDE"/>
    <w:lvl w:ilvl="0" w:tentative="0">
      <w:start w:val="2"/>
      <w:numFmt w:val="chineseCounting"/>
      <w:suff w:val="nothing"/>
      <w:lvlText w:val="（%1）"/>
      <w:lvlJc w:val="left"/>
      <w:rPr>
        <w:rFonts w:hint="eastAsia"/>
      </w:rPr>
    </w:lvl>
  </w:abstractNum>
  <w:abstractNum w:abstractNumId="9">
    <w:nsid w:val="69F303D2"/>
    <w:multiLevelType w:val="singleLevel"/>
    <w:tmpl w:val="69F303D2"/>
    <w:lvl w:ilvl="0" w:tentative="0">
      <w:start w:val="1"/>
      <w:numFmt w:val="chineseCounting"/>
      <w:suff w:val="nothing"/>
      <w:lvlText w:val="%1、"/>
      <w:lvlJc w:val="left"/>
      <w:rPr>
        <w:rFonts w:hint="eastAsia"/>
      </w:rPr>
    </w:lvl>
  </w:abstractNum>
  <w:abstractNum w:abstractNumId="10">
    <w:nsid w:val="6F73F2C9"/>
    <w:multiLevelType w:val="singleLevel"/>
    <w:tmpl w:val="6F73F2C9"/>
    <w:lvl w:ilvl="0" w:tentative="0">
      <w:start w:val="2"/>
      <w:numFmt w:val="decimal"/>
      <w:lvlText w:val="%1."/>
      <w:lvlJc w:val="left"/>
      <w:pPr>
        <w:tabs>
          <w:tab w:val="left" w:pos="312"/>
        </w:tabs>
      </w:pPr>
    </w:lvl>
  </w:abstractNum>
  <w:abstractNum w:abstractNumId="11">
    <w:nsid w:val="7032491E"/>
    <w:multiLevelType w:val="singleLevel"/>
    <w:tmpl w:val="7032491E"/>
    <w:lvl w:ilvl="0" w:tentative="0">
      <w:start w:val="4"/>
      <w:numFmt w:val="chineseCounting"/>
      <w:suff w:val="nothing"/>
      <w:lvlText w:val="（%1）"/>
      <w:lvlJc w:val="left"/>
      <w:rPr>
        <w:rFonts w:hint="eastAsia"/>
      </w:rPr>
    </w:lvl>
  </w:abstractNum>
  <w:num w:numId="1">
    <w:abstractNumId w:val="0"/>
  </w:num>
  <w:num w:numId="2">
    <w:abstractNumId w:val="8"/>
  </w:num>
  <w:num w:numId="3">
    <w:abstractNumId w:val="1"/>
  </w:num>
  <w:num w:numId="4">
    <w:abstractNumId w:val="6"/>
  </w:num>
  <w:num w:numId="5">
    <w:abstractNumId w:val="4"/>
  </w:num>
  <w:num w:numId="6">
    <w:abstractNumId w:val="2"/>
  </w:num>
  <w:num w:numId="7">
    <w:abstractNumId w:val="11"/>
  </w:num>
  <w:num w:numId="8">
    <w:abstractNumId w:val="10"/>
  </w:num>
  <w:num w:numId="9">
    <w:abstractNumId w:val="3"/>
  </w:num>
  <w:num w:numId="10">
    <w:abstractNumId w:val="5"/>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1F97FAE"/>
    <w:rsid w:val="02071305"/>
    <w:rsid w:val="023C65CC"/>
    <w:rsid w:val="02421D02"/>
    <w:rsid w:val="029F52F1"/>
    <w:rsid w:val="03F67248"/>
    <w:rsid w:val="056B00EB"/>
    <w:rsid w:val="060E48C3"/>
    <w:rsid w:val="0A2032A3"/>
    <w:rsid w:val="0FCE1079"/>
    <w:rsid w:val="0FFB5088"/>
    <w:rsid w:val="10C055FF"/>
    <w:rsid w:val="118107EC"/>
    <w:rsid w:val="12467562"/>
    <w:rsid w:val="13BD77FC"/>
    <w:rsid w:val="16BB723D"/>
    <w:rsid w:val="174245C7"/>
    <w:rsid w:val="18FE75A7"/>
    <w:rsid w:val="1D155CEE"/>
    <w:rsid w:val="2074309C"/>
    <w:rsid w:val="22ED4484"/>
    <w:rsid w:val="240371BF"/>
    <w:rsid w:val="25367EF7"/>
    <w:rsid w:val="29FD04D3"/>
    <w:rsid w:val="2B942D1F"/>
    <w:rsid w:val="2D2F71A3"/>
    <w:rsid w:val="2DBD030B"/>
    <w:rsid w:val="319F7F4E"/>
    <w:rsid w:val="34B561E0"/>
    <w:rsid w:val="35C03638"/>
    <w:rsid w:val="3BB05953"/>
    <w:rsid w:val="492D6240"/>
    <w:rsid w:val="4A424182"/>
    <w:rsid w:val="4C5F53EA"/>
    <w:rsid w:val="4ECE2238"/>
    <w:rsid w:val="4F1D6AD4"/>
    <w:rsid w:val="514E39CE"/>
    <w:rsid w:val="55592760"/>
    <w:rsid w:val="562468CA"/>
    <w:rsid w:val="5BB306E0"/>
    <w:rsid w:val="604E12F9"/>
    <w:rsid w:val="61803F6A"/>
    <w:rsid w:val="64287751"/>
    <w:rsid w:val="64772B42"/>
    <w:rsid w:val="65A55DE1"/>
    <w:rsid w:val="66627FC4"/>
    <w:rsid w:val="694A1FD0"/>
    <w:rsid w:val="6BD008F6"/>
    <w:rsid w:val="6BF361C3"/>
    <w:rsid w:val="6C4A05C8"/>
    <w:rsid w:val="70103475"/>
    <w:rsid w:val="72734D90"/>
    <w:rsid w:val="73433B43"/>
    <w:rsid w:val="743908E9"/>
    <w:rsid w:val="798C7F51"/>
    <w:rsid w:val="7A8972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semiHidden="0" w:name="toc 4"/>
    <w:lsdException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40"/>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widowControl w:val="0"/>
      <w:spacing w:before="0" w:after="120"/>
      <w:ind w:left="420" w:leftChars="200" w:right="0" w:firstLine="420" w:firstLineChars="200"/>
      <w:jc w:val="both"/>
    </w:pPr>
    <w:rPr>
      <w:rFonts w:hint="eastAsia" w:ascii="Times New Roman" w:hAnsi="Times New Roman" w:eastAsia="宋体" w:cs="Times New Roman"/>
      <w:kern w:val="2"/>
      <w:sz w:val="21"/>
      <w:lang w:val="en-US" w:eastAsia="zh-CN"/>
    </w:rPr>
  </w:style>
  <w:style w:type="paragraph" w:styleId="3">
    <w:name w:val="Body Text Indent"/>
    <w:basedOn w:val="1"/>
    <w:next w:val="2"/>
    <w:unhideWhenUsed/>
    <w:qFormat/>
    <w:uiPriority w:val="99"/>
    <w:pPr>
      <w:widowControl w:val="0"/>
      <w:spacing w:before="0" w:after="120"/>
      <w:ind w:left="420" w:leftChars="200" w:right="0"/>
      <w:jc w:val="both"/>
    </w:pPr>
    <w:rPr>
      <w:rFonts w:hint="eastAsia" w:ascii="Times New Roman" w:hAnsi="Times New Roman" w:eastAsia="宋体" w:cs="Times New Roman"/>
      <w:kern w:val="2"/>
      <w:sz w:val="21"/>
      <w:lang w:val="en-US" w:eastAsia="zh-CN"/>
    </w:r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4"/>
    <w:qFormat/>
    <w:uiPriority w:val="99"/>
    <w:pPr>
      <w:spacing w:beforeLines="30"/>
    </w:pPr>
    <w:rPr>
      <w:rFonts w:ascii="仿宋_GB2312" w:eastAsia="仿宋_GB2312"/>
      <w:kern w:val="0"/>
      <w:sz w:val="24"/>
      <w:szCs w:val="20"/>
      <w:lang w:val="zh-CN" w:eastAsia="zh-CN"/>
    </w:rPr>
  </w:style>
  <w:style w:type="paragraph" w:styleId="9">
    <w:name w:val="toc 5"/>
    <w:basedOn w:val="1"/>
    <w:next w:val="1"/>
    <w:unhideWhenUsed/>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29"/>
    <w:semiHidden/>
    <w:unhideWhenUsed/>
    <w:qFormat/>
    <w:uiPriority w:val="99"/>
    <w:rPr>
      <w:sz w:val="18"/>
      <w:szCs w:val="18"/>
    </w:rPr>
  </w:style>
  <w:style w:type="paragraph" w:styleId="13">
    <w:name w:val="footer"/>
    <w:basedOn w:val="1"/>
    <w:link w:val="33"/>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4">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Normal (Web)"/>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4"/>
      <w:szCs w:val="20"/>
      <w:lang w:val="en-US" w:eastAsia="zh-CN" w:bidi="ar"/>
    </w:r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character" w:customStyle="1" w:styleId="25">
    <w:name w:val="标题 1 字符"/>
    <w:basedOn w:val="22"/>
    <w:link w:val="4"/>
    <w:qFormat/>
    <w:locked/>
    <w:uiPriority w:val="9"/>
    <w:rPr>
      <w:rFonts w:ascii="Times New Roman" w:hAnsi="Times New Roman" w:cs="Times New Roman"/>
      <w:b/>
      <w:bCs/>
      <w:kern w:val="44"/>
      <w:sz w:val="44"/>
      <w:szCs w:val="44"/>
    </w:rPr>
  </w:style>
  <w:style w:type="character" w:customStyle="1" w:styleId="26">
    <w:name w:val="标题 2 字符"/>
    <w:basedOn w:val="22"/>
    <w:link w:val="5"/>
    <w:qFormat/>
    <w:locked/>
    <w:uiPriority w:val="9"/>
    <w:rPr>
      <w:rFonts w:ascii="Cambria" w:hAnsi="Cambria" w:eastAsia="宋体" w:cs="Times New Roman"/>
      <w:b/>
      <w:bCs/>
      <w:kern w:val="2"/>
      <w:sz w:val="32"/>
      <w:szCs w:val="32"/>
    </w:rPr>
  </w:style>
  <w:style w:type="character" w:customStyle="1" w:styleId="27">
    <w:name w:val="标题 3 字符"/>
    <w:basedOn w:val="22"/>
    <w:link w:val="6"/>
    <w:qFormat/>
    <w:locked/>
    <w:uiPriority w:val="9"/>
    <w:rPr>
      <w:rFonts w:ascii="Times New Roman" w:hAnsi="Times New Roman" w:cs="Times New Roman"/>
      <w:b/>
      <w:bCs/>
      <w:kern w:val="2"/>
      <w:sz w:val="32"/>
      <w:szCs w:val="32"/>
    </w:rPr>
  </w:style>
  <w:style w:type="character" w:customStyle="1" w:styleId="28">
    <w:name w:val="Body Text Char"/>
    <w:basedOn w:val="22"/>
    <w:semiHidden/>
    <w:qFormat/>
    <w:uiPriority w:val="99"/>
    <w:rPr>
      <w:rFonts w:ascii="Times New Roman" w:hAnsi="Times New Roman" w:cs="Times New Roman"/>
      <w:sz w:val="24"/>
      <w:szCs w:val="24"/>
    </w:rPr>
  </w:style>
  <w:style w:type="character" w:customStyle="1" w:styleId="29">
    <w:name w:val="批注框文本 字符"/>
    <w:basedOn w:val="22"/>
    <w:link w:val="12"/>
    <w:semiHidden/>
    <w:qFormat/>
    <w:locked/>
    <w:uiPriority w:val="99"/>
    <w:rPr>
      <w:rFonts w:ascii="Times New Roman" w:hAnsi="Times New Roman" w:cs="Times New Roman"/>
      <w:kern w:val="2"/>
      <w:sz w:val="18"/>
      <w:szCs w:val="18"/>
    </w:rPr>
  </w:style>
  <w:style w:type="character" w:customStyle="1" w:styleId="30">
    <w:name w:val="Footer Char"/>
    <w:basedOn w:val="22"/>
    <w:semiHidden/>
    <w:qFormat/>
    <w:uiPriority w:val="99"/>
    <w:rPr>
      <w:rFonts w:ascii="Times New Roman" w:hAnsi="Times New Roman" w:cs="Times New Roman"/>
      <w:sz w:val="18"/>
      <w:szCs w:val="18"/>
    </w:rPr>
  </w:style>
  <w:style w:type="character" w:customStyle="1" w:styleId="31">
    <w:name w:val="Header Char"/>
    <w:basedOn w:val="22"/>
    <w:semiHidden/>
    <w:qFormat/>
    <w:uiPriority w:val="99"/>
    <w:rPr>
      <w:rFonts w:ascii="Times New Roman" w:hAnsi="Times New Roman" w:cs="Times New Roman"/>
      <w:sz w:val="18"/>
      <w:szCs w:val="18"/>
    </w:rPr>
  </w:style>
  <w:style w:type="character" w:customStyle="1" w:styleId="32">
    <w:name w:val="页眉 字符"/>
    <w:link w:val="14"/>
    <w:semiHidden/>
    <w:qFormat/>
    <w:locked/>
    <w:uiPriority w:val="99"/>
    <w:rPr>
      <w:sz w:val="18"/>
    </w:rPr>
  </w:style>
  <w:style w:type="character" w:customStyle="1" w:styleId="33">
    <w:name w:val="页脚 字符"/>
    <w:link w:val="13"/>
    <w:qFormat/>
    <w:locked/>
    <w:uiPriority w:val="99"/>
    <w:rPr>
      <w:sz w:val="18"/>
    </w:rPr>
  </w:style>
  <w:style w:type="character" w:customStyle="1" w:styleId="34">
    <w:name w:val="正文文本 字符"/>
    <w:link w:val="8"/>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0">
    <w:name w:val="标题 1 Char"/>
    <w:basedOn w:val="22"/>
    <w:link w:val="4"/>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1576</Words>
  <Characters>8984</Characters>
  <Lines>74</Lines>
  <Paragraphs>21</Paragraphs>
  <TotalTime>48</TotalTime>
  <ScaleCrop>false</ScaleCrop>
  <LinksUpToDate>false</LinksUpToDate>
  <CharactersWithSpaces>10539</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2021-11-25T07:59:00Z</cp:lastPrinted>
  <dcterms:modified xsi:type="dcterms:W3CDTF">2021-11-26T18:41:16Z</dcterms:modified>
  <dc:title>阿坝州部门决算说明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921251A15E284405B699C7D6AFD4B4F1</vt:lpwstr>
  </property>
</Properties>
</file>