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rPr>
          <w:rFonts w:hint="eastAsia" w:ascii="Times New Roman" w:hAnsi="Times New Roman" w:eastAsia="方正小标宋简体" w:cs="Times New Roman"/>
          <w:color w:val="auto"/>
          <w:kern w:val="2"/>
          <w:sz w:val="72"/>
          <w:szCs w:val="72"/>
          <w:highlight w:val="none"/>
          <w:lang w:val="en-US" w:eastAsia="zh-CN" w:bidi="ar-SA"/>
        </w:rPr>
      </w:pPr>
      <w:bookmarkStart w:id="0" w:name="_Toc15378441"/>
      <w:bookmarkStart w:id="1" w:name="_Toc15396597"/>
      <w:bookmarkStart w:id="2" w:name="_Toc15377425"/>
      <w:bookmarkStart w:id="3" w:name="_Toc15377193"/>
      <w:bookmarkStart w:id="4" w:name="_Toc15396475"/>
      <w:bookmarkStart w:id="5" w:name="_Toc15306267"/>
    </w:p>
    <w:p>
      <w:pPr>
        <w:pStyle w:val="5"/>
        <w:rPr>
          <w:rFonts w:hint="eastAsia" w:ascii="Times New Roman" w:hAnsi="Times New Roman" w:eastAsia="方正小标宋简体" w:cs="Times New Roman"/>
          <w:color w:val="auto"/>
          <w:kern w:val="2"/>
          <w:sz w:val="72"/>
          <w:szCs w:val="72"/>
          <w:highlight w:val="none"/>
          <w:lang w:val="en-US" w:eastAsia="zh-CN" w:bidi="ar-SA"/>
        </w:rPr>
      </w:pPr>
    </w:p>
    <w:p>
      <w:pPr>
        <w:pStyle w:val="5"/>
        <w:rPr>
          <w:rFonts w:hint="eastAsia" w:ascii="Times New Roman" w:hAnsi="Times New Roman" w:eastAsia="方正小标宋简体" w:cs="Times New Roman"/>
          <w:color w:val="auto"/>
          <w:kern w:val="2"/>
          <w:sz w:val="72"/>
          <w:szCs w:val="72"/>
          <w:highlight w:val="none"/>
          <w:lang w:val="en-US" w:eastAsia="zh-CN" w:bidi="ar-SA"/>
        </w:rPr>
      </w:pPr>
    </w:p>
    <w:p>
      <w:pPr>
        <w:pStyle w:val="5"/>
        <w:jc w:val="center"/>
        <w:rPr>
          <w:rFonts w:hint="eastAsia" w:ascii="Times New Roman" w:hAnsi="Times New Roman" w:eastAsia="方正小标宋简体" w:cs="Times New Roman"/>
          <w:color w:val="auto"/>
          <w:kern w:val="2"/>
          <w:sz w:val="44"/>
          <w:szCs w:val="44"/>
          <w:highlight w:val="none"/>
          <w:lang w:val="en-US" w:eastAsia="zh-CN" w:bidi="ar-SA"/>
        </w:rPr>
      </w:pPr>
      <w:r>
        <w:rPr>
          <w:rFonts w:hint="eastAsia" w:ascii="Times New Roman" w:hAnsi="Times New Roman" w:eastAsia="方正小标宋简体" w:cs="Times New Roman"/>
          <w:color w:val="auto"/>
          <w:kern w:val="2"/>
          <w:sz w:val="44"/>
          <w:szCs w:val="44"/>
          <w:highlight w:val="none"/>
          <w:lang w:val="en-US" w:eastAsia="zh-CN" w:bidi="ar-SA"/>
        </w:rPr>
        <w:t>202</w:t>
      </w:r>
      <w:r>
        <w:rPr>
          <w:rFonts w:hint="eastAsia" w:ascii="Times New Roman" w:eastAsia="方正小标宋简体" w:cs="Times New Roman"/>
          <w:color w:val="auto"/>
          <w:kern w:val="2"/>
          <w:sz w:val="44"/>
          <w:szCs w:val="44"/>
          <w:highlight w:val="none"/>
          <w:lang w:val="en-US" w:eastAsia="zh-CN" w:bidi="ar-SA"/>
        </w:rPr>
        <w:t>5</w:t>
      </w:r>
      <w:r>
        <w:rPr>
          <w:rFonts w:hint="eastAsia" w:ascii="Times New Roman" w:hAnsi="Times New Roman" w:eastAsia="方正小标宋简体" w:cs="Times New Roman"/>
          <w:color w:val="auto"/>
          <w:kern w:val="2"/>
          <w:sz w:val="44"/>
          <w:szCs w:val="44"/>
          <w:highlight w:val="none"/>
          <w:lang w:val="en-US" w:eastAsia="zh-CN" w:bidi="ar-SA"/>
        </w:rPr>
        <w:t>年度</w:t>
      </w:r>
      <w:r>
        <w:rPr>
          <w:rFonts w:hint="eastAsia" w:ascii="Times New Roman" w:eastAsia="方正小标宋简体" w:cs="Times New Roman"/>
          <w:color w:val="auto"/>
          <w:kern w:val="2"/>
          <w:sz w:val="44"/>
          <w:szCs w:val="44"/>
          <w:highlight w:val="none"/>
          <w:lang w:val="en-US" w:eastAsia="zh-CN" w:bidi="ar-SA"/>
        </w:rPr>
        <w:t>县</w:t>
      </w:r>
      <w:r>
        <w:rPr>
          <w:rFonts w:hint="eastAsia" w:ascii="Times New Roman" w:hAnsi="Times New Roman" w:eastAsia="方正小标宋简体" w:cs="Times New Roman"/>
          <w:color w:val="auto"/>
          <w:kern w:val="2"/>
          <w:sz w:val="44"/>
          <w:szCs w:val="44"/>
          <w:highlight w:val="none"/>
          <w:lang w:val="en-US" w:eastAsia="zh-CN" w:bidi="ar-SA"/>
        </w:rPr>
        <w:t>级部门（单位）</w:t>
      </w:r>
    </w:p>
    <w:p>
      <w:pPr>
        <w:pStyle w:val="5"/>
        <w:jc w:val="center"/>
        <w:rPr>
          <w:rFonts w:hint="default" w:ascii="Times New Roman" w:hAnsi="Times New Roman" w:eastAsia="方正小标宋简体" w:cs="Times New Roman"/>
          <w:color w:val="auto"/>
          <w:kern w:val="2"/>
          <w:sz w:val="44"/>
          <w:szCs w:val="44"/>
          <w:highlight w:val="none"/>
          <w:lang w:val="en-US" w:eastAsia="zh-CN" w:bidi="ar-SA"/>
        </w:rPr>
      </w:pPr>
      <w:r>
        <w:rPr>
          <w:rFonts w:hint="eastAsia" w:ascii="Times New Roman" w:hAnsi="Times New Roman" w:eastAsia="方正小标宋简体" w:cs="Times New Roman"/>
          <w:color w:val="auto"/>
          <w:kern w:val="2"/>
          <w:sz w:val="44"/>
          <w:szCs w:val="44"/>
          <w:highlight w:val="none"/>
          <w:lang w:val="en-US" w:eastAsia="zh-CN" w:bidi="ar-SA"/>
        </w:rPr>
        <w:t>决</w:t>
      </w:r>
      <w:bookmarkStart w:id="67" w:name="_GoBack"/>
      <w:bookmarkEnd w:id="67"/>
      <w:r>
        <w:rPr>
          <w:rFonts w:hint="eastAsia" w:ascii="Times New Roman" w:hAnsi="Times New Roman" w:eastAsia="方正小标宋简体" w:cs="Times New Roman"/>
          <w:color w:val="auto"/>
          <w:kern w:val="2"/>
          <w:sz w:val="44"/>
          <w:szCs w:val="44"/>
          <w:highlight w:val="none"/>
          <w:lang w:val="en-US" w:eastAsia="zh-CN" w:bidi="ar-SA"/>
        </w:rPr>
        <w:t>算公开</w:t>
      </w:r>
    </w:p>
    <w:p>
      <w:pPr>
        <w:spacing w:line="600" w:lineRule="exact"/>
        <w:jc w:val="center"/>
        <w:outlineLvl w:val="0"/>
        <w:rPr>
          <w:rFonts w:ascii="Times New Roman" w:hAnsi="Times New Roman" w:eastAsia="方正小标宋简体"/>
          <w:color w:val="auto"/>
          <w:sz w:val="72"/>
          <w:szCs w:val="72"/>
          <w:highlight w:val="none"/>
        </w:rPr>
      </w:pPr>
    </w:p>
    <w:p>
      <w:pPr>
        <w:pStyle w:val="20"/>
        <w:rPr>
          <w:rFonts w:ascii="Times New Roman" w:hAnsi="Times New Roman"/>
        </w:rPr>
        <w:sectPr>
          <w:headerReference r:id="rId3" w:type="default"/>
          <w:footerReference r:id="rId4" w:type="default"/>
          <w:pgSz w:w="11906" w:h="16838"/>
          <w:pgMar w:top="1440" w:right="1800" w:bottom="1440" w:left="1800" w:header="851" w:footer="992" w:gutter="0"/>
          <w:pgNumType w:fmt="numberInDash" w:start="1"/>
          <w:cols w:space="425" w:num="1"/>
          <w:titlePg/>
          <w:docGrid w:type="lines" w:linePitch="312" w:charSpace="0"/>
        </w:sectPr>
      </w:pPr>
    </w:p>
    <w:p>
      <w:pPr>
        <w:rPr>
          <w:rFonts w:ascii="Times New Roman" w:hAnsi="Times New Roman"/>
        </w:rPr>
      </w:pPr>
    </w:p>
    <w:p>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p>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p>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p>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bookmarkEnd w:id="0"/>
    <w:bookmarkEnd w:id="1"/>
    <w:bookmarkEnd w:id="2"/>
    <w:bookmarkEnd w:id="3"/>
    <w:bookmarkEnd w:id="4"/>
    <w:p>
      <w:pPr>
        <w:pStyle w:val="5"/>
        <w:jc w:val="center"/>
        <w:rPr>
          <w:rFonts w:hint="eastAsia" w:ascii="Times New Roman" w:eastAsia="方正小标宋简体" w:cs="Times New Roman"/>
          <w:color w:val="auto"/>
          <w:kern w:val="2"/>
          <w:sz w:val="44"/>
          <w:szCs w:val="44"/>
          <w:highlight w:val="none"/>
          <w:lang w:val="en-US" w:eastAsia="zh-CN" w:bidi="ar-SA"/>
        </w:rPr>
      </w:pPr>
      <w:bookmarkStart w:id="6" w:name="_Toc15396598"/>
      <w:bookmarkStart w:id="7" w:name="_Toc15378442"/>
      <w:bookmarkStart w:id="8" w:name="_Toc15377426"/>
      <w:bookmarkStart w:id="9" w:name="_Toc15377194"/>
      <w:bookmarkStart w:id="10" w:name="_Toc15396476"/>
      <w:r>
        <w:rPr>
          <w:rFonts w:hint="eastAsia" w:ascii="Times New Roman" w:hAnsi="Times New Roman" w:eastAsia="方正小标宋简体" w:cs="Times New Roman"/>
          <w:color w:val="auto"/>
          <w:kern w:val="2"/>
          <w:sz w:val="44"/>
          <w:szCs w:val="44"/>
          <w:highlight w:val="none"/>
          <w:lang w:val="en-US" w:eastAsia="zh-CN" w:bidi="ar-SA"/>
        </w:rPr>
        <w:t>202</w:t>
      </w:r>
      <w:r>
        <w:rPr>
          <w:rFonts w:hint="eastAsia" w:ascii="Times New Roman" w:eastAsia="方正小标宋简体" w:cs="Times New Roman"/>
          <w:color w:val="auto"/>
          <w:kern w:val="2"/>
          <w:sz w:val="44"/>
          <w:szCs w:val="44"/>
          <w:highlight w:val="none"/>
          <w:lang w:val="en-US" w:eastAsia="zh-CN" w:bidi="ar-SA"/>
        </w:rPr>
        <w:t>5</w:t>
      </w:r>
      <w:r>
        <w:rPr>
          <w:rFonts w:hint="eastAsia" w:ascii="Times New Roman" w:hAnsi="Times New Roman" w:eastAsia="方正小标宋简体" w:cs="Times New Roman"/>
          <w:color w:val="auto"/>
          <w:kern w:val="2"/>
          <w:sz w:val="44"/>
          <w:szCs w:val="44"/>
          <w:highlight w:val="none"/>
          <w:lang w:val="en-US" w:eastAsia="zh-CN" w:bidi="ar-SA"/>
        </w:rPr>
        <w:t>年度四川省</w:t>
      </w:r>
      <w:bookmarkEnd w:id="5"/>
      <w:bookmarkStart w:id="11" w:name="_Toc15306268"/>
      <w:r>
        <w:rPr>
          <w:rFonts w:hint="eastAsia" w:ascii="Times New Roman" w:eastAsia="方正小标宋简体" w:cs="Times New Roman"/>
          <w:color w:val="auto"/>
          <w:kern w:val="2"/>
          <w:sz w:val="44"/>
          <w:szCs w:val="44"/>
          <w:highlight w:val="none"/>
          <w:lang w:val="en-US" w:eastAsia="zh-CN" w:bidi="ar-SA"/>
        </w:rPr>
        <w:t>阿坝州红原县委县政府</w:t>
      </w:r>
    </w:p>
    <w:p>
      <w:pPr>
        <w:pStyle w:val="5"/>
        <w:jc w:val="center"/>
        <w:rPr>
          <w:rFonts w:hint="eastAsia" w:ascii="Times New Roman" w:hAnsi="Times New Roman" w:eastAsia="方正小标宋简体" w:cs="Times New Roman"/>
          <w:color w:val="auto"/>
          <w:kern w:val="2"/>
          <w:sz w:val="44"/>
          <w:szCs w:val="44"/>
          <w:highlight w:val="none"/>
          <w:lang w:val="en-US" w:eastAsia="zh-CN" w:bidi="ar-SA"/>
        </w:rPr>
      </w:pPr>
      <w:r>
        <w:rPr>
          <w:rFonts w:hint="eastAsia" w:ascii="Times New Roman" w:eastAsia="方正小标宋简体" w:cs="Times New Roman"/>
          <w:color w:val="auto"/>
          <w:kern w:val="2"/>
          <w:sz w:val="44"/>
          <w:szCs w:val="44"/>
          <w:highlight w:val="none"/>
          <w:lang w:val="en-US" w:eastAsia="zh-CN" w:bidi="ar-SA"/>
        </w:rPr>
        <w:t>联动指挥中心</w:t>
      </w:r>
      <w:r>
        <w:rPr>
          <w:rFonts w:hint="eastAsia" w:ascii="Times New Roman" w:hAnsi="Times New Roman" w:eastAsia="方正小标宋简体" w:cs="Times New Roman"/>
          <w:color w:val="auto"/>
          <w:kern w:val="2"/>
          <w:sz w:val="44"/>
          <w:szCs w:val="44"/>
          <w:highlight w:val="none"/>
          <w:lang w:val="en-US" w:eastAsia="zh-CN" w:bidi="ar-SA"/>
        </w:rPr>
        <w:t>部门决算</w:t>
      </w:r>
      <w:bookmarkEnd w:id="6"/>
      <w:bookmarkEnd w:id="7"/>
      <w:bookmarkEnd w:id="8"/>
      <w:bookmarkEnd w:id="9"/>
      <w:bookmarkEnd w:id="10"/>
      <w:bookmarkEnd w:id="11"/>
    </w:p>
    <w:p>
      <w:pPr>
        <w:widowControl/>
        <w:jc w:val="center"/>
        <w:rPr>
          <w:rFonts w:ascii="Times New Roman" w:hAnsi="Times New Roman" w:eastAsia="黑体"/>
          <w:color w:val="auto"/>
          <w:sz w:val="48"/>
          <w:szCs w:val="48"/>
          <w:highlight w:val="none"/>
        </w:rPr>
      </w:pPr>
      <w:r>
        <w:rPr>
          <w:rFonts w:ascii="Times New Roman" w:hAnsi="Times New Roman" w:eastAsia="方正小标宋简体"/>
          <w:color w:val="auto"/>
          <w:sz w:val="36"/>
          <w:szCs w:val="36"/>
          <w:highlight w:val="none"/>
        </w:rPr>
        <w:br w:type="page"/>
      </w:r>
      <w:r>
        <w:rPr>
          <w:rFonts w:hint="eastAsia" w:ascii="Times New Roman" w:hAnsi="Times New Roman" w:eastAsia="黑体"/>
          <w:color w:val="auto"/>
          <w:sz w:val="48"/>
          <w:szCs w:val="48"/>
          <w:highlight w:val="none"/>
        </w:rPr>
        <w:t>目录</w:t>
      </w:r>
    </w:p>
    <w:p>
      <w:pPr>
        <w:widowControl/>
        <w:jc w:val="center"/>
        <w:rPr>
          <w:rFonts w:ascii="Times New Roman" w:hAnsi="Times New Roman" w:eastAsia="黑体" w:cstheme="minorBidi"/>
          <w:color w:val="auto"/>
          <w:sz w:val="28"/>
          <w:szCs w:val="28"/>
          <w:highlight w:val="none"/>
        </w:rPr>
      </w:pPr>
    </w:p>
    <w:p>
      <w:pPr>
        <w:pStyle w:val="12"/>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公开时间：20</w:t>
      </w:r>
      <w:r>
        <w:rPr>
          <w:rFonts w:hint="eastAsia" w:ascii="Times New Roman" w:hAnsi="Times New Roman" w:eastAsia="仿宋_GB2312" w:cs="仿宋_GB2312"/>
          <w:color w:val="auto"/>
          <w:sz w:val="32"/>
          <w:szCs w:val="32"/>
          <w:highlight w:val="none"/>
          <w:lang w:val="en-US" w:eastAsia="zh-CN"/>
        </w:rPr>
        <w:t>26</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val="en-US" w:eastAsia="zh-CN"/>
        </w:rPr>
        <w:t xml:space="preserve"> 10 </w:t>
      </w:r>
      <w:r>
        <w:rPr>
          <w:rFonts w:hint="eastAsia" w:ascii="Times New Roman" w:hAnsi="Times New Roman" w:eastAsia="仿宋_GB2312" w:cs="仿宋_GB2312"/>
          <w:color w:val="auto"/>
          <w:sz w:val="32"/>
          <w:szCs w:val="32"/>
          <w:highlight w:val="none"/>
        </w:rPr>
        <w:t>月</w:t>
      </w:r>
      <w:r>
        <w:rPr>
          <w:rFonts w:hint="eastAsia" w:ascii="Times New Roman" w:hAnsi="Times New Roman" w:eastAsia="仿宋_GB2312" w:cs="仿宋_GB2312"/>
          <w:color w:val="auto"/>
          <w:sz w:val="32"/>
          <w:szCs w:val="32"/>
          <w:highlight w:val="none"/>
          <w:lang w:val="en-US" w:eastAsia="zh-CN"/>
        </w:rPr>
        <w:t xml:space="preserve"> 26 </w:t>
      </w:r>
      <w:r>
        <w:rPr>
          <w:rFonts w:hint="eastAsia" w:ascii="Times New Roman" w:hAnsi="Times New Roman" w:eastAsia="仿宋_GB2312" w:cs="仿宋_GB2312"/>
          <w:color w:val="auto"/>
          <w:sz w:val="32"/>
          <w:szCs w:val="32"/>
          <w:highlight w:val="none"/>
        </w:rPr>
        <w:t>日</w:t>
      </w:r>
    </w:p>
    <w:p>
      <w:pPr>
        <w:rPr>
          <w:rFonts w:ascii="Times New Roman" w:hAnsi="Times New Roman"/>
          <w:color w:val="auto"/>
          <w:highlight w:val="none"/>
        </w:rPr>
      </w:pPr>
    </w:p>
    <w:p>
      <w:pPr>
        <w:pStyle w:val="12"/>
        <w:keepNext w:val="0"/>
        <w:keepLines w:val="0"/>
        <w:pageBreakBefore w:val="0"/>
        <w:widowControl w:val="0"/>
        <w:kinsoku/>
        <w:wordWrap/>
        <w:overflowPunct/>
        <w:topLinePunct w:val="0"/>
        <w:autoSpaceDE/>
        <w:autoSpaceDN/>
        <w:bidi w:val="0"/>
        <w:adjustRightInd w:val="0"/>
        <w:snapToGrid w:val="0"/>
        <w:spacing w:before="0" w:line="576"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第一部分 部门概况</w:t>
      </w:r>
      <w:r>
        <w:rPr>
          <w:rFonts w:hint="eastAsia" w:ascii="楷体" w:hAnsi="楷体" w:eastAsia="楷体" w:cs="楷体"/>
          <w:color w:val="000000"/>
          <w:sz w:val="30"/>
          <w:szCs w:val="30"/>
        </w:rPr>
        <w:t>...............</w:t>
      </w:r>
      <w:r>
        <w:rPr>
          <w:rFonts w:hint="eastAsia" w:ascii="楷体" w:hAnsi="楷体" w:eastAsia="楷体" w:cs="楷体"/>
          <w:color w:val="000000"/>
          <w:sz w:val="30"/>
          <w:szCs w:val="30"/>
          <w:lang w:val="en-US" w:eastAsia="zh-CN"/>
        </w:rPr>
        <w:t>....</w:t>
      </w:r>
      <w:r>
        <w:rPr>
          <w:rFonts w:hint="eastAsia" w:ascii="楷体" w:hAnsi="楷体" w:eastAsia="楷体" w:cs="楷体"/>
          <w:color w:val="000000"/>
          <w:sz w:val="30"/>
          <w:szCs w:val="30"/>
        </w:rPr>
        <w:t>....</w:t>
      </w:r>
      <w:r>
        <w:rPr>
          <w:rFonts w:hint="eastAsia" w:ascii="楷体" w:hAnsi="楷体" w:eastAsia="楷体" w:cs="楷体"/>
          <w:color w:val="000000"/>
          <w:sz w:val="30"/>
          <w:szCs w:val="30"/>
          <w:lang w:val="en-US" w:eastAsia="zh-CN"/>
        </w:rPr>
        <w:t>.............1</w:t>
      </w:r>
    </w:p>
    <w:p>
      <w:pPr>
        <w:pStyle w:val="12"/>
        <w:keepNext w:val="0"/>
        <w:keepLines w:val="0"/>
        <w:pageBreakBefore w:val="0"/>
        <w:widowControl w:val="0"/>
        <w:kinsoku/>
        <w:wordWrap/>
        <w:overflowPunct/>
        <w:topLinePunct w:val="0"/>
        <w:autoSpaceDE/>
        <w:autoSpaceDN/>
        <w:bidi w:val="0"/>
        <w:adjustRightInd w:val="0"/>
        <w:snapToGrid w:val="0"/>
        <w:spacing w:before="0" w:line="576"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w:t>
      </w:r>
      <w:r>
        <w:rPr>
          <w:rFonts w:hint="eastAsia" w:ascii="Times New Roman" w:hAnsi="Times New Roman" w:eastAsia="仿宋_GB2312" w:cs="仿宋_GB2312"/>
          <w:color w:val="auto"/>
          <w:sz w:val="32"/>
          <w:szCs w:val="32"/>
          <w:highlight w:val="none"/>
          <w:lang w:eastAsia="zh-CN"/>
        </w:rPr>
        <w:t>部门职责</w:t>
      </w:r>
      <w:r>
        <w:rPr>
          <w:rFonts w:hint="eastAsia" w:ascii="楷体" w:hAnsi="楷体" w:eastAsia="楷体" w:cs="楷体"/>
          <w:color w:val="000000"/>
          <w:sz w:val="30"/>
          <w:szCs w:val="30"/>
        </w:rPr>
        <w:t>..............</w:t>
      </w:r>
      <w:r>
        <w:rPr>
          <w:rFonts w:hint="eastAsia" w:ascii="楷体" w:hAnsi="楷体" w:eastAsia="楷体" w:cs="楷体"/>
          <w:color w:val="000000"/>
          <w:sz w:val="30"/>
          <w:szCs w:val="30"/>
          <w:lang w:val="en-US" w:eastAsia="zh-CN"/>
        </w:rPr>
        <w:t>......</w:t>
      </w:r>
      <w:r>
        <w:rPr>
          <w:rFonts w:hint="eastAsia" w:ascii="楷体" w:hAnsi="楷体" w:eastAsia="楷体" w:cs="楷体"/>
          <w:color w:val="000000"/>
          <w:sz w:val="30"/>
          <w:szCs w:val="30"/>
        </w:rPr>
        <w:t>.</w:t>
      </w:r>
      <w:r>
        <w:rPr>
          <w:rFonts w:hint="eastAsia" w:ascii="楷体" w:hAnsi="楷体" w:eastAsia="楷体" w:cs="楷体"/>
          <w:color w:val="000000"/>
          <w:sz w:val="30"/>
          <w:szCs w:val="30"/>
          <w:lang w:val="en-US" w:eastAsia="zh-CN"/>
        </w:rPr>
        <w:t>....</w:t>
      </w:r>
      <w:r>
        <w:rPr>
          <w:rFonts w:hint="eastAsia" w:ascii="楷体" w:hAnsi="楷体" w:eastAsia="楷体" w:cs="楷体"/>
          <w:color w:val="000000"/>
          <w:sz w:val="30"/>
          <w:szCs w:val="30"/>
        </w:rPr>
        <w:t>....</w:t>
      </w:r>
      <w:r>
        <w:rPr>
          <w:rFonts w:hint="eastAsia" w:ascii="楷体" w:hAnsi="楷体" w:eastAsia="楷体" w:cs="楷体"/>
          <w:color w:val="000000"/>
          <w:sz w:val="30"/>
          <w:szCs w:val="30"/>
          <w:lang w:val="en-US" w:eastAsia="zh-CN"/>
        </w:rPr>
        <w:t>............1</w:t>
      </w:r>
    </w:p>
    <w:p>
      <w:pPr>
        <w:pStyle w:val="12"/>
        <w:keepNext w:val="0"/>
        <w:keepLines w:val="0"/>
        <w:pageBreakBefore w:val="0"/>
        <w:widowControl w:val="0"/>
        <w:kinsoku/>
        <w:wordWrap/>
        <w:overflowPunct/>
        <w:topLinePunct w:val="0"/>
        <w:autoSpaceDE/>
        <w:autoSpaceDN/>
        <w:bidi w:val="0"/>
        <w:adjustRightInd w:val="0"/>
        <w:snapToGrid w:val="0"/>
        <w:spacing w:before="0" w:line="576" w:lineRule="exact"/>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rPr>
        <w:t>二、机构设置</w:t>
      </w:r>
      <w:r>
        <w:rPr>
          <w:rFonts w:hint="eastAsia" w:ascii="楷体" w:hAnsi="楷体" w:eastAsia="楷体" w:cs="楷体"/>
          <w:color w:val="000000"/>
          <w:sz w:val="30"/>
          <w:szCs w:val="30"/>
        </w:rPr>
        <w:t>..........</w:t>
      </w:r>
      <w:r>
        <w:rPr>
          <w:rFonts w:hint="eastAsia" w:ascii="楷体" w:hAnsi="楷体" w:eastAsia="楷体" w:cs="楷体"/>
          <w:color w:val="000000"/>
          <w:sz w:val="30"/>
          <w:szCs w:val="30"/>
          <w:lang w:val="en-US" w:eastAsia="zh-CN"/>
        </w:rPr>
        <w:t>......</w:t>
      </w:r>
      <w:r>
        <w:rPr>
          <w:rFonts w:hint="eastAsia" w:ascii="楷体" w:hAnsi="楷体" w:eastAsia="楷体" w:cs="楷体"/>
          <w:color w:val="000000"/>
          <w:sz w:val="30"/>
          <w:szCs w:val="30"/>
        </w:rPr>
        <w:t>.....</w:t>
      </w:r>
      <w:r>
        <w:rPr>
          <w:rFonts w:hint="eastAsia" w:ascii="楷体" w:hAnsi="楷体" w:eastAsia="楷体" w:cs="楷体"/>
          <w:color w:val="000000"/>
          <w:sz w:val="30"/>
          <w:szCs w:val="30"/>
          <w:lang w:val="en-US" w:eastAsia="zh-CN"/>
        </w:rPr>
        <w:t>....</w:t>
      </w:r>
      <w:r>
        <w:rPr>
          <w:rFonts w:hint="eastAsia" w:ascii="楷体" w:hAnsi="楷体" w:eastAsia="楷体" w:cs="楷体"/>
          <w:color w:val="000000"/>
          <w:sz w:val="30"/>
          <w:szCs w:val="30"/>
        </w:rPr>
        <w:t>....</w:t>
      </w:r>
      <w:r>
        <w:rPr>
          <w:rFonts w:hint="eastAsia" w:ascii="楷体" w:hAnsi="楷体" w:eastAsia="楷体" w:cs="楷体"/>
          <w:color w:val="000000"/>
          <w:sz w:val="30"/>
          <w:szCs w:val="30"/>
          <w:lang w:val="en-US" w:eastAsia="zh-CN"/>
        </w:rPr>
        <w:t>............2</w:t>
      </w: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default" w:ascii="Times New Roman" w:hAnsi="Times New Roman" w:eastAsia="黑体" w:cs="黑体"/>
          <w:color w:val="auto"/>
          <w:sz w:val="32"/>
          <w:szCs w:val="32"/>
          <w:highlight w:val="none"/>
          <w:lang w:val="en-US"/>
        </w:rPr>
      </w:pPr>
      <w:r>
        <w:rPr>
          <w:rFonts w:hint="eastAsia" w:ascii="Times New Roman" w:hAnsi="Times New Roman" w:eastAsia="黑体" w:cs="黑体"/>
          <w:color w:val="auto"/>
          <w:sz w:val="32"/>
          <w:szCs w:val="32"/>
          <w:highlight w:val="none"/>
        </w:rPr>
        <w:t>第二部分</w:t>
      </w:r>
      <w:r>
        <w:rPr>
          <w:rFonts w:hint="eastAsia" w:ascii="Times New Roman" w:hAnsi="Times New Roman" w:eastAsia="黑体" w:cs="黑体"/>
          <w:color w:val="auto"/>
          <w:sz w:val="32"/>
          <w:szCs w:val="32"/>
          <w:highlight w:val="none"/>
          <w:lang w:val="en-US" w:eastAsia="zh-CN"/>
        </w:rPr>
        <w:t xml:space="preserve"> 2025年度</w:t>
      </w:r>
      <w:r>
        <w:rPr>
          <w:rFonts w:hint="eastAsia" w:ascii="Times New Roman" w:hAnsi="Times New Roman" w:eastAsia="黑体" w:cs="黑体"/>
          <w:color w:val="auto"/>
          <w:sz w:val="32"/>
          <w:szCs w:val="32"/>
          <w:highlight w:val="none"/>
        </w:rPr>
        <w:t>部门决算情况说明</w:t>
      </w:r>
      <w:r>
        <w:rPr>
          <w:rFonts w:hint="eastAsia" w:ascii="楷体" w:hAnsi="楷体" w:eastAsia="楷体" w:cs="楷体"/>
          <w:color w:val="000000"/>
          <w:sz w:val="30"/>
          <w:szCs w:val="30"/>
        </w:rPr>
        <w:t>...</w:t>
      </w:r>
      <w:r>
        <w:rPr>
          <w:rFonts w:hint="eastAsia" w:ascii="楷体" w:hAnsi="楷体" w:eastAsia="楷体" w:cs="楷体"/>
          <w:color w:val="000000"/>
          <w:sz w:val="30"/>
          <w:szCs w:val="30"/>
          <w:lang w:val="en-US" w:eastAsia="zh-CN"/>
        </w:rPr>
        <w:t>...............3</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rPr>
        <w:t>一、收入支出决算总体情况说明</w:t>
      </w:r>
      <w:r>
        <w:rPr>
          <w:rFonts w:hint="eastAsia" w:ascii="楷体" w:hAnsi="楷体" w:eastAsia="楷体" w:cs="楷体"/>
          <w:color w:val="000000"/>
          <w:sz w:val="30"/>
          <w:szCs w:val="30"/>
        </w:rPr>
        <w:t>...</w:t>
      </w:r>
      <w:r>
        <w:rPr>
          <w:rFonts w:hint="eastAsia" w:ascii="楷体" w:hAnsi="楷体" w:eastAsia="楷体" w:cs="楷体"/>
          <w:color w:val="000000"/>
          <w:sz w:val="30"/>
          <w:szCs w:val="30"/>
          <w:lang w:val="en-US" w:eastAsia="zh-CN"/>
        </w:rPr>
        <w:t>.................3</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rPr>
        <w:t>二、收入决算情况说明</w:t>
      </w:r>
      <w:r>
        <w:rPr>
          <w:rFonts w:hint="eastAsia" w:ascii="楷体" w:hAnsi="楷体" w:eastAsia="楷体" w:cs="楷体"/>
          <w:color w:val="000000"/>
          <w:sz w:val="30"/>
          <w:szCs w:val="30"/>
        </w:rPr>
        <w:t>...</w:t>
      </w:r>
      <w:r>
        <w:rPr>
          <w:rFonts w:hint="eastAsia" w:ascii="楷体" w:hAnsi="楷体" w:eastAsia="楷体" w:cs="楷体"/>
          <w:color w:val="000000"/>
          <w:sz w:val="30"/>
          <w:szCs w:val="30"/>
          <w:lang w:val="en-US" w:eastAsia="zh-CN"/>
        </w:rPr>
        <w:t>..........................3</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rPr>
        <w:t>三、支出决算情况说明</w:t>
      </w:r>
      <w:r>
        <w:rPr>
          <w:rFonts w:hint="eastAsia" w:ascii="楷体" w:hAnsi="楷体" w:eastAsia="楷体" w:cs="楷体"/>
          <w:color w:val="000000"/>
          <w:sz w:val="30"/>
          <w:szCs w:val="30"/>
        </w:rPr>
        <w:t>...</w:t>
      </w:r>
      <w:r>
        <w:rPr>
          <w:rFonts w:hint="eastAsia" w:ascii="楷体" w:hAnsi="楷体" w:eastAsia="楷体" w:cs="楷体"/>
          <w:color w:val="000000"/>
          <w:sz w:val="30"/>
          <w:szCs w:val="30"/>
          <w:lang w:val="en-US" w:eastAsia="zh-CN"/>
        </w:rPr>
        <w:t>..........................4</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rPr>
        <w:t>四、财政拨款收入支出决算总体情况说明</w:t>
      </w:r>
      <w:r>
        <w:rPr>
          <w:rFonts w:hint="eastAsia" w:ascii="楷体" w:hAnsi="楷体" w:eastAsia="楷体" w:cs="楷体"/>
          <w:color w:val="000000"/>
          <w:sz w:val="30"/>
          <w:szCs w:val="30"/>
          <w:lang w:val="en-US" w:eastAsia="zh-CN"/>
        </w:rPr>
        <w:t>............5</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rPr>
        <w:t>五、一般公共预算财政拨款支出决算情况说明</w:t>
      </w:r>
      <w:r>
        <w:rPr>
          <w:rFonts w:hint="eastAsia" w:ascii="楷体" w:hAnsi="楷体" w:eastAsia="楷体" w:cs="楷体"/>
          <w:color w:val="000000"/>
          <w:sz w:val="30"/>
          <w:szCs w:val="30"/>
          <w:lang w:val="en-US" w:eastAsia="zh-CN"/>
        </w:rPr>
        <w:t>........6</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rPr>
        <w:t>六、一般公共预算财政拨款基本支出决算情况说明</w:t>
      </w:r>
      <w:r>
        <w:rPr>
          <w:rFonts w:hint="eastAsia" w:ascii="楷体" w:hAnsi="楷体" w:eastAsia="楷体" w:cs="楷体"/>
          <w:color w:val="000000"/>
          <w:sz w:val="30"/>
          <w:szCs w:val="30"/>
          <w:lang w:val="en-US" w:eastAsia="zh-CN"/>
        </w:rPr>
        <w:t>....8</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rPr>
        <w:t>七、财政拨款</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color w:val="auto"/>
          <w:sz w:val="32"/>
          <w:szCs w:val="32"/>
          <w:highlight w:val="none"/>
        </w:rPr>
        <w:t>三公”经费支出决算情况说明</w:t>
      </w:r>
      <w:r>
        <w:rPr>
          <w:rFonts w:hint="eastAsia" w:ascii="楷体" w:hAnsi="楷体" w:eastAsia="楷体" w:cs="楷体"/>
          <w:color w:val="000000"/>
          <w:sz w:val="30"/>
          <w:szCs w:val="30"/>
          <w:lang w:val="en-US" w:eastAsia="zh-CN"/>
        </w:rPr>
        <w:t>........8</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rPr>
        <w:t>八、政府性基金预算支出决算情况说明</w:t>
      </w:r>
      <w:r>
        <w:rPr>
          <w:rFonts w:hint="eastAsia" w:ascii="楷体" w:hAnsi="楷体" w:eastAsia="楷体" w:cs="楷体"/>
          <w:color w:val="000000"/>
          <w:sz w:val="30"/>
          <w:szCs w:val="30"/>
          <w:lang w:val="en-US" w:eastAsia="zh-CN"/>
        </w:rPr>
        <w:t>..............9</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rPr>
        <w:t>九、</w:t>
      </w:r>
      <w:r>
        <w:rPr>
          <w:rFonts w:hint="eastAsia" w:ascii="Times New Roman" w:hAnsi="Times New Roman" w:eastAsia="仿宋_GB2312" w:cs="仿宋_GB2312"/>
          <w:color w:val="auto"/>
          <w:sz w:val="32"/>
          <w:szCs w:val="32"/>
          <w:highlight w:val="none"/>
          <w:lang w:eastAsia="zh-CN"/>
        </w:rPr>
        <w:t>国</w:t>
      </w:r>
      <w:r>
        <w:rPr>
          <w:rFonts w:hint="eastAsia" w:ascii="Times New Roman" w:hAnsi="Times New Roman" w:eastAsia="仿宋_GB2312" w:cs="仿宋_GB2312"/>
          <w:color w:val="auto"/>
          <w:sz w:val="32"/>
          <w:szCs w:val="32"/>
          <w:highlight w:val="none"/>
        </w:rPr>
        <w:t>有资本经营预算支出决算情况说明</w:t>
      </w:r>
      <w:r>
        <w:rPr>
          <w:rFonts w:hint="eastAsia" w:ascii="楷体" w:hAnsi="楷体" w:eastAsia="楷体" w:cs="楷体"/>
          <w:color w:val="000000"/>
          <w:sz w:val="30"/>
          <w:szCs w:val="30"/>
          <w:lang w:val="en-US" w:eastAsia="zh-CN"/>
        </w:rPr>
        <w:t>............9</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lang w:eastAsia="zh-CN"/>
        </w:rPr>
        <w:t>十</w:t>
      </w:r>
      <w:r>
        <w:rPr>
          <w:rFonts w:hint="eastAsia" w:ascii="Times New Roman" w:hAnsi="Times New Roman" w:eastAsia="仿宋_GB2312" w:cs="仿宋_GB2312"/>
          <w:color w:val="auto"/>
          <w:sz w:val="32"/>
          <w:szCs w:val="32"/>
          <w:highlight w:val="none"/>
        </w:rPr>
        <w:t>、其他重要事项的情况说明</w:t>
      </w:r>
      <w:r>
        <w:rPr>
          <w:rFonts w:hint="eastAsia" w:ascii="楷体" w:hAnsi="楷体" w:eastAsia="楷体" w:cs="楷体"/>
          <w:color w:val="000000"/>
          <w:sz w:val="30"/>
          <w:szCs w:val="30"/>
          <w:lang w:val="en-US" w:eastAsia="zh-CN"/>
        </w:rPr>
        <w:t>.......................9</w:t>
      </w: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default" w:ascii="Times New Roman" w:hAnsi="Times New Roman" w:eastAsia="黑体" w:cs="黑体"/>
          <w:color w:val="auto"/>
          <w:sz w:val="32"/>
          <w:szCs w:val="32"/>
          <w:highlight w:val="none"/>
          <w:lang w:val="en-US"/>
        </w:rPr>
      </w:pPr>
      <w:r>
        <w:rPr>
          <w:rFonts w:hint="eastAsia" w:ascii="Times New Roman" w:hAnsi="Times New Roman" w:eastAsia="黑体" w:cs="黑体"/>
          <w:color w:val="auto"/>
          <w:sz w:val="32"/>
          <w:szCs w:val="32"/>
          <w:highlight w:val="none"/>
        </w:rPr>
        <w:t>第三部分 名词解释</w:t>
      </w:r>
      <w:r>
        <w:rPr>
          <w:rFonts w:hint="eastAsia" w:ascii="楷体" w:hAnsi="楷体" w:eastAsia="楷体" w:cs="楷体"/>
          <w:color w:val="000000"/>
          <w:sz w:val="30"/>
          <w:szCs w:val="30"/>
          <w:lang w:val="en-US" w:eastAsia="zh-CN"/>
        </w:rPr>
        <w:t>...................................11</w:t>
      </w: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default" w:ascii="Times New Roman" w:hAnsi="Times New Roman" w:eastAsia="黑体" w:cs="黑体"/>
          <w:color w:val="auto"/>
          <w:sz w:val="32"/>
          <w:szCs w:val="32"/>
          <w:highlight w:val="none"/>
          <w:lang w:val="en-US"/>
        </w:rPr>
      </w:pPr>
      <w:r>
        <w:rPr>
          <w:rFonts w:hint="eastAsia" w:ascii="Times New Roman" w:hAnsi="Times New Roman" w:eastAsia="黑体" w:cs="黑体"/>
          <w:color w:val="auto"/>
          <w:sz w:val="32"/>
          <w:szCs w:val="32"/>
          <w:highlight w:val="none"/>
        </w:rPr>
        <w:t>第四部分 附件</w:t>
      </w:r>
      <w:r>
        <w:rPr>
          <w:rFonts w:hint="eastAsia" w:ascii="楷体" w:hAnsi="楷体" w:eastAsia="楷体" w:cs="楷体"/>
          <w:color w:val="000000"/>
          <w:sz w:val="30"/>
          <w:szCs w:val="30"/>
          <w:lang w:val="en-US" w:eastAsia="zh-CN"/>
        </w:rPr>
        <w:t>.......................................14</w:t>
      </w: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default" w:ascii="Times New Roman" w:hAnsi="Times New Roman" w:eastAsia="黑体" w:cs="黑体"/>
          <w:color w:val="auto"/>
          <w:sz w:val="32"/>
          <w:szCs w:val="32"/>
          <w:highlight w:val="none"/>
          <w:lang w:val="en-US"/>
        </w:rPr>
      </w:pPr>
      <w:r>
        <w:rPr>
          <w:rFonts w:hint="eastAsia" w:ascii="Times New Roman" w:hAnsi="Times New Roman" w:eastAsia="黑体" w:cs="黑体"/>
          <w:color w:val="auto"/>
          <w:sz w:val="32"/>
          <w:szCs w:val="32"/>
          <w:highlight w:val="none"/>
        </w:rPr>
        <w:t>第五部分 附表</w:t>
      </w:r>
      <w:r>
        <w:rPr>
          <w:rFonts w:hint="eastAsia" w:ascii="楷体" w:hAnsi="楷体" w:eastAsia="楷体" w:cs="楷体"/>
          <w:color w:val="000000"/>
          <w:sz w:val="30"/>
          <w:szCs w:val="30"/>
          <w:lang w:val="en-US" w:eastAsia="zh-CN"/>
        </w:rPr>
        <w:t>.......................................21</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rPr>
        <w:t>一、收入支出决算总表</w:t>
      </w:r>
      <w:r>
        <w:rPr>
          <w:rFonts w:hint="eastAsia" w:ascii="楷体" w:hAnsi="楷体" w:eastAsia="楷体" w:cs="楷体"/>
          <w:color w:val="000000"/>
          <w:sz w:val="30"/>
          <w:szCs w:val="30"/>
          <w:lang w:val="en-US" w:eastAsia="zh-CN"/>
        </w:rPr>
        <w:t>...........................21</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二、收入决算表</w:t>
      </w:r>
      <w:r>
        <w:rPr>
          <w:rFonts w:hint="eastAsia" w:ascii="楷体" w:hAnsi="楷体" w:eastAsia="楷体" w:cs="楷体"/>
          <w:color w:val="000000"/>
          <w:sz w:val="30"/>
          <w:szCs w:val="30"/>
          <w:lang w:val="en-US" w:eastAsia="zh-CN"/>
        </w:rPr>
        <w:t>.................................21</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rPr>
        <w:t>三、支出决算表</w:t>
      </w:r>
      <w:r>
        <w:rPr>
          <w:rFonts w:hint="eastAsia" w:ascii="楷体" w:hAnsi="楷体" w:eastAsia="楷体" w:cs="楷体"/>
          <w:color w:val="000000"/>
          <w:sz w:val="30"/>
          <w:szCs w:val="30"/>
          <w:lang w:val="en-US" w:eastAsia="zh-CN"/>
        </w:rPr>
        <w:t>.................................21</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四、财政拨款收入支出决算总表</w:t>
      </w:r>
      <w:r>
        <w:rPr>
          <w:rFonts w:hint="eastAsia" w:ascii="楷体" w:hAnsi="楷体" w:eastAsia="楷体" w:cs="楷体"/>
          <w:color w:val="000000"/>
          <w:sz w:val="30"/>
          <w:szCs w:val="30"/>
          <w:lang w:val="en-US" w:eastAsia="zh-CN"/>
        </w:rPr>
        <w:t>....................21</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五、财政拨款支出决算明细表</w:t>
      </w:r>
      <w:r>
        <w:rPr>
          <w:rFonts w:hint="eastAsia" w:ascii="楷体" w:hAnsi="楷体" w:eastAsia="楷体" w:cs="楷体"/>
          <w:color w:val="000000"/>
          <w:sz w:val="30"/>
          <w:szCs w:val="30"/>
          <w:lang w:val="en-US" w:eastAsia="zh-CN"/>
        </w:rPr>
        <w:t>......................21</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r>
        <w:rPr>
          <w:rFonts w:hint="eastAsia" w:ascii="楷体" w:hAnsi="楷体" w:eastAsia="楷体" w:cs="楷体"/>
          <w:color w:val="000000"/>
          <w:sz w:val="30"/>
          <w:szCs w:val="30"/>
          <w:lang w:val="en-US" w:eastAsia="zh-CN"/>
        </w:rPr>
        <w:t>.............21</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七、一般公共预算财政拨款支出决算明细表</w:t>
      </w:r>
      <w:r>
        <w:rPr>
          <w:rFonts w:hint="eastAsia" w:ascii="楷体" w:hAnsi="楷体" w:eastAsia="楷体" w:cs="楷体"/>
          <w:color w:val="000000"/>
          <w:sz w:val="30"/>
          <w:szCs w:val="30"/>
          <w:lang w:val="en-US" w:eastAsia="zh-CN"/>
        </w:rPr>
        <w:t>.........21</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八、一般公共预算财政拨款基本支出决算</w:t>
      </w:r>
      <w:r>
        <w:rPr>
          <w:rFonts w:hint="eastAsia" w:ascii="Times New Roman" w:hAnsi="Times New Roman" w:eastAsia="仿宋_GB2312" w:cs="仿宋_GB2312"/>
          <w:color w:val="auto"/>
          <w:sz w:val="32"/>
          <w:szCs w:val="32"/>
          <w:highlight w:val="none"/>
          <w:lang w:eastAsia="zh-CN"/>
        </w:rPr>
        <w:t>明细</w:t>
      </w:r>
      <w:r>
        <w:rPr>
          <w:rFonts w:hint="eastAsia" w:ascii="Times New Roman" w:hAnsi="Times New Roman" w:eastAsia="仿宋_GB2312" w:cs="仿宋_GB2312"/>
          <w:color w:val="auto"/>
          <w:sz w:val="32"/>
          <w:szCs w:val="32"/>
          <w:highlight w:val="none"/>
        </w:rPr>
        <w:t>表</w:t>
      </w:r>
      <w:r>
        <w:rPr>
          <w:rFonts w:hint="eastAsia" w:ascii="楷体" w:hAnsi="楷体" w:eastAsia="楷体" w:cs="楷体"/>
          <w:color w:val="000000"/>
          <w:sz w:val="30"/>
          <w:szCs w:val="30"/>
          <w:lang w:val="en-US" w:eastAsia="zh-CN"/>
        </w:rPr>
        <w:t>.....21</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仿宋_GB2312"/>
          <w:color w:val="auto"/>
          <w:sz w:val="32"/>
          <w:szCs w:val="32"/>
          <w:highlight w:val="none"/>
          <w:lang w:val="en-US" w:eastAsia="zh-CN"/>
        </w:rPr>
      </w:pPr>
      <w:r>
        <w:rPr>
          <w:rFonts w:hint="eastAsia" w:ascii="Times New Roman" w:hAnsi="Times New Roman" w:eastAsia="仿宋_GB2312" w:cs="仿宋_GB2312"/>
          <w:color w:val="auto"/>
          <w:sz w:val="32"/>
          <w:szCs w:val="32"/>
          <w:highlight w:val="none"/>
        </w:rPr>
        <w:t>九、一般公共预算财政拨款项目支出决算表</w:t>
      </w:r>
      <w:r>
        <w:rPr>
          <w:rFonts w:hint="eastAsia" w:ascii="楷体" w:hAnsi="楷体" w:eastAsia="楷体" w:cs="楷体"/>
          <w:color w:val="000000"/>
          <w:sz w:val="30"/>
          <w:szCs w:val="30"/>
          <w:lang w:val="en-US" w:eastAsia="zh-CN"/>
        </w:rPr>
        <w:t>.........21</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十、政府性基金预算财政拨款收入支出决算表</w:t>
      </w:r>
      <w:r>
        <w:rPr>
          <w:rFonts w:hint="eastAsia" w:ascii="楷体" w:hAnsi="楷体" w:eastAsia="楷体" w:cs="楷体"/>
          <w:color w:val="000000"/>
          <w:sz w:val="30"/>
          <w:szCs w:val="30"/>
          <w:lang w:val="en-US" w:eastAsia="zh-CN"/>
        </w:rPr>
        <w:t>.......21</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十一、国有资本经营预算财政拨款收入支出决算表</w:t>
      </w:r>
      <w:r>
        <w:rPr>
          <w:rFonts w:hint="eastAsia" w:ascii="楷体" w:hAnsi="楷体" w:eastAsia="楷体" w:cs="楷体"/>
          <w:color w:val="000000"/>
          <w:sz w:val="30"/>
          <w:szCs w:val="30"/>
          <w:lang w:val="en-US" w:eastAsia="zh-CN"/>
        </w:rPr>
        <w:t>...21</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十二、</w:t>
      </w:r>
      <w:r>
        <w:rPr>
          <w:rFonts w:hint="eastAsia" w:ascii="Times New Roman" w:hAnsi="Times New Roman" w:eastAsia="仿宋_GB2312" w:cs="仿宋_GB2312"/>
          <w:color w:val="auto"/>
          <w:sz w:val="32"/>
          <w:szCs w:val="32"/>
          <w:highlight w:val="none"/>
          <w:lang w:val="en-US" w:eastAsia="zh-CN"/>
        </w:rPr>
        <w:t>国有资本经营预算财政拨款支出决算表</w:t>
      </w:r>
      <w:r>
        <w:rPr>
          <w:rFonts w:hint="eastAsia" w:ascii="楷体" w:hAnsi="楷体" w:eastAsia="楷体" w:cs="楷体"/>
          <w:color w:val="000000"/>
          <w:sz w:val="30"/>
          <w:szCs w:val="30"/>
          <w:lang w:val="en-US" w:eastAsia="zh-CN"/>
        </w:rPr>
        <w:t>.......21</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十三、财政拨款“三公”经费支出决算表</w:t>
      </w:r>
      <w:r>
        <w:rPr>
          <w:rFonts w:hint="eastAsia" w:ascii="楷体" w:hAnsi="楷体" w:eastAsia="楷体" w:cs="楷体"/>
          <w:color w:val="000000"/>
          <w:sz w:val="30"/>
          <w:szCs w:val="30"/>
          <w:lang w:val="en-US" w:eastAsia="zh-CN"/>
        </w:rPr>
        <w:t>............21</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3" w:firstLineChars="200"/>
        <w:jc w:val="left"/>
        <w:textAlignment w:val="auto"/>
        <w:rPr>
          <w:rFonts w:hint="eastAsia" w:ascii="Times New Roman" w:hAnsi="Times New Roman" w:eastAsia="仿宋_GB2312" w:cs="仿宋_GB2312"/>
          <w:b/>
          <w:bCs/>
          <w:color w:val="auto"/>
          <w:sz w:val="32"/>
          <w:szCs w:val="32"/>
          <w:highlight w:val="none"/>
          <w:lang w:eastAsia="zh-CN"/>
        </w:rPr>
      </w:pPr>
    </w:p>
    <w:p>
      <w:pPr>
        <w:pStyle w:val="2"/>
        <w:jc w:val="center"/>
        <w:rPr>
          <w:rFonts w:hint="eastAsia" w:ascii="Times New Roman" w:hAnsi="Times New Roman" w:eastAsia="方正小标宋简体" w:cs="方正小标宋简体"/>
          <w:b w:val="0"/>
          <w:color w:val="auto"/>
          <w:highlight w:val="none"/>
        </w:rPr>
        <w:sectPr>
          <w:footerReference r:id="rId6" w:type="first"/>
          <w:footerReference r:id="rId5" w:type="default"/>
          <w:pgSz w:w="11906" w:h="16838"/>
          <w:pgMar w:top="1440" w:right="1800" w:bottom="1440" w:left="1800" w:header="851" w:footer="992" w:gutter="0"/>
          <w:pgNumType w:fmt="numberInDash" w:start="1"/>
          <w:cols w:space="425" w:num="1"/>
          <w:titlePg/>
          <w:docGrid w:type="lines" w:linePitch="312" w:charSpace="0"/>
        </w:sectPr>
      </w:pPr>
      <w:bookmarkStart w:id="12" w:name="_Toc15377196"/>
      <w:bookmarkStart w:id="13" w:name="_Toc15396599"/>
    </w:p>
    <w:p>
      <w:pPr>
        <w:pStyle w:val="2"/>
        <w:jc w:val="center"/>
        <w:rPr>
          <w:rStyle w:val="29"/>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29"/>
          <w:rFonts w:hint="eastAsia" w:ascii="Times New Roman" w:hAnsi="Times New Roman" w:eastAsia="方正小标宋简体" w:cs="方正小标宋简体"/>
          <w:b w:val="0"/>
          <w:bCs w:val="0"/>
          <w:color w:val="auto"/>
          <w:highlight w:val="none"/>
        </w:rPr>
        <w:t>部门概况</w:t>
      </w:r>
      <w:bookmarkEnd w:id="12"/>
      <w:bookmarkEnd w:id="13"/>
    </w:p>
    <w:p>
      <w:pPr>
        <w:widowControl/>
        <w:jc w:val="left"/>
        <w:rPr>
          <w:rFonts w:ascii="Times New Roman" w:hAnsi="Times New Roman" w:eastAsia="黑体"/>
          <w:color w:val="auto"/>
          <w:sz w:val="32"/>
          <w:szCs w:val="32"/>
          <w:highlight w:val="none"/>
        </w:rPr>
      </w:pPr>
    </w:p>
    <w:p>
      <w:pPr>
        <w:pStyle w:val="3"/>
        <w:numPr>
          <w:ilvl w:val="0"/>
          <w:numId w:val="1"/>
        </w:numPr>
        <w:rPr>
          <w:rFonts w:hint="eastAsia" w:ascii="仿宋_GB2312" w:hAnsi="仿宋" w:eastAsia="仿宋_GB2312"/>
          <w:sz w:val="32"/>
          <w:szCs w:val="32"/>
        </w:rPr>
      </w:pPr>
      <w:r>
        <w:rPr>
          <w:rFonts w:hint="eastAsia" w:ascii="Times New Roman" w:hAnsi="Times New Roman" w:eastAsia="黑体"/>
          <w:b w:val="0"/>
          <w:color w:val="auto"/>
          <w:highlight w:val="none"/>
          <w:lang w:eastAsia="zh-CN"/>
        </w:rPr>
        <w:t>部门职责</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560" w:lineRule="exact"/>
        <w:ind w:left="0" w:firstLine="640" w:firstLineChars="200"/>
        <w:jc w:val="both"/>
        <w:rPr>
          <w:rFonts w:hint="default" w:ascii="仿宋_GB2312" w:eastAsia="仿宋_GB2312" w:cs="仿宋_GB2312"/>
          <w:b w:val="0"/>
          <w:bCs w:val="0"/>
          <w:kern w:val="0"/>
          <w:sz w:val="32"/>
          <w:szCs w:val="32"/>
        </w:rPr>
      </w:pPr>
      <w:r>
        <w:rPr>
          <w:rFonts w:hint="default" w:ascii="仿宋_GB2312" w:eastAsia="仿宋_GB2312" w:cs="仿宋_GB2312"/>
          <w:b w:val="0"/>
          <w:bCs w:val="0"/>
          <w:kern w:val="0"/>
          <w:sz w:val="32"/>
          <w:szCs w:val="32"/>
        </w:rPr>
        <w:t>（</w:t>
      </w:r>
      <w:r>
        <w:rPr>
          <w:rFonts w:hint="eastAsia" w:ascii="仿宋_GB2312" w:eastAsia="仿宋_GB2312" w:cs="仿宋_GB2312"/>
          <w:b w:val="0"/>
          <w:bCs w:val="0"/>
          <w:kern w:val="0"/>
          <w:sz w:val="32"/>
          <w:szCs w:val="32"/>
          <w:lang w:val="en-US" w:eastAsia="zh-CN"/>
        </w:rPr>
        <w:t>一</w:t>
      </w:r>
      <w:r>
        <w:rPr>
          <w:rFonts w:hint="default" w:ascii="仿宋_GB2312" w:eastAsia="仿宋_GB2312" w:cs="仿宋_GB2312"/>
          <w:b w:val="0"/>
          <w:bCs w:val="0"/>
          <w:kern w:val="0"/>
          <w:sz w:val="32"/>
          <w:szCs w:val="32"/>
        </w:rPr>
        <w:t>）受县委、县政府的委托、代表县联动指挥中心行使应急指挥权利；</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560" w:lineRule="exact"/>
        <w:ind w:left="0" w:firstLine="640" w:firstLineChars="200"/>
        <w:jc w:val="both"/>
        <w:rPr>
          <w:rFonts w:hint="default" w:ascii="仿宋_GB2312" w:eastAsia="仿宋_GB2312" w:cs="仿宋_GB2312"/>
          <w:b w:val="0"/>
          <w:bCs w:val="0"/>
          <w:kern w:val="0"/>
          <w:sz w:val="32"/>
          <w:szCs w:val="32"/>
        </w:rPr>
      </w:pPr>
      <w:r>
        <w:rPr>
          <w:rFonts w:hint="default" w:ascii="仿宋_GB2312" w:eastAsia="仿宋_GB2312" w:cs="仿宋_GB2312"/>
          <w:b w:val="0"/>
          <w:bCs w:val="0"/>
          <w:kern w:val="0"/>
          <w:sz w:val="32"/>
          <w:szCs w:val="32"/>
        </w:rPr>
        <w:t>（</w:t>
      </w:r>
      <w:r>
        <w:rPr>
          <w:rFonts w:hint="eastAsia" w:ascii="仿宋_GB2312" w:eastAsia="仿宋_GB2312" w:cs="仿宋_GB2312"/>
          <w:b w:val="0"/>
          <w:bCs w:val="0"/>
          <w:kern w:val="0"/>
          <w:sz w:val="32"/>
          <w:szCs w:val="32"/>
          <w:lang w:val="en-US" w:eastAsia="zh-CN"/>
        </w:rPr>
        <w:t>二</w:t>
      </w:r>
      <w:r>
        <w:rPr>
          <w:rFonts w:hint="default" w:ascii="仿宋_GB2312" w:eastAsia="仿宋_GB2312" w:cs="仿宋_GB2312"/>
          <w:b w:val="0"/>
          <w:bCs w:val="0"/>
          <w:kern w:val="0"/>
          <w:sz w:val="32"/>
          <w:szCs w:val="32"/>
        </w:rPr>
        <w:t>）负责对中心入驻的六大中心工作人员的管理，负责对七大平台数据的收集和分析研判，并代表县委、政府和县联动指挥中心对重大事件和突发事件的应急指挥工作；</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560" w:lineRule="exact"/>
        <w:ind w:left="0" w:firstLine="640" w:firstLineChars="200"/>
        <w:jc w:val="both"/>
        <w:rPr>
          <w:rFonts w:hint="default" w:ascii="仿宋_GB2312" w:eastAsia="仿宋_GB2312" w:cs="仿宋_GB2312"/>
          <w:b w:val="0"/>
          <w:bCs w:val="0"/>
          <w:kern w:val="0"/>
          <w:sz w:val="32"/>
          <w:szCs w:val="32"/>
        </w:rPr>
      </w:pPr>
      <w:r>
        <w:rPr>
          <w:rFonts w:hint="default" w:ascii="仿宋_GB2312" w:eastAsia="仿宋_GB2312" w:cs="仿宋_GB2312"/>
          <w:b w:val="0"/>
          <w:bCs w:val="0"/>
          <w:kern w:val="0"/>
          <w:sz w:val="32"/>
          <w:szCs w:val="32"/>
        </w:rPr>
        <w:t>（</w:t>
      </w:r>
      <w:r>
        <w:rPr>
          <w:rFonts w:hint="eastAsia" w:ascii="仿宋_GB2312" w:eastAsia="仿宋_GB2312" w:cs="仿宋_GB2312"/>
          <w:b w:val="0"/>
          <w:bCs w:val="0"/>
          <w:kern w:val="0"/>
          <w:sz w:val="32"/>
          <w:szCs w:val="32"/>
          <w:lang w:val="en-US" w:eastAsia="zh-CN"/>
        </w:rPr>
        <w:t>三</w:t>
      </w:r>
      <w:r>
        <w:rPr>
          <w:rFonts w:hint="default" w:ascii="仿宋_GB2312" w:eastAsia="仿宋_GB2312" w:cs="仿宋_GB2312"/>
          <w:b w:val="0"/>
          <w:bCs w:val="0"/>
          <w:kern w:val="0"/>
          <w:sz w:val="32"/>
          <w:szCs w:val="32"/>
        </w:rPr>
        <w:t>）负责组织督促；落实县委、县政府和县联动指挥中心下达的指令或工作安排部署，根据工作的实际情况和需要，适时召开联动部门工作协调会，研究解决有关联动服务事宜和问题；</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560" w:lineRule="exact"/>
        <w:ind w:left="0" w:firstLine="640" w:firstLineChars="200"/>
        <w:jc w:val="both"/>
        <w:rPr>
          <w:rFonts w:hint="default" w:ascii="仿宋_GB2312" w:eastAsia="仿宋_GB2312" w:cs="仿宋_GB2312"/>
          <w:b w:val="0"/>
          <w:bCs w:val="0"/>
          <w:kern w:val="0"/>
          <w:sz w:val="32"/>
          <w:szCs w:val="32"/>
        </w:rPr>
      </w:pPr>
      <w:r>
        <w:rPr>
          <w:rFonts w:hint="default" w:ascii="仿宋_GB2312" w:eastAsia="仿宋_GB2312" w:cs="仿宋_GB2312"/>
          <w:b w:val="0"/>
          <w:bCs w:val="0"/>
          <w:kern w:val="0"/>
          <w:sz w:val="32"/>
          <w:szCs w:val="32"/>
        </w:rPr>
        <w:t>（</w:t>
      </w:r>
      <w:r>
        <w:rPr>
          <w:rFonts w:hint="eastAsia" w:ascii="仿宋_GB2312" w:eastAsia="仿宋_GB2312" w:cs="仿宋_GB2312"/>
          <w:b w:val="0"/>
          <w:bCs w:val="0"/>
          <w:kern w:val="0"/>
          <w:sz w:val="32"/>
          <w:szCs w:val="32"/>
          <w:lang w:val="en-US" w:eastAsia="zh-CN"/>
        </w:rPr>
        <w:t>四</w:t>
      </w:r>
      <w:r>
        <w:rPr>
          <w:rFonts w:hint="default" w:ascii="仿宋_GB2312" w:eastAsia="仿宋_GB2312" w:cs="仿宋_GB2312"/>
          <w:b w:val="0"/>
          <w:bCs w:val="0"/>
          <w:kern w:val="0"/>
          <w:sz w:val="32"/>
          <w:szCs w:val="32"/>
        </w:rPr>
        <w:t>）负责对重要信息的收集、报送工作，对全县应急处突、渉稳事件、安全生产急救、自然灾害等重大事件的协调工作，同时做好处置工作记录，并逐日归类汇总并备案；</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560" w:lineRule="exact"/>
        <w:ind w:left="0" w:firstLine="640" w:firstLineChars="200"/>
        <w:jc w:val="both"/>
        <w:rPr>
          <w:rFonts w:hint="default" w:ascii="仿宋_GB2312" w:eastAsia="仿宋_GB2312" w:cs="仿宋_GB2312"/>
          <w:b w:val="0"/>
          <w:bCs w:val="0"/>
          <w:kern w:val="0"/>
          <w:sz w:val="32"/>
          <w:szCs w:val="32"/>
        </w:rPr>
      </w:pPr>
      <w:r>
        <w:rPr>
          <w:rFonts w:hint="default" w:ascii="仿宋_GB2312" w:eastAsia="仿宋_GB2312" w:cs="仿宋_GB2312"/>
          <w:b w:val="0"/>
          <w:bCs w:val="0"/>
          <w:kern w:val="0"/>
          <w:sz w:val="32"/>
          <w:szCs w:val="32"/>
        </w:rPr>
        <w:t>（</w:t>
      </w:r>
      <w:r>
        <w:rPr>
          <w:rFonts w:hint="eastAsia" w:ascii="仿宋_GB2312" w:eastAsia="仿宋_GB2312" w:cs="仿宋_GB2312"/>
          <w:b w:val="0"/>
          <w:bCs w:val="0"/>
          <w:kern w:val="0"/>
          <w:sz w:val="32"/>
          <w:szCs w:val="32"/>
          <w:lang w:val="en-US" w:eastAsia="zh-CN"/>
        </w:rPr>
        <w:t>五</w:t>
      </w:r>
      <w:r>
        <w:rPr>
          <w:rFonts w:hint="default" w:ascii="仿宋_GB2312" w:eastAsia="仿宋_GB2312" w:cs="仿宋_GB2312"/>
          <w:b w:val="0"/>
          <w:bCs w:val="0"/>
          <w:kern w:val="0"/>
          <w:sz w:val="32"/>
          <w:szCs w:val="32"/>
        </w:rPr>
        <w:t>）负责组织、督促有关部门抓好民生服务工作，矛盾纠纷排查化解工作。开展调查研究，对重大情况和问题应及时进行分析研判，并向县政府提交研判报告；</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560" w:lineRule="exact"/>
        <w:ind w:left="0" w:firstLine="640" w:firstLineChars="200"/>
        <w:jc w:val="both"/>
        <w:rPr>
          <w:rFonts w:hint="default" w:ascii="仿宋_GB2312" w:eastAsia="仿宋_GB2312" w:cs="仿宋_GB2312"/>
          <w:b w:val="0"/>
          <w:bCs w:val="0"/>
          <w:kern w:val="0"/>
          <w:sz w:val="32"/>
          <w:szCs w:val="32"/>
        </w:rPr>
      </w:pPr>
      <w:r>
        <w:rPr>
          <w:rFonts w:hint="default" w:ascii="仿宋_GB2312" w:eastAsia="仿宋_GB2312" w:cs="仿宋_GB2312"/>
          <w:b w:val="0"/>
          <w:bCs w:val="0"/>
          <w:kern w:val="0"/>
          <w:sz w:val="32"/>
          <w:szCs w:val="32"/>
        </w:rPr>
        <w:t>（</w:t>
      </w:r>
      <w:r>
        <w:rPr>
          <w:rFonts w:hint="eastAsia" w:ascii="仿宋_GB2312" w:eastAsia="仿宋_GB2312" w:cs="仿宋_GB2312"/>
          <w:b w:val="0"/>
          <w:bCs w:val="0"/>
          <w:kern w:val="0"/>
          <w:sz w:val="32"/>
          <w:szCs w:val="32"/>
          <w:lang w:val="en-US" w:eastAsia="zh-CN"/>
        </w:rPr>
        <w:t>六</w:t>
      </w:r>
      <w:r>
        <w:rPr>
          <w:rFonts w:hint="default" w:ascii="仿宋_GB2312" w:eastAsia="仿宋_GB2312" w:cs="仿宋_GB2312"/>
          <w:b w:val="0"/>
          <w:bCs w:val="0"/>
          <w:kern w:val="0"/>
          <w:sz w:val="32"/>
          <w:szCs w:val="32"/>
        </w:rPr>
        <w:t>）负责建立健全联动指挥中心各项规章制度；</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560" w:lineRule="exact"/>
        <w:ind w:left="0" w:firstLine="640" w:firstLineChars="200"/>
        <w:jc w:val="both"/>
        <w:rPr>
          <w:rFonts w:hint="default" w:ascii="仿宋_GB2312" w:eastAsia="仿宋_GB2312" w:cs="仿宋_GB2312"/>
          <w:b w:val="0"/>
          <w:bCs w:val="0"/>
          <w:kern w:val="0"/>
          <w:sz w:val="32"/>
          <w:szCs w:val="32"/>
        </w:rPr>
      </w:pPr>
      <w:r>
        <w:rPr>
          <w:rFonts w:hint="default" w:ascii="仿宋_GB2312" w:eastAsia="仿宋_GB2312" w:cs="仿宋_GB2312"/>
          <w:b w:val="0"/>
          <w:bCs w:val="0"/>
          <w:kern w:val="0"/>
          <w:sz w:val="32"/>
          <w:szCs w:val="32"/>
        </w:rPr>
        <w:t>（</w:t>
      </w:r>
      <w:r>
        <w:rPr>
          <w:rFonts w:hint="eastAsia" w:ascii="仿宋_GB2312" w:eastAsia="仿宋_GB2312" w:cs="仿宋_GB2312"/>
          <w:b w:val="0"/>
          <w:bCs w:val="0"/>
          <w:kern w:val="0"/>
          <w:sz w:val="32"/>
          <w:szCs w:val="32"/>
          <w:lang w:val="en-US" w:eastAsia="zh-CN"/>
        </w:rPr>
        <w:t>七</w:t>
      </w:r>
      <w:r>
        <w:rPr>
          <w:rFonts w:hint="default" w:ascii="仿宋_GB2312" w:eastAsia="仿宋_GB2312" w:cs="仿宋_GB2312"/>
          <w:b w:val="0"/>
          <w:bCs w:val="0"/>
          <w:kern w:val="0"/>
          <w:sz w:val="32"/>
          <w:szCs w:val="32"/>
        </w:rPr>
        <w:t>）负责协助和管理县民族宗教局入驻人员开展寺庙网格化精准服务系统管理工作；负责协助和管理县公安局入驻人员做好联动指挥中心系统维护以及天网视频调度工作；负责协助和管理县矛盾纠纷“大调解”中心做好全县大调解工作和基层大调解指导工作；负责协助和管理其它入驻单位的工作人员开展相关工作。</w:t>
      </w:r>
    </w:p>
    <w:p>
      <w:pPr>
        <w:pStyle w:val="36"/>
        <w:keepNext w:val="0"/>
        <w:keepLines w:val="0"/>
        <w:pageBreakBefore w:val="0"/>
        <w:widowControl w:val="0"/>
        <w:suppressLineNumbers w:val="0"/>
        <w:kinsoku/>
        <w:wordWrap/>
        <w:overflowPunct/>
        <w:topLinePunct w:val="0"/>
        <w:autoSpaceDE w:val="0"/>
        <w:autoSpaceDN/>
        <w:bidi w:val="0"/>
        <w:adjustRightInd/>
        <w:spacing w:before="0" w:beforeAutospacing="0" w:line="560" w:lineRule="exact"/>
        <w:ind w:left="0" w:firstLine="640" w:firstLineChars="200"/>
        <w:jc w:val="both"/>
        <w:rPr>
          <w:rFonts w:hint="eastAsia" w:ascii="仿宋_GB2312" w:hAnsi="仿宋" w:eastAsia="仿宋_GB2312"/>
          <w:sz w:val="32"/>
          <w:szCs w:val="32"/>
        </w:rPr>
      </w:pPr>
      <w:r>
        <w:rPr>
          <w:rFonts w:hint="default" w:ascii="仿宋_GB2312" w:eastAsia="仿宋_GB2312" w:cs="仿宋_GB2312"/>
          <w:b w:val="0"/>
          <w:bCs w:val="0"/>
          <w:kern w:val="0"/>
          <w:sz w:val="32"/>
          <w:szCs w:val="32"/>
        </w:rPr>
        <w:t>（</w:t>
      </w:r>
      <w:r>
        <w:rPr>
          <w:rFonts w:hint="eastAsia" w:ascii="仿宋_GB2312" w:eastAsia="仿宋_GB2312" w:cs="仿宋_GB2312"/>
          <w:b w:val="0"/>
          <w:bCs w:val="0"/>
          <w:kern w:val="0"/>
          <w:sz w:val="32"/>
          <w:szCs w:val="32"/>
          <w:lang w:val="en-US" w:eastAsia="zh-CN"/>
        </w:rPr>
        <w:t>八</w:t>
      </w:r>
      <w:r>
        <w:rPr>
          <w:rFonts w:hint="default" w:ascii="仿宋_GB2312" w:eastAsia="仿宋_GB2312" w:cs="仿宋_GB2312"/>
          <w:b w:val="0"/>
          <w:bCs w:val="0"/>
          <w:kern w:val="0"/>
          <w:sz w:val="32"/>
          <w:szCs w:val="32"/>
        </w:rPr>
        <w:t>）负责做好县委、政府临时交办的各项工作任务。</w:t>
      </w:r>
    </w:p>
    <w:p>
      <w:pPr>
        <w:keepNext w:val="0"/>
        <w:keepLines w:val="0"/>
        <w:pageBreakBefore w:val="0"/>
        <w:kinsoku/>
        <w:wordWrap/>
        <w:overflowPunct/>
        <w:topLinePunct w:val="0"/>
        <w:autoSpaceDN/>
        <w:bidi w:val="0"/>
        <w:adjustRightInd/>
        <w:snapToGrid w:val="0"/>
        <w:spacing w:line="560" w:lineRule="exact"/>
        <w:ind w:firstLine="640" w:firstLineChars="200"/>
        <w:rPr>
          <w:rFonts w:hint="eastAsia" w:ascii="仿宋_GB2312" w:hAnsi="仿宋" w:eastAsia="仿宋_GB2312"/>
          <w:sz w:val="32"/>
          <w:szCs w:val="32"/>
        </w:rPr>
      </w:pPr>
      <w:r>
        <w:rPr>
          <w:rFonts w:hint="eastAsia" w:ascii="仿宋_GB2312" w:hAnsi="仿宋" w:eastAsia="仿宋_GB2312"/>
          <w:sz w:val="32"/>
          <w:szCs w:val="32"/>
        </w:rPr>
        <w:t>2．机构情况，包括当年变动情况及原因。</w:t>
      </w:r>
    </w:p>
    <w:p>
      <w:pPr>
        <w:pStyle w:val="5"/>
        <w:keepNext w:val="0"/>
        <w:keepLines w:val="0"/>
        <w:pageBreakBefore w:val="0"/>
        <w:kinsoku/>
        <w:wordWrap/>
        <w:overflowPunct/>
        <w:topLinePunct w:val="0"/>
        <w:autoSpaceDN/>
        <w:bidi w:val="0"/>
        <w:adjustRightInd/>
        <w:spacing w:line="560" w:lineRule="exact"/>
        <w:ind w:firstLine="640" w:firstLineChars="200"/>
        <w:rPr>
          <w:rFonts w:hint="eastAsia"/>
        </w:rPr>
      </w:pPr>
      <w:r>
        <w:rPr>
          <w:rFonts w:hint="default" w:ascii="仿宋_GB2312" w:eastAsia="仿宋_GB2312" w:cs="仿宋_GB2312"/>
          <w:kern w:val="0"/>
          <w:sz w:val="32"/>
          <w:szCs w:val="32"/>
        </w:rPr>
        <w:t>红原县</w:t>
      </w:r>
      <w:r>
        <w:rPr>
          <w:rFonts w:hint="eastAsia" w:ascii="仿宋_GB2312" w:eastAsia="仿宋_GB2312" w:cs="仿宋_GB2312"/>
          <w:kern w:val="0"/>
          <w:sz w:val="32"/>
          <w:szCs w:val="32"/>
          <w:lang w:eastAsia="zh-CN"/>
        </w:rPr>
        <w:t>委县政府</w:t>
      </w:r>
      <w:r>
        <w:rPr>
          <w:rFonts w:hint="default" w:ascii="仿宋_GB2312" w:eastAsia="仿宋_GB2312" w:cs="仿宋_GB2312"/>
          <w:kern w:val="0"/>
          <w:sz w:val="32"/>
          <w:szCs w:val="32"/>
        </w:rPr>
        <w:t>联动指挥中心</w:t>
      </w:r>
      <w:r>
        <w:rPr>
          <w:rFonts w:hint="eastAsia" w:ascii="仿宋_GB2312" w:eastAsia="仿宋_GB2312" w:cs="仿宋_GB2312"/>
          <w:kern w:val="0"/>
          <w:sz w:val="32"/>
          <w:szCs w:val="32"/>
          <w:lang w:eastAsia="zh-CN"/>
        </w:rPr>
        <w:t>为正科级事业单位，</w:t>
      </w:r>
      <w:r>
        <w:rPr>
          <w:rFonts w:hint="default" w:ascii="仿宋_GB2312" w:eastAsia="仿宋_GB2312" w:cs="仿宋_GB2312"/>
          <w:kern w:val="0"/>
          <w:sz w:val="32"/>
          <w:szCs w:val="32"/>
        </w:rPr>
        <w:t>事业编制</w:t>
      </w:r>
      <w:r>
        <w:rPr>
          <w:rFonts w:hint="eastAsia" w:cs="仿宋_GB2312"/>
          <w:kern w:val="0"/>
          <w:sz w:val="32"/>
          <w:szCs w:val="32"/>
          <w:lang w:val="en-US" w:eastAsia="zh-CN"/>
        </w:rPr>
        <w:t>9</w:t>
      </w:r>
      <w:r>
        <w:rPr>
          <w:rFonts w:hint="default" w:ascii="仿宋_GB2312" w:eastAsia="仿宋_GB2312" w:cs="仿宋_GB2312"/>
          <w:kern w:val="0"/>
          <w:sz w:val="32"/>
          <w:szCs w:val="32"/>
        </w:rPr>
        <w:t>名，其中：设主任1名(正科级)，副主任2名(副科级)；股级领导职数3名</w:t>
      </w:r>
      <w:r>
        <w:rPr>
          <w:rFonts w:hint="eastAsia" w:cs="仿宋_GB2312"/>
          <w:kern w:val="0"/>
          <w:sz w:val="32"/>
          <w:szCs w:val="32"/>
          <w:lang w:eastAsia="zh-CN"/>
        </w:rPr>
        <w:t>，</w:t>
      </w:r>
      <w:r>
        <w:rPr>
          <w:rFonts w:hint="eastAsia" w:ascii="仿宋_GB2312" w:eastAsia="仿宋_GB2312" w:cs="仿宋_GB2312"/>
          <w:kern w:val="0"/>
          <w:sz w:val="32"/>
          <w:szCs w:val="32"/>
          <w:lang w:val="en-US" w:eastAsia="zh-CN"/>
        </w:rPr>
        <w:t>事业工勤1名</w:t>
      </w:r>
      <w:r>
        <w:rPr>
          <w:rFonts w:hint="default" w:ascii="仿宋_GB2312" w:eastAsia="仿宋_GB2312" w:cs="仿宋_GB2312"/>
          <w:kern w:val="0"/>
          <w:sz w:val="32"/>
          <w:szCs w:val="32"/>
        </w:rPr>
        <w:t>。</w:t>
      </w:r>
    </w:p>
    <w:p>
      <w:pPr>
        <w:numPr>
          <w:ilvl w:val="0"/>
          <w:numId w:val="0"/>
        </w:numPr>
        <w:rPr>
          <w:rFonts w:hint="eastAsia"/>
          <w:lang w:eastAsia="zh-CN"/>
        </w:rPr>
      </w:pPr>
    </w:p>
    <w:p>
      <w:pPr>
        <w:pStyle w:val="3"/>
        <w:rPr>
          <w:rFonts w:hint="eastAsia" w:ascii="Times New Roman" w:hAnsi="Times New Roman" w:eastAsia="仿宋_GB2312" w:cs="仿宋_GB2312"/>
          <w:color w:val="auto"/>
          <w:sz w:val="32"/>
          <w:szCs w:val="32"/>
          <w:highlight w:val="none"/>
        </w:rPr>
      </w:pPr>
      <w:bookmarkStart w:id="14" w:name="_Toc15396601"/>
      <w:bookmarkStart w:id="15" w:name="_Toc15377200"/>
      <w:r>
        <w:rPr>
          <w:rFonts w:hint="eastAsia" w:ascii="Times New Roman" w:hAnsi="Times New Roman" w:eastAsia="黑体"/>
          <w:b w:val="0"/>
          <w:color w:val="auto"/>
          <w:highlight w:val="none"/>
        </w:rPr>
        <w:t>二、机</w:t>
      </w:r>
      <w:r>
        <w:rPr>
          <w:rStyle w:val="30"/>
          <w:rFonts w:hint="eastAsia" w:ascii="Times New Roman" w:hAnsi="Times New Roman" w:eastAsia="黑体"/>
          <w:b w:val="0"/>
          <w:bCs w:val="0"/>
          <w:color w:val="auto"/>
          <w:highlight w:val="none"/>
        </w:rPr>
        <w:t>构设置</w:t>
      </w:r>
      <w:bookmarkEnd w:id="14"/>
      <w:bookmarkEnd w:id="15"/>
    </w:p>
    <w:p>
      <w:pPr>
        <w:widowControl/>
        <w:ind w:firstLine="960" w:firstLineChars="300"/>
        <w:jc w:val="left"/>
        <w:rPr>
          <w:rFonts w:hint="eastAsia" w:ascii="仿宋_GB2312" w:eastAsia="仿宋_GB2312" w:cs="仿宋_GB2312"/>
          <w:kern w:val="0"/>
          <w:sz w:val="32"/>
          <w:szCs w:val="32"/>
          <w:lang w:val="en-US" w:eastAsia="zh-CN"/>
        </w:rPr>
      </w:pPr>
      <w:r>
        <w:rPr>
          <w:rFonts w:hint="default" w:ascii="仿宋_GB2312" w:eastAsia="仿宋_GB2312" w:cs="仿宋_GB2312"/>
          <w:kern w:val="0"/>
          <w:sz w:val="32"/>
          <w:szCs w:val="32"/>
        </w:rPr>
        <w:t>红原县</w:t>
      </w:r>
      <w:r>
        <w:rPr>
          <w:rFonts w:hint="eastAsia" w:ascii="仿宋_GB2312" w:eastAsia="仿宋_GB2312" w:cs="仿宋_GB2312"/>
          <w:kern w:val="0"/>
          <w:sz w:val="32"/>
          <w:szCs w:val="32"/>
          <w:lang w:eastAsia="zh-CN"/>
        </w:rPr>
        <w:t>委县政府</w:t>
      </w:r>
      <w:r>
        <w:rPr>
          <w:rFonts w:hint="default" w:ascii="仿宋_GB2312" w:eastAsia="仿宋_GB2312" w:cs="仿宋_GB2312"/>
          <w:kern w:val="0"/>
          <w:sz w:val="32"/>
          <w:szCs w:val="32"/>
        </w:rPr>
        <w:t>联动指挥中心</w:t>
      </w:r>
      <w:r>
        <w:rPr>
          <w:rFonts w:hint="eastAsia" w:ascii="仿宋_GB2312" w:eastAsia="仿宋_GB2312" w:cs="仿宋_GB2312"/>
          <w:kern w:val="0"/>
          <w:sz w:val="32"/>
          <w:szCs w:val="32"/>
          <w:lang w:eastAsia="zh-CN"/>
        </w:rPr>
        <w:t>为正科级事业单位，</w:t>
      </w:r>
      <w:r>
        <w:rPr>
          <w:rFonts w:hint="default" w:ascii="仿宋_GB2312" w:eastAsia="仿宋_GB2312" w:cs="仿宋_GB2312"/>
          <w:kern w:val="0"/>
          <w:sz w:val="32"/>
          <w:szCs w:val="32"/>
        </w:rPr>
        <w:t>事业编制</w:t>
      </w:r>
      <w:r>
        <w:rPr>
          <w:rFonts w:hint="eastAsia" w:ascii="仿宋_GB2312" w:eastAsia="仿宋_GB2312" w:cs="仿宋_GB2312"/>
          <w:kern w:val="0"/>
          <w:sz w:val="32"/>
          <w:szCs w:val="32"/>
          <w:lang w:val="en-US" w:eastAsia="zh-CN"/>
        </w:rPr>
        <w:t>9</w:t>
      </w:r>
      <w:r>
        <w:rPr>
          <w:rFonts w:hint="default" w:ascii="仿宋_GB2312" w:eastAsia="仿宋_GB2312" w:cs="仿宋_GB2312"/>
          <w:kern w:val="0"/>
          <w:sz w:val="32"/>
          <w:szCs w:val="32"/>
        </w:rPr>
        <w:t>名，其中：设主任1名(正科级)，副主任2名(副科级)；股级领导职数3名</w:t>
      </w:r>
      <w:r>
        <w:rPr>
          <w:rFonts w:hint="eastAsia" w:ascii="仿宋_GB2312" w:eastAsia="仿宋_GB2312" w:cs="仿宋_GB2312"/>
          <w:kern w:val="0"/>
          <w:sz w:val="32"/>
          <w:szCs w:val="32"/>
          <w:lang w:eastAsia="zh-CN"/>
        </w:rPr>
        <w:t>，</w:t>
      </w:r>
      <w:r>
        <w:rPr>
          <w:rFonts w:hint="eastAsia" w:ascii="仿宋_GB2312" w:eastAsia="仿宋_GB2312" w:cs="仿宋_GB2312"/>
          <w:kern w:val="0"/>
          <w:sz w:val="32"/>
          <w:szCs w:val="32"/>
          <w:lang w:val="en-US" w:eastAsia="zh-CN"/>
        </w:rPr>
        <w:t>事业工勤1名。</w:t>
      </w:r>
    </w:p>
    <w:p>
      <w:pPr>
        <w:widowControl/>
        <w:ind w:firstLine="960" w:firstLineChars="300"/>
        <w:jc w:val="left"/>
        <w:rPr>
          <w:rFonts w:ascii="Times New Roman" w:hAnsi="Times New Roman" w:eastAsia="仿宋"/>
          <w:color w:val="auto"/>
          <w:kern w:val="0"/>
          <w:sz w:val="32"/>
          <w:szCs w:val="32"/>
          <w:highlight w:val="none"/>
        </w:rPr>
      </w:pPr>
      <w:r>
        <w:rPr>
          <w:rFonts w:hint="eastAsia" w:ascii="仿宋_GB2312" w:hAnsi="宋体" w:eastAsia="仿宋_GB2312" w:cs="仿宋_GB2312"/>
          <w:kern w:val="0"/>
          <w:sz w:val="32"/>
          <w:szCs w:val="32"/>
          <w:lang w:eastAsia="zh-CN"/>
        </w:rPr>
        <w:t>联动指挥中心</w:t>
      </w:r>
      <w:r>
        <w:rPr>
          <w:rFonts w:hint="eastAsia" w:ascii="仿宋_GB2312" w:hAnsi="宋体" w:eastAsia="仿宋_GB2312" w:cs="仿宋_GB2312"/>
          <w:kern w:val="0"/>
          <w:sz w:val="32"/>
          <w:szCs w:val="32"/>
          <w:lang w:val="en-US" w:eastAsia="zh-CN"/>
        </w:rPr>
        <w:t>截止年末，实有在职人员共计</w:t>
      </w:r>
      <w:r>
        <w:rPr>
          <w:rFonts w:hint="eastAsia" w:ascii="仿宋_GB2312" w:eastAsia="仿宋_GB2312" w:cs="仿宋_GB2312"/>
          <w:kern w:val="0"/>
          <w:sz w:val="32"/>
          <w:szCs w:val="32"/>
          <w:lang w:val="en-US" w:eastAsia="zh-CN"/>
        </w:rPr>
        <w:t>9</w:t>
      </w:r>
      <w:r>
        <w:rPr>
          <w:rFonts w:hint="eastAsia" w:ascii="仿宋_GB2312" w:hAnsi="宋体" w:eastAsia="仿宋_GB2312" w:cs="仿宋_GB2312"/>
          <w:kern w:val="0"/>
          <w:sz w:val="32"/>
          <w:szCs w:val="32"/>
          <w:lang w:val="en-US" w:eastAsia="zh-CN"/>
        </w:rPr>
        <w:t>人。</w:t>
      </w:r>
      <w:r>
        <w:rPr>
          <w:rFonts w:ascii="Times New Roman" w:hAnsi="Times New Roman" w:eastAsia="仿宋"/>
          <w:color w:val="auto"/>
          <w:sz w:val="32"/>
          <w:szCs w:val="32"/>
          <w:highlight w:val="none"/>
        </w:rPr>
        <w:br w:type="page"/>
      </w:r>
    </w:p>
    <w:p>
      <w:pPr>
        <w:pStyle w:val="2"/>
        <w:jc w:val="center"/>
        <w:rPr>
          <w:rFonts w:hint="eastAsia" w:ascii="Times New Roman" w:hAnsi="Times New Roman" w:eastAsia="方正小标宋简体" w:cs="方正小标宋简体"/>
          <w:b w:val="0"/>
          <w:color w:val="auto"/>
          <w:highlight w:val="none"/>
        </w:rPr>
      </w:pPr>
      <w:bookmarkStart w:id="16" w:name="_Toc15396602"/>
      <w:bookmarkStart w:id="17" w:name="_Toc15377204"/>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ascii="Times New Roman" w:hAnsi="Times New Roman" w:eastAsia="方正小标宋简体" w:cs="方正小标宋简体"/>
          <w:b w:val="0"/>
          <w:color w:val="auto"/>
          <w:highlight w:val="none"/>
          <w:lang w:val="en-US" w:eastAsia="zh-CN"/>
        </w:rPr>
        <w:t>202</w:t>
      </w:r>
      <w:r>
        <w:rPr>
          <w:rFonts w:hint="eastAsia" w:eastAsia="方正小标宋简体" w:cs="方正小标宋简体"/>
          <w:b w:val="0"/>
          <w:color w:val="auto"/>
          <w:highlight w:val="none"/>
          <w:lang w:val="en-US" w:eastAsia="zh-CN"/>
        </w:rPr>
        <w:t>5</w:t>
      </w:r>
      <w:r>
        <w:rPr>
          <w:rFonts w:hint="eastAsia" w:ascii="Times New Roman" w:hAnsi="Times New Roman" w:eastAsia="方正小标宋简体" w:cs="方正小标宋简体"/>
          <w:b w:val="0"/>
          <w:color w:val="auto"/>
          <w:highlight w:val="none"/>
          <w:lang w:val="en-US" w:eastAsia="zh-CN"/>
        </w:rPr>
        <w:t>年度</w:t>
      </w:r>
      <w:r>
        <w:rPr>
          <w:rFonts w:hint="eastAsia" w:ascii="Times New Roman" w:hAnsi="Times New Roman" w:eastAsia="方正小标宋简体" w:cs="方正小标宋简体"/>
          <w:b w:val="0"/>
          <w:color w:val="auto"/>
          <w:highlight w:val="none"/>
        </w:rPr>
        <w:t>部门决算情况说明</w:t>
      </w:r>
      <w:bookmarkEnd w:id="16"/>
      <w:bookmarkEnd w:id="17"/>
    </w:p>
    <w:p>
      <w:pPr>
        <w:rPr>
          <w:rFonts w:ascii="Times New Roman" w:hAnsi="Times New Roman"/>
          <w:color w:val="auto"/>
          <w:highlight w:val="none"/>
        </w:rPr>
      </w:pPr>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0"/>
          <w:rFonts w:hint="eastAsia" w:ascii="Times New Roman" w:hAnsi="Times New Roman" w:eastAsia="黑体"/>
          <w:b w:val="0"/>
          <w:color w:val="auto"/>
          <w:highlight w:val="none"/>
        </w:rPr>
      </w:pPr>
      <w:bookmarkStart w:id="18" w:name="_Toc15396603"/>
      <w:bookmarkStart w:id="19" w:name="_Toc15377205"/>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30"/>
          <w:rFonts w:hint="eastAsia" w:ascii="Times New Roman" w:hAnsi="Times New Roman" w:eastAsia="黑体"/>
          <w:b w:val="0"/>
          <w:color w:val="auto"/>
          <w:highlight w:val="none"/>
        </w:rPr>
        <w:t>入支出决算总体情况说明</w:t>
      </w:r>
      <w:bookmarkEnd w:id="18"/>
      <w:bookmarkEnd w:id="19"/>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default" w:ascii="Times New Roman" w:hAnsi="Times New Roman" w:eastAsia="仿宋_GB2312" w:cs="仿宋_GB2312"/>
          <w:color w:val="auto"/>
          <w:sz w:val="32"/>
          <w:szCs w:val="32"/>
          <w:highlight w:val="none"/>
          <w:lang w:val="en-US" w:eastAsia="zh-CN"/>
        </w:rPr>
      </w:pPr>
      <w:r>
        <w:rPr>
          <w:rFonts w:hint="eastAsia" w:ascii="Times New Roman" w:hAnsi="Times New Roman" w:eastAsia="仿宋_GB2312" w:cs="仿宋_GB2312"/>
          <w:color w:val="auto"/>
          <w:sz w:val="32"/>
          <w:szCs w:val="32"/>
          <w:highlight w:val="none"/>
          <w:lang w:eastAsia="zh-CN"/>
        </w:rPr>
        <w:t>202</w:t>
      </w:r>
      <w:r>
        <w:rPr>
          <w:rFonts w:hint="eastAsia" w:eastAsia="仿宋_GB2312" w:cs="仿宋_GB2312"/>
          <w:color w:val="auto"/>
          <w:sz w:val="32"/>
          <w:szCs w:val="32"/>
          <w:highlight w:val="none"/>
          <w:lang w:val="en-US" w:eastAsia="zh-CN"/>
        </w:rPr>
        <w:t>5</w:t>
      </w:r>
      <w:r>
        <w:rPr>
          <w:rFonts w:hint="eastAsia" w:ascii="Times New Roman" w:hAnsi="Times New Roman" w:eastAsia="仿宋_GB2312" w:cs="仿宋_GB2312"/>
          <w:color w:val="auto"/>
          <w:sz w:val="32"/>
          <w:szCs w:val="32"/>
          <w:highlight w:val="none"/>
          <w:lang w:eastAsia="zh-CN"/>
        </w:rPr>
        <w:t>年度收入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ascii="仿宋_GB2312" w:hAnsi="仿宋_GB2312" w:eastAsia="仿宋_GB2312" w:cs="仿宋_GB2312"/>
          <w:sz w:val="32"/>
          <w:szCs w:val="32"/>
          <w:lang w:val="en-US" w:eastAsia="zh-CN"/>
        </w:rPr>
        <w:t>409.35</w:t>
      </w:r>
      <w:r>
        <w:rPr>
          <w:rFonts w:hint="eastAsia" w:ascii="Times New Roman" w:hAnsi="Times New Roman" w:eastAsia="仿宋_GB2312" w:cs="仿宋_GB2312"/>
          <w:color w:val="auto"/>
          <w:sz w:val="32"/>
          <w:szCs w:val="32"/>
          <w:highlight w:val="none"/>
        </w:rPr>
        <w:t>万元。与</w:t>
      </w:r>
      <w:r>
        <w:rPr>
          <w:rFonts w:hint="eastAsia" w:ascii="Times New Roman" w:hAnsi="Times New Roman" w:eastAsia="仿宋_GB2312" w:cs="仿宋_GB2312"/>
          <w:color w:val="auto"/>
          <w:sz w:val="32"/>
          <w:szCs w:val="32"/>
          <w:highlight w:val="none"/>
          <w:lang w:eastAsia="zh-CN"/>
        </w:rPr>
        <w:t>202</w:t>
      </w:r>
      <w:r>
        <w:rPr>
          <w:rFonts w:hint="eastAsia" w:eastAsia="仿宋_GB2312" w:cs="仿宋_GB2312"/>
          <w:color w:val="auto"/>
          <w:sz w:val="32"/>
          <w:szCs w:val="32"/>
          <w:highlight w:val="none"/>
          <w:lang w:val="en-US" w:eastAsia="zh-CN"/>
        </w:rPr>
        <w:t>4</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Times New Roman" w:hAnsi="Times New Roman" w:eastAsia="仿宋_GB2312" w:cs="仿宋_GB2312"/>
          <w:color w:val="auto"/>
          <w:sz w:val="32"/>
          <w:szCs w:val="32"/>
          <w:highlight w:val="none"/>
        </w:rPr>
        <w:t>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总计各增加</w:t>
      </w:r>
      <w:r>
        <w:rPr>
          <w:rFonts w:hint="eastAsia" w:eastAsia="仿宋_GB2312" w:cs="仿宋_GB2312"/>
          <w:color w:val="auto"/>
          <w:sz w:val="32"/>
          <w:szCs w:val="32"/>
          <w:highlight w:val="none"/>
          <w:lang w:val="en-US" w:eastAsia="zh-CN"/>
        </w:rPr>
        <w:t>63.13</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val="en-US" w:eastAsia="zh-CN"/>
        </w:rPr>
        <w:t>15</w:t>
      </w:r>
      <w:r>
        <w:rPr>
          <w:rFonts w:hint="eastAsia" w:ascii="Times New Roman" w:hAnsi="Times New Roman" w:eastAsia="仿宋_GB2312" w:cs="仿宋_GB2312"/>
          <w:color w:val="auto"/>
          <w:sz w:val="32"/>
          <w:szCs w:val="32"/>
          <w:highlight w:val="none"/>
        </w:rPr>
        <w:t>%。主要变动原因</w:t>
      </w:r>
      <w:r>
        <w:rPr>
          <w:rFonts w:hint="eastAsia" w:eastAsia="仿宋_GB2312" w:cs="仿宋_GB2312"/>
          <w:color w:val="auto"/>
          <w:sz w:val="32"/>
          <w:szCs w:val="32"/>
          <w:highlight w:val="none"/>
          <w:lang w:val="en-US" w:eastAsia="zh-CN"/>
        </w:rPr>
        <w:t>一</w:t>
      </w:r>
      <w:r>
        <w:rPr>
          <w:rFonts w:hint="eastAsia" w:ascii="Times New Roman" w:hAnsi="Times New Roman" w:eastAsia="仿宋_GB2312" w:cs="仿宋_GB2312"/>
          <w:color w:val="auto"/>
          <w:sz w:val="32"/>
          <w:szCs w:val="32"/>
          <w:highlight w:val="none"/>
        </w:rPr>
        <w:t>是</w:t>
      </w:r>
      <w:r>
        <w:rPr>
          <w:rFonts w:hint="eastAsia" w:eastAsia="仿宋_GB2312" w:cs="仿宋_GB2312"/>
          <w:color w:val="auto"/>
          <w:sz w:val="32"/>
          <w:szCs w:val="32"/>
          <w:highlight w:val="none"/>
          <w:lang w:val="en-US" w:eastAsia="zh-CN"/>
        </w:rPr>
        <w:t>人员增加；二是微网实格经费增加。</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lang w:eastAsia="zh-CN"/>
        </w:rPr>
        <w:drawing>
          <wp:anchor distT="0" distB="0" distL="114300" distR="114300" simplePos="0" relativeHeight="251659264" behindDoc="1" locked="0" layoutInCell="1" allowOverlap="1">
            <wp:simplePos x="0" y="0"/>
            <wp:positionH relativeFrom="column">
              <wp:posOffset>280035</wp:posOffset>
            </wp:positionH>
            <wp:positionV relativeFrom="paragraph">
              <wp:posOffset>369570</wp:posOffset>
            </wp:positionV>
            <wp:extent cx="5080000" cy="3810000"/>
            <wp:effectExtent l="4445" t="4445" r="20955" b="14605"/>
            <wp:wrapNone/>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pPr>
        <w:pStyle w:val="19"/>
        <w:rPr>
          <w:rFonts w:hint="eastAsia"/>
        </w:rPr>
      </w:pPr>
    </w:p>
    <w:p>
      <w:pPr>
        <w:pStyle w:val="19"/>
        <w:rPr>
          <w:rFonts w:hint="eastAsia" w:ascii="Times New Roman" w:hAnsi="Times New Roman" w:eastAsia="仿宋_GB2312" w:cs="仿宋_GB2312"/>
          <w:color w:val="auto"/>
          <w:sz w:val="32"/>
          <w:szCs w:val="32"/>
          <w:highlight w:val="none"/>
          <w:lang w:eastAsia="zh-CN"/>
        </w:rPr>
      </w:pPr>
    </w:p>
    <w:p>
      <w:pPr>
        <w:pStyle w:val="19"/>
        <w:rPr>
          <w:rFonts w:hint="eastAsia" w:ascii="Times New Roman" w:hAnsi="Times New Roman" w:eastAsia="仿宋_GB2312" w:cs="仿宋_GB2312"/>
          <w:color w:val="auto"/>
          <w:sz w:val="32"/>
          <w:szCs w:val="32"/>
          <w:highlight w:val="none"/>
        </w:rPr>
      </w:pPr>
    </w:p>
    <w:p>
      <w:pPr>
        <w:pStyle w:val="19"/>
        <w:rPr>
          <w:rFonts w:hint="eastAsia" w:ascii="Times New Roman" w:hAnsi="Times New Roman" w:eastAsia="仿宋_GB2312" w:cs="仿宋_GB2312"/>
          <w:color w:val="auto"/>
          <w:sz w:val="32"/>
          <w:szCs w:val="32"/>
          <w:highlight w:val="none"/>
        </w:rPr>
      </w:pPr>
    </w:p>
    <w:p>
      <w:pPr>
        <w:pStyle w:val="19"/>
        <w:rPr>
          <w:rFonts w:hint="eastAsia" w:ascii="Times New Roman" w:hAnsi="Times New Roman" w:eastAsia="仿宋_GB2312" w:cs="仿宋_GB2312"/>
          <w:color w:val="auto"/>
          <w:sz w:val="32"/>
          <w:szCs w:val="32"/>
          <w:highlight w:val="none"/>
        </w:rPr>
      </w:pPr>
    </w:p>
    <w:p>
      <w:pPr>
        <w:pStyle w:val="19"/>
        <w:rPr>
          <w:rFonts w:hint="eastAsia" w:ascii="Times New Roman" w:hAnsi="Times New Roman" w:eastAsia="仿宋_GB2312" w:cs="仿宋_GB2312"/>
          <w:color w:val="auto"/>
          <w:sz w:val="32"/>
          <w:szCs w:val="32"/>
          <w:highlight w:val="none"/>
        </w:rPr>
      </w:pPr>
    </w:p>
    <w:p>
      <w:pPr>
        <w:pStyle w:val="19"/>
        <w:rPr>
          <w:rFonts w:hint="eastAsia" w:ascii="Times New Roman" w:hAnsi="Times New Roman" w:eastAsia="仿宋_GB2312" w:cs="仿宋_GB2312"/>
          <w:color w:val="auto"/>
          <w:sz w:val="32"/>
          <w:szCs w:val="32"/>
          <w:highlight w:val="none"/>
        </w:rPr>
      </w:pPr>
    </w:p>
    <w:p>
      <w:pPr>
        <w:pStyle w:val="19"/>
        <w:rPr>
          <w:rFonts w:hint="eastAsia" w:ascii="Times New Roman" w:hAnsi="Times New Roman" w:eastAsia="仿宋_GB2312" w:cs="仿宋_GB2312"/>
          <w:color w:val="auto"/>
          <w:sz w:val="32"/>
          <w:szCs w:val="32"/>
          <w:highlight w:val="none"/>
        </w:rPr>
      </w:pPr>
    </w:p>
    <w:p>
      <w:pPr>
        <w:pStyle w:val="19"/>
        <w:rPr>
          <w:rFonts w:hint="eastAsia" w:ascii="Times New Roman" w:hAnsi="Times New Roman" w:eastAsia="仿宋_GB2312" w:cs="仿宋_GB2312"/>
          <w:color w:val="auto"/>
          <w:sz w:val="32"/>
          <w:szCs w:val="32"/>
          <w:highlight w:val="none"/>
        </w:rPr>
      </w:pPr>
    </w:p>
    <w:p>
      <w:pPr>
        <w:pStyle w:val="19"/>
        <w:rPr>
          <w:rFonts w:hint="eastAsia" w:ascii="Times New Roman" w:hAnsi="Times New Roman" w:eastAsia="仿宋_GB2312" w:cs="仿宋_GB2312"/>
          <w:color w:val="auto"/>
          <w:sz w:val="32"/>
          <w:szCs w:val="32"/>
          <w:highlight w:val="none"/>
        </w:rPr>
      </w:pPr>
    </w:p>
    <w:p>
      <w:pPr>
        <w:pStyle w:val="19"/>
        <w:rPr>
          <w:rFonts w:hint="eastAsia" w:ascii="Times New Roman" w:hAnsi="Times New Roman" w:eastAsia="仿宋_GB2312" w:cs="仿宋_GB2312"/>
          <w:color w:val="auto"/>
          <w:sz w:val="32"/>
          <w:szCs w:val="32"/>
          <w:highlight w:val="none"/>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20" w:name="_Toc15396604"/>
      <w:bookmarkStart w:id="21" w:name="_Toc15377206"/>
      <w:r>
        <w:rPr>
          <w:rFonts w:hint="eastAsia" w:ascii="Times New Roman" w:hAnsi="Times New Roman" w:eastAsia="黑体"/>
          <w:color w:val="auto"/>
          <w:sz w:val="32"/>
          <w:szCs w:val="32"/>
          <w:highlight w:val="none"/>
          <w:lang w:eastAsia="zh-CN"/>
        </w:rPr>
        <w:t>二、收入决算情况说明</w:t>
      </w:r>
      <w:bookmarkEnd w:id="20"/>
      <w:bookmarkEnd w:id="21"/>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202</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lang w:eastAsia="zh-CN"/>
        </w:rPr>
        <w:t>年度本年收入合计</w:t>
      </w:r>
      <w:r>
        <w:rPr>
          <w:rFonts w:hint="eastAsia" w:ascii="仿宋_GB2312" w:hAnsi="仿宋_GB2312" w:eastAsia="仿宋_GB2312" w:cs="仿宋_GB2312"/>
          <w:sz w:val="32"/>
          <w:szCs w:val="32"/>
          <w:lang w:val="en-US" w:eastAsia="zh-CN"/>
        </w:rPr>
        <w:t>409.35</w:t>
      </w:r>
      <w:r>
        <w:rPr>
          <w:rFonts w:hint="eastAsia" w:ascii="仿宋_GB2312" w:hAnsi="仿宋_GB2312" w:eastAsia="仿宋_GB2312" w:cs="仿宋_GB2312"/>
          <w:sz w:val="32"/>
          <w:szCs w:val="32"/>
        </w:rPr>
        <w:t>万元，其中：一般公共预算财政拨款收入</w:t>
      </w:r>
      <w:r>
        <w:rPr>
          <w:rFonts w:hint="eastAsia" w:ascii="仿宋_GB2312" w:hAnsi="仿宋_GB2312" w:eastAsia="仿宋_GB2312" w:cs="仿宋_GB2312"/>
          <w:sz w:val="32"/>
          <w:szCs w:val="32"/>
          <w:lang w:val="en-US" w:eastAsia="zh-CN"/>
        </w:rPr>
        <w:t>409.35</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100</w:t>
      </w:r>
      <w:r>
        <w:rPr>
          <w:rFonts w:hint="eastAsia" w:ascii="仿宋_GB2312" w:hAnsi="仿宋_GB2312"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%；国有资本经营预算财政拨款收入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%；上级补助收入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%；事业收入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%；经营收入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%；附属单位上缴收入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w:t>
      </w:r>
    </w:p>
    <w:p>
      <w:pPr>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drawing>
          <wp:anchor distT="0" distB="0" distL="114300" distR="114300" simplePos="0" relativeHeight="251660288" behindDoc="1" locked="0" layoutInCell="1" allowOverlap="1">
            <wp:simplePos x="0" y="0"/>
            <wp:positionH relativeFrom="column">
              <wp:posOffset>184150</wp:posOffset>
            </wp:positionH>
            <wp:positionV relativeFrom="paragraph">
              <wp:posOffset>104775</wp:posOffset>
            </wp:positionV>
            <wp:extent cx="5080000" cy="3810000"/>
            <wp:effectExtent l="4445" t="4445" r="20955" b="14605"/>
            <wp:wrapTight wrapText="bothSides">
              <wp:wrapPolygon>
                <wp:start x="-19" y="-25"/>
                <wp:lineTo x="-19" y="21575"/>
                <wp:lineTo x="21527" y="21575"/>
                <wp:lineTo x="21527" y="-25"/>
                <wp:lineTo x="-19" y="-25"/>
              </wp:wrapPolygon>
            </wp:wrapTight>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0"/>
          <w:rFonts w:hint="eastAsia" w:ascii="Times New Roman" w:hAnsi="Times New Roman" w:eastAsia="黑体"/>
          <w:b w:val="0"/>
          <w:color w:val="auto"/>
          <w:highlight w:val="none"/>
        </w:rPr>
      </w:pPr>
      <w:bookmarkStart w:id="22" w:name="_Toc15396605"/>
      <w:bookmarkStart w:id="23" w:name="_Toc15377207"/>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30"/>
          <w:rFonts w:hint="eastAsia" w:ascii="Times New Roman" w:hAnsi="Times New Roman" w:eastAsia="黑体"/>
          <w:b w:val="0"/>
          <w:color w:val="auto"/>
          <w:highlight w:val="none"/>
        </w:rPr>
        <w:t>出决算情况说明</w:t>
      </w:r>
      <w:bookmarkEnd w:id="22"/>
      <w:bookmarkEnd w:id="23"/>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202</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lang w:eastAsia="zh-CN"/>
        </w:rPr>
        <w:t>年度本年支出合计</w:t>
      </w:r>
      <w:r>
        <w:rPr>
          <w:rFonts w:hint="eastAsia" w:ascii="仿宋_GB2312" w:hAnsi="仿宋_GB2312" w:eastAsia="仿宋_GB2312" w:cs="仿宋_GB2312"/>
          <w:sz w:val="32"/>
          <w:szCs w:val="32"/>
          <w:lang w:val="en-US" w:eastAsia="zh-CN"/>
        </w:rPr>
        <w:t>409.35</w:t>
      </w:r>
      <w:r>
        <w:rPr>
          <w:rFonts w:hint="eastAsia" w:ascii="仿宋_GB2312" w:hAnsi="仿宋_GB2312" w:eastAsia="仿宋_GB2312" w:cs="仿宋_GB2312"/>
          <w:color w:val="auto"/>
          <w:sz w:val="32"/>
          <w:szCs w:val="32"/>
          <w:highlight w:val="none"/>
          <w:lang w:eastAsia="zh-CN"/>
        </w:rPr>
        <w:t>万元，其中：基本支出</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sz w:val="32"/>
          <w:szCs w:val="32"/>
          <w:lang w:val="en-US" w:eastAsia="zh-CN"/>
        </w:rPr>
        <w:t>23.65</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lang w:val="en-US" w:eastAsia="zh-CN"/>
        </w:rPr>
        <w:t>54.64</w:t>
      </w:r>
      <w:r>
        <w:rPr>
          <w:rFonts w:hint="eastAsia" w:ascii="仿宋_GB2312" w:hAnsi="仿宋_GB2312"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lang w:val="en-US" w:eastAsia="zh-CN"/>
        </w:rPr>
        <w:t>185.7</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lang w:val="en-US" w:eastAsia="zh-CN"/>
        </w:rPr>
        <w:t>45.36</w:t>
      </w:r>
      <w:r>
        <w:rPr>
          <w:rFonts w:hint="eastAsia" w:ascii="仿宋_GB2312" w:hAnsi="仿宋_GB2312" w:eastAsia="仿宋_GB2312" w:cs="仿宋_GB2312"/>
          <w:color w:val="auto"/>
          <w:sz w:val="32"/>
          <w:szCs w:val="32"/>
          <w:highlight w:val="none"/>
          <w:lang w:eastAsia="zh-CN"/>
        </w:rPr>
        <w:t>%；上缴上级支出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%；经营支出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%；对附属单位补助支出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w:t>
      </w:r>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cs="仿宋_GB2312"/>
          <w:color w:val="auto"/>
          <w:sz w:val="32"/>
          <w:szCs w:val="32"/>
          <w:highlight w:val="none"/>
          <w:lang w:eastAsia="zh-CN"/>
        </w:rPr>
      </w:pPr>
    </w:p>
    <w:p>
      <w:pPr>
        <w:ind w:firstLine="800" w:firstLineChars="250"/>
        <w:rPr>
          <w:rFonts w:hint="eastAsia" w:ascii="Times New Roman" w:hAnsi="Times New Roman" w:eastAsia="仿宋_GB2312" w:cs="仿宋_GB2312"/>
          <w:color w:val="auto"/>
          <w:sz w:val="32"/>
          <w:szCs w:val="32"/>
          <w:highlight w:val="none"/>
          <w:lang w:eastAsia="zh-CN"/>
        </w:rPr>
      </w:pPr>
    </w:p>
    <w:p>
      <w:pPr>
        <w:ind w:firstLine="800" w:firstLineChars="250"/>
        <w:rPr>
          <w:rFonts w:hint="eastAsia" w:ascii="Times New Roman" w:hAnsi="Times New Roman" w:eastAsia="仿宋_GB2312" w:cs="仿宋_GB2312"/>
          <w:color w:val="auto"/>
          <w:sz w:val="32"/>
          <w:szCs w:val="32"/>
          <w:highlight w:val="none"/>
          <w:lang w:eastAsia="zh-CN"/>
        </w:rPr>
      </w:pPr>
    </w:p>
    <w:p>
      <w:pPr>
        <w:spacing w:line="600" w:lineRule="exact"/>
        <w:ind w:firstLine="640" w:firstLineChars="200"/>
        <w:outlineLvl w:val="1"/>
        <w:rPr>
          <w:rFonts w:hint="eastAsia" w:ascii="Times New Roman" w:hAnsi="Times New Roman" w:eastAsia="黑体"/>
          <w:color w:val="auto"/>
          <w:sz w:val="32"/>
          <w:szCs w:val="32"/>
          <w:highlight w:val="none"/>
          <w:lang w:eastAsia="zh-CN"/>
        </w:rPr>
      </w:pPr>
      <w:bookmarkStart w:id="24" w:name="_Toc15396606"/>
      <w:bookmarkStart w:id="25" w:name="_Toc15377208"/>
      <w:r>
        <w:rPr>
          <w:rFonts w:hint="eastAsia" w:ascii="Times New Roman" w:hAnsi="Times New Roman" w:eastAsia="黑体"/>
          <w:color w:val="auto"/>
          <w:sz w:val="32"/>
          <w:szCs w:val="32"/>
          <w:highlight w:val="none"/>
          <w:lang w:eastAsia="zh-CN"/>
        </w:rPr>
        <w:drawing>
          <wp:anchor distT="0" distB="0" distL="114300" distR="114300" simplePos="0" relativeHeight="251661312" behindDoc="1" locked="0" layoutInCell="1" allowOverlap="1">
            <wp:simplePos x="0" y="0"/>
            <wp:positionH relativeFrom="column">
              <wp:posOffset>232410</wp:posOffset>
            </wp:positionH>
            <wp:positionV relativeFrom="paragraph">
              <wp:posOffset>-19050</wp:posOffset>
            </wp:positionV>
            <wp:extent cx="5080000" cy="3810000"/>
            <wp:effectExtent l="4445" t="4445" r="20955" b="14605"/>
            <wp:wrapNone/>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pPr>
        <w:spacing w:line="600" w:lineRule="exact"/>
        <w:ind w:firstLine="640" w:firstLineChars="200"/>
        <w:outlineLvl w:val="1"/>
        <w:rPr>
          <w:rFonts w:hint="eastAsia" w:ascii="Times New Roman" w:hAnsi="Times New Roman" w:eastAsia="黑体"/>
          <w:color w:val="auto"/>
          <w:sz w:val="32"/>
          <w:szCs w:val="32"/>
          <w:highlight w:val="none"/>
        </w:rPr>
      </w:pPr>
    </w:p>
    <w:p>
      <w:pPr>
        <w:spacing w:line="600" w:lineRule="exact"/>
        <w:ind w:firstLine="640" w:firstLineChars="200"/>
        <w:outlineLvl w:val="1"/>
        <w:rPr>
          <w:rFonts w:hint="eastAsia" w:ascii="Times New Roman" w:hAnsi="Times New Roman" w:eastAsia="黑体"/>
          <w:color w:val="auto"/>
          <w:sz w:val="32"/>
          <w:szCs w:val="32"/>
          <w:highlight w:val="none"/>
        </w:rPr>
      </w:pPr>
    </w:p>
    <w:p>
      <w:pPr>
        <w:spacing w:line="600" w:lineRule="exact"/>
        <w:ind w:firstLine="640" w:firstLineChars="200"/>
        <w:outlineLvl w:val="1"/>
        <w:rPr>
          <w:rFonts w:hint="eastAsia" w:ascii="Times New Roman" w:hAnsi="Times New Roman" w:eastAsia="黑体"/>
          <w:color w:val="auto"/>
          <w:sz w:val="32"/>
          <w:szCs w:val="32"/>
          <w:highlight w:val="none"/>
        </w:rPr>
      </w:pPr>
    </w:p>
    <w:p>
      <w:pPr>
        <w:spacing w:line="600" w:lineRule="exact"/>
        <w:ind w:firstLine="640" w:firstLineChars="200"/>
        <w:outlineLvl w:val="1"/>
        <w:rPr>
          <w:rFonts w:hint="eastAsia" w:ascii="Times New Roman" w:hAnsi="Times New Roman" w:eastAsia="黑体"/>
          <w:color w:val="auto"/>
          <w:sz w:val="32"/>
          <w:szCs w:val="32"/>
          <w:highlight w:val="none"/>
        </w:rPr>
      </w:pPr>
    </w:p>
    <w:p>
      <w:pPr>
        <w:spacing w:line="600" w:lineRule="exact"/>
        <w:ind w:firstLine="640" w:firstLineChars="200"/>
        <w:outlineLvl w:val="1"/>
        <w:rPr>
          <w:rFonts w:hint="eastAsia" w:ascii="Times New Roman" w:hAnsi="Times New Roman" w:eastAsia="黑体"/>
          <w:color w:val="auto"/>
          <w:sz w:val="32"/>
          <w:szCs w:val="32"/>
          <w:highlight w:val="none"/>
        </w:rPr>
      </w:pPr>
    </w:p>
    <w:p>
      <w:pPr>
        <w:spacing w:line="600" w:lineRule="exact"/>
        <w:ind w:firstLine="640" w:firstLineChars="200"/>
        <w:outlineLvl w:val="1"/>
        <w:rPr>
          <w:rFonts w:hint="eastAsia" w:ascii="Times New Roman" w:hAnsi="Times New Roman" w:eastAsia="黑体"/>
          <w:color w:val="auto"/>
          <w:sz w:val="32"/>
          <w:szCs w:val="32"/>
          <w:highlight w:val="none"/>
        </w:rPr>
      </w:pPr>
    </w:p>
    <w:p>
      <w:pPr>
        <w:spacing w:line="600" w:lineRule="exact"/>
        <w:ind w:firstLine="640" w:firstLineChars="200"/>
        <w:outlineLvl w:val="1"/>
        <w:rPr>
          <w:rFonts w:hint="eastAsia" w:ascii="Times New Roman" w:hAnsi="Times New Roman" w:eastAsia="黑体"/>
          <w:color w:val="auto"/>
          <w:sz w:val="32"/>
          <w:szCs w:val="32"/>
          <w:highlight w:val="none"/>
        </w:rPr>
      </w:pPr>
    </w:p>
    <w:p>
      <w:pPr>
        <w:spacing w:line="600" w:lineRule="exact"/>
        <w:ind w:firstLine="640" w:firstLineChars="200"/>
        <w:outlineLvl w:val="1"/>
        <w:rPr>
          <w:rFonts w:hint="eastAsia" w:ascii="Times New Roman" w:hAnsi="Times New Roman" w:eastAsia="黑体"/>
          <w:color w:val="auto"/>
          <w:sz w:val="32"/>
          <w:szCs w:val="32"/>
          <w:highlight w:val="none"/>
        </w:rPr>
      </w:pPr>
    </w:p>
    <w:p>
      <w:pPr>
        <w:spacing w:line="600" w:lineRule="exact"/>
        <w:ind w:firstLine="640" w:firstLineChars="200"/>
        <w:outlineLvl w:val="1"/>
        <w:rPr>
          <w:rFonts w:hint="eastAsia" w:ascii="Times New Roman" w:hAnsi="Times New Roman" w:eastAsia="黑体"/>
          <w:color w:val="auto"/>
          <w:sz w:val="32"/>
          <w:szCs w:val="32"/>
          <w:highlight w:val="none"/>
        </w:rPr>
      </w:pPr>
    </w:p>
    <w:p>
      <w:pPr>
        <w:spacing w:line="600" w:lineRule="exact"/>
        <w:ind w:firstLine="640" w:firstLineChars="200"/>
        <w:outlineLvl w:val="1"/>
        <w:rPr>
          <w:rStyle w:val="30"/>
          <w:rFonts w:ascii="Times New Roman" w:hAnsi="Times New Roman" w:eastAsia="黑体"/>
          <w:b w:val="0"/>
          <w:color w:val="auto"/>
          <w:highlight w:val="none"/>
        </w:rPr>
      </w:pPr>
      <w:r>
        <w:rPr>
          <w:rFonts w:hint="eastAsia" w:ascii="Times New Roman" w:hAnsi="Times New Roman" w:eastAsia="黑体"/>
          <w:color w:val="auto"/>
          <w:sz w:val="32"/>
          <w:szCs w:val="32"/>
          <w:highlight w:val="none"/>
        </w:rPr>
        <w:t>四、财</w:t>
      </w:r>
      <w:r>
        <w:rPr>
          <w:rStyle w:val="30"/>
          <w:rFonts w:hint="eastAsia" w:ascii="Times New Roman" w:hAnsi="Times New Roman" w:eastAsia="黑体"/>
          <w:b w:val="0"/>
          <w:color w:val="auto"/>
          <w:highlight w:val="none"/>
        </w:rPr>
        <w:t>政拨款收入支出决算总体情况说明</w:t>
      </w:r>
      <w:bookmarkEnd w:id="24"/>
      <w:bookmarkEnd w:id="25"/>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年度财政拨款收入、支出总计均为</w:t>
      </w:r>
      <w:r>
        <w:rPr>
          <w:rFonts w:hint="eastAsia" w:ascii="仿宋_GB2312" w:hAnsi="仿宋_GB2312" w:eastAsia="仿宋_GB2312" w:cs="仿宋_GB2312"/>
          <w:sz w:val="32"/>
          <w:szCs w:val="32"/>
          <w:lang w:val="en-US" w:eastAsia="zh-CN"/>
        </w:rPr>
        <w:t>409.35</w:t>
      </w:r>
      <w:r>
        <w:rPr>
          <w:rFonts w:hint="eastAsia" w:ascii="Times New Roman" w:hAnsi="Times New Roman" w:eastAsia="仿宋_GB2312" w:cs="仿宋_GB2312"/>
          <w:color w:val="auto"/>
          <w:kern w:val="2"/>
          <w:sz w:val="32"/>
          <w:szCs w:val="32"/>
          <w:highlight w:val="none"/>
          <w:lang w:val="en-US" w:eastAsia="zh-CN" w:bidi="ar-SA"/>
        </w:rPr>
        <w:t>万元。与202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年度相比，财政拨款收入总计、支出总计各增加</w:t>
      </w:r>
      <w:r>
        <w:rPr>
          <w:rFonts w:hint="eastAsia" w:eastAsia="仿宋_GB2312" w:cs="仿宋_GB2312"/>
          <w:color w:val="auto"/>
          <w:sz w:val="32"/>
          <w:szCs w:val="32"/>
          <w:highlight w:val="none"/>
          <w:lang w:val="en-US" w:eastAsia="zh-CN"/>
        </w:rPr>
        <w:t>63.13</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val="en-US" w:eastAsia="zh-CN"/>
        </w:rPr>
        <w:t>15</w:t>
      </w:r>
      <w:r>
        <w:rPr>
          <w:rFonts w:hint="eastAsia" w:ascii="Times New Roman" w:hAnsi="Times New Roman" w:eastAsia="仿宋_GB2312" w:cs="仿宋_GB2312"/>
          <w:color w:val="auto"/>
          <w:sz w:val="32"/>
          <w:szCs w:val="32"/>
          <w:highlight w:val="none"/>
        </w:rPr>
        <w:t>%。主要变动原因</w:t>
      </w:r>
      <w:r>
        <w:rPr>
          <w:rFonts w:hint="eastAsia" w:eastAsia="仿宋_GB2312" w:cs="仿宋_GB2312"/>
          <w:color w:val="auto"/>
          <w:sz w:val="32"/>
          <w:szCs w:val="32"/>
          <w:highlight w:val="none"/>
          <w:lang w:val="en-US" w:eastAsia="zh-CN"/>
        </w:rPr>
        <w:t>一</w:t>
      </w:r>
      <w:r>
        <w:rPr>
          <w:rFonts w:hint="eastAsia" w:ascii="Times New Roman" w:hAnsi="Times New Roman" w:eastAsia="仿宋_GB2312" w:cs="仿宋_GB2312"/>
          <w:color w:val="auto"/>
          <w:sz w:val="32"/>
          <w:szCs w:val="32"/>
          <w:highlight w:val="none"/>
        </w:rPr>
        <w:t>是</w:t>
      </w:r>
      <w:r>
        <w:rPr>
          <w:rFonts w:hint="eastAsia" w:eastAsia="仿宋_GB2312" w:cs="仿宋_GB2312"/>
          <w:color w:val="auto"/>
          <w:sz w:val="32"/>
          <w:szCs w:val="32"/>
          <w:highlight w:val="none"/>
          <w:lang w:val="en-US" w:eastAsia="zh-CN"/>
        </w:rPr>
        <w:t>人员增加；二是微网实格经费增加。</w:t>
      </w:r>
    </w:p>
    <w:p>
      <w:pPr>
        <w:pStyle w:val="19"/>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sz w:val="32"/>
          <w:szCs w:val="32"/>
          <w:highlight w:val="none"/>
          <w:lang w:eastAsia="zh-CN"/>
        </w:rPr>
        <w:drawing>
          <wp:anchor distT="0" distB="0" distL="114300" distR="114300" simplePos="0" relativeHeight="251662336" behindDoc="1" locked="0" layoutInCell="1" allowOverlap="1">
            <wp:simplePos x="0" y="0"/>
            <wp:positionH relativeFrom="column">
              <wp:posOffset>250825</wp:posOffset>
            </wp:positionH>
            <wp:positionV relativeFrom="paragraph">
              <wp:posOffset>26035</wp:posOffset>
            </wp:positionV>
            <wp:extent cx="4877435" cy="2976880"/>
            <wp:effectExtent l="4445" t="4445" r="13970" b="9525"/>
            <wp:wrapNone/>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pPr>
        <w:pStyle w:val="19"/>
        <w:rPr>
          <w:rFonts w:hint="eastAsia" w:ascii="Times New Roman" w:hAnsi="Times New Roman" w:eastAsia="仿宋_GB2312" w:cs="仿宋_GB2312"/>
          <w:color w:val="auto"/>
          <w:kern w:val="2"/>
          <w:sz w:val="32"/>
          <w:szCs w:val="32"/>
          <w:highlight w:val="none"/>
          <w:lang w:val="en-US" w:eastAsia="zh-CN" w:bidi="ar-SA"/>
        </w:rPr>
      </w:pPr>
    </w:p>
    <w:p>
      <w:pPr>
        <w:pStyle w:val="19"/>
        <w:rPr>
          <w:rFonts w:hint="eastAsia" w:ascii="Times New Roman" w:hAnsi="Times New Roman" w:eastAsia="仿宋_GB2312" w:cs="仿宋_GB2312"/>
          <w:color w:val="auto"/>
          <w:kern w:val="2"/>
          <w:sz w:val="32"/>
          <w:szCs w:val="32"/>
          <w:highlight w:val="none"/>
          <w:lang w:val="en-US" w:eastAsia="zh-CN" w:bidi="ar-SA"/>
        </w:rPr>
      </w:pPr>
    </w:p>
    <w:p>
      <w:pPr>
        <w:pStyle w:val="19"/>
        <w:rPr>
          <w:rFonts w:hint="eastAsia" w:ascii="Times New Roman" w:hAnsi="Times New Roman" w:eastAsia="仿宋_GB2312" w:cs="仿宋_GB2312"/>
          <w:color w:val="auto"/>
          <w:kern w:val="2"/>
          <w:sz w:val="32"/>
          <w:szCs w:val="32"/>
          <w:highlight w:val="none"/>
          <w:lang w:val="en-US" w:eastAsia="zh-CN" w:bidi="ar-SA"/>
        </w:rPr>
      </w:pPr>
    </w:p>
    <w:p>
      <w:pPr>
        <w:pStyle w:val="19"/>
        <w:rPr>
          <w:rFonts w:hint="eastAsia" w:ascii="Times New Roman" w:hAnsi="Times New Roman" w:eastAsia="仿宋_GB2312" w:cs="仿宋_GB2312"/>
          <w:color w:val="auto"/>
          <w:kern w:val="2"/>
          <w:sz w:val="32"/>
          <w:szCs w:val="32"/>
          <w:highlight w:val="none"/>
          <w:lang w:val="en-US" w:eastAsia="zh-CN" w:bidi="ar-SA"/>
        </w:rPr>
      </w:pPr>
    </w:p>
    <w:p>
      <w:pPr>
        <w:pStyle w:val="19"/>
        <w:rPr>
          <w:rFonts w:hint="eastAsia" w:ascii="Times New Roman" w:hAnsi="Times New Roman" w:eastAsia="仿宋_GB2312" w:cs="仿宋_GB2312"/>
          <w:color w:val="auto"/>
          <w:kern w:val="2"/>
          <w:sz w:val="32"/>
          <w:szCs w:val="32"/>
          <w:highlight w:val="none"/>
          <w:lang w:val="en-US" w:eastAsia="zh-CN" w:bidi="ar-SA"/>
        </w:rPr>
      </w:pPr>
    </w:p>
    <w:p>
      <w:pPr>
        <w:pStyle w:val="19"/>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firstLineChars="200"/>
        <w:outlineLvl w:val="1"/>
        <w:rPr>
          <w:rStyle w:val="30"/>
          <w:rFonts w:ascii="Times New Roman" w:hAnsi="Times New Roman" w:eastAsia="黑体"/>
          <w:b w:val="0"/>
          <w:color w:val="auto"/>
          <w:highlight w:val="none"/>
        </w:rPr>
      </w:pPr>
      <w:bookmarkStart w:id="26" w:name="_Toc15396607"/>
      <w:bookmarkStart w:id="27" w:name="_Toc15377209"/>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30"/>
          <w:rFonts w:hint="eastAsia" w:ascii="Times New Roman" w:hAnsi="Times New Roman" w:eastAsia="黑体"/>
          <w:b w:val="0"/>
          <w:color w:val="auto"/>
          <w:highlight w:val="none"/>
        </w:rPr>
        <w:t>般公共预算财政拨款支出决算情况说明</w:t>
      </w:r>
      <w:bookmarkEnd w:id="26"/>
      <w:bookmarkEnd w:id="27"/>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8"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28"/>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2025年度一般公共预算财政拨款支出</w:t>
      </w:r>
      <w:r>
        <w:rPr>
          <w:rFonts w:hint="eastAsia" w:ascii="仿宋_GB2312" w:hAnsi="仿宋_GB2312" w:eastAsia="仿宋_GB2312" w:cs="仿宋_GB2312"/>
          <w:sz w:val="32"/>
          <w:szCs w:val="32"/>
          <w:lang w:val="en-US" w:eastAsia="zh-CN"/>
        </w:rPr>
        <w:t>409.35</w:t>
      </w:r>
      <w:r>
        <w:rPr>
          <w:rFonts w:hint="eastAsia" w:ascii="仿宋_GB2312" w:hAnsi="仿宋_GB2312"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100</w:t>
      </w:r>
      <w:r>
        <w:rPr>
          <w:rFonts w:hint="eastAsia" w:ascii="仿宋_GB2312" w:hAnsi="仿宋_GB2312" w:eastAsia="仿宋_GB2312" w:cs="仿宋_GB2312"/>
          <w:color w:val="auto"/>
          <w:kern w:val="2"/>
          <w:sz w:val="32"/>
          <w:szCs w:val="32"/>
          <w:highlight w:val="none"/>
          <w:lang w:val="en-US" w:eastAsia="zh-CN" w:bidi="ar-SA"/>
        </w:rPr>
        <w:t>%。与2024年度相比，一般公共预算财政拨款支出增加63.13万元，</w:t>
      </w:r>
      <w:r>
        <w:rPr>
          <w:rFonts w:hint="eastAsia" w:ascii="Times New Roman" w:hAnsi="Times New Roman" w:eastAsia="仿宋_GB2312" w:cs="仿宋_GB2312"/>
          <w:color w:val="auto"/>
          <w:sz w:val="32"/>
          <w:szCs w:val="32"/>
          <w:highlight w:val="none"/>
        </w:rPr>
        <w:t>增长</w:t>
      </w:r>
      <w:r>
        <w:rPr>
          <w:rFonts w:hint="eastAsia" w:eastAsia="仿宋_GB2312" w:cs="仿宋_GB2312"/>
          <w:color w:val="auto"/>
          <w:sz w:val="32"/>
          <w:szCs w:val="32"/>
          <w:highlight w:val="none"/>
          <w:lang w:val="en-US" w:eastAsia="zh-CN"/>
        </w:rPr>
        <w:t>15</w:t>
      </w:r>
      <w:r>
        <w:rPr>
          <w:rFonts w:hint="eastAsia" w:ascii="Times New Roman" w:hAnsi="Times New Roman" w:eastAsia="仿宋_GB2312" w:cs="仿宋_GB2312"/>
          <w:color w:val="auto"/>
          <w:sz w:val="32"/>
          <w:szCs w:val="32"/>
          <w:highlight w:val="none"/>
        </w:rPr>
        <w:t>%。主要变动原因</w:t>
      </w:r>
      <w:r>
        <w:rPr>
          <w:rFonts w:hint="eastAsia" w:eastAsia="仿宋_GB2312" w:cs="仿宋_GB2312"/>
          <w:color w:val="auto"/>
          <w:sz w:val="32"/>
          <w:szCs w:val="32"/>
          <w:highlight w:val="none"/>
          <w:lang w:val="en-US" w:eastAsia="zh-CN"/>
        </w:rPr>
        <w:t>一</w:t>
      </w:r>
      <w:r>
        <w:rPr>
          <w:rFonts w:hint="eastAsia" w:ascii="Times New Roman" w:hAnsi="Times New Roman" w:eastAsia="仿宋_GB2312" w:cs="仿宋_GB2312"/>
          <w:color w:val="auto"/>
          <w:sz w:val="32"/>
          <w:szCs w:val="32"/>
          <w:highlight w:val="none"/>
        </w:rPr>
        <w:t>是</w:t>
      </w:r>
      <w:r>
        <w:rPr>
          <w:rFonts w:hint="eastAsia" w:eastAsia="仿宋_GB2312" w:cs="仿宋_GB2312"/>
          <w:color w:val="auto"/>
          <w:sz w:val="32"/>
          <w:szCs w:val="32"/>
          <w:highlight w:val="none"/>
          <w:lang w:val="en-US" w:eastAsia="zh-CN"/>
        </w:rPr>
        <w:t>人员增加；二是微网实格经费增加。</w:t>
      </w: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（图5：一般公共预算财政拨款支出决算变动情况）（柱状图）</w:t>
      </w:r>
    </w:p>
    <w:p>
      <w:pPr>
        <w:pStyle w:val="19"/>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sz w:val="32"/>
          <w:szCs w:val="32"/>
          <w:highlight w:val="none"/>
          <w:lang w:eastAsia="zh-CN"/>
        </w:rPr>
        <w:drawing>
          <wp:anchor distT="0" distB="0" distL="114300" distR="114300" simplePos="0" relativeHeight="251664384" behindDoc="1" locked="0" layoutInCell="1" allowOverlap="1">
            <wp:simplePos x="0" y="0"/>
            <wp:positionH relativeFrom="column">
              <wp:posOffset>167005</wp:posOffset>
            </wp:positionH>
            <wp:positionV relativeFrom="paragraph">
              <wp:posOffset>168910</wp:posOffset>
            </wp:positionV>
            <wp:extent cx="4877435" cy="2976880"/>
            <wp:effectExtent l="4445" t="4445" r="13970" b="9525"/>
            <wp:wrapNone/>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pPr>
        <w:pStyle w:val="19"/>
        <w:rPr>
          <w:rFonts w:hint="eastAsia" w:ascii="Times New Roman" w:hAnsi="Times New Roman" w:eastAsia="仿宋_GB2312" w:cs="仿宋_GB2312"/>
          <w:color w:val="auto"/>
          <w:kern w:val="2"/>
          <w:sz w:val="32"/>
          <w:szCs w:val="32"/>
          <w:highlight w:val="none"/>
          <w:lang w:val="en-US" w:eastAsia="zh-CN" w:bidi="ar-SA"/>
        </w:rPr>
      </w:pPr>
    </w:p>
    <w:p>
      <w:pPr>
        <w:pStyle w:val="19"/>
        <w:rPr>
          <w:rFonts w:hint="eastAsia" w:ascii="Times New Roman" w:hAnsi="Times New Roman" w:eastAsia="仿宋_GB2312" w:cs="仿宋_GB2312"/>
          <w:color w:val="auto"/>
          <w:kern w:val="2"/>
          <w:sz w:val="32"/>
          <w:szCs w:val="32"/>
          <w:highlight w:val="none"/>
          <w:lang w:val="en-US" w:eastAsia="zh-CN" w:bidi="ar-SA"/>
        </w:rPr>
      </w:pPr>
    </w:p>
    <w:p>
      <w:pPr>
        <w:pStyle w:val="19"/>
        <w:rPr>
          <w:rFonts w:hint="eastAsia" w:ascii="Times New Roman" w:hAnsi="Times New Roman" w:eastAsia="仿宋_GB2312" w:cs="仿宋_GB2312"/>
          <w:color w:val="auto"/>
          <w:kern w:val="2"/>
          <w:sz w:val="32"/>
          <w:szCs w:val="32"/>
          <w:highlight w:val="none"/>
          <w:lang w:val="en-US" w:eastAsia="zh-CN" w:bidi="ar-SA"/>
        </w:rPr>
      </w:pPr>
    </w:p>
    <w:p>
      <w:pPr>
        <w:pStyle w:val="19"/>
        <w:rPr>
          <w:rFonts w:hint="eastAsia" w:ascii="Times New Roman" w:hAnsi="Times New Roman" w:eastAsia="仿宋_GB2312" w:cs="仿宋_GB2312"/>
          <w:color w:val="auto"/>
          <w:kern w:val="2"/>
          <w:sz w:val="32"/>
          <w:szCs w:val="32"/>
          <w:highlight w:val="none"/>
          <w:lang w:val="en-US" w:eastAsia="zh-CN" w:bidi="ar-SA"/>
        </w:rPr>
      </w:pPr>
    </w:p>
    <w:p>
      <w:pPr>
        <w:pStyle w:val="19"/>
        <w:rPr>
          <w:rFonts w:hint="eastAsia" w:ascii="Times New Roman" w:hAnsi="Times New Roman" w:eastAsia="仿宋_GB2312" w:cs="仿宋_GB2312"/>
          <w:color w:val="auto"/>
          <w:kern w:val="2"/>
          <w:sz w:val="32"/>
          <w:szCs w:val="32"/>
          <w:highlight w:val="none"/>
          <w:lang w:val="en-US" w:eastAsia="zh-CN" w:bidi="ar-SA"/>
        </w:rPr>
      </w:pPr>
    </w:p>
    <w:p>
      <w:pPr>
        <w:pStyle w:val="19"/>
        <w:rPr>
          <w:rFonts w:hint="eastAsia" w:ascii="Times New Roman" w:hAnsi="Times New Roman" w:eastAsia="仿宋_GB2312" w:cs="仿宋_GB2312"/>
          <w:color w:val="auto"/>
          <w:kern w:val="2"/>
          <w:sz w:val="32"/>
          <w:szCs w:val="32"/>
          <w:highlight w:val="none"/>
          <w:lang w:val="en-US" w:eastAsia="zh-CN" w:bidi="ar-SA"/>
        </w:rPr>
      </w:pPr>
    </w:p>
    <w:p>
      <w:pPr>
        <w:pStyle w:val="19"/>
        <w:rPr>
          <w:rFonts w:hint="eastAsia" w:ascii="Times New Roman" w:hAnsi="Times New Roman" w:eastAsia="仿宋_GB2312" w:cs="仿宋_GB2312"/>
          <w:color w:val="auto"/>
          <w:kern w:val="2"/>
          <w:sz w:val="32"/>
          <w:szCs w:val="32"/>
          <w:highlight w:val="none"/>
          <w:lang w:val="en-US" w:eastAsia="zh-CN" w:bidi="ar-SA"/>
        </w:rPr>
      </w:pPr>
    </w:p>
    <w:p>
      <w:pPr>
        <w:pStyle w:val="19"/>
        <w:rPr>
          <w:rFonts w:hint="eastAsia" w:ascii="Times New Roman" w:hAnsi="Times New Roman" w:eastAsia="仿宋_GB2312" w:cs="仿宋_GB2312"/>
          <w:color w:val="auto"/>
          <w:kern w:val="2"/>
          <w:sz w:val="32"/>
          <w:szCs w:val="32"/>
          <w:highlight w:val="none"/>
          <w:lang w:val="en-US" w:eastAsia="zh-CN" w:bidi="ar-SA"/>
        </w:rPr>
      </w:pPr>
    </w:p>
    <w:p>
      <w:pPr>
        <w:spacing w:line="600" w:lineRule="exact"/>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9"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29"/>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年度一般公共预算财政拨款支出</w:t>
      </w:r>
      <w:r>
        <w:rPr>
          <w:rFonts w:hint="eastAsia" w:ascii="仿宋_GB2312" w:hAnsi="仿宋_GB2312" w:eastAsia="仿宋_GB2312" w:cs="仿宋_GB2312"/>
          <w:sz w:val="32"/>
          <w:szCs w:val="32"/>
          <w:lang w:val="en-US" w:eastAsia="zh-CN"/>
        </w:rPr>
        <w:t>409.35</w:t>
      </w:r>
      <w:r>
        <w:rPr>
          <w:rFonts w:hint="eastAsia" w:ascii="仿宋_GB2312" w:hAnsi="仿宋_GB2312"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一般公共服务支出</w:t>
      </w:r>
      <w:r>
        <w:rPr>
          <w:rFonts w:hint="eastAsia" w:eastAsia="仿宋_GB2312" w:cs="仿宋_GB2312"/>
          <w:color w:val="auto"/>
          <w:kern w:val="2"/>
          <w:sz w:val="32"/>
          <w:szCs w:val="32"/>
          <w:highlight w:val="none"/>
          <w:lang w:val="en-US" w:eastAsia="zh-CN" w:bidi="ar-SA"/>
        </w:rPr>
        <w:t>265.63</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64.89</w:t>
      </w:r>
      <w:r>
        <w:rPr>
          <w:rFonts w:hint="eastAsia" w:ascii="Times New Roman" w:hAnsi="Times New Roman" w:eastAsia="仿宋_GB2312" w:cs="仿宋_GB2312"/>
          <w:color w:val="auto"/>
          <w:kern w:val="2"/>
          <w:sz w:val="32"/>
          <w:szCs w:val="32"/>
          <w:highlight w:val="none"/>
          <w:lang w:val="en-US" w:eastAsia="zh-CN" w:bidi="ar-SA"/>
        </w:rPr>
        <w:t>%；社会保障和就业支出</w:t>
      </w:r>
      <w:r>
        <w:rPr>
          <w:rFonts w:hint="eastAsia" w:eastAsia="仿宋_GB2312" w:cs="仿宋_GB2312"/>
          <w:color w:val="auto"/>
          <w:kern w:val="2"/>
          <w:sz w:val="32"/>
          <w:szCs w:val="32"/>
          <w:highlight w:val="none"/>
          <w:lang w:val="en-US" w:eastAsia="zh-CN" w:bidi="ar-SA"/>
        </w:rPr>
        <w:t>115.01</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28.1</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11.5</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2.81</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17.21</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4.2</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spacing w:line="600" w:lineRule="exact"/>
        <w:rPr>
          <w:rFonts w:hint="eastAsia" w:ascii="Times New Roman" w:hAnsi="Times New Roman" w:eastAsia="仿宋_GB2312" w:cs="仿宋_GB2312"/>
          <w:color w:val="auto"/>
          <w:kern w:val="2"/>
          <w:sz w:val="32"/>
          <w:szCs w:val="32"/>
          <w:highlight w:val="none"/>
          <w:lang w:val="en-US" w:eastAsia="zh-CN" w:bidi="ar-SA"/>
        </w:rPr>
      </w:pPr>
    </w:p>
    <w:p>
      <w:pPr>
        <w:pStyle w:val="19"/>
        <w:rPr>
          <w:rFonts w:hint="eastAsia" w:ascii="Times New Roman" w:hAnsi="Times New Roman" w:eastAsia="仿宋_GB2312" w:cs="仿宋_GB2312"/>
          <w:color w:val="auto"/>
          <w:kern w:val="2"/>
          <w:sz w:val="32"/>
          <w:szCs w:val="32"/>
          <w:highlight w:val="none"/>
          <w:lang w:val="en-US" w:eastAsia="zh-CN" w:bidi="ar-SA"/>
        </w:rPr>
      </w:pPr>
    </w:p>
    <w:p>
      <w:pPr>
        <w:pStyle w:val="19"/>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drawing>
          <wp:anchor distT="0" distB="0" distL="114300" distR="114300" simplePos="0" relativeHeight="251661312" behindDoc="1" locked="0" layoutInCell="1" allowOverlap="1">
            <wp:simplePos x="0" y="0"/>
            <wp:positionH relativeFrom="column">
              <wp:posOffset>375285</wp:posOffset>
            </wp:positionH>
            <wp:positionV relativeFrom="page">
              <wp:posOffset>1163320</wp:posOffset>
            </wp:positionV>
            <wp:extent cx="5080000" cy="3810000"/>
            <wp:effectExtent l="4445" t="4445" r="20955" b="14605"/>
            <wp:wrapNone/>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pPr>
        <w:pStyle w:val="19"/>
        <w:rPr>
          <w:rFonts w:hint="eastAsia" w:ascii="Times New Roman" w:hAnsi="Times New Roman" w:eastAsia="仿宋_GB2312" w:cs="仿宋_GB2312"/>
          <w:color w:val="auto"/>
          <w:kern w:val="2"/>
          <w:sz w:val="32"/>
          <w:szCs w:val="32"/>
          <w:highlight w:val="none"/>
          <w:lang w:val="en-US" w:eastAsia="zh-CN" w:bidi="ar-SA"/>
        </w:rPr>
      </w:pPr>
    </w:p>
    <w:p>
      <w:pPr>
        <w:pStyle w:val="19"/>
        <w:ind w:left="0" w:leftChars="0" w:firstLine="0" w:firstLineChars="0"/>
        <w:rPr>
          <w:rFonts w:hint="eastAsia" w:ascii="Times New Roman" w:hAnsi="Times New Roman" w:eastAsia="仿宋_GB2312" w:cs="仿宋_GB2312"/>
          <w:color w:val="auto"/>
          <w:kern w:val="2"/>
          <w:sz w:val="32"/>
          <w:szCs w:val="32"/>
          <w:highlight w:val="none"/>
          <w:lang w:val="en-US" w:eastAsia="zh-CN" w:bidi="ar-SA"/>
        </w:rPr>
      </w:pPr>
    </w:p>
    <w:p>
      <w:pPr>
        <w:pStyle w:val="19"/>
        <w:rPr>
          <w:rFonts w:hint="eastAsia" w:ascii="Times New Roman" w:hAnsi="Times New Roman" w:eastAsia="仿宋_GB2312" w:cs="仿宋_GB2312"/>
          <w:color w:val="auto"/>
          <w:kern w:val="2"/>
          <w:sz w:val="32"/>
          <w:szCs w:val="32"/>
          <w:highlight w:val="none"/>
          <w:lang w:val="en-US" w:eastAsia="zh-CN" w:bidi="ar-SA"/>
        </w:rPr>
      </w:pPr>
    </w:p>
    <w:p>
      <w:pPr>
        <w:pStyle w:val="19"/>
        <w:rPr>
          <w:rFonts w:hint="eastAsia" w:ascii="Times New Roman" w:hAnsi="Times New Roman" w:eastAsia="仿宋_GB2312" w:cs="仿宋_GB2312"/>
          <w:color w:val="auto"/>
          <w:kern w:val="2"/>
          <w:sz w:val="32"/>
          <w:szCs w:val="32"/>
          <w:highlight w:val="none"/>
          <w:lang w:val="en-US" w:eastAsia="zh-CN" w:bidi="ar-SA"/>
        </w:rPr>
      </w:pPr>
    </w:p>
    <w:p>
      <w:pPr>
        <w:pStyle w:val="19"/>
        <w:rPr>
          <w:rFonts w:hint="eastAsia" w:ascii="Times New Roman" w:hAnsi="Times New Roman" w:eastAsia="仿宋_GB2312" w:cs="仿宋_GB2312"/>
          <w:color w:val="auto"/>
          <w:kern w:val="2"/>
          <w:sz w:val="32"/>
          <w:szCs w:val="32"/>
          <w:highlight w:val="none"/>
          <w:lang w:val="en-US" w:eastAsia="zh-CN" w:bidi="ar-SA"/>
        </w:rPr>
      </w:pPr>
    </w:p>
    <w:p>
      <w:pPr>
        <w:pStyle w:val="19"/>
        <w:rPr>
          <w:rFonts w:hint="eastAsia" w:ascii="Times New Roman" w:hAnsi="Times New Roman" w:eastAsia="仿宋_GB2312" w:cs="仿宋_GB2312"/>
          <w:color w:val="auto"/>
          <w:kern w:val="2"/>
          <w:sz w:val="32"/>
          <w:szCs w:val="32"/>
          <w:highlight w:val="none"/>
          <w:lang w:val="en-US" w:eastAsia="zh-CN" w:bidi="ar-SA"/>
        </w:rPr>
      </w:pPr>
    </w:p>
    <w:p>
      <w:pPr>
        <w:pStyle w:val="19"/>
        <w:rPr>
          <w:rFonts w:hint="eastAsia" w:ascii="Times New Roman" w:hAnsi="Times New Roman" w:eastAsia="仿宋_GB2312" w:cs="仿宋_GB2312"/>
          <w:color w:val="auto"/>
          <w:kern w:val="2"/>
          <w:sz w:val="32"/>
          <w:szCs w:val="32"/>
          <w:highlight w:val="none"/>
          <w:lang w:val="en-US" w:eastAsia="zh-CN" w:bidi="ar-SA"/>
        </w:rPr>
      </w:pPr>
    </w:p>
    <w:p>
      <w:pPr>
        <w:pStyle w:val="19"/>
        <w:rPr>
          <w:rFonts w:hint="eastAsia" w:ascii="Times New Roman" w:hAnsi="Times New Roman" w:eastAsia="仿宋_GB2312" w:cs="仿宋_GB2312"/>
          <w:color w:val="auto"/>
          <w:kern w:val="2"/>
          <w:sz w:val="32"/>
          <w:szCs w:val="32"/>
          <w:highlight w:val="none"/>
          <w:lang w:val="en-US" w:eastAsia="zh-CN" w:bidi="ar-SA"/>
        </w:rPr>
      </w:pPr>
    </w:p>
    <w:p>
      <w:pPr>
        <w:pStyle w:val="19"/>
        <w:rPr>
          <w:rFonts w:hint="eastAsia" w:ascii="Times New Roman" w:hAnsi="Times New Roman" w:eastAsia="仿宋_GB2312" w:cs="仿宋_GB2312"/>
          <w:color w:val="auto"/>
          <w:kern w:val="2"/>
          <w:sz w:val="32"/>
          <w:szCs w:val="32"/>
          <w:highlight w:val="none"/>
          <w:lang w:val="en-US" w:eastAsia="zh-CN" w:bidi="ar-SA"/>
        </w:rPr>
      </w:pPr>
    </w:p>
    <w:p>
      <w:pPr>
        <w:pStyle w:val="19"/>
        <w:rPr>
          <w:rFonts w:hint="eastAsia" w:ascii="Times New Roman" w:hAnsi="Times New Roman" w:eastAsia="仿宋_GB2312" w:cs="仿宋_GB2312"/>
          <w:color w:val="auto"/>
          <w:kern w:val="2"/>
          <w:sz w:val="32"/>
          <w:szCs w:val="32"/>
          <w:highlight w:val="none"/>
          <w:lang w:val="en-US" w:eastAsia="zh-CN" w:bidi="ar-SA"/>
        </w:rPr>
      </w:pPr>
    </w:p>
    <w:p>
      <w:pPr>
        <w:pStyle w:val="19"/>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0"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30"/>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31" w:name="_Toc15377444"/>
      <w:bookmarkStart w:id="32" w:name="_Toc15377213"/>
      <w:bookmarkStart w:id="33" w:name="_Toc15378460"/>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年度一般公共预算财政拨款支出决算数为</w:t>
      </w:r>
      <w:r>
        <w:rPr>
          <w:rFonts w:hint="eastAsia" w:ascii="仿宋_GB2312" w:hAnsi="仿宋_GB2312" w:eastAsia="仿宋_GB2312" w:cs="仿宋_GB2312"/>
          <w:sz w:val="32"/>
          <w:szCs w:val="32"/>
          <w:lang w:val="en-US" w:eastAsia="zh-CN"/>
        </w:rPr>
        <w:t>409.35</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%。其中：</w:t>
      </w:r>
      <w:bookmarkEnd w:id="31"/>
      <w:bookmarkEnd w:id="32"/>
      <w:bookmarkEnd w:id="33"/>
    </w:p>
    <w:p>
      <w:pPr>
        <w:numPr>
          <w:ilvl w:val="0"/>
          <w:numId w:val="2"/>
        </w:num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一般公共服务</w:t>
      </w:r>
      <w:r>
        <w:rPr>
          <w:rFonts w:hint="eastAsia" w:eastAsia="仿宋_GB2312" w:cs="仿宋_GB2312"/>
          <w:color w:val="auto"/>
          <w:kern w:val="2"/>
          <w:sz w:val="32"/>
          <w:szCs w:val="32"/>
          <w:highlight w:val="none"/>
          <w:lang w:val="en-US" w:eastAsia="zh-CN" w:bidi="ar-SA"/>
        </w:rPr>
        <w:t>20103：</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265.63</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p>
    <w:p>
      <w:pPr>
        <w:numPr>
          <w:ilvl w:val="0"/>
          <w:numId w:val="3"/>
        </w:num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社会保障和就业</w:t>
      </w:r>
      <w:r>
        <w:rPr>
          <w:rFonts w:hint="eastAsia" w:eastAsia="仿宋_GB2312" w:cs="仿宋_GB2312"/>
          <w:color w:val="auto"/>
          <w:kern w:val="2"/>
          <w:sz w:val="32"/>
          <w:szCs w:val="32"/>
          <w:highlight w:val="none"/>
          <w:lang w:val="en-US" w:eastAsia="zh-CN" w:bidi="ar-SA"/>
        </w:rPr>
        <w:t>20805：</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115.01</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p>
    <w:p>
      <w:pPr>
        <w:numPr>
          <w:ilvl w:val="0"/>
          <w:numId w:val="0"/>
        </w:num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6.卫生健康（类）</w:t>
      </w:r>
      <w:r>
        <w:rPr>
          <w:rFonts w:hint="eastAsia" w:eastAsia="仿宋_GB2312" w:cs="仿宋_GB2312"/>
          <w:color w:val="auto"/>
          <w:kern w:val="2"/>
          <w:sz w:val="32"/>
          <w:szCs w:val="32"/>
          <w:highlight w:val="none"/>
          <w:lang w:val="en-US" w:eastAsia="zh-CN" w:bidi="ar-SA"/>
        </w:rPr>
        <w:t>21011：</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11.5</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p>
    <w:p>
      <w:pPr>
        <w:numPr>
          <w:ilvl w:val="0"/>
          <w:numId w:val="0"/>
        </w:num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7.住房保障</w:t>
      </w:r>
      <w:r>
        <w:rPr>
          <w:rFonts w:hint="eastAsia" w:ascii="Times New Roman" w:hAnsi="Times New Roman" w:eastAsia="仿宋_GB2312" w:cs="仿宋_GB2312"/>
          <w:color w:val="auto"/>
          <w:kern w:val="2"/>
          <w:sz w:val="32"/>
          <w:szCs w:val="32"/>
          <w:highlight w:val="none"/>
          <w:lang w:val="en-US" w:eastAsia="zh-CN" w:bidi="ar-SA"/>
        </w:rPr>
        <w:t>（类）</w:t>
      </w:r>
      <w:r>
        <w:rPr>
          <w:rFonts w:hint="eastAsia" w:eastAsia="仿宋_GB2312" w:cs="仿宋_GB2312"/>
          <w:color w:val="auto"/>
          <w:kern w:val="2"/>
          <w:sz w:val="32"/>
          <w:szCs w:val="32"/>
          <w:highlight w:val="none"/>
          <w:lang w:val="en-US" w:eastAsia="zh-CN" w:bidi="ar-SA"/>
        </w:rPr>
        <w:t>22102：</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17.21</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p>
    <w:p>
      <w:pPr>
        <w:tabs>
          <w:tab w:val="right" w:pos="8306"/>
        </w:tabs>
        <w:spacing w:line="600" w:lineRule="exact"/>
        <w:ind w:firstLine="640"/>
        <w:outlineLvl w:val="1"/>
        <w:rPr>
          <w:rStyle w:val="30"/>
          <w:rFonts w:ascii="Times New Roman" w:hAnsi="Times New Roman"/>
          <w:color w:val="auto"/>
          <w:highlight w:val="none"/>
        </w:rPr>
      </w:pPr>
      <w:bookmarkStart w:id="34" w:name="_Toc15377214"/>
      <w:bookmarkStart w:id="35" w:name="_Toc15396608"/>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30"/>
          <w:rFonts w:hint="eastAsia" w:ascii="Times New Roman" w:hAnsi="Times New Roman" w:eastAsia="黑体"/>
          <w:b w:val="0"/>
          <w:color w:val="auto"/>
          <w:highlight w:val="none"/>
        </w:rPr>
        <w:t>般公共预算财政拨款基本支出决算情况说明</w:t>
      </w:r>
      <w:bookmarkEnd w:id="34"/>
      <w:bookmarkEnd w:id="35"/>
      <w:r>
        <w:rPr>
          <w:rStyle w:val="30"/>
          <w:rFonts w:ascii="Times New Roman" w:hAnsi="Times New Roman" w:eastAsia="黑体"/>
          <w:b w:val="0"/>
          <w:color w:val="auto"/>
          <w:highlight w:val="none"/>
        </w:rPr>
        <w:tab/>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2024年度一般公共预算财政拨款基本支出</w:t>
      </w:r>
      <w:r>
        <w:rPr>
          <w:rFonts w:hint="eastAsia" w:ascii="仿宋_GB2312" w:hAnsi="仿宋_GB2312" w:eastAsia="仿宋_GB2312" w:cs="仿宋_GB2312"/>
          <w:sz w:val="32"/>
          <w:szCs w:val="32"/>
        </w:rPr>
        <w:t>192.87</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元，其中：</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lang w:val="en-US" w:eastAsia="zh-CN"/>
        </w:rPr>
        <w:t>210.91</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元，主要包括：基本工资</w:t>
      </w:r>
      <w:r>
        <w:rPr>
          <w:rFonts w:hint="eastAsia" w:eastAsia="仿宋_GB2312" w:cs="仿宋_GB2312"/>
          <w:color w:val="auto"/>
          <w:kern w:val="2"/>
          <w:sz w:val="32"/>
          <w:szCs w:val="32"/>
          <w:highlight w:val="none"/>
          <w:lang w:val="en-US" w:eastAsia="zh-CN" w:bidi="ar-SA"/>
        </w:rPr>
        <w:t>41.3万元</w:t>
      </w:r>
      <w:r>
        <w:rPr>
          <w:rFonts w:hint="eastAsia" w:ascii="Times New Roman" w:hAnsi="Times New Roman" w:eastAsia="仿宋_GB2312" w:cs="仿宋_GB2312"/>
          <w:color w:val="auto"/>
          <w:kern w:val="2"/>
          <w:sz w:val="32"/>
          <w:szCs w:val="32"/>
          <w:highlight w:val="none"/>
          <w:lang w:val="en-US" w:eastAsia="zh-CN" w:bidi="ar-SA"/>
        </w:rPr>
        <w:t>、津贴补贴</w:t>
      </w:r>
      <w:r>
        <w:rPr>
          <w:rFonts w:hint="eastAsia" w:eastAsia="仿宋_GB2312" w:cs="仿宋_GB2312"/>
          <w:color w:val="auto"/>
          <w:kern w:val="2"/>
          <w:sz w:val="32"/>
          <w:szCs w:val="32"/>
          <w:highlight w:val="none"/>
          <w:lang w:val="en-US" w:eastAsia="zh-CN" w:bidi="ar-SA"/>
        </w:rPr>
        <w:t>31.81万元</w:t>
      </w:r>
      <w:r>
        <w:rPr>
          <w:rFonts w:hint="eastAsia" w:ascii="Times New Roman" w:hAnsi="Times New Roman" w:eastAsia="仿宋_GB2312" w:cs="仿宋_GB2312"/>
          <w:color w:val="auto"/>
          <w:kern w:val="2"/>
          <w:sz w:val="32"/>
          <w:szCs w:val="32"/>
          <w:highlight w:val="none"/>
          <w:lang w:val="en-US" w:eastAsia="zh-CN" w:bidi="ar-SA"/>
        </w:rPr>
        <w:t>、奖金</w:t>
      </w:r>
      <w:r>
        <w:rPr>
          <w:rFonts w:hint="eastAsia" w:eastAsia="仿宋_GB2312" w:cs="仿宋_GB2312"/>
          <w:color w:val="auto"/>
          <w:kern w:val="2"/>
          <w:sz w:val="32"/>
          <w:szCs w:val="32"/>
          <w:highlight w:val="none"/>
          <w:lang w:val="en-US" w:eastAsia="zh-CN" w:bidi="ar-SA"/>
        </w:rPr>
        <w:t>56.36万元</w:t>
      </w:r>
      <w:r>
        <w:rPr>
          <w:rFonts w:hint="eastAsia" w:ascii="Times New Roman" w:hAnsi="Times New Roman" w:eastAsia="仿宋_GB2312" w:cs="仿宋_GB2312"/>
          <w:color w:val="auto"/>
          <w:kern w:val="2"/>
          <w:sz w:val="32"/>
          <w:szCs w:val="32"/>
          <w:highlight w:val="none"/>
          <w:lang w:val="en-US" w:eastAsia="zh-CN" w:bidi="ar-SA"/>
        </w:rPr>
        <w:t>、绩效工资</w:t>
      </w:r>
      <w:r>
        <w:rPr>
          <w:rFonts w:hint="eastAsia" w:eastAsia="仿宋_GB2312" w:cs="仿宋_GB2312"/>
          <w:color w:val="auto"/>
          <w:kern w:val="2"/>
          <w:sz w:val="32"/>
          <w:szCs w:val="32"/>
          <w:highlight w:val="none"/>
          <w:lang w:val="en-US" w:eastAsia="zh-CN" w:bidi="ar-SA"/>
        </w:rPr>
        <w:t>19.82万元</w:t>
      </w:r>
      <w:r>
        <w:rPr>
          <w:rFonts w:hint="eastAsia" w:ascii="Times New Roman" w:hAnsi="Times New Roman" w:eastAsia="仿宋_GB2312" w:cs="仿宋_GB2312"/>
          <w:color w:val="auto"/>
          <w:kern w:val="2"/>
          <w:sz w:val="32"/>
          <w:szCs w:val="32"/>
          <w:highlight w:val="none"/>
          <w:lang w:val="en-US" w:eastAsia="zh-CN" w:bidi="ar-SA"/>
        </w:rPr>
        <w:t>、机关事业单位基本养老保险缴费</w:t>
      </w:r>
      <w:r>
        <w:rPr>
          <w:rFonts w:hint="eastAsia" w:eastAsia="仿宋_GB2312" w:cs="仿宋_GB2312"/>
          <w:color w:val="auto"/>
          <w:kern w:val="2"/>
          <w:sz w:val="32"/>
          <w:szCs w:val="32"/>
          <w:highlight w:val="none"/>
          <w:lang w:val="en-US" w:eastAsia="zh-CN" w:bidi="ar-SA"/>
        </w:rPr>
        <w:t>20.84万元</w:t>
      </w:r>
      <w:r>
        <w:rPr>
          <w:rFonts w:hint="eastAsia" w:ascii="Times New Roman" w:hAnsi="Times New Roman" w:eastAsia="仿宋_GB2312" w:cs="仿宋_GB2312"/>
          <w:color w:val="auto"/>
          <w:kern w:val="2"/>
          <w:sz w:val="32"/>
          <w:szCs w:val="32"/>
          <w:highlight w:val="none"/>
          <w:lang w:val="en-US" w:eastAsia="zh-CN" w:bidi="ar-SA"/>
        </w:rPr>
        <w:t>、职业年金缴费</w:t>
      </w:r>
      <w:r>
        <w:rPr>
          <w:rFonts w:hint="eastAsia" w:eastAsia="仿宋_GB2312" w:cs="仿宋_GB2312"/>
          <w:color w:val="auto"/>
          <w:kern w:val="2"/>
          <w:sz w:val="32"/>
          <w:szCs w:val="32"/>
          <w:highlight w:val="none"/>
          <w:lang w:val="en-US" w:eastAsia="zh-CN" w:bidi="ar-SA"/>
        </w:rPr>
        <w:t>10.42万元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职工基本医疗保险费9.89万元、公务员医疗补助缴费1.61万元、</w:t>
      </w:r>
      <w:r>
        <w:rPr>
          <w:rFonts w:hint="eastAsia" w:ascii="Times New Roman" w:hAnsi="Times New Roman" w:eastAsia="仿宋_GB2312" w:cs="仿宋_GB2312"/>
          <w:color w:val="auto"/>
          <w:kern w:val="2"/>
          <w:sz w:val="32"/>
          <w:szCs w:val="32"/>
          <w:highlight w:val="none"/>
          <w:lang w:val="en-US" w:eastAsia="zh-CN" w:bidi="ar-SA"/>
        </w:rPr>
        <w:t>其他社会保障缴费</w:t>
      </w:r>
      <w:r>
        <w:rPr>
          <w:rFonts w:hint="eastAsia" w:eastAsia="仿宋_GB2312" w:cs="仿宋_GB2312"/>
          <w:color w:val="auto"/>
          <w:kern w:val="2"/>
          <w:sz w:val="32"/>
          <w:szCs w:val="32"/>
          <w:highlight w:val="none"/>
          <w:lang w:val="en-US" w:eastAsia="zh-CN" w:bidi="ar-SA"/>
        </w:rPr>
        <w:t>1.01万元</w:t>
      </w:r>
      <w:r>
        <w:rPr>
          <w:rFonts w:hint="eastAsia" w:ascii="Times New Roman" w:hAnsi="Times New Roman" w:eastAsia="仿宋_GB2312" w:cs="仿宋_GB2312"/>
          <w:color w:val="auto"/>
          <w:kern w:val="2"/>
          <w:sz w:val="32"/>
          <w:szCs w:val="32"/>
          <w:highlight w:val="none"/>
          <w:lang w:val="en-US" w:eastAsia="zh-CN" w:bidi="ar-SA"/>
        </w:rPr>
        <w:t>、医疗费补助</w:t>
      </w:r>
      <w:r>
        <w:rPr>
          <w:rFonts w:hint="eastAsia" w:eastAsia="仿宋_GB2312" w:cs="仿宋_GB2312"/>
          <w:color w:val="auto"/>
          <w:kern w:val="2"/>
          <w:sz w:val="32"/>
          <w:szCs w:val="32"/>
          <w:highlight w:val="none"/>
          <w:lang w:val="en-US" w:eastAsia="zh-CN" w:bidi="ar-SA"/>
        </w:rPr>
        <w:t>0.62万元</w:t>
      </w:r>
      <w:r>
        <w:rPr>
          <w:rFonts w:hint="eastAsia" w:ascii="Times New Roman" w:hAnsi="Times New Roman" w:eastAsia="仿宋_GB2312" w:cs="仿宋_GB2312"/>
          <w:color w:val="auto"/>
          <w:kern w:val="2"/>
          <w:sz w:val="32"/>
          <w:szCs w:val="32"/>
          <w:highlight w:val="none"/>
          <w:lang w:val="en-US" w:eastAsia="zh-CN" w:bidi="ar-SA"/>
        </w:rPr>
        <w:t>、住房公积金</w:t>
      </w:r>
      <w:r>
        <w:rPr>
          <w:rFonts w:hint="eastAsia" w:eastAsia="仿宋_GB2312" w:cs="仿宋_GB2312"/>
          <w:color w:val="auto"/>
          <w:kern w:val="2"/>
          <w:sz w:val="32"/>
          <w:szCs w:val="32"/>
          <w:highlight w:val="none"/>
          <w:lang w:val="en-US" w:eastAsia="zh-CN" w:bidi="ar-SA"/>
        </w:rPr>
        <w:t>17.21万元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公用经费</w:t>
      </w:r>
      <w:r>
        <w:rPr>
          <w:rFonts w:hint="eastAsia" w:ascii="仿宋_GB2312" w:hAnsi="仿宋_GB2312" w:eastAsia="仿宋_GB2312" w:cs="仿宋_GB2312"/>
          <w:sz w:val="32"/>
          <w:szCs w:val="32"/>
          <w:lang w:val="en-US" w:eastAsia="zh-CN"/>
        </w:rPr>
        <w:t>12.75</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元，主要包括：办公费</w:t>
      </w:r>
      <w:r>
        <w:rPr>
          <w:rFonts w:hint="eastAsia" w:eastAsia="仿宋_GB2312" w:cs="仿宋_GB2312"/>
          <w:color w:val="auto"/>
          <w:kern w:val="2"/>
          <w:sz w:val="32"/>
          <w:szCs w:val="32"/>
          <w:highlight w:val="none"/>
          <w:lang w:val="en-US" w:eastAsia="zh-CN" w:bidi="ar-SA"/>
        </w:rPr>
        <w:t>3.32万元、水费0.1万元、邮电费3万元、差旅费1.11万元、维修（护）费0.61万元、委托业务费0.93万元、福利费0.36万元、</w:t>
      </w:r>
      <w:r>
        <w:rPr>
          <w:rFonts w:hint="eastAsia" w:ascii="Times New Roman" w:hAnsi="Times New Roman" w:eastAsia="仿宋_GB2312" w:cs="仿宋_GB2312"/>
          <w:color w:val="auto"/>
          <w:kern w:val="2"/>
          <w:sz w:val="32"/>
          <w:szCs w:val="32"/>
          <w:highlight w:val="none"/>
          <w:lang w:val="en-US" w:eastAsia="zh-CN" w:bidi="ar-SA"/>
        </w:rPr>
        <w:t>工会经费</w:t>
      </w:r>
      <w:r>
        <w:rPr>
          <w:rFonts w:hint="eastAsia" w:eastAsia="仿宋_GB2312" w:cs="仿宋_GB2312"/>
          <w:color w:val="auto"/>
          <w:kern w:val="2"/>
          <w:sz w:val="32"/>
          <w:szCs w:val="32"/>
          <w:highlight w:val="none"/>
          <w:lang w:val="en-US" w:eastAsia="zh-CN" w:bidi="ar-SA"/>
        </w:rPr>
        <w:t>1.52万元、其他商品和服务支出1.79万元</w:t>
      </w: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0"/>
        <w:outlineLvl w:val="1"/>
        <w:rPr>
          <w:rStyle w:val="30"/>
          <w:rFonts w:ascii="Times New Roman" w:hAnsi="Times New Roman" w:eastAsia="黑体"/>
          <w:b w:val="0"/>
          <w:color w:val="auto"/>
          <w:highlight w:val="none"/>
        </w:rPr>
      </w:pPr>
      <w:bookmarkStart w:id="36" w:name="_Toc15396609"/>
      <w:bookmarkStart w:id="37" w:name="_Toc15377215"/>
      <w:r>
        <w:rPr>
          <w:rFonts w:hint="eastAsia" w:ascii="Times New Roman" w:hAnsi="Times New Roman" w:eastAsia="黑体"/>
          <w:color w:val="auto"/>
          <w:sz w:val="32"/>
          <w:szCs w:val="32"/>
          <w:highlight w:val="none"/>
        </w:rPr>
        <w:t>七、</w:t>
      </w:r>
      <w:r>
        <w:rPr>
          <w:rStyle w:val="30"/>
          <w:rFonts w:hint="eastAsia" w:ascii="Times New Roman" w:hAnsi="Times New Roman" w:eastAsia="黑体"/>
          <w:b w:val="0"/>
          <w:color w:val="auto"/>
          <w:highlight w:val="none"/>
        </w:rPr>
        <w:t>财政拨款</w:t>
      </w:r>
      <w:r>
        <w:rPr>
          <w:rStyle w:val="30"/>
          <w:rFonts w:hint="eastAsia" w:ascii="Times New Roman" w:hAnsi="Times New Roman" w:eastAsia="黑体"/>
          <w:color w:val="auto"/>
          <w:highlight w:val="none"/>
        </w:rPr>
        <w:t>“</w:t>
      </w:r>
      <w:r>
        <w:rPr>
          <w:rStyle w:val="30"/>
          <w:rFonts w:hint="eastAsia" w:ascii="Times New Roman" w:hAnsi="Times New Roman" w:eastAsia="黑体"/>
          <w:b w:val="0"/>
          <w:color w:val="auto"/>
          <w:highlight w:val="none"/>
        </w:rPr>
        <w:t>三公”经费支出决算情况说明</w:t>
      </w:r>
      <w:bookmarkEnd w:id="36"/>
      <w:bookmarkEnd w:id="37"/>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8" w:name="_Toc15377216"/>
      <w:r>
        <w:rPr>
          <w:rFonts w:hint="eastAsia" w:ascii="Times New Roman" w:hAnsi="Times New Roman" w:eastAsia="楷体_GB2312" w:cs="楷体_GB2312"/>
          <w:b/>
          <w:color w:val="auto"/>
          <w:sz w:val="32"/>
          <w:szCs w:val="32"/>
          <w:highlight w:val="none"/>
        </w:rPr>
        <w:t>（一）“三公”经费财政拨款支出决算总体情况说明</w:t>
      </w:r>
      <w:bookmarkEnd w:id="38"/>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年度“三公”经费财政拨款支出决算为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9" w:name="_Toc15377217"/>
      <w:r>
        <w:rPr>
          <w:rFonts w:hint="eastAsia" w:ascii="Times New Roman" w:hAnsi="Times New Roman" w:eastAsia="楷体_GB2312" w:cs="楷体_GB2312"/>
          <w:b/>
          <w:color w:val="auto"/>
          <w:sz w:val="32"/>
          <w:szCs w:val="32"/>
          <w:highlight w:val="none"/>
        </w:rPr>
        <w:t>（二）“三公”经费财政拨款支出决算具体情况说明</w:t>
      </w:r>
      <w:bookmarkEnd w:id="39"/>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2025年度“三公”经费财政拨款支出决算中，因公出国（境）费支出决算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万元，公务用车购置及运行维护费支出决算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万元，公务接待费支出决算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1.因公出国（境）经费支出</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全年安排因公出国（境）团</w:t>
      </w:r>
      <w:r>
        <w:rPr>
          <w:rFonts w:hint="eastAsia" w:ascii="仿宋_GB2312" w:hAnsi="仿宋_GB2312" w:eastAsia="仿宋_GB2312" w:cs="仿宋_GB2312"/>
          <w:color w:val="auto"/>
          <w:kern w:val="2"/>
          <w:sz w:val="32"/>
          <w:szCs w:val="32"/>
          <w:highlight w:val="none"/>
          <w:lang w:val="en-US" w:eastAsia="zh-CN" w:bidi="ar-SA"/>
        </w:rPr>
        <w:t>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次，出国（境）</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人</w:t>
      </w: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0万</w:t>
      </w:r>
      <w:r>
        <w:rPr>
          <w:rFonts w:hint="eastAsia" w:ascii="Times New Roman" w:hAnsi="Times New Roman" w:eastAsia="仿宋_GB2312" w:cs="仿宋_GB2312"/>
          <w:b/>
          <w:bCs/>
          <w:color w:val="auto"/>
          <w:kern w:val="2"/>
          <w:sz w:val="32"/>
          <w:szCs w:val="32"/>
          <w:highlight w:val="none"/>
          <w:lang w:val="en-US" w:eastAsia="zh-CN" w:bidi="ar-SA"/>
        </w:rPr>
        <w:t>元</w:t>
      </w:r>
      <w:r>
        <w:rPr>
          <w:rFonts w:hint="eastAsia" w:eastAsia="仿宋_GB2312" w:cs="仿宋_GB2312"/>
          <w:b/>
          <w:bCs/>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0万</w:t>
      </w:r>
      <w:r>
        <w:rPr>
          <w:rFonts w:hint="eastAsia" w:ascii="Times New Roman" w:hAnsi="Times New Roman" w:eastAsia="仿宋_GB2312" w:cs="仿宋_GB2312"/>
          <w:b/>
          <w:bCs/>
          <w:color w:val="auto"/>
          <w:kern w:val="2"/>
          <w:sz w:val="32"/>
          <w:szCs w:val="32"/>
          <w:highlight w:val="none"/>
          <w:lang w:val="en-US" w:eastAsia="zh-CN" w:bidi="ar-SA"/>
        </w:rPr>
        <w:t>元</w:t>
      </w:r>
      <w:r>
        <w:rPr>
          <w:rFonts w:hint="eastAsia" w:eastAsia="仿宋_GB2312" w:cs="仿宋_GB2312"/>
          <w:b/>
          <w:bCs/>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40" w:name="_Toc15377218"/>
      <w:bookmarkStart w:id="41" w:name="_Toc15396610"/>
    </w:p>
    <w:p>
      <w:pPr>
        <w:spacing w:line="600" w:lineRule="exact"/>
        <w:ind w:firstLine="640"/>
        <w:outlineLvl w:val="1"/>
        <w:rPr>
          <w:rStyle w:val="30"/>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30"/>
          <w:rFonts w:hint="eastAsia" w:ascii="Times New Roman" w:hAnsi="Times New Roman" w:eastAsia="黑体"/>
          <w:b w:val="0"/>
          <w:color w:val="auto"/>
          <w:highlight w:val="none"/>
        </w:rPr>
        <w:t>政府性基金预算支出决算情况说明</w:t>
      </w:r>
      <w:bookmarkEnd w:id="40"/>
      <w:bookmarkEnd w:id="41"/>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2025年度政府性基金预算财政拨款支出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w:t>
      </w:r>
    </w:p>
    <w:p>
      <w:pPr>
        <w:numPr>
          <w:ilvl w:val="0"/>
          <w:numId w:val="0"/>
        </w:numPr>
        <w:spacing w:line="600" w:lineRule="exact"/>
        <w:ind w:left="630" w:leftChars="0"/>
        <w:outlineLvl w:val="1"/>
        <w:rPr>
          <w:rStyle w:val="30"/>
          <w:rFonts w:ascii="Times New Roman" w:hAnsi="Times New Roman" w:eastAsia="黑体"/>
          <w:b w:val="0"/>
          <w:color w:val="auto"/>
          <w:highlight w:val="none"/>
        </w:rPr>
      </w:pPr>
      <w:bookmarkStart w:id="42" w:name="_Toc15377219"/>
      <w:bookmarkStart w:id="43" w:name="_Toc15396611"/>
      <w:r>
        <w:rPr>
          <w:rStyle w:val="30"/>
          <w:rFonts w:hint="eastAsia" w:ascii="Times New Roman" w:hAnsi="Times New Roman" w:eastAsia="黑体"/>
          <w:b w:val="0"/>
          <w:color w:val="auto"/>
          <w:highlight w:val="none"/>
          <w:lang w:eastAsia="zh-CN"/>
        </w:rPr>
        <w:t>九、</w:t>
      </w:r>
      <w:r>
        <w:rPr>
          <w:rStyle w:val="30"/>
          <w:rFonts w:hint="eastAsia" w:ascii="Times New Roman" w:hAnsi="Times New Roman" w:eastAsia="黑体"/>
          <w:b w:val="0"/>
          <w:color w:val="auto"/>
          <w:highlight w:val="none"/>
        </w:rPr>
        <w:t>国有资本经营预算支出决算情况说明</w:t>
      </w:r>
      <w:bookmarkEnd w:id="42"/>
      <w:bookmarkEnd w:id="43"/>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年度国有资本经营预算财政拨款支出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w:t>
      </w:r>
    </w:p>
    <w:p>
      <w:pPr>
        <w:numPr>
          <w:ilvl w:val="0"/>
          <w:numId w:val="0"/>
        </w:numPr>
        <w:spacing w:line="600" w:lineRule="exact"/>
        <w:ind w:left="630" w:leftChars="0"/>
        <w:outlineLvl w:val="1"/>
        <w:rPr>
          <w:rStyle w:val="30"/>
          <w:rFonts w:hint="eastAsia" w:ascii="Times New Roman" w:hAnsi="Times New Roman" w:eastAsia="黑体"/>
          <w:b w:val="0"/>
          <w:color w:val="auto"/>
          <w:highlight w:val="none"/>
        </w:rPr>
      </w:pPr>
      <w:bookmarkStart w:id="44" w:name="_Toc15396612"/>
      <w:bookmarkStart w:id="45" w:name="_Toc15377221"/>
      <w:r>
        <w:rPr>
          <w:rStyle w:val="30"/>
          <w:rFonts w:hint="eastAsia" w:ascii="Times New Roman" w:hAnsi="Times New Roman" w:eastAsia="黑体"/>
          <w:b w:val="0"/>
          <w:color w:val="auto"/>
          <w:highlight w:val="none"/>
          <w:lang w:eastAsia="zh-CN"/>
        </w:rPr>
        <w:t>十、</w:t>
      </w:r>
      <w:r>
        <w:rPr>
          <w:rStyle w:val="30"/>
          <w:rFonts w:hint="eastAsia" w:ascii="Times New Roman" w:hAnsi="Times New Roman" w:eastAsia="黑体"/>
          <w:b w:val="0"/>
          <w:color w:val="auto"/>
          <w:highlight w:val="none"/>
        </w:rPr>
        <w:t>其他重要事项的情况说明</w:t>
      </w:r>
      <w:bookmarkEnd w:id="44"/>
      <w:bookmarkEnd w:id="45"/>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6" w:name="_Toc15377222"/>
      <w:r>
        <w:rPr>
          <w:rFonts w:hint="eastAsia" w:ascii="Times New Roman" w:hAnsi="Times New Roman" w:eastAsia="楷体_GB2312" w:cs="楷体_GB2312"/>
          <w:b/>
          <w:color w:val="auto"/>
          <w:sz w:val="32"/>
          <w:szCs w:val="32"/>
          <w:highlight w:val="none"/>
        </w:rPr>
        <w:t>（一）机关运行经费支出情况</w:t>
      </w:r>
      <w:bookmarkEnd w:id="46"/>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w:t>
      </w:r>
      <w:r>
        <w:rPr>
          <w:rFonts w:hint="eastAsia" w:ascii="仿宋_GB2312" w:hAnsi="仿宋_GB2312"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红原县委县政府联动指挥中心</w:t>
      </w:r>
      <w:r>
        <w:rPr>
          <w:rFonts w:hint="eastAsia" w:ascii="仿宋_GB2312" w:hAnsi="仿宋_GB2312"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w:t>
      </w:r>
      <w:r>
        <w:rPr>
          <w:rFonts w:hint="eastAsia" w:eastAsia="仿宋_GB2312" w:cs="仿宋_GB2312"/>
          <w:color w:val="auto"/>
          <w:kern w:val="2"/>
          <w:sz w:val="32"/>
          <w:szCs w:val="32"/>
          <w:highlight w:val="none"/>
          <w:lang w:val="en-US" w:eastAsia="zh-CN" w:bidi="ar-SA"/>
        </w:rPr>
        <w:t>。</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7" w:name="_Toc15377223"/>
      <w:r>
        <w:rPr>
          <w:rFonts w:hint="eastAsia" w:ascii="Times New Roman" w:hAnsi="Times New Roman" w:eastAsia="楷体_GB2312" w:cs="楷体_GB2312"/>
          <w:b/>
          <w:color w:val="auto"/>
          <w:sz w:val="32"/>
          <w:szCs w:val="32"/>
          <w:highlight w:val="none"/>
        </w:rPr>
        <w:t>（二）政府采购支出情况</w:t>
      </w:r>
      <w:bookmarkEnd w:id="47"/>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2025年度，</w:t>
      </w:r>
      <w:r>
        <w:rPr>
          <w:rFonts w:hint="eastAsia" w:ascii="仿宋_GB2312" w:hAnsi="仿宋_GB2312" w:eastAsia="仿宋_GB2312" w:cs="仿宋_GB2312"/>
          <w:sz w:val="32"/>
          <w:szCs w:val="32"/>
        </w:rPr>
        <w:t>红原县委县政府联动指挥中心</w:t>
      </w:r>
      <w:r>
        <w:rPr>
          <w:rFonts w:hint="eastAsia" w:ascii="仿宋_GB2312" w:hAnsi="仿宋_GB2312"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8" w:name="_Toc15377224"/>
      <w:r>
        <w:rPr>
          <w:rFonts w:hint="eastAsia" w:ascii="Times New Roman" w:hAnsi="Times New Roman" w:eastAsia="楷体_GB2312" w:cs="楷体_GB2312"/>
          <w:b/>
          <w:color w:val="auto"/>
          <w:sz w:val="32"/>
          <w:szCs w:val="32"/>
          <w:highlight w:val="none"/>
        </w:rPr>
        <w:t>（三）国有资产占有使用情况</w:t>
      </w:r>
      <w:bookmarkEnd w:id="48"/>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截至2025年12月31日，</w:t>
      </w:r>
      <w:r>
        <w:rPr>
          <w:rFonts w:hint="eastAsia" w:ascii="仿宋_GB2312" w:hAnsi="仿宋_GB2312" w:eastAsia="仿宋_GB2312" w:cs="仿宋_GB2312"/>
          <w:sz w:val="32"/>
          <w:szCs w:val="32"/>
        </w:rPr>
        <w:t>红原县委县政府联动指挥中心</w:t>
      </w:r>
      <w:r>
        <w:rPr>
          <w:rFonts w:hint="eastAsia" w:ascii="仿宋_GB2312" w:hAnsi="仿宋_GB2312"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w:t>
      </w: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根据预算绩效管理要求，</w:t>
      </w:r>
      <w:r>
        <w:rPr>
          <w:rFonts w:hint="eastAsia" w:eastAsia="仿宋_GB2312" w:cs="仿宋_GB2312"/>
          <w:color w:val="auto"/>
          <w:kern w:val="2"/>
          <w:sz w:val="32"/>
          <w:szCs w:val="32"/>
          <w:highlight w:val="none"/>
          <w:lang w:val="en-US" w:eastAsia="zh-CN" w:bidi="ar-SA"/>
        </w:rPr>
        <w:t>我中心</w:t>
      </w:r>
      <w:r>
        <w:rPr>
          <w:rFonts w:hint="eastAsia" w:ascii="Times New Roman" w:hAnsi="Times New Roman" w:eastAsia="仿宋_GB2312" w:cs="仿宋_GB2312"/>
          <w:color w:val="auto"/>
          <w:kern w:val="2"/>
          <w:sz w:val="32"/>
          <w:szCs w:val="32"/>
          <w:highlight w:val="none"/>
          <w:lang w:val="en-US" w:eastAsia="zh-CN" w:bidi="ar-SA"/>
        </w:rPr>
        <w:t>在202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年度预算编制阶段，组织对</w:t>
      </w:r>
      <w:r>
        <w:rPr>
          <w:rFonts w:hint="eastAsia" w:eastAsia="仿宋_GB2312" w:cs="仿宋_GB2312"/>
          <w:color w:val="auto"/>
          <w:kern w:val="2"/>
          <w:sz w:val="32"/>
          <w:szCs w:val="32"/>
          <w:highlight w:val="none"/>
          <w:lang w:val="en-US" w:eastAsia="zh-CN" w:bidi="ar-SA"/>
        </w:rPr>
        <w:t>微网实格、专项经费</w:t>
      </w:r>
      <w:r>
        <w:rPr>
          <w:rFonts w:hint="eastAsia" w:ascii="Times New Roman" w:hAnsi="Times New Roman" w:eastAsia="仿宋_GB2312" w:cs="仿宋_GB2312"/>
          <w:color w:val="auto"/>
          <w:kern w:val="2"/>
          <w:sz w:val="32"/>
          <w:szCs w:val="32"/>
          <w:highlight w:val="none"/>
          <w:lang w:val="en-US" w:eastAsia="zh-CN" w:bidi="ar-SA"/>
        </w:rPr>
        <w:t>等项目开展了预算事前绩效评估，对</w:t>
      </w:r>
      <w:r>
        <w:rPr>
          <w:rFonts w:hint="eastAsia" w:eastAsia="仿宋_GB2312" w:cs="仿宋_GB2312"/>
          <w:color w:val="auto"/>
          <w:kern w:val="2"/>
          <w:sz w:val="32"/>
          <w:szCs w:val="32"/>
          <w:highlight w:val="none"/>
          <w:lang w:val="en-US" w:eastAsia="zh-CN" w:bidi="ar-SA"/>
        </w:rPr>
        <w:t>2</w:t>
      </w:r>
      <w:r>
        <w:rPr>
          <w:rFonts w:hint="eastAsia" w:ascii="Times New Roman" w:hAnsi="Times New Roman" w:eastAsia="仿宋_GB2312" w:cs="仿宋_GB2312"/>
          <w:color w:val="auto"/>
          <w:kern w:val="2"/>
          <w:sz w:val="32"/>
          <w:szCs w:val="32"/>
          <w:highlight w:val="none"/>
          <w:lang w:val="en-US" w:eastAsia="zh-CN" w:bidi="ar-SA"/>
        </w:rPr>
        <w:t>个项目编制了绩效目标，预算执行过程中，选取</w:t>
      </w:r>
      <w:r>
        <w:rPr>
          <w:rFonts w:hint="eastAsia"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en-US" w:eastAsia="zh-CN" w:bidi="ar-SA"/>
        </w:rPr>
        <w:t>个项目开展绩效监控。</w:t>
      </w:r>
    </w:p>
    <w:p>
      <w:pPr>
        <w:keepNext w:val="0"/>
        <w:keepLines w:val="0"/>
        <w:pageBreakBefore w:val="0"/>
        <w:widowControl/>
        <w:kinsoku/>
        <w:wordWrap/>
        <w:overflowPunct/>
        <w:topLinePunct w:val="0"/>
        <w:autoSpaceDE/>
        <w:autoSpaceDN/>
        <w:bidi w:val="0"/>
        <w:adjustRightInd/>
        <w:snapToGrid/>
        <w:spacing w:line="576"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我中心</w:t>
      </w:r>
      <w:r>
        <w:rPr>
          <w:rFonts w:hint="eastAsia" w:ascii="仿宋" w:hAnsi="仿宋" w:eastAsia="仿宋" w:cs="仿宋"/>
          <w:sz w:val="32"/>
          <w:szCs w:val="32"/>
        </w:rPr>
        <w:t>按要求对202</w:t>
      </w:r>
      <w:r>
        <w:rPr>
          <w:rFonts w:hint="eastAsia" w:ascii="仿宋" w:hAnsi="仿宋" w:eastAsia="仿宋" w:cs="仿宋"/>
          <w:sz w:val="32"/>
          <w:szCs w:val="32"/>
          <w:lang w:val="en-US" w:eastAsia="zh-CN"/>
        </w:rPr>
        <w:t>5</w:t>
      </w:r>
      <w:r>
        <w:rPr>
          <w:rFonts w:hint="eastAsia" w:ascii="仿宋" w:hAnsi="仿宋" w:eastAsia="仿宋" w:cs="仿宋"/>
          <w:sz w:val="32"/>
          <w:szCs w:val="32"/>
        </w:rPr>
        <w:t>年部门整体支出开展绩效自评，从评价情况来看</w:t>
      </w:r>
      <w:r>
        <w:rPr>
          <w:rFonts w:hint="eastAsia" w:ascii="仿宋" w:hAnsi="仿宋" w:eastAsia="仿宋" w:cs="仿宋"/>
          <w:color w:val="000000"/>
          <w:sz w:val="32"/>
          <w:szCs w:val="32"/>
        </w:rPr>
        <w:t>从评价情况来看</w:t>
      </w:r>
      <w:r>
        <w:rPr>
          <w:rFonts w:hint="eastAsia" w:ascii="仿宋" w:hAnsi="仿宋" w:eastAsia="仿宋" w:cs="仿宋"/>
          <w:color w:val="000000"/>
          <w:sz w:val="32"/>
          <w:szCs w:val="32"/>
          <w:lang w:eastAsia="zh-CN"/>
        </w:rPr>
        <w:t>完成效果较好</w:t>
      </w:r>
      <w:r>
        <w:rPr>
          <w:rFonts w:hint="eastAsia" w:ascii="仿宋" w:hAnsi="仿宋" w:eastAsia="仿宋" w:cs="仿宋"/>
          <w:color w:val="000000"/>
          <w:sz w:val="32"/>
          <w:szCs w:val="32"/>
        </w:rPr>
        <w:t>。</w:t>
      </w:r>
      <w:r>
        <w:rPr>
          <w:rFonts w:hint="eastAsia" w:ascii="仿宋" w:hAnsi="仿宋" w:eastAsia="仿宋" w:cs="仿宋"/>
          <w:color w:val="000000"/>
          <w:sz w:val="32"/>
          <w:szCs w:val="32"/>
          <w:lang w:val="en-US" w:eastAsia="zh-CN"/>
        </w:rPr>
        <w:t>中心</w:t>
      </w:r>
      <w:r>
        <w:rPr>
          <w:rFonts w:hint="eastAsia" w:ascii="仿宋" w:hAnsi="仿宋" w:eastAsia="仿宋" w:cs="仿宋"/>
          <w:color w:val="000000"/>
          <w:sz w:val="32"/>
          <w:szCs w:val="32"/>
        </w:rPr>
        <w:t>还自行组织了</w:t>
      </w:r>
      <w:r>
        <w:rPr>
          <w:rFonts w:hint="eastAsia" w:ascii="仿宋" w:hAnsi="仿宋" w:eastAsia="仿宋" w:cs="仿宋"/>
          <w:color w:val="000000"/>
          <w:sz w:val="32"/>
          <w:szCs w:val="32"/>
          <w:lang w:val="en-US" w:eastAsia="zh-CN"/>
        </w:rPr>
        <w:t>1</w:t>
      </w:r>
      <w:r>
        <w:rPr>
          <w:rFonts w:hint="eastAsia" w:ascii="仿宋" w:hAnsi="仿宋" w:eastAsia="仿宋" w:cs="仿宋"/>
          <w:color w:val="000000"/>
          <w:sz w:val="32"/>
          <w:szCs w:val="32"/>
        </w:rPr>
        <w:t>个项目支出绩效评价，从评价情况来看</w:t>
      </w:r>
      <w:r>
        <w:rPr>
          <w:rFonts w:hint="eastAsia" w:ascii="仿宋" w:hAnsi="仿宋" w:eastAsia="仿宋" w:cs="仿宋"/>
          <w:color w:val="000000"/>
          <w:sz w:val="32"/>
          <w:szCs w:val="32"/>
          <w:lang w:eastAsia="zh-CN"/>
        </w:rPr>
        <w:t>完成情况较好。</w:t>
      </w:r>
      <w:r>
        <w:rPr>
          <w:rFonts w:hint="eastAsia" w:ascii="仿宋" w:hAnsi="仿宋" w:eastAsia="仿宋" w:cs="仿宋"/>
          <w:sz w:val="32"/>
          <w:szCs w:val="32"/>
        </w:rPr>
        <w:t>202</w:t>
      </w:r>
      <w:r>
        <w:rPr>
          <w:rFonts w:hint="eastAsia" w:ascii="仿宋" w:hAnsi="仿宋" w:eastAsia="仿宋" w:cs="仿宋"/>
          <w:sz w:val="32"/>
          <w:szCs w:val="32"/>
          <w:lang w:val="en-US" w:eastAsia="zh-CN"/>
        </w:rPr>
        <w:t>5</w:t>
      </w:r>
      <w:r>
        <w:rPr>
          <w:rFonts w:hint="eastAsia" w:ascii="仿宋" w:hAnsi="仿宋" w:eastAsia="仿宋" w:cs="仿宋"/>
          <w:sz w:val="32"/>
          <w:szCs w:val="32"/>
        </w:rPr>
        <w:t>年特定目标类部门预算项目绩效目标自评表见附件。</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49" w:name="_Toc15396613"/>
      <w:bookmarkStart w:id="50" w:name="_Toc15377225"/>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p>
    <w:bookmarkEnd w:id="49"/>
    <w:bookmarkEnd w:id="50"/>
    <w:p>
      <w:pPr>
        <w:numPr>
          <w:ilvl w:val="0"/>
          <w:numId w:val="0"/>
        </w:numPr>
        <w:spacing w:line="600" w:lineRule="exact"/>
        <w:jc w:val="center"/>
        <w:outlineLvl w:val="0"/>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p>
    <w:p>
      <w:pPr>
        <w:spacing w:line="600" w:lineRule="exact"/>
        <w:jc w:val="left"/>
        <w:rPr>
          <w:rFonts w:ascii="Times New Roman" w:hAnsi="Times New Roman"/>
          <w:b/>
          <w:color w:val="auto"/>
          <w:sz w:val="44"/>
          <w:szCs w:val="44"/>
          <w:highlight w:val="none"/>
        </w:rPr>
      </w:pPr>
    </w:p>
    <w:p>
      <w:pPr>
        <w:pStyle w:val="27"/>
        <w:pageBreakBefore w:val="0"/>
        <w:kinsoku/>
        <w:wordWrap/>
        <w:overflowPunct/>
        <w:topLinePunct w:val="0"/>
        <w:bidi w:val="0"/>
        <w:spacing w:line="576" w:lineRule="exact"/>
        <w:ind w:firstLine="640" w:firstLineChars="200"/>
        <w:rPr>
          <w:rFonts w:ascii="仿宋_GB2312" w:eastAsia="仿宋_GB2312"/>
          <w:color w:val="auto"/>
          <w:sz w:val="32"/>
          <w:szCs w:val="32"/>
        </w:rPr>
      </w:pPr>
      <w:r>
        <w:rPr>
          <w:rFonts w:ascii="仿宋_GB2312" w:eastAsia="仿宋_GB2312"/>
          <w:color w:val="auto"/>
          <w:sz w:val="32"/>
          <w:szCs w:val="32"/>
        </w:rPr>
        <w:t>1.</w:t>
      </w:r>
      <w:r>
        <w:rPr>
          <w:rFonts w:hint="eastAsia" w:ascii="仿宋_GB2312" w:eastAsia="仿宋_GB2312"/>
          <w:color w:val="auto"/>
          <w:sz w:val="32"/>
          <w:szCs w:val="32"/>
        </w:rPr>
        <w:t>财政拨款收入：指单位从同级财政部门取得的财政预算资金。</w:t>
      </w:r>
    </w:p>
    <w:p>
      <w:pPr>
        <w:pStyle w:val="27"/>
        <w:pageBreakBefore w:val="0"/>
        <w:kinsoku/>
        <w:wordWrap/>
        <w:overflowPunct/>
        <w:topLinePunct w:val="0"/>
        <w:bidi w:val="0"/>
        <w:spacing w:line="576" w:lineRule="exact"/>
        <w:ind w:firstLine="640" w:firstLineChars="200"/>
        <w:rPr>
          <w:rFonts w:ascii="仿宋_GB2312" w:eastAsia="仿宋_GB2312"/>
          <w:color w:val="auto"/>
          <w:sz w:val="32"/>
          <w:szCs w:val="32"/>
        </w:rPr>
      </w:pPr>
      <w:r>
        <w:rPr>
          <w:rFonts w:ascii="仿宋_GB2312" w:eastAsia="仿宋_GB2312"/>
          <w:color w:val="auto"/>
          <w:sz w:val="32"/>
          <w:szCs w:val="32"/>
        </w:rPr>
        <w:t>2.</w:t>
      </w:r>
      <w:r>
        <w:rPr>
          <w:rFonts w:hint="eastAsia" w:ascii="仿宋_GB2312" w:eastAsia="仿宋_GB2312"/>
          <w:color w:val="auto"/>
          <w:sz w:val="32"/>
          <w:szCs w:val="32"/>
        </w:rPr>
        <w:t>事业收入：指事业单位开展专业业务活动及辅助活动取得的收入。如…（二级预算单位事业收入情况）等。</w:t>
      </w:r>
    </w:p>
    <w:p>
      <w:pPr>
        <w:pStyle w:val="27"/>
        <w:pageBreakBefore w:val="0"/>
        <w:kinsoku/>
        <w:wordWrap/>
        <w:overflowPunct/>
        <w:topLinePunct w:val="0"/>
        <w:bidi w:val="0"/>
        <w:spacing w:line="576" w:lineRule="exact"/>
        <w:ind w:firstLine="640" w:firstLineChars="200"/>
        <w:rPr>
          <w:rFonts w:ascii="仿宋_GB2312" w:eastAsia="仿宋_GB2312"/>
          <w:color w:val="auto"/>
          <w:sz w:val="32"/>
          <w:szCs w:val="32"/>
        </w:rPr>
      </w:pPr>
      <w:r>
        <w:rPr>
          <w:rFonts w:ascii="仿宋_GB2312" w:eastAsia="仿宋_GB2312"/>
          <w:color w:val="auto"/>
          <w:sz w:val="32"/>
          <w:szCs w:val="32"/>
        </w:rPr>
        <w:t>3.</w:t>
      </w:r>
      <w:r>
        <w:rPr>
          <w:rFonts w:hint="eastAsia" w:ascii="仿宋_GB2312" w:eastAsia="仿宋_GB2312"/>
          <w:color w:val="auto"/>
          <w:sz w:val="32"/>
          <w:szCs w:val="32"/>
        </w:rPr>
        <w:t>经营收入：指事业单位在专业业务活动及其辅助活动之外开展非独立核算经营活动取得的收入。如…（二级预算单位经营收入情况）等。</w:t>
      </w:r>
    </w:p>
    <w:p>
      <w:pPr>
        <w:pStyle w:val="27"/>
        <w:pageBreakBefore w:val="0"/>
        <w:kinsoku/>
        <w:wordWrap/>
        <w:overflowPunct/>
        <w:topLinePunct w:val="0"/>
        <w:bidi w:val="0"/>
        <w:spacing w:line="576" w:lineRule="exact"/>
        <w:ind w:firstLine="640" w:firstLineChars="200"/>
        <w:rPr>
          <w:rFonts w:ascii="仿宋_GB2312" w:eastAsia="仿宋_GB2312"/>
          <w:color w:val="auto"/>
          <w:sz w:val="32"/>
          <w:szCs w:val="32"/>
        </w:rPr>
      </w:pPr>
      <w:r>
        <w:rPr>
          <w:rFonts w:ascii="仿宋_GB2312" w:eastAsia="仿宋_GB2312"/>
          <w:color w:val="auto"/>
          <w:sz w:val="32"/>
          <w:szCs w:val="32"/>
        </w:rPr>
        <w:t>4.</w:t>
      </w:r>
      <w:r>
        <w:rPr>
          <w:rFonts w:hint="eastAsia" w:ascii="仿宋_GB2312" w:eastAsia="仿宋_GB2312"/>
          <w:color w:val="auto"/>
          <w:sz w:val="32"/>
          <w:szCs w:val="32"/>
        </w:rPr>
        <w:t>其他收入：指单位取得的除上述收入以外的各项收入。主要是…（收入类型）等。</w:t>
      </w:r>
      <w:r>
        <w:rPr>
          <w:rFonts w:ascii="仿宋_GB2312" w:eastAsia="仿宋_GB2312"/>
          <w:color w:val="auto"/>
          <w:sz w:val="32"/>
          <w:szCs w:val="32"/>
        </w:rPr>
        <w:t xml:space="preserve"> </w:t>
      </w:r>
    </w:p>
    <w:p>
      <w:pPr>
        <w:pStyle w:val="27"/>
        <w:pageBreakBefore w:val="0"/>
        <w:kinsoku/>
        <w:wordWrap/>
        <w:overflowPunct/>
        <w:topLinePunct w:val="0"/>
        <w:bidi w:val="0"/>
        <w:spacing w:line="576" w:lineRule="exact"/>
        <w:ind w:firstLine="640" w:firstLineChars="200"/>
        <w:rPr>
          <w:rFonts w:ascii="仿宋_GB2312" w:eastAsia="仿宋_GB2312"/>
          <w:color w:val="auto"/>
          <w:sz w:val="32"/>
          <w:szCs w:val="32"/>
        </w:rPr>
      </w:pPr>
      <w:r>
        <w:rPr>
          <w:rFonts w:ascii="仿宋_GB2312" w:eastAsia="仿宋_GB2312"/>
          <w:color w:val="auto"/>
          <w:sz w:val="32"/>
          <w:szCs w:val="32"/>
        </w:rPr>
        <w:t>5.</w:t>
      </w:r>
      <w:r>
        <w:rPr>
          <w:rFonts w:hint="eastAsia" w:ascii="仿宋_GB2312" w:eastAsia="仿宋_GB2312"/>
          <w:color w:val="auto"/>
          <w:sz w:val="32"/>
          <w:szCs w:val="32"/>
        </w:rPr>
        <w:t>使用非财政拨款结余：指事业单位使用以前年度积累的非财政拨款结余弥补当年收支差额的金额。</w:t>
      </w:r>
      <w:r>
        <w:rPr>
          <w:rFonts w:ascii="仿宋_GB2312" w:eastAsia="仿宋_GB2312"/>
          <w:color w:val="auto"/>
          <w:sz w:val="32"/>
          <w:szCs w:val="32"/>
        </w:rPr>
        <w:t xml:space="preserve"> </w:t>
      </w:r>
    </w:p>
    <w:p>
      <w:pPr>
        <w:pStyle w:val="27"/>
        <w:pageBreakBefore w:val="0"/>
        <w:kinsoku/>
        <w:wordWrap/>
        <w:overflowPunct/>
        <w:topLinePunct w:val="0"/>
        <w:bidi w:val="0"/>
        <w:spacing w:line="576" w:lineRule="exact"/>
        <w:ind w:firstLine="640" w:firstLineChars="200"/>
        <w:rPr>
          <w:rFonts w:ascii="仿宋_GB2312" w:eastAsia="仿宋_GB2312"/>
          <w:color w:val="auto"/>
          <w:sz w:val="32"/>
          <w:szCs w:val="32"/>
        </w:rPr>
      </w:pPr>
      <w:r>
        <w:rPr>
          <w:rFonts w:ascii="仿宋_GB2312" w:eastAsia="仿宋_GB2312"/>
          <w:color w:val="auto"/>
          <w:sz w:val="32"/>
          <w:szCs w:val="32"/>
        </w:rPr>
        <w:t>6.</w:t>
      </w:r>
      <w:r>
        <w:rPr>
          <w:rFonts w:hint="eastAsia" w:ascii="仿宋_GB2312" w:eastAsia="仿宋_GB2312"/>
          <w:color w:val="auto"/>
          <w:sz w:val="32"/>
          <w:szCs w:val="32"/>
        </w:rPr>
        <w:t>年初结转和结余：指以前年度尚未完成、结转到本年按有关规定继续使用的资金。</w:t>
      </w:r>
      <w:r>
        <w:rPr>
          <w:rFonts w:ascii="仿宋_GB2312" w:eastAsia="仿宋_GB2312"/>
          <w:color w:val="auto"/>
          <w:sz w:val="32"/>
          <w:szCs w:val="32"/>
        </w:rPr>
        <w:t xml:space="preserve"> </w:t>
      </w:r>
    </w:p>
    <w:p>
      <w:pPr>
        <w:pStyle w:val="27"/>
        <w:pageBreakBefore w:val="0"/>
        <w:kinsoku/>
        <w:wordWrap/>
        <w:overflowPunct/>
        <w:topLinePunct w:val="0"/>
        <w:bidi w:val="0"/>
        <w:spacing w:line="576" w:lineRule="exact"/>
        <w:ind w:firstLine="640" w:firstLineChars="200"/>
        <w:rPr>
          <w:rFonts w:ascii="仿宋_GB2312" w:eastAsia="仿宋_GB2312"/>
          <w:color w:val="auto"/>
          <w:sz w:val="32"/>
          <w:szCs w:val="32"/>
        </w:rPr>
      </w:pPr>
      <w:r>
        <w:rPr>
          <w:rFonts w:ascii="仿宋_GB2312" w:eastAsia="仿宋_GB2312"/>
          <w:color w:val="auto"/>
          <w:sz w:val="32"/>
          <w:szCs w:val="32"/>
        </w:rPr>
        <w:t>7.</w:t>
      </w:r>
      <w:r>
        <w:rPr>
          <w:rFonts w:hint="eastAsia" w:ascii="仿宋_GB2312" w:eastAsia="仿宋_GB2312"/>
          <w:color w:val="auto"/>
          <w:sz w:val="32"/>
          <w:szCs w:val="32"/>
        </w:rPr>
        <w:t>结余分配：指事业单位按照会计制度规定缴纳的所得税、提取的专用结余以及转入非财政拨款结余的金额等。</w:t>
      </w:r>
    </w:p>
    <w:p>
      <w:pPr>
        <w:pStyle w:val="27"/>
        <w:pageBreakBefore w:val="0"/>
        <w:kinsoku/>
        <w:wordWrap/>
        <w:overflowPunct/>
        <w:topLinePunct w:val="0"/>
        <w:bidi w:val="0"/>
        <w:spacing w:line="576" w:lineRule="exact"/>
        <w:ind w:firstLine="640" w:firstLineChars="200"/>
        <w:rPr>
          <w:rFonts w:ascii="仿宋_GB2312" w:eastAsia="仿宋_GB2312"/>
          <w:color w:val="auto"/>
          <w:sz w:val="32"/>
          <w:szCs w:val="32"/>
        </w:rPr>
      </w:pPr>
      <w:r>
        <w:rPr>
          <w:rFonts w:ascii="仿宋_GB2312" w:eastAsia="仿宋_GB2312"/>
          <w:color w:val="auto"/>
          <w:sz w:val="32"/>
          <w:szCs w:val="32"/>
        </w:rPr>
        <w:t>8</w:t>
      </w:r>
      <w:r>
        <w:rPr>
          <w:rFonts w:hint="eastAsia" w:ascii="仿宋_GB2312" w:eastAsia="仿宋_GB2312"/>
          <w:color w:val="auto"/>
          <w:sz w:val="32"/>
          <w:szCs w:val="32"/>
        </w:rPr>
        <w:t>、年末结转和结余：指单位按有关规定结转到下年或以后年度继续使用的资金。</w:t>
      </w:r>
    </w:p>
    <w:p>
      <w:pPr>
        <w:keepNext w:val="0"/>
        <w:keepLines w:val="0"/>
        <w:widowControl w:val="0"/>
        <w:suppressLineNumbers w:val="0"/>
        <w:autoSpaceDE w:val="0"/>
        <w:autoSpaceDN/>
        <w:spacing w:before="0" w:beforeAutospacing="0" w:line="576" w:lineRule="exact"/>
        <w:ind w:left="0" w:firstLine="640" w:firstLineChars="200"/>
        <w:jc w:val="both"/>
        <w:rPr>
          <w:rFonts w:hint="default" w:ascii="仿宋_GB2312" w:eastAsia="仿宋_GB2312" w:cs="仿宋_GB2312"/>
          <w:color w:val="000000"/>
          <w:kern w:val="0"/>
          <w:sz w:val="32"/>
          <w:szCs w:val="32"/>
        </w:rPr>
      </w:pPr>
      <w:r>
        <w:rPr>
          <w:rFonts w:hint="default" w:ascii="仿宋_GB2312" w:eastAsia="仿宋_GB2312" w:cs="仿宋_GB2312"/>
          <w:color w:val="000000"/>
          <w:kern w:val="0"/>
          <w:sz w:val="32"/>
          <w:szCs w:val="32"/>
        </w:rPr>
        <w:t>9.一般公共服务201类20103款2010350项事业支出指事业人员工资支出。</w:t>
      </w:r>
    </w:p>
    <w:p>
      <w:pPr>
        <w:keepNext w:val="0"/>
        <w:keepLines w:val="0"/>
        <w:widowControl w:val="0"/>
        <w:suppressLineNumbers w:val="0"/>
        <w:autoSpaceDE w:val="0"/>
        <w:autoSpaceDN/>
        <w:spacing w:before="0" w:beforeAutospacing="0" w:line="576" w:lineRule="exact"/>
        <w:ind w:left="0" w:firstLine="640" w:firstLineChars="200"/>
        <w:jc w:val="both"/>
        <w:rPr>
          <w:rFonts w:hint="default" w:ascii="仿宋_GB2312" w:eastAsia="仿宋_GB2312" w:cs="仿宋_GB2312"/>
          <w:color w:val="000000"/>
          <w:kern w:val="0"/>
          <w:sz w:val="32"/>
          <w:szCs w:val="32"/>
        </w:rPr>
      </w:pPr>
      <w:r>
        <w:rPr>
          <w:rFonts w:hint="default" w:ascii="仿宋_GB2312" w:eastAsia="仿宋_GB2312" w:cs="仿宋_GB2312"/>
          <w:color w:val="000000"/>
          <w:kern w:val="0"/>
          <w:sz w:val="32"/>
          <w:szCs w:val="32"/>
        </w:rPr>
        <w:t>10.公共安全204类20499款2049901项其他公共安全支出指项目支出，维稳机动金支出。</w:t>
      </w:r>
    </w:p>
    <w:p>
      <w:pPr>
        <w:keepNext w:val="0"/>
        <w:keepLines w:val="0"/>
        <w:widowControl w:val="0"/>
        <w:suppressLineNumbers w:val="0"/>
        <w:autoSpaceDE w:val="0"/>
        <w:autoSpaceDN/>
        <w:spacing w:before="0" w:beforeAutospacing="0" w:line="576" w:lineRule="exact"/>
        <w:ind w:left="0" w:firstLine="640" w:firstLineChars="200"/>
        <w:jc w:val="both"/>
        <w:rPr>
          <w:rFonts w:hint="default" w:ascii="仿宋_GB2312" w:eastAsia="仿宋_GB2312" w:cs="仿宋_GB2312"/>
          <w:color w:val="000000"/>
          <w:kern w:val="0"/>
          <w:sz w:val="32"/>
          <w:szCs w:val="32"/>
        </w:rPr>
      </w:pPr>
      <w:r>
        <w:rPr>
          <w:rFonts w:hint="default" w:ascii="仿宋_GB2312" w:eastAsia="仿宋_GB2312" w:cs="仿宋_GB2312"/>
          <w:color w:val="000000"/>
          <w:kern w:val="0"/>
          <w:sz w:val="32"/>
          <w:szCs w:val="32"/>
        </w:rPr>
        <w:t>11.社会保障和就业208类20805款2080505项指机关事业单位基本养老保险缴费支出。2020506指机关事业单位职业年金缴费支出。</w:t>
      </w:r>
    </w:p>
    <w:p>
      <w:pPr>
        <w:keepNext w:val="0"/>
        <w:keepLines w:val="0"/>
        <w:widowControl w:val="0"/>
        <w:suppressLineNumbers w:val="0"/>
        <w:autoSpaceDE w:val="0"/>
        <w:autoSpaceDN/>
        <w:spacing w:before="0" w:beforeAutospacing="0" w:line="576" w:lineRule="exact"/>
        <w:ind w:left="0" w:firstLine="640" w:firstLineChars="200"/>
        <w:jc w:val="both"/>
        <w:rPr>
          <w:rFonts w:hint="default" w:ascii="仿宋_GB2312" w:eastAsia="仿宋_GB2312" w:cs="仿宋_GB2312"/>
          <w:color w:val="000000"/>
          <w:kern w:val="0"/>
          <w:sz w:val="32"/>
          <w:szCs w:val="32"/>
        </w:rPr>
      </w:pPr>
      <w:r>
        <w:rPr>
          <w:rFonts w:hint="default" w:ascii="仿宋_GB2312" w:eastAsia="仿宋_GB2312" w:cs="仿宋_GB2312"/>
          <w:color w:val="000000"/>
          <w:kern w:val="0"/>
          <w:sz w:val="32"/>
          <w:szCs w:val="32"/>
        </w:rPr>
        <w:t>12.卫生健康支出210类21011款2101102项指事业单位医疗支出，2101199指其他行政事业单位医疗支出。</w:t>
      </w:r>
    </w:p>
    <w:p>
      <w:pPr>
        <w:keepNext w:val="0"/>
        <w:keepLines w:val="0"/>
        <w:widowControl w:val="0"/>
        <w:suppressLineNumbers w:val="0"/>
        <w:autoSpaceDE w:val="0"/>
        <w:autoSpaceDN/>
        <w:spacing w:before="0" w:beforeAutospacing="0" w:line="576" w:lineRule="exact"/>
        <w:ind w:left="0" w:firstLine="640" w:firstLineChars="200"/>
        <w:jc w:val="both"/>
        <w:rPr>
          <w:rFonts w:hint="default" w:ascii="仿宋_GB2312" w:eastAsia="仿宋_GB2312" w:cs="仿宋_GB2312"/>
          <w:color w:val="000000"/>
          <w:kern w:val="0"/>
          <w:sz w:val="32"/>
          <w:szCs w:val="32"/>
        </w:rPr>
      </w:pPr>
      <w:r>
        <w:rPr>
          <w:rFonts w:hint="default" w:ascii="仿宋_GB2312" w:eastAsia="仿宋_GB2312" w:cs="仿宋_GB2312"/>
          <w:color w:val="000000"/>
          <w:kern w:val="0"/>
          <w:sz w:val="32"/>
          <w:szCs w:val="32"/>
        </w:rPr>
        <w:t>13.住房保障221类22102款2210201项指住房公积金支出。</w:t>
      </w:r>
    </w:p>
    <w:p>
      <w:pPr>
        <w:pageBreakBefore w:val="0"/>
        <w:kinsoku/>
        <w:wordWrap/>
        <w:overflowPunct/>
        <w:topLinePunct w:val="0"/>
        <w:bidi w:val="0"/>
        <w:spacing w:line="576" w:lineRule="exact"/>
        <w:ind w:firstLine="640" w:firstLineChars="200"/>
        <w:rPr>
          <w:rFonts w:ascii="仿宋_GB2312" w:eastAsia="仿宋_GB2312"/>
          <w:sz w:val="32"/>
          <w:szCs w:val="32"/>
        </w:rPr>
      </w:pPr>
      <w:r>
        <w:rPr>
          <w:rFonts w:hint="eastAsia" w:ascii="仿宋_GB2312" w:eastAsia="仿宋_GB2312"/>
          <w:sz w:val="32"/>
          <w:szCs w:val="32"/>
          <w:lang w:val="en-US" w:eastAsia="zh-CN"/>
        </w:rPr>
        <w:t>14</w:t>
      </w:r>
      <w:r>
        <w:rPr>
          <w:rFonts w:ascii="仿宋_GB2312" w:eastAsia="仿宋_GB2312"/>
          <w:sz w:val="32"/>
          <w:szCs w:val="32"/>
        </w:rPr>
        <w:t>.</w:t>
      </w:r>
      <w:r>
        <w:rPr>
          <w:rFonts w:hint="eastAsia" w:ascii="仿宋_GB2312" w:eastAsia="仿宋_GB2312"/>
          <w:sz w:val="32"/>
          <w:szCs w:val="32"/>
        </w:rPr>
        <w:t>基本支出：指为保障机构正常运转、完成日常工作任务而发生的人员支出和公用支出。</w:t>
      </w:r>
    </w:p>
    <w:p>
      <w:pPr>
        <w:pageBreakBefore w:val="0"/>
        <w:kinsoku/>
        <w:wordWrap/>
        <w:overflowPunct/>
        <w:topLinePunct w:val="0"/>
        <w:bidi w:val="0"/>
        <w:spacing w:line="576" w:lineRule="exact"/>
        <w:ind w:firstLine="640" w:firstLineChars="200"/>
        <w:rPr>
          <w:rFonts w:ascii="仿宋_GB2312" w:eastAsia="仿宋_GB2312"/>
          <w:sz w:val="32"/>
          <w:szCs w:val="32"/>
        </w:rPr>
      </w:pPr>
      <w:r>
        <w:rPr>
          <w:rFonts w:hint="eastAsia" w:ascii="仿宋_GB2312" w:eastAsia="仿宋_GB2312"/>
          <w:sz w:val="32"/>
          <w:szCs w:val="32"/>
          <w:lang w:val="en-US" w:eastAsia="zh-CN"/>
        </w:rPr>
        <w:t>15</w:t>
      </w:r>
      <w:r>
        <w:rPr>
          <w:rFonts w:ascii="仿宋_GB2312" w:eastAsia="仿宋_GB2312"/>
          <w:sz w:val="32"/>
          <w:szCs w:val="32"/>
        </w:rPr>
        <w:t>.</w:t>
      </w:r>
      <w:r>
        <w:rPr>
          <w:rFonts w:hint="eastAsia" w:ascii="仿宋_GB2312" w:eastAsia="仿宋_GB2312"/>
          <w:sz w:val="32"/>
          <w:szCs w:val="32"/>
        </w:rPr>
        <w:t>项目支出：指在基本支出之外为完成特定行政任务和事业发展目标所发生的支出。</w:t>
      </w:r>
      <w:r>
        <w:rPr>
          <w:rFonts w:ascii="仿宋_GB2312" w:eastAsia="仿宋_GB2312"/>
          <w:sz w:val="32"/>
          <w:szCs w:val="32"/>
        </w:rPr>
        <w:t xml:space="preserve"> </w:t>
      </w:r>
    </w:p>
    <w:p>
      <w:pPr>
        <w:pageBreakBefore w:val="0"/>
        <w:kinsoku/>
        <w:wordWrap/>
        <w:overflowPunct/>
        <w:topLinePunct w:val="0"/>
        <w:bidi w:val="0"/>
        <w:spacing w:line="576" w:lineRule="exact"/>
        <w:ind w:firstLine="640" w:firstLineChars="200"/>
        <w:rPr>
          <w:rFonts w:ascii="仿宋_GB2312" w:eastAsia="仿宋_GB2312"/>
          <w:sz w:val="32"/>
          <w:szCs w:val="32"/>
        </w:rPr>
      </w:pPr>
      <w:r>
        <w:rPr>
          <w:rFonts w:hint="eastAsia" w:ascii="仿宋_GB2312" w:eastAsia="仿宋_GB2312"/>
          <w:sz w:val="32"/>
          <w:szCs w:val="32"/>
          <w:lang w:val="en-US" w:eastAsia="zh-CN"/>
        </w:rPr>
        <w:t>16</w:t>
      </w:r>
      <w:r>
        <w:rPr>
          <w:rFonts w:ascii="仿宋_GB2312" w:eastAsia="仿宋_GB2312"/>
          <w:sz w:val="32"/>
          <w:szCs w:val="32"/>
        </w:rPr>
        <w:t>.</w:t>
      </w:r>
      <w:r>
        <w:rPr>
          <w:rFonts w:hint="eastAsia" w:ascii="仿宋_GB2312" w:eastAsia="仿宋_GB2312"/>
          <w:sz w:val="32"/>
          <w:szCs w:val="32"/>
        </w:rPr>
        <w:t>经营支出：指事业单位在专业业务活动及其辅助活动之外开展非独立核算经营活动发生的支出。</w:t>
      </w:r>
    </w:p>
    <w:p>
      <w:pPr>
        <w:pStyle w:val="27"/>
        <w:pageBreakBefore w:val="0"/>
        <w:kinsoku/>
        <w:wordWrap/>
        <w:overflowPunct/>
        <w:topLinePunct w:val="0"/>
        <w:bidi w:val="0"/>
        <w:spacing w:line="576" w:lineRule="exact"/>
        <w:ind w:firstLine="640" w:firstLineChars="200"/>
        <w:rPr>
          <w:rFonts w:ascii="仿宋_GB2312" w:eastAsia="仿宋_GB2312"/>
          <w:color w:val="auto"/>
          <w:sz w:val="32"/>
          <w:szCs w:val="32"/>
        </w:rPr>
      </w:pPr>
      <w:r>
        <w:rPr>
          <w:rFonts w:hint="eastAsia" w:ascii="仿宋_GB2312" w:eastAsia="仿宋_GB2312"/>
          <w:color w:val="auto"/>
          <w:sz w:val="32"/>
          <w:szCs w:val="32"/>
          <w:lang w:val="en-US" w:eastAsia="zh-CN"/>
        </w:rPr>
        <w:t>17</w:t>
      </w:r>
      <w:r>
        <w:rPr>
          <w:rFonts w:ascii="仿宋_GB2312" w:eastAsia="仿宋_GB2312"/>
          <w:color w:val="auto"/>
          <w:sz w:val="32"/>
          <w:szCs w:val="32"/>
        </w:rPr>
        <w:t>.</w:t>
      </w:r>
      <w:r>
        <w:rPr>
          <w:rFonts w:hint="eastAsia" w:ascii="仿宋_GB2312" w:eastAsia="仿宋_GB2312"/>
          <w:color w:val="auto"/>
          <w:sz w:val="32"/>
          <w:szCs w:val="32"/>
        </w:rPr>
        <w:t>“三公”经费：指单位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27"/>
        <w:pageBreakBefore w:val="0"/>
        <w:kinsoku/>
        <w:wordWrap/>
        <w:overflowPunct/>
        <w:topLinePunct w:val="0"/>
        <w:bidi w:val="0"/>
        <w:spacing w:line="576" w:lineRule="exact"/>
        <w:ind w:firstLine="640" w:firstLineChars="200"/>
        <w:rPr>
          <w:rFonts w:hint="eastAsia" w:ascii="仿宋_GB2312" w:eastAsia="仿宋_GB2312"/>
          <w:color w:val="auto"/>
          <w:sz w:val="32"/>
          <w:szCs w:val="32"/>
          <w:lang w:eastAsia="zh-CN"/>
        </w:rPr>
      </w:pPr>
      <w:r>
        <w:rPr>
          <w:rFonts w:hint="eastAsia" w:ascii="仿宋_GB2312" w:eastAsia="仿宋_GB2312"/>
          <w:color w:val="auto"/>
          <w:sz w:val="32"/>
          <w:szCs w:val="32"/>
          <w:lang w:val="en-US" w:eastAsia="zh-CN"/>
        </w:rPr>
        <w:t>18</w:t>
      </w:r>
      <w:r>
        <w:rPr>
          <w:rFonts w:ascii="仿宋_GB2312" w:eastAsia="仿宋_GB2312"/>
          <w:color w:val="auto"/>
          <w:sz w:val="32"/>
          <w:szCs w:val="32"/>
        </w:rPr>
        <w:t>.</w:t>
      </w:r>
      <w:r>
        <w:rPr>
          <w:rFonts w:hint="eastAsia" w:ascii="仿宋_GB2312" w:eastAsia="仿宋_GB2312"/>
          <w:color w:val="auto"/>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r>
        <w:rPr>
          <w:rFonts w:hint="eastAsia" w:ascii="仿宋_GB2312" w:eastAsia="仿宋_GB2312"/>
          <w:color w:val="auto"/>
          <w:sz w:val="32"/>
          <w:szCs w:val="32"/>
          <w:lang w:eastAsia="zh-CN"/>
        </w:rPr>
        <w:t>。</w:t>
      </w:r>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p>
    <w:p>
      <w:pPr>
        <w:spacing w:line="600" w:lineRule="exact"/>
        <w:jc w:val="center"/>
        <w:rPr>
          <w:rFonts w:hint="eastAsia" w:ascii="Times New Roman" w:hAnsi="Times New Roman" w:eastAsia="黑体" w:cs="Times New Roman"/>
          <w:color w:val="auto"/>
          <w:sz w:val="44"/>
          <w:szCs w:val="44"/>
          <w:highlight w:val="none"/>
          <w:lang w:eastAsia="zh-CN"/>
        </w:rPr>
      </w:pPr>
      <w:bookmarkStart w:id="51" w:name="_Toc15377226"/>
      <w:r>
        <w:rPr>
          <w:rFonts w:hint="eastAsia" w:ascii="Times New Roman" w:hAnsi="Times New Roman" w:eastAsia="仿宋_GB2312" w:cs="仿宋_GB2312"/>
          <w:color w:val="auto"/>
          <w:kern w:val="2"/>
          <w:sz w:val="32"/>
          <w:szCs w:val="32"/>
          <w:highlight w:val="none"/>
          <w:lang w:val="en-US" w:eastAsia="zh-CN" w:bidi="ar-SA"/>
        </w:rPr>
        <w:br w:type="page"/>
      </w:r>
      <w:bookmarkStart w:id="52" w:name="_Toc15396614"/>
      <w:r>
        <w:rPr>
          <w:rFonts w:hint="eastAsia" w:ascii="Times New Roman" w:hAnsi="Times New Roman" w:eastAsia="黑体" w:cs="Times New Roman"/>
          <w:color w:val="auto"/>
          <w:sz w:val="44"/>
          <w:szCs w:val="44"/>
          <w:highlight w:val="none"/>
        </w:rPr>
        <w:t>第四部分</w:t>
      </w:r>
      <w:r>
        <w:rPr>
          <w:rFonts w:hint="eastAsia" w:ascii="Times New Roman" w:hAnsi="Times New Roman" w:eastAsia="黑体" w:cs="Times New Roman"/>
          <w:color w:val="auto"/>
          <w:sz w:val="44"/>
          <w:szCs w:val="44"/>
          <w:highlight w:val="none"/>
          <w:lang w:val="en-US" w:eastAsia="zh-CN"/>
        </w:rPr>
        <w:t xml:space="preserve"> </w:t>
      </w:r>
      <w:r>
        <w:rPr>
          <w:rFonts w:hint="eastAsia" w:ascii="Times New Roman" w:hAnsi="Times New Roman" w:eastAsia="黑体" w:cs="Times New Roman"/>
          <w:color w:val="auto"/>
          <w:sz w:val="44"/>
          <w:szCs w:val="44"/>
          <w:highlight w:val="none"/>
        </w:rPr>
        <w:t xml:space="preserve"> 附件</w:t>
      </w:r>
      <w:bookmarkEnd w:id="52"/>
    </w:p>
    <w:p>
      <w:pPr>
        <w:spacing w:line="600" w:lineRule="exact"/>
        <w:jc w:val="center"/>
        <w:rPr>
          <w:rFonts w:hint="default" w:ascii="Times New Roman" w:hAnsi="Times New Roman" w:eastAsia="黑体" w:cs="Times New Roman"/>
          <w:color w:val="auto"/>
          <w:sz w:val="44"/>
          <w:szCs w:val="44"/>
          <w:highlight w:val="none"/>
        </w:rPr>
      </w:pPr>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eastAsia" w:ascii="Times New Roman" w:hAnsi="Times New Roman" w:eastAsia="方正小标宋简体" w:cs="Times New Roman"/>
          <w:b w:val="0"/>
          <w:bCs/>
          <w:color w:val="auto"/>
          <w:sz w:val="44"/>
          <w:szCs w:val="44"/>
          <w:highlight w:val="none"/>
          <w:shd w:val="clear" w:color="auto" w:fill="FFFFFF"/>
          <w:lang w:eastAsia="zh-CN"/>
        </w:rPr>
      </w:pPr>
      <w:r>
        <w:rPr>
          <w:rFonts w:hint="eastAsia" w:ascii="Times New Roman" w:hAnsi="Times New Roman" w:eastAsia="方正小标宋简体" w:cs="Times New Roman"/>
          <w:b w:val="0"/>
          <w:bCs/>
          <w:color w:val="auto"/>
          <w:sz w:val="44"/>
          <w:szCs w:val="44"/>
          <w:highlight w:val="none"/>
          <w:shd w:val="clear" w:color="auto" w:fill="FFFFFF"/>
          <w:lang w:eastAsia="zh-CN"/>
        </w:rPr>
        <w:t>红原县委县政府联动指挥中心</w:t>
      </w:r>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r>
        <w:rPr>
          <w:rFonts w:hint="eastAsia" w:ascii="Times New Roman" w:hAnsi="Times New Roman" w:eastAsia="方正小标宋简体" w:cs="Times New Roman"/>
          <w:b w:val="0"/>
          <w:bCs/>
          <w:color w:val="auto"/>
          <w:sz w:val="44"/>
          <w:szCs w:val="44"/>
          <w:highlight w:val="none"/>
          <w:shd w:val="clear" w:color="auto" w:fill="FFFFFF"/>
          <w:lang w:eastAsia="zh-CN"/>
        </w:rPr>
        <w:t>关于</w:t>
      </w:r>
      <w:r>
        <w:rPr>
          <w:rFonts w:hint="default" w:ascii="Times New Roman" w:hAnsi="Times New Roman" w:eastAsia="方正小标宋简体" w:cs="Times New Roman"/>
          <w:b w:val="0"/>
          <w:bCs/>
          <w:color w:val="auto"/>
          <w:sz w:val="44"/>
          <w:szCs w:val="44"/>
          <w:highlight w:val="none"/>
          <w:shd w:val="clear" w:color="auto" w:fill="FFFFFF"/>
        </w:rPr>
        <w:t>部门</w:t>
      </w:r>
      <w:r>
        <w:rPr>
          <w:rFonts w:hint="default" w:ascii="Times New Roman" w:hAnsi="Times New Roman" w:eastAsia="方正小标宋简体" w:cs="Times New Roman"/>
          <w:b w:val="0"/>
          <w:bCs/>
          <w:color w:val="auto"/>
          <w:sz w:val="44"/>
          <w:szCs w:val="44"/>
          <w:highlight w:val="none"/>
          <w:shd w:val="clear" w:color="auto" w:fill="FFFFFF"/>
          <w:lang w:eastAsia="zh-CN"/>
        </w:rPr>
        <w:t>预算</w:t>
      </w:r>
      <w:r>
        <w:rPr>
          <w:rFonts w:hint="default" w:ascii="Times New Roman" w:hAnsi="Times New Roman" w:eastAsia="方正小标宋简体" w:cs="Times New Roman"/>
          <w:b w:val="0"/>
          <w:bCs/>
          <w:color w:val="auto"/>
          <w:sz w:val="44"/>
          <w:szCs w:val="44"/>
          <w:highlight w:val="none"/>
          <w:shd w:val="clear" w:color="auto" w:fill="FFFFFF"/>
        </w:rPr>
        <w:t>绩效</w:t>
      </w:r>
      <w:r>
        <w:rPr>
          <w:rFonts w:hint="eastAsia" w:ascii="Times New Roman" w:hAnsi="Times New Roman" w:eastAsia="方正小标宋简体" w:cs="Times New Roman"/>
          <w:b w:val="0"/>
          <w:bCs/>
          <w:color w:val="auto"/>
          <w:sz w:val="44"/>
          <w:szCs w:val="44"/>
          <w:highlight w:val="none"/>
          <w:shd w:val="clear" w:color="auto" w:fill="FFFFFF"/>
          <w:lang w:eastAsia="zh-CN"/>
        </w:rPr>
        <w:t>评价的</w:t>
      </w:r>
      <w:r>
        <w:rPr>
          <w:rFonts w:hint="default" w:ascii="Times New Roman" w:hAnsi="Times New Roman" w:eastAsia="方正小标宋简体" w:cs="Times New Roman"/>
          <w:b w:val="0"/>
          <w:bCs/>
          <w:sz w:val="44"/>
          <w:szCs w:val="44"/>
          <w:highlight w:val="none"/>
          <w:shd w:val="clear" w:color="auto" w:fill="FFFFFF"/>
        </w:rPr>
        <w:t>报告</w:t>
      </w:r>
    </w:p>
    <w:p>
      <w:pPr>
        <w:pStyle w:val="27"/>
        <w:pageBreakBefore w:val="0"/>
        <w:kinsoku/>
        <w:wordWrap/>
        <w:overflowPunct/>
        <w:topLinePunct w:val="0"/>
        <w:bidi w:val="0"/>
        <w:spacing w:line="576" w:lineRule="exact"/>
        <w:rPr>
          <w:rFonts w:hint="default" w:ascii="仿宋_GB2312" w:hAnsi="Times New Roman" w:eastAsia="仿宋_GB2312"/>
          <w:color w:val="auto"/>
          <w:sz w:val="32"/>
          <w:szCs w:val="32"/>
        </w:rPr>
      </w:pPr>
      <w:r>
        <w:rPr>
          <w:rFonts w:hint="eastAsia" w:ascii="仿宋_GB2312" w:hAnsi="Times New Roman" w:eastAsia="仿宋_GB2312"/>
          <w:color w:val="auto"/>
          <w:sz w:val="32"/>
          <w:szCs w:val="32"/>
        </w:rPr>
        <w:t xml:space="preserve"> </w:t>
      </w:r>
    </w:p>
    <w:p>
      <w:pPr>
        <w:pStyle w:val="27"/>
        <w:pageBreakBefore w:val="0"/>
        <w:kinsoku/>
        <w:wordWrap/>
        <w:overflowPunct/>
        <w:topLinePunct w:val="0"/>
        <w:bidi w:val="0"/>
        <w:spacing w:line="576" w:lineRule="exact"/>
        <w:ind w:firstLine="640" w:firstLineChars="200"/>
        <w:rPr>
          <w:rFonts w:hint="eastAsia" w:ascii="黑体" w:hAnsi="黑体" w:eastAsia="黑体" w:cs="黑体"/>
          <w:color w:val="auto"/>
          <w:sz w:val="32"/>
          <w:szCs w:val="32"/>
        </w:rPr>
      </w:pPr>
      <w:r>
        <w:rPr>
          <w:rFonts w:hint="eastAsia" w:ascii="黑体" w:hAnsi="黑体" w:eastAsia="黑体" w:cs="黑体"/>
          <w:color w:val="auto"/>
          <w:sz w:val="32"/>
          <w:szCs w:val="32"/>
          <w:lang w:val="zh-CN"/>
        </w:rPr>
        <w:t>一、部门（单位）基本情况</w:t>
      </w:r>
    </w:p>
    <w:p>
      <w:pPr>
        <w:pStyle w:val="27"/>
        <w:pageBreakBefore w:val="0"/>
        <w:kinsoku/>
        <w:wordWrap/>
        <w:overflowPunct/>
        <w:topLinePunct w:val="0"/>
        <w:bidi w:val="0"/>
        <w:spacing w:line="576" w:lineRule="exact"/>
        <w:ind w:firstLine="640" w:firstLineChars="200"/>
        <w:rPr>
          <w:rFonts w:hint="eastAsia" w:ascii="方正仿宋_GBK" w:hAnsi="方正仿宋_GBK" w:eastAsia="方正仿宋_GBK" w:cs="方正仿宋_GBK"/>
          <w:b/>
          <w:bCs/>
          <w:i w:val="0"/>
          <w:caps w:val="0"/>
          <w:color w:val="000000"/>
          <w:spacing w:val="0"/>
          <w:kern w:val="0"/>
          <w:sz w:val="32"/>
          <w:szCs w:val="32"/>
          <w:shd w:val="clear" w:color="auto" w:fill="FFFFFF"/>
          <w:lang w:val="en-US" w:eastAsia="zh-CN" w:bidi="ar"/>
        </w:rPr>
      </w:pPr>
      <w:r>
        <w:rPr>
          <w:rFonts w:hint="eastAsia" w:ascii="仿宋_GB2312" w:hAnsi="Times New Roman" w:eastAsia="仿宋_GB2312"/>
          <w:color w:val="auto"/>
          <w:sz w:val="32"/>
          <w:szCs w:val="32"/>
        </w:rPr>
        <w:t>1</w:t>
      </w:r>
      <w:r>
        <w:rPr>
          <w:rFonts w:hint="eastAsia" w:ascii="方正仿宋_GBK" w:hAnsi="方正仿宋_GBK" w:eastAsia="方正仿宋_GBK" w:cs="方正仿宋_GBK"/>
          <w:b/>
          <w:bCs/>
          <w:i w:val="0"/>
          <w:caps w:val="0"/>
          <w:color w:val="000000"/>
          <w:spacing w:val="0"/>
          <w:kern w:val="0"/>
          <w:sz w:val="32"/>
          <w:szCs w:val="32"/>
          <w:shd w:val="clear" w:color="auto" w:fill="FFFFFF"/>
          <w:lang w:val="en-US" w:eastAsia="zh-CN" w:bidi="ar"/>
        </w:rPr>
        <w:t>．主要职能及</w:t>
      </w:r>
      <w:r>
        <w:rPr>
          <w:rFonts w:hint="eastAsia" w:ascii="方正楷体_GBK" w:hAnsi="方正楷体_GBK" w:eastAsia="方正楷体_GBK" w:cs="方正楷体_GBK"/>
          <w:b/>
          <w:bCs/>
          <w:i w:val="0"/>
          <w:caps w:val="0"/>
          <w:color w:val="000000"/>
          <w:spacing w:val="0"/>
          <w:kern w:val="0"/>
          <w:sz w:val="32"/>
          <w:szCs w:val="32"/>
          <w:shd w:val="clear" w:color="auto" w:fill="FFFFFF"/>
          <w:lang w:val="en-US" w:eastAsia="zh-CN" w:bidi="ar"/>
        </w:rPr>
        <w:t>基本情况</w:t>
      </w:r>
      <w:r>
        <w:rPr>
          <w:rFonts w:hint="eastAsia" w:ascii="方正仿宋_GBK" w:hAnsi="方正仿宋_GBK" w:eastAsia="方正仿宋_GBK" w:cs="方正仿宋_GBK"/>
          <w:b/>
          <w:bCs/>
          <w:i w:val="0"/>
          <w:caps w:val="0"/>
          <w:color w:val="000000"/>
          <w:spacing w:val="0"/>
          <w:kern w:val="0"/>
          <w:sz w:val="32"/>
          <w:szCs w:val="32"/>
          <w:shd w:val="clear" w:color="auto" w:fill="FFFFFF"/>
          <w:lang w:val="en-US" w:eastAsia="zh-CN" w:bidi="ar"/>
        </w:rPr>
        <w:t>。</w:t>
      </w:r>
    </w:p>
    <w:p>
      <w:pPr>
        <w:pStyle w:val="27"/>
        <w:pageBreakBefore w:val="0"/>
        <w:kinsoku/>
        <w:wordWrap/>
        <w:overflowPunct/>
        <w:topLinePunct w:val="0"/>
        <w:bidi w:val="0"/>
        <w:spacing w:line="576" w:lineRule="exact"/>
        <w:ind w:firstLine="640" w:firstLineChars="200"/>
        <w:rPr>
          <w:rFonts w:hint="default" w:ascii="仿宋_GB2312" w:hAnsi="Times New Roman" w:eastAsia="仿宋_GB2312"/>
          <w:color w:val="auto"/>
          <w:sz w:val="32"/>
          <w:szCs w:val="32"/>
        </w:rPr>
      </w:pPr>
      <w:r>
        <w:rPr>
          <w:rFonts w:hint="default" w:ascii="仿宋_GB2312" w:hAnsi="Times New Roman" w:eastAsia="仿宋_GB2312"/>
          <w:color w:val="auto"/>
          <w:sz w:val="32"/>
          <w:szCs w:val="32"/>
        </w:rPr>
        <w:t>（1）受县委、县政府的委托、代表县联动指挥中心行使应急指挥权利；</w:t>
      </w:r>
    </w:p>
    <w:p>
      <w:pPr>
        <w:pStyle w:val="27"/>
        <w:pageBreakBefore w:val="0"/>
        <w:kinsoku/>
        <w:wordWrap/>
        <w:overflowPunct/>
        <w:topLinePunct w:val="0"/>
        <w:bidi w:val="0"/>
        <w:spacing w:line="576" w:lineRule="exact"/>
        <w:ind w:firstLine="640" w:firstLineChars="200"/>
        <w:rPr>
          <w:rFonts w:hint="default" w:ascii="仿宋_GB2312" w:hAnsi="Times New Roman" w:eastAsia="仿宋_GB2312"/>
          <w:color w:val="auto"/>
          <w:sz w:val="32"/>
          <w:szCs w:val="32"/>
        </w:rPr>
      </w:pPr>
      <w:r>
        <w:rPr>
          <w:rFonts w:hint="default" w:ascii="仿宋_GB2312" w:hAnsi="Times New Roman" w:eastAsia="仿宋_GB2312"/>
          <w:color w:val="auto"/>
          <w:sz w:val="32"/>
          <w:szCs w:val="32"/>
        </w:rPr>
        <w:t>（2）负责对中心入驻的六大中心工作人员的管理，负责对七大平台数据的收集和分析研判，并代表县委、政府和县联动指挥中心对重大事件和突发事件的应急指挥工作；</w:t>
      </w:r>
    </w:p>
    <w:p>
      <w:pPr>
        <w:pStyle w:val="27"/>
        <w:pageBreakBefore w:val="0"/>
        <w:kinsoku/>
        <w:wordWrap/>
        <w:overflowPunct/>
        <w:topLinePunct w:val="0"/>
        <w:bidi w:val="0"/>
        <w:spacing w:line="576" w:lineRule="exact"/>
        <w:ind w:firstLine="640" w:firstLineChars="200"/>
        <w:rPr>
          <w:rFonts w:hint="default" w:ascii="仿宋_GB2312" w:hAnsi="Times New Roman" w:eastAsia="仿宋_GB2312"/>
          <w:color w:val="auto"/>
          <w:sz w:val="32"/>
          <w:szCs w:val="32"/>
        </w:rPr>
      </w:pPr>
      <w:r>
        <w:rPr>
          <w:rFonts w:hint="default" w:ascii="仿宋_GB2312" w:hAnsi="Times New Roman" w:eastAsia="仿宋_GB2312"/>
          <w:color w:val="auto"/>
          <w:sz w:val="32"/>
          <w:szCs w:val="32"/>
        </w:rPr>
        <w:t>（3）负责组织督促；落实县委、县政府和县联动指挥中心下达的指令或工作安排部署，根据工作的实际情况和需要，适时召开联动部门工作协调会，研究解决有关联动服务事宜和问题；</w:t>
      </w:r>
    </w:p>
    <w:p>
      <w:pPr>
        <w:pStyle w:val="27"/>
        <w:pageBreakBefore w:val="0"/>
        <w:kinsoku/>
        <w:wordWrap/>
        <w:overflowPunct/>
        <w:topLinePunct w:val="0"/>
        <w:bidi w:val="0"/>
        <w:spacing w:line="576" w:lineRule="exact"/>
        <w:ind w:firstLine="640" w:firstLineChars="200"/>
        <w:rPr>
          <w:rFonts w:hint="default" w:ascii="仿宋_GB2312" w:hAnsi="Times New Roman" w:eastAsia="仿宋_GB2312"/>
          <w:color w:val="auto"/>
          <w:sz w:val="32"/>
          <w:szCs w:val="32"/>
        </w:rPr>
      </w:pPr>
      <w:r>
        <w:rPr>
          <w:rFonts w:hint="default" w:ascii="仿宋_GB2312" w:hAnsi="Times New Roman" w:eastAsia="仿宋_GB2312"/>
          <w:color w:val="auto"/>
          <w:sz w:val="32"/>
          <w:szCs w:val="32"/>
        </w:rPr>
        <w:t>（4）负责对重要信息的收集、报送工作，对全县应急处突、渉稳事件、安全生产急救、自然灾害等重大事件的协调工作，同时做好处置工作记录，并逐日归类汇总并备案；</w:t>
      </w:r>
    </w:p>
    <w:p>
      <w:pPr>
        <w:pStyle w:val="27"/>
        <w:pageBreakBefore w:val="0"/>
        <w:kinsoku/>
        <w:wordWrap/>
        <w:overflowPunct/>
        <w:topLinePunct w:val="0"/>
        <w:bidi w:val="0"/>
        <w:spacing w:line="576" w:lineRule="exact"/>
        <w:ind w:firstLine="640" w:firstLineChars="200"/>
        <w:rPr>
          <w:rFonts w:hint="default" w:ascii="仿宋_GB2312" w:hAnsi="Times New Roman" w:eastAsia="仿宋_GB2312"/>
          <w:color w:val="auto"/>
          <w:sz w:val="32"/>
          <w:szCs w:val="32"/>
        </w:rPr>
      </w:pPr>
      <w:r>
        <w:rPr>
          <w:rFonts w:hint="default" w:ascii="仿宋_GB2312" w:hAnsi="Times New Roman" w:eastAsia="仿宋_GB2312"/>
          <w:color w:val="auto"/>
          <w:sz w:val="32"/>
          <w:szCs w:val="32"/>
        </w:rPr>
        <w:t>（5）负责组织、督促有关部门抓好民生服务工作，矛盾纠纷排查化解工作。开展调查研究，对重大情况和问题应及时进行分析研判，并向县政府提交研判报告；</w:t>
      </w:r>
    </w:p>
    <w:p>
      <w:pPr>
        <w:pStyle w:val="27"/>
        <w:pageBreakBefore w:val="0"/>
        <w:kinsoku/>
        <w:wordWrap/>
        <w:overflowPunct/>
        <w:topLinePunct w:val="0"/>
        <w:bidi w:val="0"/>
        <w:spacing w:line="576" w:lineRule="exact"/>
        <w:ind w:firstLine="640" w:firstLineChars="200"/>
        <w:rPr>
          <w:rFonts w:hint="default" w:ascii="仿宋_GB2312" w:hAnsi="Times New Roman" w:eastAsia="仿宋_GB2312"/>
          <w:color w:val="auto"/>
          <w:sz w:val="32"/>
          <w:szCs w:val="32"/>
        </w:rPr>
      </w:pPr>
      <w:r>
        <w:rPr>
          <w:rFonts w:hint="default" w:ascii="仿宋_GB2312" w:hAnsi="Times New Roman" w:eastAsia="仿宋_GB2312"/>
          <w:color w:val="auto"/>
          <w:sz w:val="32"/>
          <w:szCs w:val="32"/>
        </w:rPr>
        <w:t>（6）负责建立健全联动指挥中心各项规章制度；</w:t>
      </w:r>
    </w:p>
    <w:p>
      <w:pPr>
        <w:pStyle w:val="27"/>
        <w:pageBreakBefore w:val="0"/>
        <w:kinsoku/>
        <w:wordWrap/>
        <w:overflowPunct/>
        <w:topLinePunct w:val="0"/>
        <w:bidi w:val="0"/>
        <w:spacing w:line="576" w:lineRule="exact"/>
        <w:ind w:firstLine="640" w:firstLineChars="200"/>
        <w:rPr>
          <w:rFonts w:hint="default" w:ascii="仿宋_GB2312" w:hAnsi="Times New Roman" w:eastAsia="仿宋_GB2312"/>
          <w:color w:val="auto"/>
          <w:sz w:val="32"/>
          <w:szCs w:val="32"/>
        </w:rPr>
      </w:pPr>
      <w:r>
        <w:rPr>
          <w:rFonts w:hint="default" w:ascii="仿宋_GB2312" w:hAnsi="Times New Roman" w:eastAsia="仿宋_GB2312"/>
          <w:color w:val="auto"/>
          <w:sz w:val="32"/>
          <w:szCs w:val="32"/>
        </w:rPr>
        <w:t>（7）负责协助和管理县民族宗教局入驻人员开展寺庙网格化精准服务系统管理工作；负责协助和管理县公安局入驻人员做好联动指挥中心系统维护以及天网视频调度工作；负责协助和管理县矛盾纠纷“大调解”中心做好全县大调解工作和基层大调解指导工作；负责协助和管理其它入驻单位的工作人员开展相关工作。</w:t>
      </w:r>
    </w:p>
    <w:p>
      <w:pPr>
        <w:pStyle w:val="27"/>
        <w:pageBreakBefore w:val="0"/>
        <w:kinsoku/>
        <w:wordWrap/>
        <w:overflowPunct/>
        <w:topLinePunct w:val="0"/>
        <w:bidi w:val="0"/>
        <w:spacing w:line="576" w:lineRule="exact"/>
        <w:ind w:firstLine="640" w:firstLineChars="200"/>
        <w:rPr>
          <w:rFonts w:hint="eastAsia" w:ascii="仿宋_GB2312" w:hAnsi="Times New Roman" w:eastAsia="仿宋_GB2312"/>
          <w:color w:val="auto"/>
          <w:sz w:val="32"/>
          <w:szCs w:val="32"/>
        </w:rPr>
      </w:pPr>
      <w:r>
        <w:rPr>
          <w:rFonts w:hint="default" w:ascii="仿宋_GB2312" w:hAnsi="Times New Roman" w:eastAsia="仿宋_GB2312"/>
          <w:color w:val="auto"/>
          <w:sz w:val="32"/>
          <w:szCs w:val="32"/>
        </w:rPr>
        <w:t>（8）负责做好县委、政府临时交办的各项工作任务。</w:t>
      </w:r>
    </w:p>
    <w:p>
      <w:pPr>
        <w:pStyle w:val="27"/>
        <w:pageBreakBefore w:val="0"/>
        <w:kinsoku/>
        <w:wordWrap/>
        <w:overflowPunct/>
        <w:topLinePunct w:val="0"/>
        <w:bidi w:val="0"/>
        <w:spacing w:line="576" w:lineRule="exact"/>
        <w:ind w:firstLine="643" w:firstLineChars="200"/>
        <w:rPr>
          <w:rFonts w:hint="eastAsia" w:ascii="方正仿宋_GBK" w:hAnsi="方正仿宋_GBK" w:eastAsia="方正仿宋_GBK" w:cs="方正仿宋_GBK"/>
          <w:b/>
          <w:bCs/>
          <w:i w:val="0"/>
          <w:caps w:val="0"/>
          <w:color w:val="000000"/>
          <w:spacing w:val="0"/>
          <w:kern w:val="0"/>
          <w:sz w:val="32"/>
          <w:szCs w:val="32"/>
          <w:shd w:val="clear" w:color="auto" w:fill="FFFFFF"/>
          <w:lang w:val="en-US" w:eastAsia="zh-CN" w:bidi="ar"/>
        </w:rPr>
      </w:pPr>
      <w:r>
        <w:rPr>
          <w:rFonts w:hint="eastAsia" w:ascii="方正仿宋_GBK" w:hAnsi="方正仿宋_GBK" w:eastAsia="方正仿宋_GBK" w:cs="方正仿宋_GBK"/>
          <w:b/>
          <w:bCs/>
          <w:i w:val="0"/>
          <w:caps w:val="0"/>
          <w:color w:val="000000"/>
          <w:spacing w:val="0"/>
          <w:kern w:val="0"/>
          <w:sz w:val="32"/>
          <w:szCs w:val="32"/>
          <w:shd w:val="clear" w:color="auto" w:fill="FFFFFF"/>
          <w:lang w:val="en-US" w:eastAsia="zh-CN" w:bidi="ar"/>
        </w:rPr>
        <w:t>2．机构情况，包括当年变动情况及原因。</w:t>
      </w:r>
    </w:p>
    <w:p>
      <w:pPr>
        <w:pStyle w:val="27"/>
        <w:pageBreakBefore w:val="0"/>
        <w:kinsoku/>
        <w:wordWrap/>
        <w:overflowPunct/>
        <w:topLinePunct w:val="0"/>
        <w:bidi w:val="0"/>
        <w:spacing w:line="576" w:lineRule="exact"/>
        <w:ind w:firstLine="640" w:firstLineChars="200"/>
        <w:rPr>
          <w:rFonts w:hint="eastAsia" w:ascii="仿宋_GB2312" w:hAnsi="Times New Roman" w:eastAsia="仿宋_GB2312"/>
          <w:color w:val="auto"/>
          <w:sz w:val="32"/>
          <w:szCs w:val="32"/>
        </w:rPr>
      </w:pPr>
      <w:r>
        <w:rPr>
          <w:rFonts w:hint="default" w:ascii="仿宋_GB2312" w:hAnsi="Times New Roman" w:eastAsia="仿宋_GB2312"/>
          <w:color w:val="auto"/>
          <w:sz w:val="32"/>
          <w:szCs w:val="32"/>
        </w:rPr>
        <w:t>红原县</w:t>
      </w:r>
      <w:r>
        <w:rPr>
          <w:rFonts w:hint="eastAsia" w:ascii="仿宋_GB2312" w:hAnsi="Times New Roman" w:eastAsia="仿宋_GB2312"/>
          <w:color w:val="auto"/>
          <w:sz w:val="32"/>
          <w:szCs w:val="32"/>
          <w:lang w:eastAsia="zh-CN"/>
        </w:rPr>
        <w:t>委县政府</w:t>
      </w:r>
      <w:r>
        <w:rPr>
          <w:rFonts w:hint="default" w:ascii="仿宋_GB2312" w:hAnsi="Times New Roman" w:eastAsia="仿宋_GB2312"/>
          <w:color w:val="auto"/>
          <w:sz w:val="32"/>
          <w:szCs w:val="32"/>
        </w:rPr>
        <w:t>联动指挥中心</w:t>
      </w:r>
      <w:r>
        <w:rPr>
          <w:rFonts w:hint="eastAsia" w:ascii="仿宋_GB2312" w:hAnsi="Times New Roman" w:eastAsia="仿宋_GB2312"/>
          <w:color w:val="auto"/>
          <w:sz w:val="32"/>
          <w:szCs w:val="32"/>
          <w:lang w:eastAsia="zh-CN"/>
        </w:rPr>
        <w:t>为正科级事业单位，</w:t>
      </w:r>
      <w:r>
        <w:rPr>
          <w:rFonts w:hint="default" w:ascii="仿宋_GB2312" w:hAnsi="Times New Roman" w:eastAsia="仿宋_GB2312"/>
          <w:color w:val="auto"/>
          <w:sz w:val="32"/>
          <w:szCs w:val="32"/>
        </w:rPr>
        <w:t>事业编制</w:t>
      </w:r>
      <w:r>
        <w:rPr>
          <w:rFonts w:hint="eastAsia" w:ascii="仿宋_GB2312" w:hAnsi="Times New Roman" w:eastAsia="仿宋_GB2312"/>
          <w:color w:val="auto"/>
          <w:sz w:val="32"/>
          <w:szCs w:val="32"/>
          <w:lang w:val="en-US" w:eastAsia="zh-CN"/>
        </w:rPr>
        <w:t>9</w:t>
      </w:r>
      <w:r>
        <w:rPr>
          <w:rFonts w:hint="default" w:ascii="仿宋_GB2312" w:hAnsi="Times New Roman" w:eastAsia="仿宋_GB2312"/>
          <w:color w:val="auto"/>
          <w:sz w:val="32"/>
          <w:szCs w:val="32"/>
        </w:rPr>
        <w:t>名，其中：设主任1名(正科级)，副主任2名(副科级)；股级领导职数3名</w:t>
      </w:r>
      <w:r>
        <w:rPr>
          <w:rFonts w:hint="eastAsia" w:ascii="仿宋_GB2312" w:hAnsi="Times New Roman" w:eastAsia="仿宋_GB2312"/>
          <w:color w:val="auto"/>
          <w:sz w:val="32"/>
          <w:szCs w:val="32"/>
          <w:lang w:eastAsia="zh-CN"/>
        </w:rPr>
        <w:t>，</w:t>
      </w:r>
      <w:r>
        <w:rPr>
          <w:rFonts w:hint="eastAsia" w:ascii="仿宋_GB2312" w:hAnsi="Times New Roman" w:eastAsia="仿宋_GB2312"/>
          <w:color w:val="auto"/>
          <w:sz w:val="32"/>
          <w:szCs w:val="32"/>
          <w:lang w:val="en-US" w:eastAsia="zh-CN"/>
        </w:rPr>
        <w:t>工勤1名</w:t>
      </w:r>
      <w:r>
        <w:rPr>
          <w:rFonts w:hint="default" w:ascii="仿宋_GB2312" w:hAnsi="Times New Roman" w:eastAsia="仿宋_GB2312"/>
          <w:color w:val="auto"/>
          <w:sz w:val="32"/>
          <w:szCs w:val="32"/>
        </w:rPr>
        <w:t>。</w:t>
      </w:r>
    </w:p>
    <w:p>
      <w:pPr>
        <w:pStyle w:val="27"/>
        <w:pageBreakBefore w:val="0"/>
        <w:kinsoku/>
        <w:wordWrap/>
        <w:overflowPunct/>
        <w:topLinePunct w:val="0"/>
        <w:bidi w:val="0"/>
        <w:spacing w:line="576" w:lineRule="exact"/>
        <w:ind w:firstLine="640" w:firstLineChars="200"/>
        <w:rPr>
          <w:rFonts w:hint="default" w:ascii="仿宋_GB2312" w:hAnsi="Times New Roman" w:eastAsia="仿宋_GB2312"/>
          <w:color w:val="auto"/>
          <w:sz w:val="32"/>
          <w:szCs w:val="32"/>
          <w:lang w:val="en-US" w:eastAsia="zh-CN"/>
        </w:rPr>
      </w:pPr>
      <w:r>
        <w:rPr>
          <w:rFonts w:hint="eastAsia" w:ascii="仿宋_GB2312" w:hAnsi="Times New Roman" w:eastAsia="仿宋_GB2312"/>
          <w:color w:val="auto"/>
          <w:sz w:val="32"/>
          <w:szCs w:val="32"/>
          <w:lang w:eastAsia="zh-CN"/>
        </w:rPr>
        <w:t>联动指挥中心</w:t>
      </w:r>
      <w:r>
        <w:rPr>
          <w:rFonts w:hint="eastAsia" w:ascii="仿宋_GB2312" w:hAnsi="Times New Roman" w:eastAsia="仿宋_GB2312"/>
          <w:color w:val="auto"/>
          <w:sz w:val="32"/>
          <w:szCs w:val="32"/>
          <w:lang w:val="en-US" w:eastAsia="zh-CN"/>
        </w:rPr>
        <w:t>2025年截止年末，实有在职人员共计9人。</w:t>
      </w:r>
    </w:p>
    <w:p>
      <w:pPr>
        <w:pStyle w:val="27"/>
        <w:pageBreakBefore w:val="0"/>
        <w:kinsoku/>
        <w:wordWrap/>
        <w:overflowPunct/>
        <w:topLinePunct w:val="0"/>
        <w:bidi w:val="0"/>
        <w:spacing w:line="576" w:lineRule="exact"/>
        <w:ind w:firstLine="640" w:firstLineChars="200"/>
        <w:rPr>
          <w:rFonts w:hint="default" w:ascii="黑体" w:hAnsi="黑体" w:eastAsia="黑体" w:cs="黑体"/>
          <w:color w:val="auto"/>
          <w:sz w:val="32"/>
          <w:szCs w:val="32"/>
          <w:lang w:val="en-US" w:eastAsia="zh-CN"/>
        </w:rPr>
      </w:pPr>
      <w:r>
        <w:rPr>
          <w:rFonts w:hint="default" w:ascii="黑体" w:hAnsi="黑体" w:eastAsia="黑体" w:cs="黑体"/>
          <w:color w:val="auto"/>
          <w:sz w:val="32"/>
          <w:szCs w:val="32"/>
          <w:lang w:val="en-US" w:eastAsia="zh-CN"/>
        </w:rPr>
        <w:t>二、部门资金收支情况</w:t>
      </w:r>
    </w:p>
    <w:p>
      <w:pPr>
        <w:pStyle w:val="27"/>
        <w:pageBreakBefore w:val="0"/>
        <w:kinsoku/>
        <w:wordWrap/>
        <w:overflowPunct/>
        <w:topLinePunct w:val="0"/>
        <w:bidi w:val="0"/>
        <w:spacing w:line="576" w:lineRule="exact"/>
        <w:ind w:firstLine="643" w:firstLineChars="200"/>
        <w:rPr>
          <w:rFonts w:hint="eastAsia" w:ascii="仿宋_GB2312" w:hAnsi="Times New Roman" w:eastAsia="仿宋_GB2312"/>
          <w:color w:val="auto"/>
          <w:sz w:val="32"/>
          <w:szCs w:val="32"/>
          <w:lang w:val="en-US" w:eastAsia="zh-CN"/>
        </w:rPr>
      </w:pPr>
      <w:r>
        <w:rPr>
          <w:rFonts w:hint="default" w:ascii="方正仿宋_GBK" w:hAnsi="方正仿宋_GBK" w:eastAsia="方正仿宋_GBK" w:cs="方正仿宋_GBK"/>
          <w:b/>
          <w:bCs/>
          <w:i w:val="0"/>
          <w:caps w:val="0"/>
          <w:color w:val="000000"/>
          <w:spacing w:val="0"/>
          <w:kern w:val="0"/>
          <w:sz w:val="32"/>
          <w:szCs w:val="32"/>
          <w:shd w:val="clear" w:color="auto" w:fill="FFFFFF"/>
          <w:lang w:val="zh-CN" w:eastAsia="zh-CN" w:bidi="ar"/>
        </w:rPr>
        <w:t>（一）</w:t>
      </w:r>
      <w:r>
        <w:rPr>
          <w:rFonts w:hint="eastAsia" w:ascii="方正仿宋_GBK" w:hAnsi="方正仿宋_GBK" w:eastAsia="方正仿宋_GBK" w:cs="方正仿宋_GBK"/>
          <w:b/>
          <w:bCs/>
          <w:i w:val="0"/>
          <w:caps w:val="0"/>
          <w:color w:val="000000"/>
          <w:spacing w:val="0"/>
          <w:kern w:val="0"/>
          <w:sz w:val="32"/>
          <w:szCs w:val="32"/>
          <w:shd w:val="clear" w:color="auto" w:fill="FFFFFF"/>
          <w:lang w:val="zh-CN" w:eastAsia="zh-CN" w:bidi="ar"/>
        </w:rPr>
        <w:t>收入情况</w:t>
      </w:r>
      <w:r>
        <w:rPr>
          <w:rFonts w:hint="default" w:ascii="方正仿宋_GBK" w:hAnsi="方正仿宋_GBK" w:eastAsia="方正仿宋_GBK" w:cs="方正仿宋_GBK"/>
          <w:b/>
          <w:bCs/>
          <w:i w:val="0"/>
          <w:caps w:val="0"/>
          <w:color w:val="000000"/>
          <w:spacing w:val="0"/>
          <w:kern w:val="0"/>
          <w:sz w:val="32"/>
          <w:szCs w:val="32"/>
          <w:shd w:val="clear" w:color="auto" w:fill="FFFFFF"/>
          <w:lang w:val="zh-CN" w:eastAsia="zh-CN" w:bidi="ar"/>
        </w:rPr>
        <w:t>。</w:t>
      </w:r>
      <w:r>
        <w:rPr>
          <w:rFonts w:hint="eastAsia" w:ascii="仿宋_GB2312" w:hAnsi="Times New Roman" w:eastAsia="仿宋_GB2312"/>
          <w:color w:val="auto"/>
          <w:sz w:val="32"/>
          <w:szCs w:val="32"/>
        </w:rPr>
        <w:t>本单位本年度总收入为</w:t>
      </w:r>
      <w:r>
        <w:rPr>
          <w:rFonts w:hint="eastAsia" w:ascii="仿宋_GB2312" w:hAnsi="仿宋_GB2312" w:eastAsia="仿宋_GB2312" w:cs="仿宋_GB2312"/>
          <w:sz w:val="32"/>
          <w:szCs w:val="32"/>
          <w:lang w:val="en-US" w:eastAsia="zh-CN"/>
        </w:rPr>
        <w:t>409.35</w:t>
      </w:r>
      <w:r>
        <w:rPr>
          <w:rFonts w:hint="eastAsia" w:ascii="仿宋_GB2312" w:hAnsi="Times New Roman" w:eastAsia="仿宋_GB2312"/>
          <w:color w:val="auto"/>
          <w:sz w:val="32"/>
          <w:szCs w:val="32"/>
        </w:rPr>
        <w:t>万元。其中：一般公共预算财政拨款收入为</w:t>
      </w:r>
      <w:r>
        <w:rPr>
          <w:rFonts w:hint="eastAsia" w:ascii="仿宋_GB2312" w:hAnsi="仿宋_GB2312" w:eastAsia="仿宋_GB2312" w:cs="仿宋_GB2312"/>
          <w:sz w:val="32"/>
          <w:szCs w:val="32"/>
          <w:lang w:val="en-US" w:eastAsia="zh-CN"/>
        </w:rPr>
        <w:t>409.35</w:t>
      </w:r>
      <w:r>
        <w:rPr>
          <w:rFonts w:hint="eastAsia" w:ascii="仿宋_GB2312" w:hAnsi="Times New Roman" w:eastAsia="仿宋_GB2312"/>
          <w:color w:val="auto"/>
          <w:sz w:val="32"/>
          <w:szCs w:val="32"/>
        </w:rPr>
        <w:t>万元，占比</w:t>
      </w:r>
      <w:r>
        <w:rPr>
          <w:rFonts w:hint="eastAsia" w:ascii="仿宋_GB2312" w:hAnsi="Times New Roman" w:eastAsia="仿宋_GB2312"/>
          <w:color w:val="auto"/>
          <w:sz w:val="32"/>
          <w:szCs w:val="32"/>
          <w:lang w:val="en-US" w:eastAsia="zh-CN"/>
        </w:rPr>
        <w:t>100</w:t>
      </w:r>
      <w:r>
        <w:rPr>
          <w:rFonts w:hint="eastAsia" w:ascii="仿宋_GB2312" w:hAnsi="Times New Roman" w:eastAsia="仿宋_GB2312"/>
          <w:color w:val="auto"/>
          <w:sz w:val="32"/>
          <w:szCs w:val="32"/>
        </w:rPr>
        <w:t>%</w:t>
      </w:r>
      <w:r>
        <w:rPr>
          <w:rFonts w:hint="eastAsia" w:ascii="仿宋_GB2312" w:hAnsi="Times New Roman" w:eastAsia="仿宋_GB2312"/>
          <w:color w:val="auto"/>
          <w:sz w:val="32"/>
          <w:szCs w:val="32"/>
          <w:lang w:eastAsia="zh-CN"/>
        </w:rPr>
        <w:t>。</w:t>
      </w:r>
    </w:p>
    <w:p>
      <w:pPr>
        <w:pStyle w:val="27"/>
        <w:pageBreakBefore w:val="0"/>
        <w:kinsoku/>
        <w:wordWrap/>
        <w:overflowPunct/>
        <w:topLinePunct w:val="0"/>
        <w:bidi w:val="0"/>
        <w:spacing w:line="576" w:lineRule="exact"/>
        <w:ind w:firstLine="643" w:firstLineChars="200"/>
        <w:rPr>
          <w:rFonts w:hint="eastAsia" w:ascii="仿宋_GB2312" w:hAnsi="Times New Roman" w:eastAsia="仿宋_GB2312"/>
          <w:color w:val="auto"/>
          <w:sz w:val="32"/>
          <w:szCs w:val="32"/>
          <w:lang w:val="en-US" w:eastAsia="zh-CN"/>
        </w:rPr>
      </w:pPr>
      <w:r>
        <w:rPr>
          <w:rFonts w:hint="default" w:ascii="方正仿宋_GBK" w:hAnsi="方正仿宋_GBK" w:eastAsia="方正仿宋_GBK" w:cs="方正仿宋_GBK"/>
          <w:b/>
          <w:bCs/>
          <w:i w:val="0"/>
          <w:caps w:val="0"/>
          <w:color w:val="000000"/>
          <w:spacing w:val="0"/>
          <w:kern w:val="0"/>
          <w:sz w:val="32"/>
          <w:szCs w:val="32"/>
          <w:shd w:val="clear" w:color="auto" w:fill="FFFFFF"/>
          <w:lang w:val="zh-CN" w:eastAsia="zh-CN" w:bidi="ar"/>
        </w:rPr>
        <w:t>（</w:t>
      </w:r>
      <w:r>
        <w:rPr>
          <w:rFonts w:hint="eastAsia" w:ascii="方正仿宋_GBK" w:hAnsi="方正仿宋_GBK" w:eastAsia="方正仿宋_GBK" w:cs="方正仿宋_GBK"/>
          <w:b/>
          <w:bCs/>
          <w:i w:val="0"/>
          <w:caps w:val="0"/>
          <w:color w:val="000000"/>
          <w:spacing w:val="0"/>
          <w:kern w:val="0"/>
          <w:sz w:val="32"/>
          <w:szCs w:val="32"/>
          <w:shd w:val="clear" w:color="auto" w:fill="FFFFFF"/>
          <w:lang w:val="zh-CN" w:eastAsia="zh-CN" w:bidi="ar"/>
        </w:rPr>
        <w:t>二</w:t>
      </w:r>
      <w:r>
        <w:rPr>
          <w:rFonts w:hint="default" w:ascii="方正仿宋_GBK" w:hAnsi="方正仿宋_GBK" w:eastAsia="方正仿宋_GBK" w:cs="方正仿宋_GBK"/>
          <w:b/>
          <w:bCs/>
          <w:i w:val="0"/>
          <w:caps w:val="0"/>
          <w:color w:val="000000"/>
          <w:spacing w:val="0"/>
          <w:kern w:val="0"/>
          <w:sz w:val="32"/>
          <w:szCs w:val="32"/>
          <w:shd w:val="clear" w:color="auto" w:fill="FFFFFF"/>
          <w:lang w:val="zh-CN" w:eastAsia="zh-CN" w:bidi="ar"/>
        </w:rPr>
        <w:t>）</w:t>
      </w:r>
      <w:r>
        <w:rPr>
          <w:rFonts w:hint="eastAsia" w:ascii="方正仿宋_GBK" w:hAnsi="方正仿宋_GBK" w:eastAsia="方正仿宋_GBK" w:cs="方正仿宋_GBK"/>
          <w:b/>
          <w:bCs/>
          <w:i w:val="0"/>
          <w:caps w:val="0"/>
          <w:color w:val="000000"/>
          <w:spacing w:val="0"/>
          <w:kern w:val="0"/>
          <w:sz w:val="32"/>
          <w:szCs w:val="32"/>
          <w:shd w:val="clear" w:color="auto" w:fill="FFFFFF"/>
          <w:lang w:val="zh-CN" w:eastAsia="zh-CN" w:bidi="ar"/>
        </w:rPr>
        <w:t>支出情况</w:t>
      </w:r>
      <w:r>
        <w:rPr>
          <w:rFonts w:hint="default" w:ascii="仿宋_GB2312" w:hAnsi="Times New Roman" w:eastAsia="仿宋_GB2312"/>
          <w:color w:val="auto"/>
          <w:sz w:val="32"/>
          <w:szCs w:val="32"/>
          <w:lang w:val="zh-CN"/>
        </w:rPr>
        <w:t>。</w:t>
      </w:r>
      <w:r>
        <w:rPr>
          <w:rFonts w:hint="eastAsia" w:ascii="仿宋_GB2312" w:hAnsi="Times New Roman" w:eastAsia="仿宋_GB2312"/>
          <w:color w:val="auto"/>
          <w:sz w:val="32"/>
          <w:szCs w:val="32"/>
        </w:rPr>
        <w:t>本年度总支出为</w:t>
      </w:r>
      <w:r>
        <w:rPr>
          <w:rFonts w:hint="eastAsia" w:ascii="仿宋_GB2312" w:hAnsi="仿宋_GB2312" w:eastAsia="仿宋_GB2312" w:cs="仿宋_GB2312"/>
          <w:sz w:val="32"/>
          <w:szCs w:val="32"/>
          <w:lang w:val="en-US" w:eastAsia="zh-CN"/>
        </w:rPr>
        <w:t>409.35</w:t>
      </w:r>
      <w:r>
        <w:rPr>
          <w:rFonts w:hint="eastAsia" w:ascii="仿宋_GB2312" w:hAnsi="Times New Roman" w:eastAsia="仿宋_GB2312"/>
          <w:color w:val="auto"/>
          <w:sz w:val="32"/>
          <w:szCs w:val="32"/>
        </w:rPr>
        <w:t>万元。其中：</w:t>
      </w:r>
      <w:r>
        <w:rPr>
          <w:rFonts w:hint="eastAsia" w:ascii="Times New Roman" w:hAnsi="Times New Roman" w:eastAsia="仿宋_GB2312" w:cs="仿宋_GB2312"/>
          <w:color w:val="auto"/>
          <w:kern w:val="2"/>
          <w:sz w:val="32"/>
          <w:szCs w:val="32"/>
          <w:highlight w:val="none"/>
          <w:lang w:val="en-US" w:eastAsia="zh-CN" w:bidi="ar-SA"/>
        </w:rPr>
        <w:t>一般公共服务支出</w:t>
      </w:r>
      <w:r>
        <w:rPr>
          <w:rFonts w:hint="eastAsia" w:eastAsia="仿宋_GB2312" w:cs="仿宋_GB2312"/>
          <w:color w:val="auto"/>
          <w:kern w:val="2"/>
          <w:sz w:val="32"/>
          <w:szCs w:val="32"/>
          <w:highlight w:val="none"/>
          <w:lang w:val="en-US" w:eastAsia="zh-CN" w:bidi="ar-SA"/>
        </w:rPr>
        <w:t>265.63</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64.89</w:t>
      </w:r>
      <w:r>
        <w:rPr>
          <w:rFonts w:hint="eastAsia" w:ascii="Times New Roman" w:hAnsi="Times New Roman" w:eastAsia="仿宋_GB2312" w:cs="仿宋_GB2312"/>
          <w:color w:val="auto"/>
          <w:kern w:val="2"/>
          <w:sz w:val="32"/>
          <w:szCs w:val="32"/>
          <w:highlight w:val="none"/>
          <w:lang w:val="en-US" w:eastAsia="zh-CN" w:bidi="ar-SA"/>
        </w:rPr>
        <w:t>%；社会保障和就业支出</w:t>
      </w:r>
      <w:r>
        <w:rPr>
          <w:rFonts w:hint="eastAsia" w:eastAsia="仿宋_GB2312" w:cs="仿宋_GB2312"/>
          <w:color w:val="auto"/>
          <w:kern w:val="2"/>
          <w:sz w:val="32"/>
          <w:szCs w:val="32"/>
          <w:highlight w:val="none"/>
          <w:lang w:val="en-US" w:eastAsia="zh-CN" w:bidi="ar-SA"/>
        </w:rPr>
        <w:t>115.01</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28.1</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11.5</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2.81</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17.21</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4.2</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pStyle w:val="27"/>
        <w:pageBreakBefore w:val="0"/>
        <w:kinsoku/>
        <w:wordWrap/>
        <w:overflowPunct/>
        <w:topLinePunct w:val="0"/>
        <w:bidi w:val="0"/>
        <w:spacing w:line="576" w:lineRule="exact"/>
        <w:ind w:firstLine="643" w:firstLineChars="200"/>
        <w:rPr>
          <w:rFonts w:hint="eastAsia" w:ascii="仿宋_GB2312" w:hAnsi="Times New Roman" w:eastAsia="仿宋_GB2312"/>
          <w:color w:val="auto"/>
          <w:sz w:val="32"/>
          <w:szCs w:val="32"/>
        </w:rPr>
      </w:pPr>
      <w:r>
        <w:rPr>
          <w:rFonts w:hint="default" w:ascii="方正仿宋_GBK" w:hAnsi="方正仿宋_GBK" w:eastAsia="方正仿宋_GBK" w:cs="方正仿宋_GBK"/>
          <w:b/>
          <w:bCs/>
          <w:i w:val="0"/>
          <w:caps w:val="0"/>
          <w:color w:val="000000"/>
          <w:spacing w:val="0"/>
          <w:kern w:val="0"/>
          <w:sz w:val="32"/>
          <w:szCs w:val="32"/>
          <w:shd w:val="clear" w:color="auto" w:fill="FFFFFF"/>
          <w:lang w:val="zh-CN" w:eastAsia="zh-CN" w:bidi="ar"/>
        </w:rPr>
        <w:t>（</w:t>
      </w:r>
      <w:r>
        <w:rPr>
          <w:rFonts w:hint="eastAsia" w:ascii="方正仿宋_GBK" w:hAnsi="方正仿宋_GBK" w:eastAsia="方正仿宋_GBK" w:cs="方正仿宋_GBK"/>
          <w:b/>
          <w:bCs/>
          <w:i w:val="0"/>
          <w:caps w:val="0"/>
          <w:color w:val="000000"/>
          <w:spacing w:val="0"/>
          <w:kern w:val="0"/>
          <w:sz w:val="32"/>
          <w:szCs w:val="32"/>
          <w:shd w:val="clear" w:color="auto" w:fill="FFFFFF"/>
          <w:lang w:val="zh-CN" w:eastAsia="zh-CN" w:bidi="ar"/>
        </w:rPr>
        <w:t>三</w:t>
      </w:r>
      <w:r>
        <w:rPr>
          <w:rFonts w:hint="default" w:ascii="方正仿宋_GBK" w:hAnsi="方正仿宋_GBK" w:eastAsia="方正仿宋_GBK" w:cs="方正仿宋_GBK"/>
          <w:b/>
          <w:bCs/>
          <w:i w:val="0"/>
          <w:caps w:val="0"/>
          <w:color w:val="000000"/>
          <w:spacing w:val="0"/>
          <w:kern w:val="0"/>
          <w:sz w:val="32"/>
          <w:szCs w:val="32"/>
          <w:shd w:val="clear" w:color="auto" w:fill="FFFFFF"/>
          <w:lang w:val="zh-CN" w:eastAsia="zh-CN" w:bidi="ar"/>
        </w:rPr>
        <w:t>）结余分配和结转结余情况</w:t>
      </w:r>
      <w:r>
        <w:rPr>
          <w:rFonts w:hint="eastAsia" w:ascii="方正仿宋_GBK" w:hAnsi="方正仿宋_GBK" w:eastAsia="方正仿宋_GBK" w:cs="方正仿宋_GBK"/>
          <w:b/>
          <w:bCs/>
          <w:i w:val="0"/>
          <w:caps w:val="0"/>
          <w:color w:val="000000"/>
          <w:spacing w:val="0"/>
          <w:kern w:val="0"/>
          <w:sz w:val="32"/>
          <w:szCs w:val="32"/>
          <w:shd w:val="clear" w:color="auto" w:fill="FFFFFF"/>
          <w:lang w:val="zh-CN" w:eastAsia="zh-CN" w:bidi="ar"/>
        </w:rPr>
        <w:t>。</w:t>
      </w:r>
      <w:r>
        <w:rPr>
          <w:rFonts w:hint="eastAsia" w:ascii="仿宋_GB2312" w:hAnsi="Times New Roman" w:eastAsia="仿宋_GB2312"/>
          <w:color w:val="auto"/>
          <w:sz w:val="32"/>
          <w:szCs w:val="32"/>
          <w:lang w:eastAsia="zh-CN"/>
        </w:rPr>
        <w:t>本单位</w:t>
      </w:r>
      <w:r>
        <w:rPr>
          <w:rFonts w:hint="eastAsia" w:ascii="仿宋_GB2312" w:hAnsi="Times New Roman" w:eastAsia="仿宋_GB2312"/>
          <w:color w:val="auto"/>
          <w:sz w:val="32"/>
          <w:szCs w:val="32"/>
          <w:lang w:val="en-US" w:eastAsia="zh-CN"/>
        </w:rPr>
        <w:t>本年无经费结余和结转情况。</w:t>
      </w:r>
    </w:p>
    <w:p>
      <w:pPr>
        <w:pStyle w:val="27"/>
        <w:pageBreakBefore w:val="0"/>
        <w:kinsoku/>
        <w:wordWrap/>
        <w:overflowPunct/>
        <w:topLinePunct w:val="0"/>
        <w:bidi w:val="0"/>
        <w:spacing w:line="576" w:lineRule="exact"/>
        <w:ind w:firstLine="640" w:firstLineChars="200"/>
        <w:rPr>
          <w:rFonts w:hint="default" w:ascii="黑体" w:hAnsi="黑体" w:eastAsia="黑体" w:cs="黑体"/>
          <w:color w:val="auto"/>
          <w:sz w:val="32"/>
          <w:szCs w:val="32"/>
          <w:lang w:val="en-US" w:eastAsia="zh-CN"/>
        </w:rPr>
      </w:pPr>
      <w:r>
        <w:rPr>
          <w:rFonts w:hint="default" w:ascii="黑体" w:hAnsi="黑体" w:eastAsia="黑体" w:cs="黑体"/>
          <w:color w:val="auto"/>
          <w:sz w:val="32"/>
          <w:szCs w:val="32"/>
          <w:lang w:val="en-US" w:eastAsia="zh-CN"/>
        </w:rPr>
        <w:t>三、部门预算绩效分析</w:t>
      </w:r>
    </w:p>
    <w:p>
      <w:pPr>
        <w:pStyle w:val="27"/>
        <w:pageBreakBefore w:val="0"/>
        <w:kinsoku/>
        <w:wordWrap/>
        <w:overflowPunct/>
        <w:topLinePunct w:val="0"/>
        <w:bidi w:val="0"/>
        <w:spacing w:line="576" w:lineRule="exact"/>
        <w:ind w:firstLine="643" w:firstLineChars="200"/>
        <w:rPr>
          <w:rFonts w:hint="default" w:ascii="仿宋_GB2312" w:hAnsi="Times New Roman" w:eastAsia="仿宋_GB2312"/>
          <w:color w:val="auto"/>
          <w:sz w:val="32"/>
          <w:szCs w:val="32"/>
          <w:lang w:val="zh-CN"/>
        </w:rPr>
      </w:pPr>
      <w:r>
        <w:rPr>
          <w:rFonts w:hint="default" w:ascii="方正仿宋_GBK" w:hAnsi="方正仿宋_GBK" w:eastAsia="方正仿宋_GBK" w:cs="方正仿宋_GBK"/>
          <w:b/>
          <w:bCs/>
          <w:i w:val="0"/>
          <w:caps w:val="0"/>
          <w:color w:val="000000"/>
          <w:spacing w:val="0"/>
          <w:kern w:val="0"/>
          <w:sz w:val="32"/>
          <w:szCs w:val="32"/>
          <w:shd w:val="clear" w:color="auto" w:fill="FFFFFF"/>
          <w:lang w:val="zh-CN" w:eastAsia="zh-CN" w:bidi="ar"/>
        </w:rPr>
        <w:t>（一）</w:t>
      </w:r>
      <w:r>
        <w:rPr>
          <w:rFonts w:hint="eastAsia" w:ascii="方正仿宋_GBK" w:hAnsi="方正仿宋_GBK" w:eastAsia="方正仿宋_GBK" w:cs="方正仿宋_GBK"/>
          <w:b/>
          <w:bCs/>
          <w:i w:val="0"/>
          <w:caps w:val="0"/>
          <w:color w:val="000000"/>
          <w:spacing w:val="0"/>
          <w:kern w:val="0"/>
          <w:sz w:val="32"/>
          <w:szCs w:val="32"/>
          <w:shd w:val="clear" w:color="auto" w:fill="FFFFFF"/>
          <w:lang w:val="zh-CN" w:eastAsia="zh-CN" w:bidi="ar"/>
        </w:rPr>
        <w:t>部门预算</w:t>
      </w:r>
      <w:r>
        <w:rPr>
          <w:rFonts w:hint="default" w:ascii="方正仿宋_GBK" w:hAnsi="方正仿宋_GBK" w:eastAsia="方正仿宋_GBK" w:cs="方正仿宋_GBK"/>
          <w:b/>
          <w:bCs/>
          <w:i w:val="0"/>
          <w:caps w:val="0"/>
          <w:color w:val="000000"/>
          <w:spacing w:val="0"/>
          <w:kern w:val="0"/>
          <w:sz w:val="32"/>
          <w:szCs w:val="32"/>
          <w:shd w:val="clear" w:color="auto" w:fill="FFFFFF"/>
          <w:lang w:val="zh-CN" w:eastAsia="zh-CN" w:bidi="ar"/>
        </w:rPr>
        <w:t>总体绩效分析。</w:t>
      </w:r>
      <w:r>
        <w:rPr>
          <w:rFonts w:hint="default" w:ascii="仿宋_GB2312" w:hAnsi="Times New Roman" w:eastAsia="仿宋_GB2312"/>
          <w:color w:val="auto"/>
          <w:sz w:val="32"/>
          <w:szCs w:val="32"/>
          <w:lang w:val="zh-CN"/>
        </w:rPr>
        <w:t>根据部门预算绩效评价指标体系“总体绩效”涉及</w:t>
      </w:r>
      <w:r>
        <w:rPr>
          <w:rFonts w:hint="eastAsia" w:ascii="仿宋_GB2312" w:hAnsi="Times New Roman" w:eastAsia="仿宋_GB2312"/>
          <w:color w:val="auto"/>
          <w:sz w:val="32"/>
          <w:szCs w:val="32"/>
          <w:lang w:val="zh-CN"/>
        </w:rPr>
        <w:t>二、三级</w:t>
      </w:r>
      <w:r>
        <w:rPr>
          <w:rFonts w:hint="default" w:ascii="仿宋_GB2312" w:hAnsi="Times New Roman" w:eastAsia="仿宋_GB2312"/>
          <w:color w:val="auto"/>
          <w:sz w:val="32"/>
          <w:szCs w:val="32"/>
          <w:lang w:val="zh-CN"/>
        </w:rPr>
        <w:t>指标进行</w:t>
      </w:r>
      <w:r>
        <w:rPr>
          <w:rFonts w:hint="eastAsia" w:ascii="仿宋_GB2312" w:hAnsi="Times New Roman" w:eastAsia="仿宋_GB2312"/>
          <w:color w:val="auto"/>
          <w:sz w:val="32"/>
          <w:szCs w:val="32"/>
          <w:lang w:val="zh-CN"/>
        </w:rPr>
        <w:t>逐项</w:t>
      </w:r>
      <w:r>
        <w:rPr>
          <w:rFonts w:hint="default" w:ascii="仿宋_GB2312" w:hAnsi="Times New Roman" w:eastAsia="仿宋_GB2312"/>
          <w:color w:val="auto"/>
          <w:sz w:val="32"/>
          <w:szCs w:val="32"/>
          <w:lang w:val="zh-CN"/>
        </w:rPr>
        <w:t>绩效分析</w:t>
      </w:r>
      <w:r>
        <w:rPr>
          <w:rFonts w:hint="eastAsia" w:ascii="仿宋_GB2312" w:hAnsi="Times New Roman" w:eastAsia="仿宋_GB2312"/>
          <w:color w:val="auto"/>
          <w:sz w:val="32"/>
          <w:szCs w:val="32"/>
          <w:lang w:val="zh-CN"/>
        </w:rPr>
        <w:t>并评分</w:t>
      </w:r>
      <w:r>
        <w:rPr>
          <w:rFonts w:hint="default" w:ascii="仿宋_GB2312" w:hAnsi="Times New Roman" w:eastAsia="仿宋_GB2312"/>
          <w:color w:val="auto"/>
          <w:sz w:val="32"/>
          <w:szCs w:val="32"/>
          <w:lang w:val="zh-CN"/>
        </w:rPr>
        <w:t>，依次包括履职效能、预算管理、财务管理、资产管理、采购管理等情况。</w:t>
      </w:r>
    </w:p>
    <w:p>
      <w:pPr>
        <w:pStyle w:val="27"/>
        <w:pageBreakBefore w:val="0"/>
        <w:kinsoku/>
        <w:wordWrap/>
        <w:overflowPunct/>
        <w:topLinePunct w:val="0"/>
        <w:bidi w:val="0"/>
        <w:spacing w:line="576" w:lineRule="exact"/>
        <w:ind w:firstLine="640" w:firstLineChars="200"/>
        <w:rPr>
          <w:rFonts w:hint="eastAsia" w:ascii="仿宋_GB2312" w:hAnsi="Times New Roman" w:eastAsia="仿宋_GB2312"/>
          <w:color w:val="auto"/>
          <w:sz w:val="32"/>
          <w:szCs w:val="32"/>
          <w:lang w:val="zh-CN"/>
        </w:rPr>
      </w:pPr>
      <w:r>
        <w:rPr>
          <w:rFonts w:hint="eastAsia" w:ascii="仿宋_GB2312" w:hAnsi="Times New Roman" w:eastAsia="仿宋_GB2312"/>
          <w:color w:val="auto"/>
          <w:sz w:val="32"/>
          <w:szCs w:val="32"/>
          <w:lang w:val="en-US" w:eastAsia="zh-CN"/>
        </w:rPr>
        <w:t>1、履职效能：</w:t>
      </w:r>
      <w:r>
        <w:rPr>
          <w:rFonts w:hint="eastAsia" w:ascii="仿宋_GB2312" w:hAnsi="Times New Roman" w:eastAsia="仿宋_GB2312"/>
          <w:color w:val="auto"/>
          <w:sz w:val="32"/>
          <w:szCs w:val="32"/>
          <w:lang w:val="zh-CN"/>
        </w:rPr>
        <w:t>根据本单位工作实际，在建立并实施内部监督和控制制度过程中，建立和完善各项制度的同时，相关人员在工作过程中严格遵守这些规章制度，有效地实施了内部监督和控制，保证了会计工作的真实性、完整性以及单位财产的安全，加强了对本单位财产物资的监督和管理，杜绝了各种漏洞的发生，达到了以下成效：一是明确了记账人员与审批人员、经办人员的职责权限，使其相互分离、相互制约，以明确责任，防止舞弊，各项业务事项得以有序进行；二是明确了财务收支审批程序和审批人的权限和责任，规范了各项资金的使用，提高了资金使用效益；三是明确经费支出的范围和开支标准，采取各种有效措施控制经费开支，杜绝了浪费现象的发生；四是明确账务处理程序，根据机关事业单位会计制度的规定，确定单位会计科目和明细科目的设置和使用范围；确定本单位会计凭证格式、填制要求、审核要求、传递程序、保管要求等；确定本单位的总账、明细账、银行存款日记账、各种辅助账等的设置、格式、登记、对账、结算、改错等要求，确保会计核算准确无误。</w:t>
      </w:r>
    </w:p>
    <w:p>
      <w:pPr>
        <w:pStyle w:val="27"/>
        <w:pageBreakBefore w:val="0"/>
        <w:kinsoku/>
        <w:wordWrap/>
        <w:overflowPunct/>
        <w:topLinePunct w:val="0"/>
        <w:bidi w:val="0"/>
        <w:spacing w:line="576" w:lineRule="exact"/>
        <w:ind w:firstLine="640" w:firstLineChars="200"/>
        <w:rPr>
          <w:rFonts w:hint="eastAsia" w:ascii="仿宋_GB2312" w:hAnsi="Times New Roman" w:eastAsia="仿宋_GB2312"/>
          <w:color w:val="auto"/>
          <w:sz w:val="32"/>
          <w:szCs w:val="32"/>
          <w:lang w:val="zh-CN" w:eastAsia="zh-CN"/>
        </w:rPr>
      </w:pPr>
      <w:r>
        <w:rPr>
          <w:rFonts w:hint="eastAsia" w:ascii="仿宋_GB2312" w:hAnsi="Times New Roman" w:eastAsia="仿宋_GB2312"/>
          <w:color w:val="auto"/>
          <w:sz w:val="32"/>
          <w:szCs w:val="32"/>
          <w:lang w:val="en-US" w:eastAsia="zh-CN"/>
        </w:rPr>
        <w:t>2、</w:t>
      </w:r>
      <w:r>
        <w:rPr>
          <w:rFonts w:hint="default" w:ascii="仿宋_GB2312" w:hAnsi="Times New Roman" w:eastAsia="仿宋_GB2312"/>
          <w:color w:val="auto"/>
          <w:sz w:val="32"/>
          <w:szCs w:val="32"/>
          <w:lang w:val="zh-CN"/>
        </w:rPr>
        <w:t>预算管理</w:t>
      </w:r>
      <w:r>
        <w:rPr>
          <w:rFonts w:hint="eastAsia" w:ascii="仿宋_GB2312" w:hAnsi="Times New Roman" w:eastAsia="仿宋_GB2312"/>
          <w:color w:val="auto"/>
          <w:sz w:val="32"/>
          <w:szCs w:val="32"/>
          <w:lang w:val="zh-CN"/>
        </w:rPr>
        <w:t>：</w:t>
      </w:r>
      <w:r>
        <w:rPr>
          <w:rFonts w:hint="eastAsia" w:ascii="仿宋_GB2312" w:hAnsi="Times New Roman" w:eastAsia="仿宋_GB2312"/>
          <w:color w:val="auto"/>
          <w:sz w:val="32"/>
          <w:szCs w:val="32"/>
          <w:lang w:eastAsia="zh-CN"/>
        </w:rPr>
        <w:t>根据预算绩效管理要求，本部门在年初预算编制阶段，组织</w:t>
      </w:r>
      <w:r>
        <w:rPr>
          <w:rFonts w:hint="eastAsia" w:ascii="仿宋_GB2312" w:hAnsi="Times New Roman" w:eastAsia="仿宋_GB2312"/>
          <w:color w:val="auto"/>
          <w:sz w:val="32"/>
          <w:szCs w:val="32"/>
          <w:lang w:val="zh-CN" w:eastAsia="zh-CN"/>
        </w:rPr>
        <w:t>对维护社会稳定、雪亮工程、综治工作、扫黑工作等项目，严格按照财政预算统一口径编制预算，明确绩效目标，开展了预算事前绩效评估，对所有项目编制了绩效目标，在预算执行中，我单位严格按工作开展进度、预算资金计划等执行，分管财务领导定期不定期督查单位预算执行情况，并加强与财政部门的衔接沟通。对涉及的项目资金严格按项目实施进度拨付预算资金，加强了财政资金的事前、事中、事后监管，无超进度、超预算拨付资金。</w:t>
      </w:r>
    </w:p>
    <w:p>
      <w:pPr>
        <w:pStyle w:val="27"/>
        <w:pageBreakBefore w:val="0"/>
        <w:kinsoku/>
        <w:wordWrap/>
        <w:overflowPunct/>
        <w:topLinePunct w:val="0"/>
        <w:bidi w:val="0"/>
        <w:spacing w:line="576" w:lineRule="exact"/>
        <w:ind w:firstLine="640" w:firstLineChars="200"/>
        <w:rPr>
          <w:rFonts w:hint="eastAsia" w:ascii="仿宋_GB2312" w:hAnsi="Times New Roman" w:eastAsia="仿宋_GB2312"/>
          <w:color w:val="auto"/>
          <w:sz w:val="32"/>
          <w:szCs w:val="32"/>
          <w:lang w:val="zh-CN"/>
        </w:rPr>
      </w:pPr>
      <w:r>
        <w:rPr>
          <w:rFonts w:hint="eastAsia" w:ascii="仿宋_GB2312" w:hAnsi="Times New Roman" w:eastAsia="仿宋_GB2312"/>
          <w:color w:val="auto"/>
          <w:sz w:val="32"/>
          <w:szCs w:val="32"/>
          <w:lang w:val="en-US" w:eastAsia="zh-CN"/>
        </w:rPr>
        <w:t>3、财务管理：</w:t>
      </w:r>
      <w:r>
        <w:rPr>
          <w:rFonts w:hint="eastAsia" w:ascii="仿宋_GB2312" w:hAnsi="Times New Roman" w:eastAsia="仿宋_GB2312"/>
          <w:color w:val="auto"/>
          <w:sz w:val="32"/>
          <w:szCs w:val="32"/>
          <w:lang w:val="zh-CN"/>
        </w:rPr>
        <w:t>执行国家有关财务法律法规的同时，建立健全内部财务管理制度，按照党风廉政建设的要求，全体干部职工廉洁奉公、忠于职守。禁止利用职权和职务上的便利谋取不正当的利益。制定了相关规章制度，加强了项目资金的管理和监督，杜绝违规违法事件的发生。本着勤俭节约原则，管理好用好每笔资金。财务活动接受审计、财政、纪检监察等部门的监督检查，无存在违规进行资产购置，擅自处置财产、对外投资，财政票据管理、使用不规范等问题，按照规定保管会计档案，并建立完善的内部控制制度和监督制度。</w:t>
      </w:r>
    </w:p>
    <w:p>
      <w:pPr>
        <w:pStyle w:val="27"/>
        <w:pageBreakBefore w:val="0"/>
        <w:kinsoku/>
        <w:wordWrap/>
        <w:overflowPunct/>
        <w:topLinePunct w:val="0"/>
        <w:bidi w:val="0"/>
        <w:spacing w:line="576" w:lineRule="exact"/>
        <w:ind w:firstLine="640" w:firstLineChars="200"/>
        <w:rPr>
          <w:rFonts w:hint="eastAsia" w:ascii="仿宋_GB2312" w:hAnsi="Times New Roman" w:eastAsia="仿宋_GB2312"/>
          <w:color w:val="auto"/>
          <w:sz w:val="32"/>
          <w:szCs w:val="32"/>
          <w:lang w:val="zh-CN"/>
        </w:rPr>
      </w:pPr>
      <w:r>
        <w:rPr>
          <w:rFonts w:hint="eastAsia" w:ascii="仿宋_GB2312" w:hAnsi="Times New Roman" w:eastAsia="仿宋_GB2312"/>
          <w:color w:val="auto"/>
          <w:sz w:val="32"/>
          <w:szCs w:val="32"/>
          <w:lang w:val="en-US" w:eastAsia="zh-CN"/>
        </w:rPr>
        <w:t>4、资产管理：</w:t>
      </w:r>
      <w:r>
        <w:rPr>
          <w:rFonts w:hint="eastAsia" w:ascii="仿宋_GB2312" w:hAnsi="Times New Roman" w:eastAsia="仿宋_GB2312"/>
          <w:color w:val="auto"/>
          <w:sz w:val="32"/>
          <w:szCs w:val="32"/>
          <w:lang w:val="zh-CN"/>
        </w:rPr>
        <w:t>单位资产管理由办公室总负责，使用人具体负责管理，对不能继续使用的资产由使用人交回办公室并提出申请，由办公室提供材料交给财务室按照相关程序统一购置。</w:t>
      </w:r>
      <w:r>
        <w:rPr>
          <w:rFonts w:hint="eastAsia" w:ascii="仿宋_GB2312" w:hAnsi="Times New Roman" w:eastAsia="仿宋_GB2312"/>
          <w:color w:val="auto"/>
          <w:sz w:val="32"/>
          <w:szCs w:val="32"/>
          <w:lang w:val="zh-CN" w:eastAsia="zh-CN"/>
        </w:rPr>
        <w:t>财务人员</w:t>
      </w:r>
      <w:r>
        <w:rPr>
          <w:rFonts w:hint="eastAsia" w:ascii="仿宋_GB2312" w:hAnsi="Times New Roman" w:eastAsia="仿宋_GB2312"/>
          <w:color w:val="auto"/>
          <w:sz w:val="32"/>
          <w:szCs w:val="32"/>
          <w:lang w:val="zh-CN"/>
        </w:rPr>
        <w:t>每年对单位资产进行一次集中清理，对不能使用的资产及时报相关部门进行报废处理。</w:t>
      </w:r>
    </w:p>
    <w:p>
      <w:pPr>
        <w:pStyle w:val="27"/>
        <w:pageBreakBefore w:val="0"/>
        <w:kinsoku/>
        <w:wordWrap/>
        <w:overflowPunct/>
        <w:topLinePunct w:val="0"/>
        <w:bidi w:val="0"/>
        <w:spacing w:line="576" w:lineRule="exact"/>
        <w:ind w:firstLine="640" w:firstLineChars="200"/>
        <w:rPr>
          <w:rFonts w:hint="default" w:ascii="仿宋_GB2312" w:hAnsi="Times New Roman" w:eastAsia="仿宋_GB2312"/>
          <w:color w:val="auto"/>
          <w:sz w:val="32"/>
          <w:szCs w:val="32"/>
          <w:lang w:val="zh-CN"/>
        </w:rPr>
      </w:pPr>
      <w:r>
        <w:rPr>
          <w:rFonts w:hint="eastAsia" w:ascii="仿宋_GB2312" w:hAnsi="Times New Roman" w:eastAsia="仿宋_GB2312"/>
          <w:color w:val="auto"/>
          <w:sz w:val="32"/>
          <w:szCs w:val="32"/>
          <w:lang w:val="en-US" w:eastAsia="zh-CN"/>
        </w:rPr>
        <w:t>5、</w:t>
      </w:r>
      <w:r>
        <w:rPr>
          <w:rFonts w:hint="default" w:ascii="仿宋_GB2312" w:hAnsi="Times New Roman" w:eastAsia="仿宋_GB2312"/>
          <w:color w:val="auto"/>
          <w:sz w:val="32"/>
          <w:szCs w:val="32"/>
          <w:lang w:val="zh-CN"/>
        </w:rPr>
        <w:t>采购管理</w:t>
      </w:r>
      <w:r>
        <w:rPr>
          <w:rFonts w:hint="eastAsia" w:ascii="仿宋_GB2312" w:hAnsi="Times New Roman" w:eastAsia="仿宋_GB2312"/>
          <w:color w:val="auto"/>
          <w:sz w:val="32"/>
          <w:szCs w:val="32"/>
          <w:lang w:val="zh-CN"/>
        </w:rPr>
        <w:t>。单位采购严格执行政府采购促进中小企业发展相关管理办法，对适宜由中小企业提供的采购项目和采购包，预留采购份额专门面向中小企业采购，并在采购预算中单独列示。</w:t>
      </w:r>
    </w:p>
    <w:p>
      <w:pPr>
        <w:pStyle w:val="27"/>
        <w:pageBreakBefore w:val="0"/>
        <w:kinsoku/>
        <w:wordWrap/>
        <w:overflowPunct/>
        <w:topLinePunct w:val="0"/>
        <w:bidi w:val="0"/>
        <w:spacing w:line="576" w:lineRule="exact"/>
        <w:ind w:firstLine="643" w:firstLineChars="200"/>
        <w:rPr>
          <w:rFonts w:hint="default" w:ascii="仿宋_GB2312" w:hAnsi="Times New Roman" w:eastAsia="仿宋_GB2312"/>
          <w:color w:val="auto"/>
          <w:sz w:val="32"/>
          <w:szCs w:val="32"/>
          <w:lang w:val="en-US" w:eastAsia="zh-CN"/>
        </w:rPr>
      </w:pPr>
      <w:r>
        <w:rPr>
          <w:rFonts w:hint="default" w:ascii="方正仿宋_GBK" w:hAnsi="方正仿宋_GBK" w:eastAsia="方正仿宋_GBK" w:cs="方正仿宋_GBK"/>
          <w:b/>
          <w:bCs/>
          <w:i w:val="0"/>
          <w:caps w:val="0"/>
          <w:color w:val="000000"/>
          <w:spacing w:val="0"/>
          <w:kern w:val="0"/>
          <w:sz w:val="32"/>
          <w:szCs w:val="32"/>
          <w:shd w:val="clear" w:color="auto" w:fill="FFFFFF"/>
          <w:lang w:val="zh-CN" w:eastAsia="zh-CN" w:bidi="ar"/>
        </w:rPr>
        <w:t>（二）部门预算项目绩效分析。</w:t>
      </w:r>
      <w:r>
        <w:rPr>
          <w:rFonts w:hint="eastAsia" w:ascii="仿宋_GB2312" w:hAnsi="Times New Roman" w:eastAsia="仿宋_GB2312"/>
          <w:color w:val="auto"/>
          <w:sz w:val="32"/>
          <w:szCs w:val="32"/>
          <w:lang w:val="zh-CN" w:eastAsia="zh-CN"/>
        </w:rPr>
        <w:t>填报以下数据，</w:t>
      </w:r>
      <w:r>
        <w:rPr>
          <w:rFonts w:hint="eastAsia" w:ascii="仿宋_GB2312" w:hAnsi="Times New Roman" w:eastAsia="仿宋_GB2312"/>
          <w:color w:val="auto"/>
          <w:sz w:val="32"/>
          <w:szCs w:val="32"/>
          <w:lang w:val="zh-CN"/>
        </w:rPr>
        <w:t>并</w:t>
      </w:r>
      <w:r>
        <w:rPr>
          <w:rFonts w:hint="default" w:ascii="仿宋_GB2312" w:hAnsi="Times New Roman" w:eastAsia="仿宋_GB2312"/>
          <w:color w:val="auto"/>
          <w:sz w:val="32"/>
          <w:szCs w:val="32"/>
          <w:lang w:val="zh-CN"/>
        </w:rPr>
        <w:t>根据部门预算绩效评价指标体系“项目绩效”涉及</w:t>
      </w:r>
      <w:r>
        <w:rPr>
          <w:rFonts w:hint="eastAsia" w:ascii="仿宋_GB2312" w:hAnsi="Times New Roman" w:eastAsia="仿宋_GB2312"/>
          <w:color w:val="auto"/>
          <w:sz w:val="32"/>
          <w:szCs w:val="32"/>
          <w:lang w:val="zh-CN"/>
        </w:rPr>
        <w:t>二、三级</w:t>
      </w:r>
      <w:r>
        <w:rPr>
          <w:rFonts w:hint="default" w:ascii="仿宋_GB2312" w:hAnsi="Times New Roman" w:eastAsia="仿宋_GB2312"/>
          <w:color w:val="auto"/>
          <w:sz w:val="32"/>
          <w:szCs w:val="32"/>
          <w:lang w:val="zh-CN"/>
        </w:rPr>
        <w:t>指标进行</w:t>
      </w:r>
      <w:r>
        <w:rPr>
          <w:rFonts w:hint="eastAsia" w:ascii="仿宋_GB2312" w:hAnsi="Times New Roman" w:eastAsia="仿宋_GB2312"/>
          <w:color w:val="auto"/>
          <w:sz w:val="32"/>
          <w:szCs w:val="32"/>
          <w:lang w:val="zh-CN"/>
        </w:rPr>
        <w:t>逐项</w:t>
      </w:r>
      <w:r>
        <w:rPr>
          <w:rFonts w:hint="default" w:ascii="仿宋_GB2312" w:hAnsi="Times New Roman" w:eastAsia="仿宋_GB2312"/>
          <w:color w:val="auto"/>
          <w:sz w:val="32"/>
          <w:szCs w:val="32"/>
          <w:lang w:val="zh-CN"/>
        </w:rPr>
        <w:t>绩效分析</w:t>
      </w:r>
      <w:r>
        <w:rPr>
          <w:rFonts w:hint="eastAsia" w:ascii="仿宋_GB2312" w:hAnsi="Times New Roman" w:eastAsia="仿宋_GB2312"/>
          <w:color w:val="auto"/>
          <w:sz w:val="32"/>
          <w:szCs w:val="32"/>
          <w:lang w:val="zh-CN"/>
        </w:rPr>
        <w:t>并评分</w:t>
      </w:r>
      <w:r>
        <w:rPr>
          <w:rFonts w:hint="default" w:ascii="仿宋_GB2312" w:hAnsi="Times New Roman" w:eastAsia="仿宋_GB2312"/>
          <w:color w:val="auto"/>
          <w:sz w:val="32"/>
          <w:szCs w:val="32"/>
          <w:lang w:val="zh-CN"/>
        </w:rPr>
        <w:t>，依次包括项目</w:t>
      </w:r>
      <w:r>
        <w:rPr>
          <w:rFonts w:hint="default" w:ascii="仿宋_GB2312" w:hAnsi="Times New Roman" w:eastAsia="仿宋_GB2312"/>
          <w:color w:val="auto"/>
          <w:sz w:val="32"/>
          <w:szCs w:val="32"/>
          <w:lang w:val="en-US" w:eastAsia="zh-CN"/>
        </w:rPr>
        <w:t>决策、项目执行、目标实现等情况</w:t>
      </w:r>
      <w:r>
        <w:rPr>
          <w:rFonts w:hint="eastAsia" w:ascii="仿宋_GB2312" w:hAnsi="Times New Roman" w:eastAsia="仿宋_GB2312"/>
          <w:color w:val="auto"/>
          <w:sz w:val="32"/>
          <w:szCs w:val="32"/>
          <w:lang w:val="en-US" w:eastAsia="zh-CN"/>
        </w:rPr>
        <w:t>。</w:t>
      </w:r>
    </w:p>
    <w:p>
      <w:pPr>
        <w:pStyle w:val="27"/>
        <w:pageBreakBefore w:val="0"/>
        <w:kinsoku/>
        <w:wordWrap/>
        <w:overflowPunct/>
        <w:topLinePunct w:val="0"/>
        <w:bidi w:val="0"/>
        <w:spacing w:line="576" w:lineRule="exact"/>
        <w:ind w:firstLine="640" w:firstLineChars="200"/>
        <w:rPr>
          <w:rFonts w:hint="eastAsia" w:ascii="仿宋_GB2312" w:hAnsi="Times New Roman" w:eastAsia="仿宋_GB2312"/>
          <w:color w:val="auto"/>
          <w:sz w:val="32"/>
          <w:szCs w:val="32"/>
          <w:lang w:val="zh-CN" w:eastAsia="zh-CN"/>
        </w:rPr>
      </w:pPr>
      <w:r>
        <w:rPr>
          <w:rFonts w:hint="eastAsia" w:ascii="仿宋_GB2312" w:hAnsi="Times New Roman" w:eastAsia="仿宋_GB2312"/>
          <w:color w:val="auto"/>
          <w:sz w:val="32"/>
          <w:szCs w:val="32"/>
          <w:lang w:val="en-US" w:eastAsia="zh-CN"/>
        </w:rPr>
        <w:t>1、</w:t>
      </w:r>
      <w:r>
        <w:rPr>
          <w:rFonts w:hint="eastAsia" w:ascii="仿宋_GB2312" w:hAnsi="Times New Roman" w:eastAsia="仿宋_GB2312"/>
          <w:color w:val="auto"/>
          <w:sz w:val="32"/>
          <w:szCs w:val="32"/>
          <w:lang w:val="zh-CN" w:eastAsia="zh-CN"/>
        </w:rPr>
        <w:t>项目决策。本部门预算项目的设立严格按照规定履行事前评估论证，申报程序。预算项目绩效目标与计划期内的任务量与预算安排的资金量匹配，绩效目标设置科学合理、规范完整、量化细化、预算匹配。部门预算项目在规定时间完成项目入库。</w:t>
      </w:r>
    </w:p>
    <w:p>
      <w:pPr>
        <w:pStyle w:val="27"/>
        <w:pageBreakBefore w:val="0"/>
        <w:kinsoku/>
        <w:wordWrap/>
        <w:overflowPunct/>
        <w:topLinePunct w:val="0"/>
        <w:bidi w:val="0"/>
        <w:spacing w:line="576" w:lineRule="exact"/>
        <w:ind w:firstLine="640" w:firstLineChars="200"/>
        <w:rPr>
          <w:rFonts w:hint="eastAsia" w:ascii="仿宋_GB2312" w:hAnsi="Times New Roman" w:eastAsia="仿宋_GB2312"/>
          <w:color w:val="auto"/>
          <w:sz w:val="32"/>
          <w:szCs w:val="32"/>
          <w:lang w:val="zh-CN" w:eastAsia="zh-CN"/>
        </w:rPr>
      </w:pPr>
      <w:r>
        <w:rPr>
          <w:rFonts w:hint="eastAsia" w:ascii="仿宋_GB2312" w:hAnsi="Times New Roman" w:eastAsia="仿宋_GB2312"/>
          <w:color w:val="auto"/>
          <w:sz w:val="32"/>
          <w:szCs w:val="32"/>
          <w:lang w:val="en-US" w:eastAsia="zh-CN"/>
        </w:rPr>
        <w:t>2、项目执行</w:t>
      </w:r>
      <w:r>
        <w:rPr>
          <w:rFonts w:hint="eastAsia" w:ascii="仿宋_GB2312" w:hAnsi="Times New Roman" w:eastAsia="仿宋_GB2312"/>
          <w:color w:val="auto"/>
          <w:sz w:val="32"/>
          <w:szCs w:val="32"/>
          <w:lang w:val="zh-CN" w:eastAsia="zh-CN"/>
        </w:rPr>
        <w:t>。部门预算项目实际列支内容与绩效目标设置方向完全相符，部门预算项目结合实际采取了对应调整措施，部门预算项目预算执行情况较好。</w:t>
      </w:r>
    </w:p>
    <w:p>
      <w:pPr>
        <w:pStyle w:val="27"/>
        <w:pageBreakBefore w:val="0"/>
        <w:kinsoku/>
        <w:wordWrap/>
        <w:overflowPunct/>
        <w:topLinePunct w:val="0"/>
        <w:bidi w:val="0"/>
        <w:spacing w:line="576" w:lineRule="exact"/>
        <w:ind w:firstLine="640" w:firstLineChars="200"/>
        <w:rPr>
          <w:rFonts w:hint="default" w:ascii="仿宋_GB2312" w:hAnsi="Times New Roman" w:eastAsia="仿宋_GB2312"/>
          <w:color w:val="auto"/>
          <w:sz w:val="32"/>
          <w:szCs w:val="32"/>
          <w:lang w:val="zh-CN" w:eastAsia="zh-CN"/>
        </w:rPr>
      </w:pPr>
      <w:r>
        <w:rPr>
          <w:rFonts w:hint="eastAsia" w:ascii="仿宋_GB2312" w:hAnsi="Times New Roman" w:eastAsia="仿宋_GB2312"/>
          <w:color w:val="auto"/>
          <w:sz w:val="32"/>
          <w:szCs w:val="32"/>
          <w:lang w:val="en-US" w:eastAsia="zh-CN"/>
        </w:rPr>
        <w:t>3、</w:t>
      </w:r>
      <w:r>
        <w:rPr>
          <w:rFonts w:hint="eastAsia" w:ascii="仿宋_GB2312" w:hAnsi="Times New Roman" w:eastAsia="仿宋_GB2312"/>
          <w:color w:val="auto"/>
          <w:sz w:val="32"/>
          <w:szCs w:val="32"/>
          <w:lang w:val="zh-CN" w:eastAsia="zh-CN"/>
        </w:rPr>
        <w:t>目标实现。部门预算项目绩效目标数量指标完成情况较好，部门预算项目绩效目标数量指标实现程度与预期目标未出现偏离情况，部门预算项目绩效目标效益指标实施效果较好。</w:t>
      </w:r>
    </w:p>
    <w:p>
      <w:pPr>
        <w:pStyle w:val="27"/>
        <w:pageBreakBefore w:val="0"/>
        <w:kinsoku/>
        <w:wordWrap/>
        <w:overflowPunct/>
        <w:topLinePunct w:val="0"/>
        <w:bidi w:val="0"/>
        <w:spacing w:line="576" w:lineRule="exact"/>
        <w:ind w:firstLine="643" w:firstLineChars="200"/>
        <w:rPr>
          <w:rFonts w:hint="eastAsia" w:ascii="仿宋_GB2312" w:hAnsi="Times New Roman" w:eastAsia="仿宋_GB2312"/>
          <w:color w:val="auto"/>
          <w:sz w:val="32"/>
          <w:szCs w:val="32"/>
          <w:lang w:eastAsia="zh-CN"/>
        </w:rPr>
      </w:pPr>
      <w:r>
        <w:rPr>
          <w:rFonts w:hint="default" w:ascii="方正仿宋_GBK" w:hAnsi="方正仿宋_GBK" w:eastAsia="方正仿宋_GBK" w:cs="方正仿宋_GBK"/>
          <w:b/>
          <w:bCs/>
          <w:i w:val="0"/>
          <w:caps w:val="0"/>
          <w:color w:val="000000"/>
          <w:spacing w:val="0"/>
          <w:kern w:val="0"/>
          <w:sz w:val="32"/>
          <w:szCs w:val="32"/>
          <w:shd w:val="clear" w:color="auto" w:fill="FFFFFF"/>
          <w:lang w:val="zh-CN" w:eastAsia="zh-CN" w:bidi="ar"/>
        </w:rPr>
        <w:t>（</w:t>
      </w:r>
      <w:r>
        <w:rPr>
          <w:rFonts w:hint="eastAsia" w:ascii="方正仿宋_GBK" w:hAnsi="方正仿宋_GBK" w:eastAsia="方正仿宋_GBK" w:cs="方正仿宋_GBK"/>
          <w:b/>
          <w:bCs/>
          <w:i w:val="0"/>
          <w:caps w:val="0"/>
          <w:color w:val="000000"/>
          <w:spacing w:val="0"/>
          <w:kern w:val="0"/>
          <w:sz w:val="32"/>
          <w:szCs w:val="32"/>
          <w:shd w:val="clear" w:color="auto" w:fill="FFFFFF"/>
          <w:lang w:val="zh-CN" w:eastAsia="zh-CN" w:bidi="ar"/>
        </w:rPr>
        <w:t>三</w:t>
      </w:r>
      <w:r>
        <w:rPr>
          <w:rFonts w:hint="default" w:ascii="方正仿宋_GBK" w:hAnsi="方正仿宋_GBK" w:eastAsia="方正仿宋_GBK" w:cs="方正仿宋_GBK"/>
          <w:b/>
          <w:bCs/>
          <w:i w:val="0"/>
          <w:caps w:val="0"/>
          <w:color w:val="000000"/>
          <w:spacing w:val="0"/>
          <w:kern w:val="0"/>
          <w:sz w:val="32"/>
          <w:szCs w:val="32"/>
          <w:shd w:val="clear" w:color="auto" w:fill="FFFFFF"/>
          <w:lang w:val="zh-CN" w:eastAsia="zh-CN" w:bidi="ar"/>
        </w:rPr>
        <w:t>）绩效结果应用情况</w:t>
      </w:r>
      <w:r>
        <w:rPr>
          <w:rFonts w:hint="eastAsia" w:ascii="方正仿宋_GBK" w:hAnsi="方正仿宋_GBK" w:eastAsia="方正仿宋_GBK" w:cs="方正仿宋_GBK"/>
          <w:b/>
          <w:bCs/>
          <w:i w:val="0"/>
          <w:caps w:val="0"/>
          <w:color w:val="000000"/>
          <w:spacing w:val="0"/>
          <w:kern w:val="0"/>
          <w:sz w:val="32"/>
          <w:szCs w:val="32"/>
          <w:shd w:val="clear" w:color="auto" w:fill="FFFFFF"/>
          <w:lang w:val="zh-CN" w:eastAsia="zh-CN" w:bidi="ar"/>
        </w:rPr>
        <w:t>。</w:t>
      </w:r>
      <w:r>
        <w:rPr>
          <w:rFonts w:hint="eastAsia" w:ascii="仿宋_GB2312" w:hAnsi="Times New Roman" w:eastAsia="仿宋_GB2312"/>
          <w:color w:val="auto"/>
          <w:sz w:val="32"/>
          <w:szCs w:val="32"/>
          <w:lang w:eastAsia="zh-CN"/>
        </w:rPr>
        <w:t>我委严格按照财政资金拨付分配情况进行资金支付，部门预算执行进度严格按照预算执行。支出总额控制在预算总额以内，除政策性工资绩效预算的追加外，本年部门预算未进行预算相关事项的调整。本年预算资金投入进度正常，中期自我评估良好，节能降耗和“三公”等经费实行厉行节约条例，“三公经费”总体控制较好，公务接待未超过单位公用经费的2%。</w:t>
      </w:r>
    </w:p>
    <w:p>
      <w:pPr>
        <w:pStyle w:val="27"/>
        <w:pageBreakBefore w:val="0"/>
        <w:kinsoku/>
        <w:wordWrap/>
        <w:overflowPunct/>
        <w:topLinePunct w:val="0"/>
        <w:bidi w:val="0"/>
        <w:spacing w:line="576" w:lineRule="exact"/>
        <w:ind w:firstLine="640" w:firstLineChars="200"/>
        <w:rPr>
          <w:rFonts w:hint="default" w:ascii="仿宋_GB2312" w:hAnsi="Times New Roman" w:eastAsia="仿宋_GB2312"/>
          <w:color w:val="auto"/>
          <w:sz w:val="32"/>
          <w:szCs w:val="32"/>
        </w:rPr>
      </w:pPr>
      <w:r>
        <w:rPr>
          <w:rFonts w:hint="eastAsia" w:ascii="仿宋_GB2312" w:hAnsi="Times New Roman" w:eastAsia="仿宋_GB2312"/>
          <w:color w:val="auto"/>
          <w:sz w:val="32"/>
          <w:szCs w:val="32"/>
          <w:lang w:eastAsia="zh-CN"/>
        </w:rPr>
        <w:t>为强化部门整体支出，加强国有资产管理，提高资金使用效益，提升财务管理，建立节约型机关，202</w:t>
      </w:r>
      <w:r>
        <w:rPr>
          <w:rFonts w:hint="eastAsia" w:ascii="仿宋_GB2312" w:hAnsi="Times New Roman" w:eastAsia="仿宋_GB2312"/>
          <w:color w:val="auto"/>
          <w:sz w:val="32"/>
          <w:szCs w:val="32"/>
          <w:lang w:val="en-US" w:eastAsia="zh-CN"/>
        </w:rPr>
        <w:t>5</w:t>
      </w:r>
      <w:r>
        <w:rPr>
          <w:rFonts w:hint="eastAsia" w:ascii="仿宋_GB2312" w:hAnsi="Times New Roman" w:eastAsia="仿宋_GB2312"/>
          <w:color w:val="auto"/>
          <w:sz w:val="32"/>
          <w:szCs w:val="32"/>
          <w:lang w:eastAsia="zh-CN"/>
        </w:rPr>
        <w:t>年我中心在强化业务管理、财务管理和厉行节约方面开展了大量工作，行政效能显著。</w:t>
      </w:r>
    </w:p>
    <w:p>
      <w:pPr>
        <w:pStyle w:val="27"/>
        <w:pageBreakBefore w:val="0"/>
        <w:kinsoku/>
        <w:wordWrap/>
        <w:overflowPunct/>
        <w:topLinePunct w:val="0"/>
        <w:bidi w:val="0"/>
        <w:spacing w:line="576" w:lineRule="exact"/>
        <w:ind w:firstLine="640" w:firstLineChars="200"/>
        <w:rPr>
          <w:rFonts w:hint="default" w:ascii="黑体" w:hAnsi="黑体" w:eastAsia="黑体" w:cs="黑体"/>
          <w:color w:val="auto"/>
          <w:sz w:val="32"/>
          <w:szCs w:val="32"/>
          <w:lang w:val="en-US" w:eastAsia="zh-CN"/>
        </w:rPr>
      </w:pPr>
      <w:r>
        <w:rPr>
          <w:rFonts w:hint="default" w:ascii="黑体" w:hAnsi="黑体" w:eastAsia="黑体" w:cs="黑体"/>
          <w:color w:val="auto"/>
          <w:sz w:val="32"/>
          <w:szCs w:val="32"/>
          <w:lang w:val="en-US" w:eastAsia="zh-CN"/>
        </w:rPr>
        <w:t>四、评价结论及建议</w:t>
      </w:r>
    </w:p>
    <w:p>
      <w:pPr>
        <w:pStyle w:val="27"/>
        <w:pageBreakBefore w:val="0"/>
        <w:kinsoku/>
        <w:wordWrap/>
        <w:overflowPunct/>
        <w:topLinePunct w:val="0"/>
        <w:bidi w:val="0"/>
        <w:spacing w:line="576" w:lineRule="exact"/>
        <w:ind w:firstLine="643" w:firstLineChars="200"/>
        <w:rPr>
          <w:rFonts w:hint="default" w:ascii="仿宋_GB2312" w:hAnsi="Times New Roman" w:eastAsia="仿宋_GB2312"/>
          <w:color w:val="auto"/>
          <w:sz w:val="32"/>
          <w:szCs w:val="32"/>
          <w:lang w:val="en-US"/>
        </w:rPr>
      </w:pPr>
      <w:r>
        <w:rPr>
          <w:rFonts w:hint="default" w:ascii="方正仿宋_GBK" w:hAnsi="方正仿宋_GBK" w:eastAsia="方正仿宋_GBK" w:cs="方正仿宋_GBK"/>
          <w:b/>
          <w:bCs/>
          <w:i w:val="0"/>
          <w:caps w:val="0"/>
          <w:color w:val="000000"/>
          <w:spacing w:val="0"/>
          <w:kern w:val="0"/>
          <w:sz w:val="32"/>
          <w:szCs w:val="32"/>
          <w:shd w:val="clear" w:color="auto" w:fill="FFFFFF"/>
          <w:lang w:val="zh-CN" w:eastAsia="zh-CN" w:bidi="ar"/>
        </w:rPr>
        <w:t>（一）评价结论。</w:t>
      </w:r>
      <w:r>
        <w:rPr>
          <w:rFonts w:hint="eastAsia" w:ascii="仿宋_GB2312" w:hAnsi="Times New Roman" w:eastAsia="仿宋_GB2312"/>
          <w:color w:val="auto"/>
          <w:sz w:val="32"/>
          <w:szCs w:val="32"/>
          <w:lang w:eastAsia="zh-CN"/>
        </w:rPr>
        <w:t> 根据《202</w:t>
      </w:r>
      <w:r>
        <w:rPr>
          <w:rFonts w:hint="eastAsia" w:ascii="仿宋_GB2312" w:hAnsi="Times New Roman" w:eastAsia="仿宋_GB2312"/>
          <w:color w:val="auto"/>
          <w:sz w:val="32"/>
          <w:szCs w:val="32"/>
          <w:lang w:val="en-US" w:eastAsia="zh-CN"/>
        </w:rPr>
        <w:t>5</w:t>
      </w:r>
      <w:r>
        <w:rPr>
          <w:rFonts w:hint="eastAsia" w:ascii="仿宋_GB2312" w:hAnsi="Times New Roman" w:eastAsia="仿宋_GB2312"/>
          <w:color w:val="auto"/>
          <w:sz w:val="32"/>
          <w:szCs w:val="32"/>
          <w:lang w:eastAsia="zh-CN"/>
        </w:rPr>
        <w:t>年红原县部门支出绩效评价指标体系》评分得分9</w:t>
      </w:r>
      <w:r>
        <w:rPr>
          <w:rFonts w:hint="eastAsia" w:ascii="仿宋_GB2312" w:hAnsi="Times New Roman" w:eastAsia="仿宋_GB2312"/>
          <w:color w:val="auto"/>
          <w:sz w:val="32"/>
          <w:szCs w:val="32"/>
          <w:lang w:val="en-US" w:eastAsia="zh-CN"/>
        </w:rPr>
        <w:t>2</w:t>
      </w:r>
      <w:r>
        <w:rPr>
          <w:rFonts w:hint="eastAsia" w:ascii="仿宋_GB2312" w:hAnsi="Times New Roman" w:eastAsia="仿宋_GB2312"/>
          <w:color w:val="auto"/>
          <w:sz w:val="32"/>
          <w:szCs w:val="32"/>
          <w:lang w:eastAsia="zh-CN"/>
        </w:rPr>
        <w:t>分，部门整体支出绩效为“好”。</w:t>
      </w:r>
    </w:p>
    <w:p>
      <w:pPr>
        <w:pStyle w:val="27"/>
        <w:pageBreakBefore w:val="0"/>
        <w:kinsoku/>
        <w:wordWrap/>
        <w:overflowPunct/>
        <w:topLinePunct w:val="0"/>
        <w:bidi w:val="0"/>
        <w:spacing w:line="576" w:lineRule="exact"/>
        <w:ind w:firstLine="643" w:firstLineChars="200"/>
        <w:rPr>
          <w:rFonts w:hint="eastAsia" w:ascii="方正仿宋_GBK" w:hAnsi="方正仿宋_GBK" w:eastAsia="方正仿宋_GBK" w:cs="方正仿宋_GBK"/>
          <w:b/>
          <w:bCs/>
          <w:i w:val="0"/>
          <w:caps w:val="0"/>
          <w:color w:val="000000"/>
          <w:spacing w:val="0"/>
          <w:kern w:val="0"/>
          <w:sz w:val="32"/>
          <w:szCs w:val="32"/>
          <w:shd w:val="clear" w:color="auto" w:fill="FFFFFF"/>
          <w:lang w:val="zh-CN" w:eastAsia="zh-CN" w:bidi="ar"/>
        </w:rPr>
      </w:pPr>
      <w:r>
        <w:rPr>
          <w:rFonts w:hint="eastAsia" w:ascii="方正仿宋_GBK" w:hAnsi="方正仿宋_GBK" w:eastAsia="方正仿宋_GBK" w:cs="方正仿宋_GBK"/>
          <w:b/>
          <w:bCs/>
          <w:i w:val="0"/>
          <w:caps w:val="0"/>
          <w:color w:val="000000"/>
          <w:spacing w:val="0"/>
          <w:kern w:val="0"/>
          <w:sz w:val="32"/>
          <w:szCs w:val="32"/>
          <w:shd w:val="clear" w:color="auto" w:fill="FFFFFF"/>
          <w:lang w:val="zh-CN" w:eastAsia="zh-CN" w:bidi="ar"/>
        </w:rPr>
        <w:t>（二）存在问题</w:t>
      </w:r>
    </w:p>
    <w:p>
      <w:pPr>
        <w:pStyle w:val="27"/>
        <w:pageBreakBefore w:val="0"/>
        <w:kinsoku/>
        <w:wordWrap/>
        <w:overflowPunct/>
        <w:topLinePunct w:val="0"/>
        <w:bidi w:val="0"/>
        <w:spacing w:line="576" w:lineRule="exact"/>
        <w:ind w:firstLine="640" w:firstLineChars="200"/>
        <w:rPr>
          <w:rFonts w:hint="default" w:ascii="仿宋_GB2312" w:hAnsi="Times New Roman" w:eastAsia="仿宋_GB2312"/>
          <w:color w:val="auto"/>
          <w:sz w:val="32"/>
          <w:szCs w:val="32"/>
          <w:lang w:val="en-US" w:eastAsia="zh-CN"/>
        </w:rPr>
      </w:pPr>
      <w:r>
        <w:rPr>
          <w:rFonts w:hint="eastAsia" w:ascii="仿宋_GB2312" w:hAnsi="Times New Roman" w:eastAsia="仿宋_GB2312"/>
          <w:color w:val="auto"/>
          <w:sz w:val="32"/>
          <w:szCs w:val="32"/>
          <w:lang w:val="en-US" w:eastAsia="zh-CN"/>
        </w:rPr>
        <w:t>一是资金使用效率有待提高；二是制度建设有待进一步完善。</w:t>
      </w:r>
    </w:p>
    <w:p>
      <w:pPr>
        <w:pStyle w:val="27"/>
        <w:pageBreakBefore w:val="0"/>
        <w:kinsoku/>
        <w:wordWrap/>
        <w:overflowPunct/>
        <w:topLinePunct w:val="0"/>
        <w:bidi w:val="0"/>
        <w:spacing w:line="576" w:lineRule="exact"/>
        <w:ind w:firstLine="643" w:firstLineChars="200"/>
        <w:rPr>
          <w:rFonts w:hint="eastAsia" w:ascii="方正仿宋_GBK" w:hAnsi="方正仿宋_GBK" w:eastAsia="方正仿宋_GBK" w:cs="方正仿宋_GBK"/>
          <w:b/>
          <w:bCs/>
          <w:i w:val="0"/>
          <w:caps w:val="0"/>
          <w:color w:val="000000"/>
          <w:spacing w:val="0"/>
          <w:kern w:val="0"/>
          <w:sz w:val="32"/>
          <w:szCs w:val="32"/>
          <w:shd w:val="clear" w:color="auto" w:fill="FFFFFF"/>
          <w:lang w:val="zh-CN" w:eastAsia="zh-CN" w:bidi="ar"/>
        </w:rPr>
      </w:pPr>
      <w:r>
        <w:rPr>
          <w:rFonts w:hint="eastAsia" w:ascii="方正仿宋_GBK" w:hAnsi="方正仿宋_GBK" w:eastAsia="方正仿宋_GBK" w:cs="方正仿宋_GBK"/>
          <w:b/>
          <w:bCs/>
          <w:i w:val="0"/>
          <w:caps w:val="0"/>
          <w:color w:val="000000"/>
          <w:spacing w:val="0"/>
          <w:kern w:val="0"/>
          <w:sz w:val="32"/>
          <w:szCs w:val="32"/>
          <w:shd w:val="clear" w:color="auto" w:fill="FFFFFF"/>
          <w:lang w:val="zh-CN" w:eastAsia="zh-CN" w:bidi="ar"/>
        </w:rPr>
        <w:t>（三）改进建议</w:t>
      </w:r>
    </w:p>
    <w:p>
      <w:pPr>
        <w:pStyle w:val="27"/>
        <w:pageBreakBefore w:val="0"/>
        <w:kinsoku/>
        <w:wordWrap/>
        <w:overflowPunct/>
        <w:topLinePunct w:val="0"/>
        <w:bidi w:val="0"/>
        <w:spacing w:line="576" w:lineRule="exact"/>
        <w:ind w:firstLine="640" w:firstLineChars="200"/>
        <w:rPr>
          <w:rFonts w:hint="eastAsia" w:ascii="仿宋_GB2312" w:hAnsi="Times New Roman" w:eastAsia="仿宋_GB2312"/>
          <w:color w:val="auto"/>
          <w:sz w:val="32"/>
          <w:szCs w:val="32"/>
          <w:lang w:val="zh-CN"/>
        </w:rPr>
      </w:pPr>
      <w:r>
        <w:rPr>
          <w:rFonts w:hint="eastAsia" w:ascii="仿宋_GB2312" w:hAnsi="Times New Roman" w:eastAsia="仿宋_GB2312"/>
          <w:color w:val="auto"/>
          <w:sz w:val="32"/>
          <w:szCs w:val="32"/>
          <w:lang w:val="en-US" w:eastAsia="zh-CN"/>
        </w:rPr>
        <w:t xml:space="preserve"> 1、加强</w:t>
      </w:r>
      <w:r>
        <w:rPr>
          <w:rFonts w:hint="eastAsia" w:ascii="仿宋_GB2312" w:hAnsi="Times New Roman" w:eastAsia="仿宋_GB2312"/>
          <w:color w:val="auto"/>
          <w:sz w:val="32"/>
          <w:szCs w:val="32"/>
          <w:lang w:val="zh-CN" w:eastAsia="zh-CN"/>
        </w:rPr>
        <w:t>单位</w:t>
      </w:r>
      <w:r>
        <w:rPr>
          <w:rFonts w:hint="eastAsia" w:ascii="仿宋_GB2312" w:hAnsi="Times New Roman" w:eastAsia="仿宋_GB2312"/>
          <w:color w:val="auto"/>
          <w:sz w:val="32"/>
          <w:szCs w:val="32"/>
          <w:lang w:val="en-US" w:eastAsia="zh-CN"/>
        </w:rPr>
        <w:t>固定</w:t>
      </w:r>
      <w:r>
        <w:rPr>
          <w:rFonts w:hint="eastAsia" w:ascii="仿宋_GB2312" w:hAnsi="Times New Roman" w:eastAsia="仿宋_GB2312"/>
          <w:color w:val="auto"/>
          <w:sz w:val="32"/>
          <w:szCs w:val="32"/>
          <w:lang w:val="zh-CN" w:eastAsia="zh-CN"/>
        </w:rPr>
        <w:t>资产管理</w:t>
      </w:r>
      <w:r>
        <w:rPr>
          <w:rFonts w:hint="eastAsia" w:ascii="仿宋_GB2312" w:hAnsi="Times New Roman" w:eastAsia="仿宋_GB2312"/>
          <w:color w:val="auto"/>
          <w:sz w:val="32"/>
          <w:szCs w:val="32"/>
          <w:lang w:val="en-US" w:eastAsia="zh-CN"/>
        </w:rPr>
        <w:t>，</w:t>
      </w:r>
      <w:r>
        <w:rPr>
          <w:rFonts w:hint="eastAsia" w:ascii="仿宋_GB2312" w:hAnsi="Times New Roman" w:eastAsia="仿宋_GB2312"/>
          <w:color w:val="auto"/>
          <w:sz w:val="32"/>
          <w:szCs w:val="32"/>
          <w:lang w:val="zh-CN" w:eastAsia="zh-CN"/>
        </w:rPr>
        <w:t>由办公室总负责，使用人具体负责</w:t>
      </w:r>
      <w:r>
        <w:rPr>
          <w:rFonts w:hint="eastAsia" w:ascii="仿宋_GB2312" w:hAnsi="Times New Roman" w:eastAsia="仿宋_GB2312"/>
          <w:color w:val="auto"/>
          <w:sz w:val="32"/>
          <w:szCs w:val="32"/>
          <w:lang w:val="en-US" w:eastAsia="zh-CN"/>
        </w:rPr>
        <w:t>日常使用和</w:t>
      </w:r>
      <w:r>
        <w:rPr>
          <w:rFonts w:hint="eastAsia" w:ascii="仿宋_GB2312" w:hAnsi="Times New Roman" w:eastAsia="仿宋_GB2312"/>
          <w:color w:val="auto"/>
          <w:sz w:val="32"/>
          <w:szCs w:val="32"/>
          <w:lang w:val="zh-CN" w:eastAsia="zh-CN"/>
        </w:rPr>
        <w:t>管理，财务室</w:t>
      </w:r>
      <w:r>
        <w:rPr>
          <w:rFonts w:hint="eastAsia" w:ascii="仿宋_GB2312" w:hAnsi="Times New Roman" w:eastAsia="仿宋_GB2312"/>
          <w:color w:val="auto"/>
          <w:sz w:val="32"/>
          <w:szCs w:val="32"/>
          <w:lang w:val="en-US" w:eastAsia="zh-CN"/>
        </w:rPr>
        <w:t>负责</w:t>
      </w:r>
      <w:r>
        <w:rPr>
          <w:rFonts w:hint="eastAsia" w:ascii="仿宋_GB2312" w:hAnsi="Times New Roman" w:eastAsia="仿宋_GB2312"/>
          <w:color w:val="auto"/>
          <w:sz w:val="32"/>
          <w:szCs w:val="32"/>
          <w:lang w:val="zh-CN" w:eastAsia="zh-CN"/>
        </w:rPr>
        <w:t>资产信息</w:t>
      </w:r>
      <w:r>
        <w:rPr>
          <w:rFonts w:hint="eastAsia" w:ascii="仿宋_GB2312" w:hAnsi="Times New Roman" w:eastAsia="仿宋_GB2312"/>
          <w:color w:val="auto"/>
          <w:sz w:val="32"/>
          <w:szCs w:val="32"/>
          <w:lang w:val="en-US" w:eastAsia="zh-CN"/>
        </w:rPr>
        <w:t>的录入、盘点、报损等</w:t>
      </w:r>
      <w:r>
        <w:rPr>
          <w:rFonts w:hint="eastAsia" w:ascii="仿宋_GB2312" w:hAnsi="Times New Roman" w:eastAsia="仿宋_GB2312"/>
          <w:color w:val="auto"/>
          <w:sz w:val="32"/>
          <w:szCs w:val="32"/>
          <w:lang w:val="zh-CN" w:eastAsia="zh-CN"/>
        </w:rPr>
        <w:t>，</w:t>
      </w:r>
      <w:r>
        <w:rPr>
          <w:rFonts w:hint="eastAsia" w:ascii="仿宋_GB2312" w:hAnsi="Times New Roman" w:eastAsia="仿宋_GB2312"/>
          <w:color w:val="auto"/>
          <w:sz w:val="32"/>
          <w:szCs w:val="32"/>
          <w:lang w:val="en-US" w:eastAsia="zh-CN"/>
        </w:rPr>
        <w:t>按要求</w:t>
      </w:r>
      <w:r>
        <w:rPr>
          <w:rFonts w:hint="eastAsia" w:ascii="仿宋_GB2312" w:hAnsi="Times New Roman" w:eastAsia="仿宋_GB2312"/>
          <w:color w:val="auto"/>
          <w:sz w:val="32"/>
          <w:szCs w:val="32"/>
          <w:lang w:val="zh-CN" w:eastAsia="zh-CN"/>
        </w:rPr>
        <w:t>每年对单位资产进行一次集中清理，对不能使用的资产及时报相关部门进行报废处理。</w:t>
      </w:r>
    </w:p>
    <w:p>
      <w:pPr>
        <w:pStyle w:val="27"/>
        <w:pageBreakBefore w:val="0"/>
        <w:kinsoku/>
        <w:wordWrap/>
        <w:overflowPunct/>
        <w:topLinePunct w:val="0"/>
        <w:bidi w:val="0"/>
        <w:spacing w:line="576" w:lineRule="exact"/>
        <w:ind w:firstLine="640" w:firstLineChars="200"/>
        <w:rPr>
          <w:rFonts w:hint="eastAsia" w:ascii="仿宋_GB2312" w:hAnsi="Times New Roman" w:eastAsia="仿宋_GB2312"/>
          <w:color w:val="auto"/>
          <w:sz w:val="32"/>
          <w:szCs w:val="32"/>
          <w:lang w:val="zh-CN" w:eastAsia="zh-CN"/>
        </w:rPr>
      </w:pPr>
      <w:r>
        <w:rPr>
          <w:rFonts w:hint="eastAsia" w:ascii="仿宋_GB2312" w:hAnsi="Times New Roman" w:eastAsia="仿宋_GB2312"/>
          <w:color w:val="auto"/>
          <w:sz w:val="32"/>
          <w:szCs w:val="32"/>
          <w:lang w:val="en-US" w:eastAsia="zh-CN"/>
        </w:rPr>
        <w:t>2、</w:t>
      </w:r>
      <w:r>
        <w:rPr>
          <w:rFonts w:hint="eastAsia" w:ascii="仿宋_GB2312" w:hAnsi="Times New Roman" w:eastAsia="仿宋_GB2312"/>
          <w:color w:val="auto"/>
          <w:sz w:val="32"/>
          <w:szCs w:val="32"/>
          <w:lang w:val="zh-CN" w:eastAsia="zh-CN"/>
        </w:rPr>
        <w:t>不断加强新《预算法》、《行政单位会计制度》等学习培训，规范部门预算收支核算，制定和完善基本支出、项目支出等各项支出标准，严格按项目和进度执行预算，增强预算的约束力和严肃性。落实预算执行分析，及时了解预算执行差异，合理调整、纠正预算执行偏差，切实提高部门预算收支管理水平。</w:t>
      </w:r>
    </w:p>
    <w:p>
      <w:pPr>
        <w:pStyle w:val="27"/>
        <w:pageBreakBefore w:val="0"/>
        <w:kinsoku/>
        <w:wordWrap/>
        <w:overflowPunct/>
        <w:topLinePunct w:val="0"/>
        <w:bidi w:val="0"/>
        <w:spacing w:line="576" w:lineRule="exact"/>
        <w:ind w:firstLine="640" w:firstLineChars="200"/>
        <w:rPr>
          <w:rFonts w:hint="eastAsia" w:ascii="Times New Roman" w:hAnsi="Times New Roman" w:cs="Times New Roman"/>
          <w:sz w:val="32"/>
          <w:szCs w:val="32"/>
          <w:highlight w:val="yellow"/>
          <w:lang w:val="zh-CN" w:eastAsia="zh-CN"/>
        </w:rPr>
      </w:pPr>
      <w:r>
        <w:rPr>
          <w:rFonts w:hint="eastAsia" w:ascii="仿宋_GB2312" w:hAnsi="Times New Roman" w:eastAsia="仿宋_GB2312"/>
          <w:color w:val="auto"/>
          <w:sz w:val="32"/>
          <w:szCs w:val="32"/>
          <w:lang w:val="en-US" w:eastAsia="zh-CN"/>
        </w:rPr>
        <w:t>3、进一步完善财务管理及内部控制等制度，厉行节约，强化对预算支出管理，从严控制“三公经费”等支出。</w:t>
      </w:r>
    </w:p>
    <w:p>
      <w:pPr>
        <w:pStyle w:val="5"/>
        <w:rPr>
          <w:rFonts w:hint="eastAsia" w:ascii="Times New Roman" w:hAnsi="Times New Roman" w:cs="宋体"/>
          <w:color w:val="FF0000"/>
          <w:kern w:val="0"/>
          <w:sz w:val="32"/>
          <w:szCs w:val="32"/>
          <w:highlight w:val="yellow"/>
          <w:shd w:val="clear" w:color="auto" w:fill="FFFFFF"/>
          <w:lang w:val="zh-CN"/>
        </w:rPr>
      </w:pPr>
    </w:p>
    <w:p>
      <w:pPr>
        <w:rPr>
          <w:rFonts w:hint="eastAsia" w:ascii="Times New Roman" w:hAnsi="Times New Roman" w:eastAsia="仿宋_GB2312" w:cs="仿宋_GB2312"/>
          <w:b w:val="0"/>
          <w:bCs w:val="0"/>
          <w:kern w:val="0"/>
          <w:position w:val="0"/>
          <w:sz w:val="32"/>
          <w:szCs w:val="32"/>
          <w:highlight w:val="none"/>
          <w:lang w:val="en-US" w:eastAsia="zh-CN" w:bidi="ar-SA"/>
        </w:rPr>
      </w:pPr>
      <w:bookmarkStart w:id="53" w:name="_Toc15396618"/>
      <w:r>
        <w:rPr>
          <w:rFonts w:hint="eastAsia" w:ascii="Times New Roman" w:hAnsi="Times New Roman" w:eastAsia="仿宋_GB2312" w:cs="仿宋_GB2312"/>
          <w:b w:val="0"/>
          <w:bCs w:val="0"/>
          <w:kern w:val="0"/>
          <w:position w:val="0"/>
          <w:sz w:val="32"/>
          <w:szCs w:val="32"/>
          <w:highlight w:val="none"/>
          <w:lang w:val="en-US" w:eastAsia="zh-CN" w:bidi="ar-SA"/>
        </w:rPr>
        <w:br w:type="page"/>
      </w:r>
    </w:p>
    <w:p>
      <w:pPr>
        <w:widowControl/>
        <w:jc w:val="center"/>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29"/>
          <w:rFonts w:hint="eastAsia" w:ascii="Times New Roman" w:hAnsi="Times New Roman" w:eastAsia="黑体"/>
          <w:b w:val="0"/>
          <w:color w:val="auto"/>
          <w:highlight w:val="none"/>
        </w:rPr>
        <w:t>五部分 附表</w:t>
      </w:r>
      <w:bookmarkEnd w:id="51"/>
      <w:bookmarkEnd w:id="53"/>
      <w:bookmarkStart w:id="54" w:name="_Toc15396619"/>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54"/>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5" w:name="_Toc15396620"/>
      <w:r>
        <w:rPr>
          <w:rFonts w:hint="eastAsia" w:ascii="Times New Roman" w:hAnsi="Times New Roman" w:eastAsia="仿宋_GB2312" w:cs="仿宋_GB2312"/>
          <w:color w:val="auto"/>
          <w:sz w:val="32"/>
          <w:szCs w:val="32"/>
          <w:highlight w:val="none"/>
        </w:rPr>
        <w:t>二、收入决算表</w:t>
      </w:r>
      <w:bookmarkEnd w:id="55"/>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6" w:name="_Toc15396621"/>
      <w:r>
        <w:rPr>
          <w:rFonts w:hint="eastAsia" w:ascii="Times New Roman" w:hAnsi="Times New Roman" w:eastAsia="仿宋_GB2312" w:cs="仿宋_GB2312"/>
          <w:color w:val="auto"/>
          <w:sz w:val="32"/>
          <w:szCs w:val="32"/>
          <w:highlight w:val="none"/>
        </w:rPr>
        <w:t>三、支出决算表</w:t>
      </w:r>
      <w:bookmarkEnd w:id="56"/>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7" w:name="_Toc15396622"/>
      <w:r>
        <w:rPr>
          <w:rFonts w:hint="eastAsia" w:ascii="Times New Roman" w:hAnsi="Times New Roman" w:eastAsia="仿宋_GB2312" w:cs="仿宋_GB2312"/>
          <w:color w:val="auto"/>
          <w:sz w:val="32"/>
          <w:szCs w:val="32"/>
          <w:highlight w:val="none"/>
        </w:rPr>
        <w:t>四、财政拨款收入支出决算总表</w:t>
      </w:r>
      <w:bookmarkEnd w:id="57"/>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23"/>
      <w:r>
        <w:rPr>
          <w:rFonts w:hint="eastAsia" w:ascii="Times New Roman" w:hAnsi="Times New Roman" w:eastAsia="仿宋_GB2312" w:cs="仿宋_GB2312"/>
          <w:color w:val="auto"/>
          <w:sz w:val="32"/>
          <w:szCs w:val="32"/>
          <w:highlight w:val="none"/>
        </w:rPr>
        <w:t>五、财政拨款支出决算明细表</w:t>
      </w:r>
      <w:bookmarkEnd w:id="58"/>
      <w:bookmarkStart w:id="59" w:name="_Toc15396624"/>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59"/>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0" w:name="_Toc15396625"/>
      <w:r>
        <w:rPr>
          <w:rFonts w:hint="eastAsia" w:ascii="Times New Roman" w:hAnsi="Times New Roman" w:eastAsia="仿宋_GB2312" w:cs="仿宋_GB2312"/>
          <w:color w:val="auto"/>
          <w:sz w:val="32"/>
          <w:szCs w:val="32"/>
          <w:highlight w:val="none"/>
        </w:rPr>
        <w:t>七、一般公共预算财政拨款支出决算明细表</w:t>
      </w:r>
      <w:bookmarkEnd w:id="60"/>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1" w:name="_Toc15396626"/>
      <w:r>
        <w:rPr>
          <w:rFonts w:hint="eastAsia" w:ascii="Times New Roman" w:hAnsi="Times New Roman" w:eastAsia="仿宋_GB2312" w:cs="仿宋_GB2312"/>
          <w:color w:val="auto"/>
          <w:sz w:val="32"/>
          <w:szCs w:val="32"/>
          <w:highlight w:val="none"/>
        </w:rPr>
        <w:t>八、一般公共预算财政拨款基本支出决算表</w:t>
      </w:r>
      <w:bookmarkEnd w:id="61"/>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2" w:name="_Toc15396627"/>
      <w:r>
        <w:rPr>
          <w:rFonts w:hint="eastAsia" w:ascii="Times New Roman" w:hAnsi="Times New Roman" w:eastAsia="仿宋_GB2312" w:cs="仿宋_GB2312"/>
          <w:color w:val="auto"/>
          <w:sz w:val="32"/>
          <w:szCs w:val="32"/>
          <w:highlight w:val="none"/>
        </w:rPr>
        <w:t>九、一般公共预算财政拨款项目支出决算表</w:t>
      </w:r>
      <w:bookmarkEnd w:id="62"/>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3" w:name="_Toc15396628"/>
      <w:r>
        <w:rPr>
          <w:rFonts w:hint="eastAsia" w:ascii="Times New Roman" w:hAnsi="Times New Roman" w:eastAsia="仿宋_GB2312" w:cs="仿宋_GB2312"/>
          <w:color w:val="auto"/>
          <w:sz w:val="32"/>
          <w:szCs w:val="32"/>
          <w:highlight w:val="none"/>
        </w:rPr>
        <w:t>十、</w:t>
      </w:r>
      <w:bookmarkEnd w:id="63"/>
      <w:r>
        <w:rPr>
          <w:rFonts w:hint="eastAsia" w:ascii="Times New Roman" w:hAnsi="Times New Roman" w:eastAsia="仿宋_GB2312" w:cs="仿宋_GB2312"/>
          <w:color w:val="auto"/>
          <w:sz w:val="32"/>
          <w:szCs w:val="32"/>
          <w:highlight w:val="none"/>
        </w:rPr>
        <w:t>政府性基金预算财政拨款收入支出决算表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4" w:name="_Toc15396629"/>
      <w:r>
        <w:rPr>
          <w:rFonts w:hint="eastAsia" w:ascii="Times New Roman" w:hAnsi="Times New Roman" w:eastAsia="仿宋_GB2312" w:cs="仿宋_GB2312"/>
          <w:color w:val="auto"/>
          <w:sz w:val="32"/>
          <w:szCs w:val="32"/>
          <w:highlight w:val="none"/>
        </w:rPr>
        <w:t>十一、</w:t>
      </w:r>
      <w:bookmarkEnd w:id="64"/>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5" w:name="_Toc15396630"/>
      <w:r>
        <w:rPr>
          <w:rFonts w:hint="eastAsia" w:ascii="Times New Roman" w:hAnsi="Times New Roman" w:eastAsia="仿宋_GB2312" w:cs="仿宋_GB2312"/>
          <w:color w:val="auto"/>
          <w:sz w:val="32"/>
          <w:szCs w:val="32"/>
          <w:highlight w:val="none"/>
        </w:rPr>
        <w:t>十二、</w:t>
      </w:r>
      <w:bookmarkEnd w:id="65"/>
      <w:r>
        <w:rPr>
          <w:rFonts w:hint="eastAsia" w:ascii="Times New Roman" w:hAnsi="Times New Roman" w:eastAsia="仿宋_GB2312" w:cs="仿宋_GB2312"/>
          <w:color w:val="auto"/>
          <w:sz w:val="32"/>
          <w:szCs w:val="32"/>
          <w:highlight w:val="none"/>
          <w:lang w:eastAsia="zh-CN"/>
        </w:rPr>
        <w:t>国有资本经营预算财政拨款支出决算表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66" w:name="_Toc15396631"/>
      <w:r>
        <w:rPr>
          <w:rFonts w:hint="eastAsia" w:ascii="Times New Roman" w:hAnsi="Times New Roman" w:eastAsia="仿宋_GB2312" w:cs="仿宋_GB2312"/>
          <w:color w:val="auto"/>
          <w:sz w:val="32"/>
          <w:szCs w:val="32"/>
          <w:highlight w:val="none"/>
        </w:rPr>
        <w:t>十三、</w:t>
      </w:r>
      <w:bookmarkEnd w:id="66"/>
      <w:r>
        <w:rPr>
          <w:rFonts w:hint="eastAsia" w:ascii="Times New Roman" w:hAnsi="Times New Roman" w:eastAsia="仿宋_GB2312" w:cs="仿宋_GB2312"/>
          <w:color w:val="auto"/>
          <w:sz w:val="32"/>
          <w:szCs w:val="32"/>
          <w:highlight w:val="none"/>
          <w:lang w:eastAsia="zh-CN"/>
        </w:rPr>
        <w:t>财政拨款“三公”经费支出决算表</w:t>
      </w:r>
    </w:p>
    <w:p>
      <w:pPr>
        <w:rPr>
          <w:rFonts w:hint="eastAsia" w:ascii="Times New Roman" w:hAnsi="Times New Roman"/>
          <w:lang w:eastAsia="zh-CN"/>
        </w:rPr>
      </w:pPr>
    </w:p>
    <w:sectPr>
      <w:footerReference r:id="rId8" w:type="first"/>
      <w:footerReference r:id="rId7" w:type="default"/>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方正小标宋简体">
    <w:panose1 w:val="02010601030101010101"/>
    <w:charset w:val="86"/>
    <w:family w:val="script"/>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p>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9tdHoSAgAAFQ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M9tdHoSAgAAFQQAAA4AAAAAAAAAAQAg&#10;AAAAHwEAAGRycy9lMm9Eb2MueG1sUEsFBgAAAAAGAAYAWQEAAKM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- 2 -</w:t>
                    </w:r>
                    <w:r>
                      <w:fldChar w:fldCharType="end"/>
                    </w:r>
                  </w:p>
                </w:txbxContent>
              </v:textbox>
            </v:shape>
          </w:pict>
        </mc:Fallback>
      </mc:AlternateContent>
    </w:r>
  </w:p>
  <w:p>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TvZETAgAAFQ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BIk72REwIAABUEAAAOAAAAAAAAAAEA&#10;IAAAAB8BAABkcnMvZTJvRG9jLnhtbFBLBQYAAAAABgAGAFkBAACk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BCD6E93"/>
    <w:multiLevelType w:val="singleLevel"/>
    <w:tmpl w:val="EBCD6E93"/>
    <w:lvl w:ilvl="0" w:tentative="0">
      <w:start w:val="1"/>
      <w:numFmt w:val="chineseCounting"/>
      <w:suff w:val="nothing"/>
      <w:lvlText w:val="%1、"/>
      <w:lvlJc w:val="left"/>
      <w:rPr>
        <w:rFonts w:hint="eastAsia"/>
      </w:rPr>
    </w:lvl>
  </w:abstractNum>
  <w:abstractNum w:abstractNumId="1">
    <w:nsid w:val="27336D82"/>
    <w:multiLevelType w:val="singleLevel"/>
    <w:tmpl w:val="27336D82"/>
    <w:lvl w:ilvl="0" w:tentative="0">
      <w:start w:val="1"/>
      <w:numFmt w:val="decimal"/>
      <w:lvlText w:val="%1."/>
      <w:lvlJc w:val="left"/>
      <w:pPr>
        <w:tabs>
          <w:tab w:val="left" w:pos="312"/>
        </w:tabs>
      </w:pPr>
    </w:lvl>
  </w:abstractNum>
  <w:abstractNum w:abstractNumId="2">
    <w:nsid w:val="453C29AB"/>
    <w:multiLevelType w:val="singleLevel"/>
    <w:tmpl w:val="453C29AB"/>
    <w:lvl w:ilvl="0" w:tentative="0">
      <w:start w:val="5"/>
      <w:numFmt w:val="decimal"/>
      <w:lvlText w:val="%1."/>
      <w:lvlJc w:val="left"/>
      <w:pPr>
        <w:tabs>
          <w:tab w:val="left"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2A5EC2"/>
    <w:rsid w:val="015975B8"/>
    <w:rsid w:val="02FEBE30"/>
    <w:rsid w:val="04916F1E"/>
    <w:rsid w:val="04CA1E2F"/>
    <w:rsid w:val="061E35DE"/>
    <w:rsid w:val="066E0107"/>
    <w:rsid w:val="07996F6E"/>
    <w:rsid w:val="07DFD8BA"/>
    <w:rsid w:val="08444A26"/>
    <w:rsid w:val="09867E8F"/>
    <w:rsid w:val="0A2032A3"/>
    <w:rsid w:val="0CA8290A"/>
    <w:rsid w:val="0D35B1ED"/>
    <w:rsid w:val="0E254B6B"/>
    <w:rsid w:val="0F98263C"/>
    <w:rsid w:val="101860EC"/>
    <w:rsid w:val="101F47CC"/>
    <w:rsid w:val="10C055FF"/>
    <w:rsid w:val="10CF04AE"/>
    <w:rsid w:val="11694EBD"/>
    <w:rsid w:val="11772AA4"/>
    <w:rsid w:val="118107EC"/>
    <w:rsid w:val="121E4DFC"/>
    <w:rsid w:val="12BA07E8"/>
    <w:rsid w:val="12E24EE2"/>
    <w:rsid w:val="136511AB"/>
    <w:rsid w:val="13D50BC4"/>
    <w:rsid w:val="14B17F78"/>
    <w:rsid w:val="165E0673"/>
    <w:rsid w:val="16B831D5"/>
    <w:rsid w:val="16BB723D"/>
    <w:rsid w:val="17E50567"/>
    <w:rsid w:val="186504BB"/>
    <w:rsid w:val="19A445FC"/>
    <w:rsid w:val="1BE8440E"/>
    <w:rsid w:val="1D155CEE"/>
    <w:rsid w:val="1D1638FE"/>
    <w:rsid w:val="1E312DEB"/>
    <w:rsid w:val="1E522E75"/>
    <w:rsid w:val="1E740ACF"/>
    <w:rsid w:val="1FF35744"/>
    <w:rsid w:val="1FF6BC77"/>
    <w:rsid w:val="21674E89"/>
    <w:rsid w:val="2186353C"/>
    <w:rsid w:val="23860B96"/>
    <w:rsid w:val="240371BF"/>
    <w:rsid w:val="244F3473"/>
    <w:rsid w:val="24C97D99"/>
    <w:rsid w:val="25A718F0"/>
    <w:rsid w:val="25BB59F6"/>
    <w:rsid w:val="260F557C"/>
    <w:rsid w:val="26970054"/>
    <w:rsid w:val="27D139D1"/>
    <w:rsid w:val="281408E2"/>
    <w:rsid w:val="28BC7DF7"/>
    <w:rsid w:val="29FD04D3"/>
    <w:rsid w:val="2A13747C"/>
    <w:rsid w:val="2BFF7BC6"/>
    <w:rsid w:val="2C8A61B5"/>
    <w:rsid w:val="2D9139BA"/>
    <w:rsid w:val="2DF04E50"/>
    <w:rsid w:val="2E586DFA"/>
    <w:rsid w:val="2F040D46"/>
    <w:rsid w:val="2F6B035B"/>
    <w:rsid w:val="2FAE5751"/>
    <w:rsid w:val="2FB1A395"/>
    <w:rsid w:val="2FD9A7D8"/>
    <w:rsid w:val="2FDBF714"/>
    <w:rsid w:val="30AB6865"/>
    <w:rsid w:val="319F7F4E"/>
    <w:rsid w:val="32BD1EF1"/>
    <w:rsid w:val="3304709D"/>
    <w:rsid w:val="33A773CB"/>
    <w:rsid w:val="349D6851"/>
    <w:rsid w:val="36AA5135"/>
    <w:rsid w:val="36BE0DA7"/>
    <w:rsid w:val="376B6AA6"/>
    <w:rsid w:val="376D39B2"/>
    <w:rsid w:val="37E16F03"/>
    <w:rsid w:val="37F53A3B"/>
    <w:rsid w:val="389B6C89"/>
    <w:rsid w:val="38D469F0"/>
    <w:rsid w:val="39627CCD"/>
    <w:rsid w:val="397BAF1F"/>
    <w:rsid w:val="3AB79AF3"/>
    <w:rsid w:val="3AE834C0"/>
    <w:rsid w:val="3B7EF35A"/>
    <w:rsid w:val="3B9FDB6C"/>
    <w:rsid w:val="3BF5BC2F"/>
    <w:rsid w:val="3CEBA265"/>
    <w:rsid w:val="3D98207C"/>
    <w:rsid w:val="3DEE7CF3"/>
    <w:rsid w:val="3E740A63"/>
    <w:rsid w:val="3E78745D"/>
    <w:rsid w:val="3EE17838"/>
    <w:rsid w:val="3F55381A"/>
    <w:rsid w:val="3F7F7599"/>
    <w:rsid w:val="3FE040C5"/>
    <w:rsid w:val="3FF4CAE0"/>
    <w:rsid w:val="3FF7B227"/>
    <w:rsid w:val="44E268DA"/>
    <w:rsid w:val="450D13D7"/>
    <w:rsid w:val="45506656"/>
    <w:rsid w:val="486A6C7A"/>
    <w:rsid w:val="4A627F82"/>
    <w:rsid w:val="4B0E749A"/>
    <w:rsid w:val="4B2477C4"/>
    <w:rsid w:val="4B4F25DA"/>
    <w:rsid w:val="4BE068DB"/>
    <w:rsid w:val="4D577224"/>
    <w:rsid w:val="4DBF1CEB"/>
    <w:rsid w:val="4DF0007C"/>
    <w:rsid w:val="4EAB630A"/>
    <w:rsid w:val="4ECE2238"/>
    <w:rsid w:val="4F833267"/>
    <w:rsid w:val="4FE9BD67"/>
    <w:rsid w:val="4FFB052F"/>
    <w:rsid w:val="52846D9A"/>
    <w:rsid w:val="537E6D0A"/>
    <w:rsid w:val="53F74C96"/>
    <w:rsid w:val="55170BA8"/>
    <w:rsid w:val="553218C9"/>
    <w:rsid w:val="567E1AA5"/>
    <w:rsid w:val="56E47B74"/>
    <w:rsid w:val="57175D52"/>
    <w:rsid w:val="57BD3DD4"/>
    <w:rsid w:val="5AF92295"/>
    <w:rsid w:val="5B250254"/>
    <w:rsid w:val="5BDD79E6"/>
    <w:rsid w:val="5BF561CA"/>
    <w:rsid w:val="5BFF5DFC"/>
    <w:rsid w:val="5CD71FC4"/>
    <w:rsid w:val="5D1F11B5"/>
    <w:rsid w:val="5D695134"/>
    <w:rsid w:val="5DAE1B18"/>
    <w:rsid w:val="5DE7D9E5"/>
    <w:rsid w:val="5ECEC941"/>
    <w:rsid w:val="5FBF9FF3"/>
    <w:rsid w:val="5FCD4E2C"/>
    <w:rsid w:val="5FEF394A"/>
    <w:rsid w:val="5FF67715"/>
    <w:rsid w:val="62BF3928"/>
    <w:rsid w:val="63B3701E"/>
    <w:rsid w:val="647F5392"/>
    <w:rsid w:val="65E66580"/>
    <w:rsid w:val="664B1D71"/>
    <w:rsid w:val="664B4E8E"/>
    <w:rsid w:val="67277B67"/>
    <w:rsid w:val="67AA3209"/>
    <w:rsid w:val="67E0359C"/>
    <w:rsid w:val="698D0931"/>
    <w:rsid w:val="6A7FE5F3"/>
    <w:rsid w:val="6B053271"/>
    <w:rsid w:val="6BDD78B3"/>
    <w:rsid w:val="6C4A05C8"/>
    <w:rsid w:val="6C8742B8"/>
    <w:rsid w:val="6D0F0AC3"/>
    <w:rsid w:val="6DBF5E93"/>
    <w:rsid w:val="6DFF077E"/>
    <w:rsid w:val="6E714EF0"/>
    <w:rsid w:val="6E7E3605"/>
    <w:rsid w:val="6E7FDCC7"/>
    <w:rsid w:val="6ED6A62E"/>
    <w:rsid w:val="6EE00B15"/>
    <w:rsid w:val="6F6FB3EB"/>
    <w:rsid w:val="6F8731EA"/>
    <w:rsid w:val="6FCE6052"/>
    <w:rsid w:val="6FD57C00"/>
    <w:rsid w:val="6FEFFFD8"/>
    <w:rsid w:val="6FF5CC65"/>
    <w:rsid w:val="6FFB47EC"/>
    <w:rsid w:val="6FFF034A"/>
    <w:rsid w:val="70484440"/>
    <w:rsid w:val="712A28F1"/>
    <w:rsid w:val="715C0E4B"/>
    <w:rsid w:val="71992E7C"/>
    <w:rsid w:val="72233669"/>
    <w:rsid w:val="72545B96"/>
    <w:rsid w:val="72734D90"/>
    <w:rsid w:val="73160E6D"/>
    <w:rsid w:val="7332FE48"/>
    <w:rsid w:val="73AB61DA"/>
    <w:rsid w:val="73AD73D5"/>
    <w:rsid w:val="73B6EB34"/>
    <w:rsid w:val="73FA497D"/>
    <w:rsid w:val="744731E5"/>
    <w:rsid w:val="74BBD01D"/>
    <w:rsid w:val="74ED5379"/>
    <w:rsid w:val="75A92526"/>
    <w:rsid w:val="75DEEEC2"/>
    <w:rsid w:val="75E32345"/>
    <w:rsid w:val="76E3355F"/>
    <w:rsid w:val="76FF5125"/>
    <w:rsid w:val="776F6FFA"/>
    <w:rsid w:val="778769C8"/>
    <w:rsid w:val="77A75DCA"/>
    <w:rsid w:val="77DC22F5"/>
    <w:rsid w:val="783E271A"/>
    <w:rsid w:val="78616DE9"/>
    <w:rsid w:val="78E875D7"/>
    <w:rsid w:val="79086DAD"/>
    <w:rsid w:val="79D7FD79"/>
    <w:rsid w:val="79EE5BA4"/>
    <w:rsid w:val="7A894339"/>
    <w:rsid w:val="7AD284E8"/>
    <w:rsid w:val="7AFF7572"/>
    <w:rsid w:val="7B6C7DFB"/>
    <w:rsid w:val="7BBFBED0"/>
    <w:rsid w:val="7BC3E394"/>
    <w:rsid w:val="7C1F3737"/>
    <w:rsid w:val="7CBFC87B"/>
    <w:rsid w:val="7CFE0F48"/>
    <w:rsid w:val="7D272ABC"/>
    <w:rsid w:val="7D7EC23E"/>
    <w:rsid w:val="7E8ADEBF"/>
    <w:rsid w:val="7EEF11D3"/>
    <w:rsid w:val="7EFE4840"/>
    <w:rsid w:val="7F0971A6"/>
    <w:rsid w:val="7F1D62E7"/>
    <w:rsid w:val="7F3F679B"/>
    <w:rsid w:val="7F4FC4EF"/>
    <w:rsid w:val="7F5E4D54"/>
    <w:rsid w:val="7F6E0135"/>
    <w:rsid w:val="7F79F205"/>
    <w:rsid w:val="7FA30C79"/>
    <w:rsid w:val="7FA79C44"/>
    <w:rsid w:val="7FAF8ABF"/>
    <w:rsid w:val="7FB7269E"/>
    <w:rsid w:val="7FC96657"/>
    <w:rsid w:val="7FDA9588"/>
    <w:rsid w:val="7FDF220F"/>
    <w:rsid w:val="7FEDC5F7"/>
    <w:rsid w:val="7FEDD9DE"/>
    <w:rsid w:val="7FF5890D"/>
    <w:rsid w:val="7FF93490"/>
    <w:rsid w:val="99FF2014"/>
    <w:rsid w:val="A6DD0D7F"/>
    <w:rsid w:val="ACFF4FBB"/>
    <w:rsid w:val="ADC6F725"/>
    <w:rsid w:val="B7CF06AB"/>
    <w:rsid w:val="B7CFA926"/>
    <w:rsid w:val="B7F8786B"/>
    <w:rsid w:val="BABB6AA1"/>
    <w:rsid w:val="BB2F4199"/>
    <w:rsid w:val="BCFFB442"/>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E9BE81"/>
    <w:rsid w:val="DFFFA9E8"/>
    <w:rsid w:val="E5F4E9DC"/>
    <w:rsid w:val="E70FE695"/>
    <w:rsid w:val="EB2E368B"/>
    <w:rsid w:val="ECFED1BC"/>
    <w:rsid w:val="ED1D69BB"/>
    <w:rsid w:val="ED7FD312"/>
    <w:rsid w:val="EF2E1AC6"/>
    <w:rsid w:val="EF53993F"/>
    <w:rsid w:val="EF6FD633"/>
    <w:rsid w:val="EFBFB2F4"/>
    <w:rsid w:val="EFBFFA21"/>
    <w:rsid w:val="F2BEBCB8"/>
    <w:rsid w:val="F36FB518"/>
    <w:rsid w:val="F3DE1A04"/>
    <w:rsid w:val="F3F722E5"/>
    <w:rsid w:val="F4FBCD07"/>
    <w:rsid w:val="FA5F1E70"/>
    <w:rsid w:val="FA5FDB97"/>
    <w:rsid w:val="FB7F486A"/>
    <w:rsid w:val="FBFF5B2E"/>
    <w:rsid w:val="FD7FFE2B"/>
    <w:rsid w:val="FDEE196B"/>
    <w:rsid w:val="FDFE6575"/>
    <w:rsid w:val="FEDFDDC2"/>
    <w:rsid w:val="FEED32F6"/>
    <w:rsid w:val="FEF781DD"/>
    <w:rsid w:val="FF3F7E3F"/>
    <w:rsid w:val="FFBA12D7"/>
    <w:rsid w:val="FFCBD314"/>
    <w:rsid w:val="FFDFF91C"/>
    <w:rsid w:val="FFDFFAEE"/>
    <w:rsid w:val="FFEF6777"/>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3"/>
    <w:unhideWhenUsed/>
    <w:qFormat/>
    <w:uiPriority w:val="9"/>
    <w:pPr>
      <w:keepNext/>
      <w:keepLines/>
      <w:spacing w:before="260" w:after="260" w:line="416" w:lineRule="auto"/>
      <w:outlineLvl w:val="2"/>
    </w:pPr>
    <w:rPr>
      <w:b/>
      <w:bCs/>
      <w:sz w:val="32"/>
      <w:szCs w:val="32"/>
    </w:rPr>
  </w:style>
  <w:style w:type="character" w:default="1" w:styleId="16">
    <w:name w:val="Default Paragraph Font"/>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link w:val="26"/>
    <w:qFormat/>
    <w:uiPriority w:val="99"/>
    <w:pPr>
      <w:spacing w:beforeLines="30"/>
    </w:pPr>
    <w:rPr>
      <w:rFonts w:ascii="仿宋_GB2312" w:eastAsia="仿宋_GB2312"/>
      <w:kern w:val="0"/>
      <w:sz w:val="30"/>
    </w:rPr>
  </w:style>
  <w:style w:type="paragraph" w:styleId="6">
    <w:name w:val="Body Text Indent"/>
    <w:basedOn w:val="1"/>
    <w:next w:val="7"/>
    <w:qFormat/>
    <w:uiPriority w:val="0"/>
    <w:pPr>
      <w:spacing w:after="120"/>
      <w:ind w:leftChars="200"/>
    </w:pPr>
    <w:rPr>
      <w:rFonts w:ascii="仿宋_GB2312"/>
      <w:szCs w:val="32"/>
    </w:rPr>
  </w:style>
  <w:style w:type="paragraph" w:styleId="7">
    <w:name w:val="Body Text First Indent 2"/>
    <w:basedOn w:val="6"/>
    <w:unhideWhenUsed/>
    <w:qFormat/>
    <w:uiPriority w:val="99"/>
    <w:pPr>
      <w:ind w:firstLine="420" w:firstLineChars="200"/>
    </w:p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2"/>
    <w:semiHidden/>
    <w:unhideWhenUsed/>
    <w:qFormat/>
    <w:uiPriority w:val="99"/>
    <w:rPr>
      <w:sz w:val="18"/>
      <w:szCs w:val="18"/>
    </w:rPr>
  </w:style>
  <w:style w:type="paragraph" w:styleId="10">
    <w:name w:val="footer"/>
    <w:basedOn w:val="1"/>
    <w:link w:val="24"/>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2"/>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footnote text"/>
    <w:basedOn w:val="1"/>
    <w:next w:val="7"/>
    <w:semiHidden/>
    <w:qFormat/>
    <w:uiPriority w:val="0"/>
    <w:pPr>
      <w:snapToGrid w:val="0"/>
      <w:jc w:val="left"/>
    </w:pPr>
    <w:rPr>
      <w:sz w:val="18"/>
      <w:szCs w:val="18"/>
    </w:rPr>
  </w:style>
  <w:style w:type="paragraph" w:styleId="14">
    <w:name w:val="toc 2"/>
    <w:basedOn w:val="1"/>
    <w:next w:val="1"/>
    <w:unhideWhenUsed/>
    <w:qFormat/>
    <w:uiPriority w:val="39"/>
    <w:pPr>
      <w:tabs>
        <w:tab w:val="right" w:leader="dot" w:pos="8296"/>
      </w:tabs>
      <w:ind w:left="420" w:leftChars="200"/>
    </w:pPr>
  </w:style>
  <w:style w:type="character" w:styleId="17">
    <w:name w:val="Strong"/>
    <w:basedOn w:val="16"/>
    <w:qFormat/>
    <w:uiPriority w:val="99"/>
    <w:rPr>
      <w:b/>
    </w:rPr>
  </w:style>
  <w:style w:type="character" w:styleId="18">
    <w:name w:val="Hyperlink"/>
    <w:basedOn w:val="16"/>
    <w:unhideWhenUsed/>
    <w:qFormat/>
    <w:uiPriority w:val="99"/>
    <w:rPr>
      <w:color w:val="0000FF" w:themeColor="hyperlink"/>
      <w:u w:val="single"/>
      <w14:textFill>
        <w14:solidFill>
          <w14:schemeClr w14:val="hlink"/>
        </w14:solidFill>
      </w14:textFill>
    </w:rPr>
  </w:style>
  <w:style w:type="paragraph" w:customStyle="1" w:styleId="19">
    <w:name w:val="正文首行缩进 21"/>
    <w:basedOn w:val="1"/>
    <w:qFormat/>
    <w:uiPriority w:val="0"/>
    <w:pPr>
      <w:spacing w:line="540" w:lineRule="exact"/>
      <w:ind w:firstLine="200" w:firstLineChars="200"/>
      <w:textAlignment w:val="baseline"/>
    </w:pPr>
    <w:rPr>
      <w:kern w:val="0"/>
      <w:szCs w:val="32"/>
    </w:rPr>
  </w:style>
  <w:style w:type="paragraph" w:customStyle="1" w:styleId="20">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1">
    <w:name w:val="Header Char"/>
    <w:basedOn w:val="16"/>
    <w:semiHidden/>
    <w:qFormat/>
    <w:uiPriority w:val="99"/>
    <w:rPr>
      <w:rFonts w:ascii="Times New Roman" w:hAnsi="Times New Roman"/>
      <w:sz w:val="18"/>
      <w:szCs w:val="18"/>
    </w:rPr>
  </w:style>
  <w:style w:type="character" w:customStyle="1" w:styleId="22">
    <w:name w:val="页眉 Char"/>
    <w:link w:val="11"/>
    <w:semiHidden/>
    <w:qFormat/>
    <w:locked/>
    <w:uiPriority w:val="99"/>
    <w:rPr>
      <w:sz w:val="18"/>
    </w:rPr>
  </w:style>
  <w:style w:type="character" w:customStyle="1" w:styleId="23">
    <w:name w:val="Footer Char"/>
    <w:basedOn w:val="16"/>
    <w:semiHidden/>
    <w:qFormat/>
    <w:uiPriority w:val="99"/>
    <w:rPr>
      <w:rFonts w:ascii="Times New Roman" w:hAnsi="Times New Roman"/>
      <w:sz w:val="18"/>
      <w:szCs w:val="18"/>
    </w:rPr>
  </w:style>
  <w:style w:type="character" w:customStyle="1" w:styleId="24">
    <w:name w:val="页脚 Char"/>
    <w:link w:val="10"/>
    <w:qFormat/>
    <w:locked/>
    <w:uiPriority w:val="99"/>
    <w:rPr>
      <w:sz w:val="18"/>
    </w:rPr>
  </w:style>
  <w:style w:type="character" w:customStyle="1" w:styleId="25">
    <w:name w:val="Body Text Char"/>
    <w:basedOn w:val="16"/>
    <w:semiHidden/>
    <w:qFormat/>
    <w:uiPriority w:val="99"/>
    <w:rPr>
      <w:rFonts w:ascii="Times New Roman" w:hAnsi="Times New Roman"/>
      <w:szCs w:val="24"/>
    </w:rPr>
  </w:style>
  <w:style w:type="character" w:customStyle="1" w:styleId="26">
    <w:name w:val="正文文本 Char"/>
    <w:link w:val="5"/>
    <w:qFormat/>
    <w:locked/>
    <w:uiPriority w:val="99"/>
    <w:rPr>
      <w:rFonts w:ascii="仿宋_GB2312" w:hAnsi="Times New Roman" w:eastAsia="仿宋_GB2312"/>
      <w:sz w:val="24"/>
    </w:rPr>
  </w:style>
  <w:style w:type="paragraph" w:customStyle="1" w:styleId="27">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8">
    <w:name w:val="List Paragraph"/>
    <w:basedOn w:val="1"/>
    <w:qFormat/>
    <w:uiPriority w:val="34"/>
    <w:pPr>
      <w:ind w:firstLine="420" w:firstLineChars="200"/>
    </w:pPr>
  </w:style>
  <w:style w:type="character" w:customStyle="1" w:styleId="29">
    <w:name w:val="标题 1 Char"/>
    <w:basedOn w:val="16"/>
    <w:link w:val="2"/>
    <w:qFormat/>
    <w:uiPriority w:val="9"/>
    <w:rPr>
      <w:rFonts w:ascii="Times New Roman" w:hAnsi="Times New Roman"/>
      <w:b/>
      <w:bCs/>
      <w:kern w:val="44"/>
      <w:sz w:val="44"/>
      <w:szCs w:val="44"/>
    </w:rPr>
  </w:style>
  <w:style w:type="character" w:customStyle="1" w:styleId="30">
    <w:name w:val="标题 2 Char"/>
    <w:basedOn w:val="16"/>
    <w:link w:val="3"/>
    <w:qFormat/>
    <w:uiPriority w:val="9"/>
    <w:rPr>
      <w:rFonts w:asciiTheme="majorHAnsi" w:hAnsiTheme="majorHAnsi" w:eastAsiaTheme="majorEastAsia" w:cstheme="majorBidi"/>
      <w:b/>
      <w:bCs/>
      <w:kern w:val="2"/>
      <w:sz w:val="32"/>
      <w:szCs w:val="32"/>
    </w:rPr>
  </w:style>
  <w:style w:type="paragraph" w:customStyle="1" w:styleId="31">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2">
    <w:name w:val="批注框文本 Char"/>
    <w:basedOn w:val="16"/>
    <w:link w:val="9"/>
    <w:semiHidden/>
    <w:qFormat/>
    <w:uiPriority w:val="99"/>
    <w:rPr>
      <w:rFonts w:ascii="Times New Roman" w:hAnsi="Times New Roman"/>
      <w:kern w:val="2"/>
      <w:sz w:val="18"/>
      <w:szCs w:val="18"/>
    </w:rPr>
  </w:style>
  <w:style w:type="character" w:customStyle="1" w:styleId="33">
    <w:name w:val="标题 3 Char"/>
    <w:basedOn w:val="16"/>
    <w:link w:val="4"/>
    <w:qFormat/>
    <w:uiPriority w:val="9"/>
    <w:rPr>
      <w:rFonts w:ascii="Times New Roman" w:hAnsi="Times New Roman"/>
      <w:b/>
      <w:bCs/>
      <w:kern w:val="2"/>
      <w:sz w:val="32"/>
      <w:szCs w:val="32"/>
    </w:rPr>
  </w:style>
  <w:style w:type="paragraph" w:customStyle="1" w:styleId="34">
    <w:name w:val="TOC Heading"/>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5">
    <w:name w:val="四号正文"/>
    <w:basedOn w:val="1"/>
    <w:qFormat/>
    <w:uiPriority w:val="0"/>
    <w:pPr>
      <w:spacing w:line="360" w:lineRule="auto"/>
    </w:pPr>
    <w:rPr>
      <w:rFonts w:ascii="??" w:hAnsi="??" w:eastAsia="宋体"/>
      <w:color w:val="000000"/>
      <w:kern w:val="0"/>
      <w:sz w:val="28"/>
      <w:szCs w:val="21"/>
      <w:lang w:val="zh-CN" w:eastAsia="zh-CN"/>
    </w:rPr>
  </w:style>
  <w:style w:type="paragraph" w:customStyle="1" w:styleId="36">
    <w:name w:val="普通(网站) Char"/>
    <w:basedOn w:val="1"/>
    <w:qFormat/>
    <w:uiPriority w:val="0"/>
    <w:pPr>
      <w:spacing w:before="100" w:beforeAutospacing="1" w:after="100" w:afterAutospacing="1"/>
      <w:ind w:left="0" w:right="0"/>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chart" Target="charts/chart6.xml"/><Relationship Id="rId14" Type="http://schemas.openxmlformats.org/officeDocument/2006/relationships/chart" Target="charts/chart5.xml"/><Relationship Id="rId13" Type="http://schemas.openxmlformats.org/officeDocument/2006/relationships/chart" Target="charts/chart4.xml"/><Relationship Id="rId12" Type="http://schemas.openxmlformats.org/officeDocument/2006/relationships/chart" Target="charts/chart3.xml"/><Relationship Id="rId11" Type="http://schemas.openxmlformats.org/officeDocument/2006/relationships/chart" Target="charts/chart2.xml"/><Relationship Id="rId10" Type="http://schemas.openxmlformats.org/officeDocument/2006/relationships/chart" Target="charts/chart1.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2.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3.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4.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5.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6.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收入、支出决算总计变动情况图</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2024年</c:v>
                </c:pt>
                <c:pt idx="1">
                  <c:v>2025年</c:v>
                </c:pt>
              </c:strCache>
            </c:strRef>
          </c:cat>
          <c:val>
            <c:numRef>
              <c:f>Sheet1!$B$2:$B$3</c:f>
              <c:numCache>
                <c:formatCode>General</c:formatCode>
                <c:ptCount val="2"/>
                <c:pt idx="0">
                  <c:v>346.22</c:v>
                </c:pt>
                <c:pt idx="1">
                  <c:v>409.35</c:v>
                </c:pt>
              </c:numCache>
            </c:numRef>
          </c:val>
        </c:ser>
        <c:ser>
          <c:idx val="1"/>
          <c:order val="1"/>
          <c:tx>
            <c:strRef>
              <c:f>Sheet1!$C$1</c:f>
              <c:strCache>
                <c:ptCount val="1"/>
                <c:pt idx="0">
                  <c:v>支出</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2024年</c:v>
                </c:pt>
                <c:pt idx="1">
                  <c:v>2025年</c:v>
                </c:pt>
              </c:strCache>
            </c:strRef>
          </c:cat>
          <c:val>
            <c:numRef>
              <c:f>Sheet1!$C$2:$C$3</c:f>
              <c:numCache>
                <c:formatCode>General</c:formatCode>
                <c:ptCount val="2"/>
                <c:pt idx="0">
                  <c:v>346.22</c:v>
                </c:pt>
                <c:pt idx="1">
                  <c:v>409.35</c:v>
                </c:pt>
              </c:numCache>
            </c:numRef>
          </c:val>
        </c:ser>
        <c:ser>
          <c:idx val="2"/>
          <c:order val="2"/>
          <c:tx>
            <c:strRef>
              <c:f>Sheet1!#REF!</c:f>
              <c:strCache>
                <c:ptCount val="1"/>
                <c:pt idx="0">
                  <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2024年</c:v>
                </c:pt>
                <c:pt idx="1">
                  <c:v>2025年</c:v>
                </c:pt>
              </c:strCache>
            </c:strRef>
          </c:cat>
          <c:val>
            <c:numRef>
              <c:f>Sheet1!#REF!</c:f>
              <c:numCache>
                <c:formatCode>General</c:formatCode>
                <c:ptCount val="1"/>
                <c:pt idx="0">
                  <c:v>1</c:v>
                </c:pt>
              </c:numCache>
            </c:numRef>
          </c:val>
        </c:ser>
        <c:dLbls>
          <c:showLegendKey val="0"/>
          <c:showVal val="1"/>
          <c:showCatName val="0"/>
          <c:showSerName val="0"/>
          <c:showPercent val="0"/>
          <c:showBubbleSize val="0"/>
        </c:dLbls>
        <c:gapWidth val="219"/>
        <c:overlap val="-27"/>
        <c:axId val="37513680"/>
        <c:axId val="332113216"/>
      </c:barChart>
      <c:catAx>
        <c:axId val="3751368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32113216"/>
        <c:crosses val="autoZero"/>
        <c:auto val="1"/>
        <c:lblAlgn val="ctr"/>
        <c:lblOffset val="100"/>
        <c:noMultiLvlLbl val="0"/>
      </c:catAx>
      <c:valAx>
        <c:axId val="332113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7513680"/>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收入决算结构图</a:t>
            </a:r>
          </a:p>
        </c:rich>
      </c:tx>
      <c:layout/>
      <c:overlay val="0"/>
      <c:spPr>
        <a:noFill/>
        <a:ln>
          <a:noFill/>
        </a:ln>
        <a:effectLst/>
      </c:spPr>
    </c:title>
    <c:autoTitleDeleted val="0"/>
    <c:plotArea>
      <c:layout/>
      <c:pieChart>
        <c:varyColors val="1"/>
        <c:ser>
          <c:idx val="0"/>
          <c:order val="0"/>
          <c:tx>
            <c:strRef>
              <c:f>Sheet1!$B$1</c:f>
              <c:strCache>
                <c:ptCount val="1"/>
                <c:pt idx="0">
                  <c:v>销售额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一般公共预算财政拨款收入</c:v>
                </c:pt>
                <c:pt idx="1">
                  <c:v>政府性基金预算财政拨款收入</c:v>
                </c:pt>
                <c:pt idx="2">
                  <c:v>国有资本经营预算财政拨款收入</c:v>
                </c:pt>
                <c:pt idx="3">
                  <c:v>上级补助收入</c:v>
                </c:pt>
              </c:strCache>
            </c:strRef>
          </c:cat>
          <c:val>
            <c:numRef>
              <c:f>Sheet1!$B$2:$B$5</c:f>
              <c:numCache>
                <c:formatCode>General</c:formatCode>
                <c:ptCount val="4"/>
                <c:pt idx="0">
                  <c:v>409.35</c:v>
                </c:pt>
                <c:pt idx="1">
                  <c:v>0</c:v>
                </c:pt>
                <c:pt idx="2">
                  <c:v>0</c:v>
                </c:pt>
                <c:pt idx="3">
                  <c:v>0</c:v>
                </c:pt>
              </c:numCache>
            </c:numRef>
          </c:val>
        </c:ser>
        <c:ser>
          <c:idx val="1"/>
          <c:order val="1"/>
          <c:tx>
            <c:strRef>
              <c:f>"事业收入"</c:f>
              <c:strCache>
                <c:ptCount val="1"/>
                <c:pt idx="0">
                  <c:v>事业收入</c:v>
                </c:pt>
              </c:strCache>
            </c:strRef>
          </c:tx>
          <c:spPr/>
          <c:explosion val="0"/>
          <c:dPt>
            <c:idx val="0"/>
            <c:bubble3D val="0"/>
            <c:spPr>
              <a:solidFill>
                <a:schemeClr val="accent1"/>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一般公共预算财政拨款收入</c:v>
                </c:pt>
                <c:pt idx="1">
                  <c:v>政府性基金预算财政拨款收入</c:v>
                </c:pt>
                <c:pt idx="2">
                  <c:v>国有资本经营预算财政拨款收入</c:v>
                </c:pt>
                <c:pt idx="3">
                  <c:v>上级补助收入</c:v>
                </c:pt>
              </c:strCache>
            </c:strRef>
          </c:cat>
          <c:val>
            <c:numRef>
              <c:f>{1}</c:f>
              <c:numCache>
                <c:formatCode>General</c:formatCode>
                <c:ptCount val="1"/>
                <c:pt idx="0">
                  <c:v>1</c:v>
                </c:pt>
              </c:numCache>
            </c:numRef>
          </c:val>
        </c:ser>
        <c:ser>
          <c:idx val="2"/>
          <c:order val="2"/>
          <c:tx>
            <c:strRef>
              <c:f>"经营收入"</c:f>
              <c:strCache>
                <c:ptCount val="1"/>
                <c:pt idx="0">
                  <c:v>经营收入</c:v>
                </c:pt>
              </c:strCache>
            </c:strRef>
          </c:tx>
          <c:spPr/>
          <c:explosion val="0"/>
          <c:dPt>
            <c:idx val="0"/>
            <c:bubble3D val="0"/>
            <c:spPr>
              <a:solidFill>
                <a:schemeClr val="accent1"/>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一般公共预算财政拨款收入</c:v>
                </c:pt>
                <c:pt idx="1">
                  <c:v>政府性基金预算财政拨款收入</c:v>
                </c:pt>
                <c:pt idx="2">
                  <c:v>国有资本经营预算财政拨款收入</c:v>
                </c:pt>
                <c:pt idx="3">
                  <c:v>上级补助收入</c:v>
                </c:pt>
              </c:strCache>
            </c:strRef>
          </c:cat>
          <c:val>
            <c:numRef>
              <c:f>{1}</c:f>
              <c:numCache>
                <c:formatCode>General</c:formatCode>
                <c:ptCount val="1"/>
                <c:pt idx="0">
                  <c:v>1</c:v>
                </c:pt>
              </c:numCache>
            </c:numRef>
          </c:val>
        </c:ser>
        <c:ser>
          <c:idx val="3"/>
          <c:order val="3"/>
          <c:tx>
            <c:strRef>
              <c:f>"其他收入"</c:f>
              <c:strCache>
                <c:ptCount val="1"/>
                <c:pt idx="0">
                  <c:v>其他收入</c:v>
                </c:pt>
              </c:strCache>
            </c:strRef>
          </c:tx>
          <c:spPr/>
          <c:explosion val="0"/>
          <c:dPt>
            <c:idx val="0"/>
            <c:bubble3D val="0"/>
            <c:spPr>
              <a:solidFill>
                <a:schemeClr val="accent1"/>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一般公共预算财政拨款收入</c:v>
                </c:pt>
                <c:pt idx="1">
                  <c:v>政府性基金预算财政拨款收入</c:v>
                </c:pt>
                <c:pt idx="2">
                  <c:v>国有资本经营预算财政拨款收入</c:v>
                </c:pt>
                <c:pt idx="3">
                  <c:v>上级补助收入</c:v>
                </c:pt>
              </c:strCache>
            </c:strRef>
          </c:cat>
          <c:val>
            <c:numRef>
              <c:f>{1}</c:f>
              <c:numCache>
                <c:formatCode>General</c:formatCode>
                <c:ptCount val="1"/>
                <c:pt idx="0">
                  <c:v>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支出决算结构图</a:t>
            </a:r>
          </a:p>
        </c:rich>
      </c:tx>
      <c:layout/>
      <c:overlay val="0"/>
      <c:spPr>
        <a:noFill/>
        <a:ln>
          <a:noFill/>
        </a:ln>
        <a:effectLst/>
      </c:spPr>
    </c:title>
    <c:autoTitleDeleted val="0"/>
    <c:plotArea>
      <c:layout/>
      <c:pieChart>
        <c:varyColors val="1"/>
        <c:ser>
          <c:idx val="0"/>
          <c:order val="0"/>
          <c:tx>
            <c:strRef>
              <c:f>Sheet1!$B$1</c:f>
              <c:strCache>
                <c:ptCount val="1"/>
                <c:pt idx="0">
                  <c:v>销售额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223.65</c:v>
                </c:pt>
                <c:pt idx="1">
                  <c:v>185.7</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财政拨款收、支决算总计变动情况图</a:t>
            </a:r>
          </a:p>
        </c:rich>
      </c:tx>
      <c:layout/>
      <c:overlay val="0"/>
      <c:spPr>
        <a:noFill/>
        <a:ln>
          <a:noFill/>
        </a:ln>
        <a:effectLst/>
      </c:spPr>
    </c:title>
    <c:autoTitleDeleted val="0"/>
    <c:plotArea>
      <c:layout>
        <c:manualLayout>
          <c:layoutTarget val="inner"/>
          <c:xMode val="edge"/>
          <c:yMode val="edge"/>
          <c:x val="0.0847025126936597"/>
          <c:y val="0.166595563139932"/>
          <c:w val="0.90123681812264"/>
          <c:h val="0.637670648464164"/>
        </c:manualLayout>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2024年</c:v>
                </c:pt>
                <c:pt idx="1">
                  <c:v>2025年</c:v>
                </c:pt>
              </c:strCache>
            </c:strRef>
          </c:cat>
          <c:val>
            <c:numRef>
              <c:f>Sheet1!$B$2:$B$3</c:f>
              <c:numCache>
                <c:formatCode>General</c:formatCode>
                <c:ptCount val="2"/>
                <c:pt idx="0">
                  <c:v>346.22</c:v>
                </c:pt>
                <c:pt idx="1">
                  <c:v>409.35</c:v>
                </c:pt>
              </c:numCache>
            </c:numRef>
          </c:val>
        </c:ser>
        <c:ser>
          <c:idx val="1"/>
          <c:order val="1"/>
          <c:tx>
            <c:strRef>
              <c:f>Sheet1!$C$1</c:f>
              <c:strCache>
                <c:ptCount val="1"/>
                <c:pt idx="0">
                  <c:v>支出</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2024年</c:v>
                </c:pt>
                <c:pt idx="1">
                  <c:v>2025年</c:v>
                </c:pt>
              </c:strCache>
            </c:strRef>
          </c:cat>
          <c:val>
            <c:numRef>
              <c:f>Sheet1!$C$2:$C$3</c:f>
              <c:numCache>
                <c:formatCode>General</c:formatCode>
                <c:ptCount val="2"/>
                <c:pt idx="0">
                  <c:v>346.22</c:v>
                </c:pt>
                <c:pt idx="1">
                  <c:v>409.35</c:v>
                </c:pt>
              </c:numCache>
            </c:numRef>
          </c:val>
        </c:ser>
        <c:ser>
          <c:idx val="2"/>
          <c:order val="2"/>
          <c:tx>
            <c:strRef>
              <c:f>Sheet1!#REF!</c:f>
              <c:strCache>
                <c:ptCount val="1"/>
                <c:pt idx="0">
                  <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2024年</c:v>
                </c:pt>
                <c:pt idx="1">
                  <c:v>2025年</c:v>
                </c:pt>
              </c:strCache>
            </c:strRef>
          </c:cat>
          <c:val>
            <c:numRef>
              <c:f>Sheet1!#REF!</c:f>
              <c:numCache>
                <c:formatCode>General</c:formatCode>
                <c:ptCount val="1"/>
                <c:pt idx="0">
                  <c:v>1</c:v>
                </c:pt>
              </c:numCache>
            </c:numRef>
          </c:val>
        </c:ser>
        <c:dLbls>
          <c:showLegendKey val="0"/>
          <c:showVal val="1"/>
          <c:showCatName val="0"/>
          <c:showSerName val="0"/>
          <c:showPercent val="0"/>
          <c:showBubbleSize val="0"/>
        </c:dLbls>
        <c:gapWidth val="219"/>
        <c:overlap val="-27"/>
        <c:axId val="37513680"/>
        <c:axId val="332113216"/>
      </c:barChart>
      <c:catAx>
        <c:axId val="3751368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32113216"/>
        <c:crosses val="autoZero"/>
        <c:auto val="1"/>
        <c:lblAlgn val="ctr"/>
        <c:lblOffset val="100"/>
        <c:noMultiLvlLbl val="0"/>
      </c:catAx>
      <c:valAx>
        <c:axId val="332113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7513680"/>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一般公共预算财政拨款支出决算变动情况图</a:t>
            </a:r>
          </a:p>
        </c:rich>
      </c:tx>
      <c:layout/>
      <c:overlay val="0"/>
      <c:spPr>
        <a:noFill/>
        <a:ln>
          <a:noFill/>
        </a:ln>
        <a:effectLst/>
      </c:spPr>
    </c:title>
    <c:autoTitleDeleted val="0"/>
    <c:plotArea>
      <c:layout>
        <c:manualLayout>
          <c:layoutTarget val="inner"/>
          <c:xMode val="edge"/>
          <c:yMode val="edge"/>
          <c:x val="0.0847025126936597"/>
          <c:y val="0.166595563139932"/>
          <c:w val="0.90123681812264"/>
          <c:h val="0.637670648464164"/>
        </c:manualLayout>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2024年</c:v>
                </c:pt>
                <c:pt idx="1">
                  <c:v>2025年</c:v>
                </c:pt>
              </c:strCache>
            </c:strRef>
          </c:cat>
          <c:val>
            <c:numRef>
              <c:f>Sheet1!$B$2:$B$3</c:f>
              <c:numCache>
                <c:formatCode>General</c:formatCode>
                <c:ptCount val="2"/>
                <c:pt idx="0">
                  <c:v>346.22</c:v>
                </c:pt>
                <c:pt idx="1">
                  <c:v>409.35</c:v>
                </c:pt>
              </c:numCache>
            </c:numRef>
          </c:val>
        </c:ser>
        <c:ser>
          <c:idx val="1"/>
          <c:order val="1"/>
          <c:tx>
            <c:strRef>
              <c:f>Sheet1!$C$1</c:f>
              <c:strCache>
                <c:ptCount val="1"/>
                <c:pt idx="0">
                  <c:v>支出</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2024年</c:v>
                </c:pt>
                <c:pt idx="1">
                  <c:v>2025年</c:v>
                </c:pt>
              </c:strCache>
            </c:strRef>
          </c:cat>
          <c:val>
            <c:numRef>
              <c:f>Sheet1!$C$2:$C$3</c:f>
              <c:numCache>
                <c:formatCode>General</c:formatCode>
                <c:ptCount val="2"/>
                <c:pt idx="0">
                  <c:v>346.22</c:v>
                </c:pt>
                <c:pt idx="1">
                  <c:v>409.35</c:v>
                </c:pt>
              </c:numCache>
            </c:numRef>
          </c:val>
        </c:ser>
        <c:ser>
          <c:idx val="2"/>
          <c:order val="2"/>
          <c:tx>
            <c:strRef>
              <c:f>Sheet1!#REF!</c:f>
              <c:strCache>
                <c:ptCount val="1"/>
                <c:pt idx="0">
                  <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2024年</c:v>
                </c:pt>
                <c:pt idx="1">
                  <c:v>2025年</c:v>
                </c:pt>
              </c:strCache>
            </c:strRef>
          </c:cat>
          <c:val>
            <c:numRef>
              <c:f>Sheet1!#REF!</c:f>
              <c:numCache>
                <c:formatCode>General</c:formatCode>
                <c:ptCount val="1"/>
                <c:pt idx="0">
                  <c:v>1</c:v>
                </c:pt>
              </c:numCache>
            </c:numRef>
          </c:val>
        </c:ser>
        <c:dLbls>
          <c:showLegendKey val="0"/>
          <c:showVal val="1"/>
          <c:showCatName val="0"/>
          <c:showSerName val="0"/>
          <c:showPercent val="0"/>
          <c:showBubbleSize val="0"/>
        </c:dLbls>
        <c:gapWidth val="219"/>
        <c:overlap val="-27"/>
        <c:axId val="37513680"/>
        <c:axId val="332113216"/>
      </c:barChart>
      <c:catAx>
        <c:axId val="3751368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32113216"/>
        <c:crosses val="autoZero"/>
        <c:auto val="1"/>
        <c:lblAlgn val="ctr"/>
        <c:lblOffset val="100"/>
        <c:noMultiLvlLbl val="0"/>
      </c:catAx>
      <c:valAx>
        <c:axId val="332113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7513680"/>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一般公共预算财政拨款支出决算结构图</a:t>
            </a:r>
          </a:p>
        </c:rich>
      </c:tx>
      <c:layout/>
      <c:overlay val="0"/>
      <c:spPr>
        <a:noFill/>
        <a:ln>
          <a:noFill/>
        </a:ln>
        <a:effectLst/>
      </c:spPr>
    </c:title>
    <c:autoTitleDeleted val="0"/>
    <c:plotArea>
      <c:layout/>
      <c:pieChart>
        <c:varyColors val="1"/>
        <c:ser>
          <c:idx val="0"/>
          <c:order val="0"/>
          <c:tx>
            <c:strRef>
              <c:f>Sheet1!$B$1</c:f>
              <c:strCache>
                <c:ptCount val="1"/>
                <c:pt idx="0">
                  <c:v>销售额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一般公共服务支出</c:v>
                </c:pt>
                <c:pt idx="1">
                  <c:v>社会保障和就业支出</c:v>
                </c:pt>
                <c:pt idx="2">
                  <c:v>卫生健康支出</c:v>
                </c:pt>
                <c:pt idx="3">
                  <c:v>住房保障支出</c:v>
                </c:pt>
              </c:strCache>
            </c:strRef>
          </c:cat>
          <c:val>
            <c:numRef>
              <c:f>Sheet1!$B$2:$B$5</c:f>
              <c:numCache>
                <c:formatCode>General</c:formatCode>
                <c:ptCount val="4"/>
                <c:pt idx="0">
                  <c:v>265.63</c:v>
                </c:pt>
                <c:pt idx="1">
                  <c:v>115.01</c:v>
                </c:pt>
                <c:pt idx="2">
                  <c:v>11.5</c:v>
                </c:pt>
                <c:pt idx="3">
                  <c:v>17.21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25</Pages>
  <Words>7624</Words>
  <Characters>8070</Characters>
  <Lines>61</Lines>
  <Paragraphs>17</Paragraphs>
  <TotalTime>2</TotalTime>
  <ScaleCrop>false</ScaleCrop>
  <LinksUpToDate>false</LinksUpToDate>
  <CharactersWithSpaces>8097</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2020-08-09T09:49:00Z</dcterms:created>
  <dc:creator>曹颖</dc:creator>
  <cp:lastModifiedBy>Administrator</cp:lastModifiedBy>
  <cp:lastPrinted>2026-10-26T03:23:01Z</cp:lastPrinted>
  <dcterms:modified xsi:type="dcterms:W3CDTF">2026-10-26T03:23:51Z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y fmtid="{D5CDD505-2E9C-101B-9397-08002B2CF9AE}" pid="3" name="ICV">
    <vt:lpwstr>04787F2533EB45DC91BCDE4AB213247F</vt:lpwstr>
  </property>
  <property fmtid="{D5CDD505-2E9C-101B-9397-08002B2CF9AE}" pid="4" name="KSOTemplateDocerSaveRecord">
    <vt:lpwstr>eyJoZGlkIjoiNjFiZTNhMWFmYmFmZGNmMjgwNWRjYmU5NDcyODBjMmQiLCJ1c2VySWQiOiIxNDc5ODg2MzU3In0=</vt:lpwstr>
  </property>
</Properties>
</file>