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93"/>
        <w:rPr>
          <w:rFonts w:ascii="黑体" w:hAnsi="黑体" w:eastAsia="黑体" w:cs="黑体"/>
          <w:kern w:val="2"/>
          <w:sz w:val="32"/>
          <w:szCs w:val="32"/>
        </w:rPr>
      </w:pPr>
      <w:bookmarkStart w:id="0" w:name="_Toc15378441"/>
      <w:bookmarkStart w:id="1" w:name="_Toc15396475"/>
      <w:bookmarkStart w:id="2" w:name="_Toc15377425"/>
      <w:bookmarkStart w:id="3" w:name="_Toc15377193"/>
      <w:bookmarkStart w:id="4" w:name="_Toc15396597"/>
      <w:bookmarkStart w:id="5" w:name="_Toc15306267"/>
      <w:r>
        <w:rPr>
          <w:rFonts w:hint="eastAsia" w:ascii="黑体" w:hAnsi="黑体" w:eastAsia="黑体" w:cs="黑体"/>
          <w:kern w:val="2"/>
          <w:sz w:val="32"/>
          <w:szCs w:val="32"/>
        </w:rPr>
        <w:t>附件4</w:t>
      </w:r>
    </w:p>
    <w:p>
      <w:pPr>
        <w:pStyle w:val="8"/>
        <w:spacing w:before="93"/>
        <w:rPr>
          <w:rFonts w:ascii="Times New Roman" w:eastAsia="方正小标宋简体"/>
          <w:kern w:val="2"/>
          <w:sz w:val="72"/>
          <w:szCs w:val="72"/>
        </w:rPr>
      </w:pPr>
    </w:p>
    <w:p>
      <w:pPr>
        <w:pStyle w:val="8"/>
        <w:spacing w:before="93"/>
        <w:rPr>
          <w:rFonts w:ascii="Times New Roman" w:eastAsia="方正小标宋简体"/>
          <w:kern w:val="2"/>
          <w:sz w:val="72"/>
          <w:szCs w:val="72"/>
        </w:rPr>
      </w:pPr>
    </w:p>
    <w:p>
      <w:pPr>
        <w:pStyle w:val="8"/>
        <w:spacing w:before="93"/>
        <w:rPr>
          <w:rFonts w:ascii="Times New Roman" w:eastAsia="方正小标宋简体"/>
          <w:kern w:val="2"/>
          <w:sz w:val="72"/>
          <w:szCs w:val="72"/>
        </w:rPr>
      </w:pPr>
    </w:p>
    <w:p>
      <w:pPr>
        <w:pStyle w:val="8"/>
        <w:spacing w:before="93"/>
        <w:rPr>
          <w:rFonts w:ascii="Times New Roman" w:eastAsia="方正小标宋简体"/>
          <w:kern w:val="2"/>
          <w:sz w:val="72"/>
          <w:szCs w:val="72"/>
        </w:rPr>
      </w:pPr>
    </w:p>
    <w:p>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2025年度省级部门（单位）决算</w:t>
      </w:r>
    </w:p>
    <w:p>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公开文字说明范本及样表</w:t>
      </w:r>
    </w:p>
    <w:p>
      <w:pPr>
        <w:spacing w:line="600" w:lineRule="exact"/>
        <w:jc w:val="center"/>
        <w:outlineLvl w:val="0"/>
        <w:rPr>
          <w:rFonts w:eastAsia="方正小标宋简体"/>
          <w:sz w:val="72"/>
          <w:szCs w:val="72"/>
        </w:rPr>
      </w:pPr>
    </w:p>
    <w:p>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p>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bookmarkEnd w:id="0"/>
    <w:bookmarkEnd w:id="1"/>
    <w:bookmarkEnd w:id="2"/>
    <w:bookmarkEnd w:id="3"/>
    <w:bookmarkEnd w:id="4"/>
    <w:p>
      <w:pPr>
        <w:pStyle w:val="8"/>
        <w:spacing w:before="93"/>
        <w:jc w:val="center"/>
        <w:rPr>
          <w:rFonts w:ascii="Times New Roman" w:eastAsia="方正小标宋简体"/>
          <w:kern w:val="2"/>
          <w:sz w:val="44"/>
          <w:szCs w:val="44"/>
        </w:rPr>
      </w:pPr>
      <w:bookmarkStart w:id="6" w:name="_Toc15396598"/>
      <w:bookmarkStart w:id="7" w:name="_Toc15377426"/>
      <w:bookmarkStart w:id="8" w:name="_Toc15378442"/>
      <w:bookmarkStart w:id="9" w:name="_Toc15396476"/>
      <w:bookmarkStart w:id="10" w:name="_Toc15377194"/>
      <w:r>
        <w:rPr>
          <w:rFonts w:hint="eastAsia" w:ascii="Times New Roman" w:eastAsia="方正小标宋简体"/>
          <w:kern w:val="2"/>
          <w:sz w:val="44"/>
          <w:szCs w:val="44"/>
        </w:rPr>
        <w:t>2025年度四川省麦洼寺管委会</w:t>
      </w:r>
      <w:bookmarkEnd w:id="5"/>
      <w:bookmarkStart w:id="11" w:name="_Toc15306268"/>
      <w:r>
        <w:rPr>
          <w:rFonts w:hint="eastAsia" w:ascii="Times New Roman" w:eastAsia="方正小标宋简体"/>
          <w:kern w:val="2"/>
          <w:sz w:val="44"/>
          <w:szCs w:val="44"/>
        </w:rPr>
        <w:t>部门决算</w:t>
      </w:r>
      <w:bookmarkEnd w:id="6"/>
      <w:bookmarkEnd w:id="7"/>
      <w:bookmarkEnd w:id="8"/>
      <w:bookmarkEnd w:id="9"/>
      <w:bookmarkEnd w:id="10"/>
      <w:bookmarkEnd w:id="11"/>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（注：以下为部门公开范本。单位公开内容应参照部门公开内容和报表格式，并与部门公开内容做好衔接）</w:t>
      </w:r>
    </w:p>
    <w:p>
      <w:pPr>
        <w:widowControl/>
        <w:jc w:val="center"/>
        <w:rPr>
          <w:rFonts w:eastAsia="黑体"/>
          <w:sz w:val="48"/>
          <w:szCs w:val="48"/>
        </w:rPr>
        <w:sectPr>
          <w:footerReference r:id="rId6" w:type="first"/>
          <w:footerReference r:id="rId5" w:type="default"/>
          <w:pgSz w:w="11906" w:h="16838"/>
          <w:pgMar w:top="1440" w:right="1800" w:bottom="1440" w:left="1800" w:header="851" w:footer="992" w:gutter="0"/>
          <w:pgNumType w:start="1"/>
          <w:cols w:space="425" w:num="1"/>
          <w:titlePg/>
          <w:docGrid w:type="lines" w:linePitch="312" w:charSpace="0"/>
        </w:sectPr>
      </w:pPr>
    </w:p>
    <w:p>
      <w:pPr>
        <w:widowControl/>
        <w:jc w:val="center"/>
        <w:rPr>
          <w:rFonts w:eastAsia="黑体"/>
          <w:sz w:val="48"/>
          <w:szCs w:val="48"/>
        </w:rPr>
      </w:pPr>
      <w:r>
        <w:rPr>
          <w:rFonts w:hint="eastAsia" w:eastAsia="黑体"/>
          <w:sz w:val="48"/>
          <w:szCs w:val="48"/>
        </w:rPr>
        <w:t>目录</w:t>
      </w:r>
    </w:p>
    <w:p>
      <w:pPr>
        <w:widowControl/>
        <w:jc w:val="center"/>
        <w:rPr>
          <w:rFonts w:eastAsia="黑体" w:cstheme="minorBidi"/>
          <w:sz w:val="28"/>
          <w:szCs w:val="28"/>
        </w:rPr>
      </w:pPr>
    </w:p>
    <w:p>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公开时间：2026年10月27日</w:t>
      </w:r>
    </w:p>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第一部分 部门概况</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一、部门职责</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二、机构设置</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第二部分 2025年度部门决算情况说明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一、收入支出决算总体情况说明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四、财政拨款收入支出决算总体情况说明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五、一般公共预算财政拨款支出决算情况说明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六、一般公共预算财政拨款基本支出决算情况说明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七、财政拨款“三公”经费支出决算情况说明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八、政府性基金预算支出决算情况说明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九、国有资本经营预算支出决算情况说明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十、其他重要事项的情况说明</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第三部分 名词解释</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第四部分 附件</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第五部分 附表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五、财政拨款支出决算明细表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七、一般公共预算财政拨款支出决算明细表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八、一般公共预算财政拨款基本支出决算明细表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九、一般公共预算财政拨款项目支出决算表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十、政府性基金预算财政拨款收入支出决算表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十一、国有资本经营预算财政拨款收入支出决算表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十二、国有资本经营预算财政拨款支出决算表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十三、财政拨款“三公”经费支出决算表</w:t>
      </w:r>
    </w:p>
    <w:p>
      <w:pPr>
        <w:pStyle w:val="14"/>
        <w:adjustRightInd w:val="0"/>
        <w:snapToGrid w:val="0"/>
        <w:spacing w:line="560" w:lineRule="exact"/>
        <w:ind w:left="0" w:leftChars="0" w:firstLine="643" w:firstLineChars="200"/>
        <w:jc w:val="left"/>
        <w:rPr>
          <w:rFonts w:eastAsia="仿宋_GB2312" w:cs="仿宋_GB2312"/>
          <w:b/>
          <w:bCs/>
          <w:sz w:val="32"/>
          <w:szCs w:val="32"/>
        </w:rPr>
      </w:pPr>
      <w:r>
        <w:rPr>
          <w:rFonts w:hint="eastAsia" w:eastAsia="仿宋_GB2312" w:cs="仿宋_GB2312"/>
          <w:b/>
          <w:bCs/>
          <w:sz w:val="32"/>
          <w:szCs w:val="32"/>
        </w:rPr>
        <w:t>（注：请部门根据实际注明页码）</w:t>
      </w:r>
    </w:p>
    <w:p>
      <w:pPr>
        <w:widowControl/>
        <w:spacing w:line="560" w:lineRule="exact"/>
        <w:jc w:val="left"/>
        <w:rPr>
          <w:rFonts w:eastAsia="仿宋_GB2312" w:cs="仿宋_GB2312"/>
          <w:bCs/>
          <w:kern w:val="44"/>
          <w:sz w:val="32"/>
          <w:szCs w:val="32"/>
        </w:rPr>
      </w:pPr>
      <w:bookmarkStart w:id="12" w:name="_Toc15377196"/>
      <w:bookmarkStart w:id="13" w:name="_Toc15396599"/>
      <w:r>
        <w:rPr>
          <w:rFonts w:hint="eastAsia" w:eastAsia="仿宋_GB2312" w:cs="仿宋_GB2312"/>
          <w:b/>
          <w:sz w:val="32"/>
          <w:szCs w:val="32"/>
        </w:rPr>
        <w:br w:type="page"/>
      </w:r>
    </w:p>
    <w:p>
      <w:pPr>
        <w:pStyle w:val="5"/>
        <w:jc w:val="center"/>
        <w:rPr>
          <w:rStyle w:val="29"/>
          <w:rFonts w:eastAsia="方正小标宋简体" w:cs="方正小标宋简体"/>
          <w:b/>
          <w:bCs w:val="0"/>
        </w:rPr>
      </w:pPr>
      <w:r>
        <w:rPr>
          <w:rFonts w:hint="eastAsia" w:eastAsia="方正小标宋简体" w:cs="方正小标宋简体"/>
          <w:b w:val="0"/>
        </w:rPr>
        <w:t xml:space="preserve">第一部分  </w:t>
      </w:r>
      <w:r>
        <w:rPr>
          <w:rStyle w:val="29"/>
          <w:rFonts w:hint="eastAsia" w:eastAsia="方正小标宋简体" w:cs="方正小标宋简体"/>
          <w:b w:val="0"/>
          <w:bCs w:val="0"/>
        </w:rPr>
        <w:t>部门概况</w:t>
      </w:r>
      <w:bookmarkEnd w:id="12"/>
      <w:bookmarkEnd w:id="13"/>
    </w:p>
    <w:p>
      <w:pPr>
        <w:widowControl/>
        <w:jc w:val="left"/>
        <w:rPr>
          <w:rFonts w:eastAsia="黑体"/>
          <w:sz w:val="32"/>
          <w:szCs w:val="32"/>
        </w:rPr>
      </w:pPr>
    </w:p>
    <w:p>
      <w:pPr>
        <w:pStyle w:val="6"/>
        <w:rPr>
          <w:rStyle w:val="30"/>
          <w:rFonts w:ascii="Times New Roman" w:hAnsi="Times New Roman" w:eastAsia="黑体"/>
          <w:b w:val="0"/>
          <w:bCs w:val="0"/>
        </w:rPr>
      </w:pPr>
      <w:bookmarkStart w:id="14" w:name="_Toc15377197"/>
      <w:bookmarkStart w:id="15" w:name="_Toc15396600"/>
      <w:r>
        <w:rPr>
          <w:rFonts w:hint="eastAsia" w:ascii="Times New Roman" w:hAnsi="Times New Roman" w:eastAsia="黑体"/>
          <w:b w:val="0"/>
        </w:rPr>
        <w:t>一、</w:t>
      </w:r>
      <w:bookmarkEnd w:id="14"/>
      <w:bookmarkEnd w:id="15"/>
      <w:r>
        <w:rPr>
          <w:rFonts w:hint="eastAsia" w:ascii="Times New Roman" w:hAnsi="Times New Roman" w:eastAsia="黑体"/>
          <w:b w:val="0"/>
        </w:rPr>
        <w:t>部门职责</w:t>
      </w:r>
    </w:p>
    <w:p>
      <w:pPr>
        <w:pStyle w:val="6"/>
        <w:rPr>
          <w:rStyle w:val="30"/>
          <w:rFonts w:ascii="Times New Roman" w:hAnsi="Times New Roman"/>
          <w:b w:val="0"/>
          <w:bCs w:val="0"/>
        </w:rPr>
      </w:pPr>
      <w:bookmarkStart w:id="16" w:name="_Toc15377200"/>
      <w:bookmarkStart w:id="17" w:name="_Toc15396601"/>
      <w:r>
        <w:rPr>
          <w:rFonts w:hint="eastAsia" w:ascii="Times New Roman" w:hAnsi="Times New Roman" w:eastAsia="黑体"/>
          <w:b w:val="0"/>
        </w:rPr>
        <w:t>二、机</w:t>
      </w:r>
      <w:r>
        <w:rPr>
          <w:rStyle w:val="30"/>
          <w:rFonts w:hint="eastAsia" w:ascii="Times New Roman" w:hAnsi="Times New Roman" w:eastAsia="黑体"/>
          <w:b w:val="0"/>
          <w:bCs w:val="0"/>
        </w:rPr>
        <w:t>构设置</w:t>
      </w:r>
      <w:bookmarkEnd w:id="16"/>
      <w:bookmarkEnd w:id="17"/>
    </w:p>
    <w:p>
      <w:pPr>
        <w:ind w:firstLine="800" w:firstLineChars="250"/>
        <w:rPr>
          <w:rFonts w:eastAsia="仿宋_GB2312" w:cs="仿宋_GB2312"/>
          <w:sz w:val="32"/>
          <w:szCs w:val="32"/>
        </w:rPr>
      </w:pPr>
      <w:r>
        <w:rPr>
          <w:rFonts w:hint="eastAsia" w:ascii="仿宋_GB2312" w:hAnsi="仿宋_GB2312" w:eastAsia="仿宋_GB2312" w:cs="仿宋_GB2312"/>
          <w:sz w:val="32"/>
          <w:szCs w:val="32"/>
        </w:rPr>
        <w:t>红原县麦洼寺寺庙管理委员会</w:t>
      </w:r>
      <w:r>
        <w:rPr>
          <w:rFonts w:hint="eastAsia" w:eastAsia="仿宋_GB2312" w:cs="仿宋_GB2312"/>
          <w:sz w:val="32"/>
          <w:szCs w:val="32"/>
        </w:rPr>
        <w:t>下属二级预算单位0个，其中行政单位0个，参照公务员法管理的事业单位</w:t>
      </w:r>
      <w:r>
        <w:rPr>
          <w:rFonts w:hint="eastAsia" w:eastAsia="仿宋_GB2312" w:cs="仿宋_GB2312"/>
          <w:bCs/>
          <w:sz w:val="32"/>
          <w:szCs w:val="32"/>
        </w:rPr>
        <w:t>0</w:t>
      </w:r>
      <w:r>
        <w:rPr>
          <w:rFonts w:hint="eastAsia" w:eastAsia="仿宋_GB2312" w:cs="仿宋_GB2312"/>
          <w:sz w:val="32"/>
          <w:szCs w:val="32"/>
        </w:rPr>
        <w:t>个，其他事业单位0个。</w:t>
      </w:r>
    </w:p>
    <w:p>
      <w:pPr>
        <w:pStyle w:val="8"/>
        <w:adjustRightInd w:val="0"/>
        <w:snapToGrid w:val="0"/>
        <w:spacing w:before="93" w:line="600" w:lineRule="exact"/>
        <w:ind w:firstLine="672" w:firstLineChars="210"/>
        <w:rPr>
          <w:rFonts w:ascii="Times New Roman" w:cs="仿宋_GB2312"/>
          <w:sz w:val="32"/>
          <w:szCs w:val="32"/>
        </w:rPr>
      </w:pPr>
      <w:r>
        <w:rPr>
          <w:rFonts w:hint="eastAsia" w:ascii="Times New Roman" w:cs="仿宋_GB2312"/>
          <w:sz w:val="32"/>
          <w:szCs w:val="32"/>
        </w:rPr>
        <w:t>纳入</w:t>
      </w:r>
      <w:r>
        <w:rPr>
          <w:rFonts w:hint="eastAsia" w:hAnsi="仿宋_GB2312" w:cs="仿宋_GB2312"/>
          <w:sz w:val="32"/>
          <w:szCs w:val="32"/>
        </w:rPr>
        <w:t>红原县麦洼寺寺庙管理委员会</w:t>
      </w:r>
      <w:r>
        <w:rPr>
          <w:rFonts w:hint="eastAsia" w:ascii="Times New Roman" w:cs="仿宋_GB2312"/>
          <w:sz w:val="32"/>
          <w:szCs w:val="32"/>
        </w:rPr>
        <w:t>2025年度部门决算编制范围的二级预算单位包括：</w:t>
      </w:r>
    </w:p>
    <w:p>
      <w:pPr>
        <w:pStyle w:val="8"/>
        <w:numPr>
          <w:ilvl w:val="0"/>
          <w:numId w:val="1"/>
        </w:numPr>
        <w:adjustRightInd w:val="0"/>
        <w:snapToGrid w:val="0"/>
        <w:spacing w:before="93" w:line="600" w:lineRule="exact"/>
        <w:outlineLvl w:val="2"/>
        <w:rPr>
          <w:rFonts w:ascii="Times New Roman" w:cs="仿宋_GB2312"/>
          <w:sz w:val="32"/>
          <w:szCs w:val="32"/>
        </w:rPr>
      </w:pPr>
      <w:r>
        <w:rPr>
          <w:rFonts w:hint="eastAsia" w:ascii="Times New Roman" w:cs="仿宋_GB2312"/>
          <w:sz w:val="32"/>
          <w:szCs w:val="32"/>
        </w:rPr>
        <w:t>麦洼寺管委会</w:t>
      </w:r>
    </w:p>
    <w:p>
      <w:pPr>
        <w:widowControl/>
        <w:jc w:val="left"/>
        <w:rPr>
          <w:rFonts w:eastAsia="仿宋"/>
          <w:kern w:val="0"/>
          <w:sz w:val="32"/>
          <w:szCs w:val="32"/>
        </w:rPr>
      </w:pPr>
      <w:r>
        <w:rPr>
          <w:rFonts w:eastAsia="仿宋"/>
          <w:sz w:val="32"/>
          <w:szCs w:val="32"/>
        </w:rPr>
        <w:br w:type="page"/>
      </w:r>
    </w:p>
    <w:p>
      <w:pPr>
        <w:pStyle w:val="5"/>
        <w:jc w:val="center"/>
        <w:rPr>
          <w:rFonts w:eastAsia="方正小标宋简体" w:cs="方正小标宋简体"/>
          <w:b w:val="0"/>
        </w:rPr>
      </w:pPr>
      <w:bookmarkStart w:id="18" w:name="_Toc15377204"/>
      <w:bookmarkStart w:id="19" w:name="_Toc15396602"/>
      <w:r>
        <w:rPr>
          <w:rFonts w:hint="eastAsia" w:eastAsia="方正小标宋简体" w:cs="方正小标宋简体"/>
          <w:b w:val="0"/>
        </w:rPr>
        <w:t>第二部分  2025年度部门决算情况说明</w:t>
      </w:r>
      <w:bookmarkEnd w:id="18"/>
      <w:bookmarkEnd w:id="19"/>
    </w:p>
    <w:p/>
    <w:p>
      <w:pPr>
        <w:pStyle w:val="28"/>
        <w:spacing w:line="600" w:lineRule="exact"/>
        <w:ind w:firstLine="640"/>
        <w:outlineLvl w:val="1"/>
        <w:rPr>
          <w:rStyle w:val="30"/>
          <w:rFonts w:ascii="Times New Roman" w:hAnsi="Times New Roman" w:eastAsia="黑体"/>
          <w:b w:val="0"/>
        </w:rPr>
      </w:pPr>
      <w:bookmarkStart w:id="20" w:name="_Toc15396603"/>
      <w:bookmarkStart w:id="21" w:name="_Toc15377205"/>
      <w:r>
        <w:rPr>
          <w:rFonts w:hint="eastAsia" w:eastAsia="黑体"/>
          <w:sz w:val="32"/>
          <w:szCs w:val="32"/>
        </w:rPr>
        <w:t>一、收</w:t>
      </w:r>
      <w:r>
        <w:rPr>
          <w:rStyle w:val="30"/>
          <w:rFonts w:hint="eastAsia" w:ascii="Times New Roman" w:hAnsi="Times New Roman" w:eastAsia="黑体"/>
          <w:b w:val="0"/>
        </w:rPr>
        <w:t>入支出决算总体情况说明</w:t>
      </w:r>
      <w:bookmarkEnd w:id="20"/>
      <w:bookmarkEnd w:id="21"/>
    </w:p>
    <w:p>
      <w:pPr>
        <w:pStyle w:val="28"/>
        <w:spacing w:line="600" w:lineRule="exact"/>
        <w:ind w:firstLine="640"/>
        <w:outlineLvl w:val="1"/>
        <w:rPr>
          <w:rFonts w:hint="eastAsia" w:eastAsia="仿宋_GB2312" w:cs="仿宋_GB2312"/>
          <w:sz w:val="32"/>
          <w:szCs w:val="32"/>
          <w:lang w:eastAsia="zh-CN"/>
        </w:rPr>
      </w:pPr>
      <w:r>
        <w:rPr>
          <w:rFonts w:hint="eastAsia" w:eastAsia="仿宋_GB2312" w:cs="仿宋_GB2312"/>
          <w:sz w:val="32"/>
          <w:szCs w:val="32"/>
        </w:rPr>
        <w:t>2025年度收入、支出总计均为</w:t>
      </w:r>
      <w:r>
        <w:rPr>
          <w:rFonts w:hint="eastAsia" w:ascii="仿宋_GB2312" w:hAnsi="仿宋_GB2312" w:eastAsia="仿宋_GB2312" w:cs="仿宋_GB2312"/>
          <w:sz w:val="32"/>
          <w:szCs w:val="32"/>
        </w:rPr>
        <w:t>395.08</w:t>
      </w:r>
      <w:r>
        <w:rPr>
          <w:rFonts w:hint="eastAsia" w:eastAsia="仿宋_GB2312" w:cs="仿宋_GB2312"/>
          <w:sz w:val="32"/>
          <w:szCs w:val="32"/>
        </w:rPr>
        <w:t>万元。与上年度相比，收入、支出总计各增加</w:t>
      </w:r>
      <w:r>
        <w:rPr>
          <w:rFonts w:hint="eastAsia" w:eastAsia="仿宋_GB2312" w:cs="仿宋_GB2312"/>
          <w:sz w:val="32"/>
          <w:szCs w:val="32"/>
          <w:lang w:val="en-US" w:eastAsia="zh-CN"/>
        </w:rPr>
        <w:t>32.56</w:t>
      </w:r>
      <w:r>
        <w:rPr>
          <w:rFonts w:hint="eastAsia" w:eastAsia="仿宋_GB2312" w:cs="仿宋_GB2312"/>
          <w:sz w:val="32"/>
          <w:szCs w:val="32"/>
        </w:rPr>
        <w:t>万元，增长</w:t>
      </w:r>
      <w:r>
        <w:rPr>
          <w:rFonts w:hint="eastAsia" w:eastAsia="仿宋_GB2312" w:cs="仿宋_GB2312"/>
          <w:sz w:val="32"/>
          <w:szCs w:val="32"/>
          <w:lang w:val="en-US" w:eastAsia="zh-CN"/>
        </w:rPr>
        <w:t>8.2</w:t>
      </w:r>
      <w:r>
        <w:rPr>
          <w:rFonts w:hint="eastAsia" w:eastAsia="仿宋_GB2312" w:cs="仿宋_GB2312"/>
          <w:sz w:val="32"/>
          <w:szCs w:val="32"/>
        </w:rPr>
        <w:t>%。主要变动原因是</w:t>
      </w:r>
      <w:r>
        <w:rPr>
          <w:rFonts w:hint="eastAsia" w:eastAsia="仿宋_GB2312" w:cs="仿宋_GB2312"/>
          <w:sz w:val="32"/>
          <w:szCs w:val="32"/>
          <w:lang w:eastAsia="zh-CN"/>
        </w:rPr>
        <w:t>业务工作增加，项目增加。</w:t>
      </w:r>
    </w:p>
    <w:p>
      <w:pPr>
        <w:pStyle w:val="28"/>
        <w:spacing w:line="600" w:lineRule="exact"/>
        <w:ind w:firstLine="640"/>
        <w:outlineLvl w:val="1"/>
        <w:rPr>
          <w:rFonts w:eastAsia="仿宋_GB2312" w:cs="仿宋_GB2312"/>
          <w:sz w:val="32"/>
          <w:szCs w:val="32"/>
        </w:rPr>
      </w:pPr>
      <w:r>
        <w:rPr>
          <w:rFonts w:hint="eastAsia" w:eastAsia="仿宋_GB2312" w:cs="仿宋_GB2312"/>
          <w:sz w:val="32"/>
          <w:szCs w:val="32"/>
        </w:rPr>
        <w:t>（图1：收入、支出决算总计变动情况图）（柱状图）</w:t>
      </w:r>
    </w:p>
    <w:p>
      <w:pPr>
        <w:ind w:firstLine="640" w:firstLineChars="200"/>
        <w:rPr>
          <w:rFonts w:eastAsia="仿宋_GB2312" w:cs="仿宋_GB2312"/>
          <w:sz w:val="32"/>
          <w:szCs w:val="32"/>
        </w:rPr>
      </w:pPr>
      <w:r>
        <w:rPr>
          <w:rFonts w:hint="eastAsia" w:eastAsia="仿宋_GB2312" w:cs="仿宋_GB2312"/>
          <w:sz w:val="32"/>
          <w:szCs w:val="32"/>
          <w:lang w:eastAsia="zh-CN"/>
        </w:rPr>
        <w:drawing>
          <wp:inline distT="0" distB="0" distL="114300" distR="114300">
            <wp:extent cx="4695190" cy="2560320"/>
            <wp:effectExtent l="4445" t="4445" r="5715" b="698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28"/>
        <w:spacing w:line="600" w:lineRule="exact"/>
        <w:ind w:firstLine="640"/>
        <w:outlineLvl w:val="1"/>
        <w:rPr>
          <w:rFonts w:eastAsia="黑体"/>
          <w:sz w:val="32"/>
          <w:szCs w:val="32"/>
        </w:rPr>
      </w:pPr>
      <w:bookmarkStart w:id="22" w:name="_Toc15396604"/>
      <w:bookmarkStart w:id="23" w:name="_Toc15377206"/>
      <w:r>
        <w:rPr>
          <w:rFonts w:hint="eastAsia" w:eastAsia="黑体"/>
          <w:sz w:val="32"/>
          <w:szCs w:val="32"/>
        </w:rPr>
        <w:t>二、收入决算情况说明</w:t>
      </w:r>
      <w:bookmarkEnd w:id="22"/>
      <w:bookmarkEnd w:id="23"/>
    </w:p>
    <w:p>
      <w:pPr>
        <w:pStyle w:val="28"/>
        <w:spacing w:line="600" w:lineRule="exact"/>
        <w:ind w:firstLine="640"/>
        <w:outlineLvl w:val="1"/>
        <w:rPr>
          <w:rFonts w:eastAsia="仿宋_GB2312" w:cs="仿宋_GB2312"/>
          <w:b/>
          <w:bCs/>
          <w:sz w:val="32"/>
          <w:szCs w:val="32"/>
        </w:rPr>
      </w:pPr>
      <w:r>
        <w:rPr>
          <w:rFonts w:hint="eastAsia" w:eastAsia="仿宋_GB2312" w:cs="仿宋_GB2312"/>
          <w:sz w:val="32"/>
          <w:szCs w:val="32"/>
        </w:rPr>
        <w:t>2025年度本年收入合计</w:t>
      </w:r>
      <w:r>
        <w:rPr>
          <w:rFonts w:hint="eastAsia" w:ascii="仿宋_GB2312" w:hAnsi="仿宋_GB2312" w:eastAsia="仿宋_GB2312" w:cs="仿宋_GB2312"/>
          <w:sz w:val="32"/>
          <w:szCs w:val="32"/>
        </w:rPr>
        <w:t>395.08</w:t>
      </w:r>
      <w:r>
        <w:rPr>
          <w:rFonts w:hint="eastAsia" w:eastAsia="仿宋_GB2312" w:cs="仿宋_GB2312"/>
          <w:sz w:val="32"/>
          <w:szCs w:val="32"/>
        </w:rPr>
        <w:t>万元，其中：一般公共预算财政拨款收入</w:t>
      </w:r>
      <w:r>
        <w:rPr>
          <w:rFonts w:hint="eastAsia" w:ascii="仿宋_GB2312" w:hAnsi="仿宋_GB2312" w:eastAsia="仿宋_GB2312" w:cs="仿宋_GB2312"/>
          <w:sz w:val="32"/>
          <w:szCs w:val="32"/>
        </w:rPr>
        <w:t>395.08</w:t>
      </w:r>
      <w:r>
        <w:rPr>
          <w:rFonts w:hint="eastAsia" w:eastAsia="仿宋_GB2312" w:cs="仿宋_GB2312"/>
          <w:sz w:val="32"/>
          <w:szCs w:val="32"/>
        </w:rPr>
        <w:t>万元，占</w:t>
      </w:r>
      <w:r>
        <w:rPr>
          <w:rFonts w:hint="eastAsia" w:ascii="仿宋_GB2312" w:hAnsi="仿宋_GB2312" w:eastAsia="仿宋_GB2312" w:cs="仿宋_GB2312"/>
          <w:sz w:val="32"/>
          <w:szCs w:val="32"/>
        </w:rPr>
        <w:t>100</w:t>
      </w:r>
      <w:r>
        <w:rPr>
          <w:rFonts w:hint="eastAsia" w:eastAsia="仿宋_GB2312" w:cs="仿宋_GB2312"/>
          <w:sz w:val="32"/>
          <w:szCs w:val="32"/>
        </w:rPr>
        <w:t>%；政府性基金预算财政拨款收入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%；国有资本经营预算财政拨款收入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%；上级补助收入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%；事业收入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%；经营收入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%；附属单位上缴收入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%；其他收入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w:t>
      </w:r>
      <w:r>
        <w:rPr>
          <w:rFonts w:hint="eastAsia" w:eastAsia="仿宋_GB2312" w:cs="仿宋_GB2312"/>
          <w:b/>
          <w:bCs/>
          <w:sz w:val="32"/>
          <w:szCs w:val="32"/>
        </w:rPr>
        <w:t>（注：仅罗列本部门涉及的收入）</w:t>
      </w:r>
    </w:p>
    <w:p>
      <w:pPr>
        <w:pStyle w:val="28"/>
        <w:spacing w:line="600" w:lineRule="exact"/>
        <w:ind w:firstLine="640"/>
        <w:outlineLvl w:val="1"/>
        <w:rPr>
          <w:rFonts w:eastAsia="仿宋_GB2312" w:cs="仿宋_GB2312"/>
          <w:sz w:val="32"/>
          <w:szCs w:val="32"/>
        </w:rPr>
      </w:pPr>
      <w:r>
        <w:rPr>
          <w:rFonts w:hint="eastAsia" w:eastAsia="仿宋_GB2312" w:cs="仿宋_GB2312"/>
          <w:sz w:val="32"/>
          <w:szCs w:val="32"/>
        </w:rPr>
        <w:t>（图2：收入决算结构图）（饼状图）</w:t>
      </w:r>
    </w:p>
    <w:p>
      <w:pPr>
        <w:ind w:firstLine="800" w:firstLineChars="250"/>
        <w:rPr>
          <w:rFonts w:eastAsia="仿宋_GB2312" w:cs="仿宋_GB2312"/>
          <w:sz w:val="32"/>
          <w:szCs w:val="32"/>
        </w:rPr>
      </w:pPr>
      <w:r>
        <w:rPr>
          <w:rFonts w:hint="eastAsia" w:eastAsia="仿宋_GB2312" w:cs="仿宋_GB2312"/>
          <w:sz w:val="32"/>
          <w:szCs w:val="32"/>
          <w:lang w:eastAsia="zh-CN"/>
        </w:rPr>
        <w:drawing>
          <wp:inline distT="0" distB="0" distL="114300" distR="114300">
            <wp:extent cx="4257040" cy="2340610"/>
            <wp:effectExtent l="4445" t="4445" r="5715"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28"/>
        <w:spacing w:line="600" w:lineRule="exact"/>
        <w:ind w:firstLine="640"/>
        <w:outlineLvl w:val="1"/>
        <w:rPr>
          <w:rStyle w:val="30"/>
          <w:rFonts w:ascii="Times New Roman" w:hAnsi="Times New Roman" w:eastAsia="黑体"/>
          <w:b w:val="0"/>
        </w:rPr>
      </w:pPr>
      <w:bookmarkStart w:id="24" w:name="_Toc15396605"/>
      <w:bookmarkStart w:id="25" w:name="_Toc15377207"/>
      <w:r>
        <w:rPr>
          <w:rFonts w:hint="eastAsia" w:eastAsia="黑体"/>
          <w:sz w:val="32"/>
          <w:szCs w:val="32"/>
        </w:rPr>
        <w:t>三、支</w:t>
      </w:r>
      <w:r>
        <w:rPr>
          <w:rStyle w:val="30"/>
          <w:rFonts w:hint="eastAsia" w:ascii="Times New Roman" w:hAnsi="Times New Roman" w:eastAsia="黑体"/>
          <w:b w:val="0"/>
        </w:rPr>
        <w:t>出决算情况说明</w:t>
      </w:r>
      <w:bookmarkEnd w:id="24"/>
      <w:bookmarkEnd w:id="25"/>
    </w:p>
    <w:p>
      <w:pPr>
        <w:pStyle w:val="28"/>
        <w:spacing w:line="600" w:lineRule="exact"/>
        <w:ind w:firstLine="640"/>
        <w:outlineLvl w:val="1"/>
        <w:rPr>
          <w:rFonts w:eastAsia="仿宋_GB2312" w:cs="仿宋_GB2312"/>
          <w:b/>
          <w:bCs/>
          <w:sz w:val="32"/>
          <w:szCs w:val="32"/>
        </w:rPr>
      </w:pPr>
      <w:r>
        <w:rPr>
          <w:rFonts w:hint="eastAsia" w:eastAsia="仿宋_GB2312" w:cs="仿宋_GB2312"/>
          <w:sz w:val="32"/>
          <w:szCs w:val="32"/>
        </w:rPr>
        <w:t>2025年度本年支出合计</w:t>
      </w:r>
      <w:r>
        <w:rPr>
          <w:rFonts w:hint="eastAsia" w:ascii="仿宋_GB2312" w:hAnsi="仿宋_GB2312" w:eastAsia="仿宋_GB2312" w:cs="仿宋_GB2312"/>
          <w:sz w:val="32"/>
          <w:szCs w:val="32"/>
        </w:rPr>
        <w:t>395.08</w:t>
      </w:r>
      <w:r>
        <w:rPr>
          <w:rFonts w:hint="eastAsia" w:eastAsia="仿宋_GB2312" w:cs="仿宋_GB2312"/>
          <w:sz w:val="32"/>
          <w:szCs w:val="32"/>
        </w:rPr>
        <w:t>万元，其中：基本支出</w:t>
      </w:r>
      <w:r>
        <w:rPr>
          <w:rFonts w:hint="eastAsia" w:ascii="仿宋_GB2312" w:hAnsi="仿宋_GB2312" w:eastAsia="仿宋_GB2312" w:cs="仿宋_GB2312"/>
          <w:sz w:val="32"/>
          <w:szCs w:val="32"/>
        </w:rPr>
        <w:t>328.39</w:t>
      </w:r>
      <w:r>
        <w:rPr>
          <w:rFonts w:hint="eastAsia" w:eastAsia="仿宋_GB2312" w:cs="仿宋_GB2312"/>
          <w:sz w:val="32"/>
          <w:szCs w:val="32"/>
        </w:rPr>
        <w:t>万元，占</w:t>
      </w:r>
      <w:r>
        <w:rPr>
          <w:rFonts w:hint="eastAsia" w:ascii="仿宋_GB2312" w:hAnsi="仿宋_GB2312" w:eastAsia="仿宋_GB2312" w:cs="仿宋_GB2312"/>
          <w:sz w:val="32"/>
          <w:szCs w:val="32"/>
        </w:rPr>
        <w:t>83.11</w:t>
      </w:r>
      <w:r>
        <w:rPr>
          <w:rFonts w:hint="eastAsia" w:eastAsia="仿宋_GB2312" w:cs="仿宋_GB2312"/>
          <w:sz w:val="32"/>
          <w:szCs w:val="32"/>
        </w:rPr>
        <w:t>%；项目支出</w:t>
      </w:r>
      <w:r>
        <w:rPr>
          <w:rFonts w:hint="eastAsia" w:ascii="仿宋_GB2312" w:hAnsi="仿宋_GB2312" w:eastAsia="仿宋_GB2312" w:cs="仿宋_GB2312"/>
          <w:sz w:val="32"/>
          <w:szCs w:val="32"/>
        </w:rPr>
        <w:t>66.69</w:t>
      </w:r>
      <w:r>
        <w:rPr>
          <w:rFonts w:hint="eastAsia" w:eastAsia="仿宋_GB2312" w:cs="仿宋_GB2312"/>
          <w:sz w:val="32"/>
          <w:szCs w:val="32"/>
        </w:rPr>
        <w:t>万元，占</w:t>
      </w:r>
      <w:r>
        <w:rPr>
          <w:rFonts w:hint="eastAsia" w:ascii="仿宋_GB2312" w:hAnsi="仿宋_GB2312" w:eastAsia="仿宋_GB2312" w:cs="仿宋_GB2312"/>
          <w:sz w:val="32"/>
          <w:szCs w:val="32"/>
        </w:rPr>
        <w:t>16.88</w:t>
      </w:r>
      <w:r>
        <w:rPr>
          <w:rFonts w:hint="eastAsia" w:eastAsia="仿宋_GB2312" w:cs="仿宋_GB2312"/>
          <w:sz w:val="32"/>
          <w:szCs w:val="32"/>
        </w:rPr>
        <w:t>%；上缴上级支出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%；经营支出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%；对附属单位补助支出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w:t>
      </w:r>
      <w:r>
        <w:rPr>
          <w:rFonts w:hint="eastAsia" w:eastAsia="仿宋_GB2312" w:cs="仿宋_GB2312"/>
          <w:b/>
          <w:bCs/>
          <w:sz w:val="32"/>
          <w:szCs w:val="32"/>
        </w:rPr>
        <w:t>（注：仅罗列本部门涉及的支出）</w:t>
      </w:r>
    </w:p>
    <w:p>
      <w:pPr>
        <w:pStyle w:val="28"/>
        <w:spacing w:line="600" w:lineRule="exact"/>
        <w:ind w:firstLine="640"/>
        <w:outlineLvl w:val="1"/>
        <w:rPr>
          <w:rFonts w:eastAsia="仿宋_GB2312" w:cs="仿宋_GB2312"/>
          <w:sz w:val="32"/>
          <w:szCs w:val="32"/>
        </w:rPr>
      </w:pPr>
      <w:r>
        <w:rPr>
          <w:rFonts w:hint="eastAsia" w:eastAsia="仿宋_GB2312" w:cs="仿宋_GB2312"/>
          <w:sz w:val="32"/>
          <w:szCs w:val="32"/>
        </w:rPr>
        <w:t>（图3：支出决算结构图）（饼状图）</w:t>
      </w:r>
    </w:p>
    <w:p>
      <w:pPr>
        <w:ind w:firstLine="800" w:firstLineChars="250"/>
        <w:rPr>
          <w:rFonts w:eastAsia="仿宋_GB2312" w:cs="仿宋_GB2312"/>
          <w:sz w:val="32"/>
          <w:szCs w:val="32"/>
        </w:rPr>
      </w:pPr>
      <w:r>
        <w:rPr>
          <w:rFonts w:hint="eastAsia" w:eastAsia="仿宋_GB2312" w:cs="仿宋_GB2312"/>
          <w:sz w:val="32"/>
          <w:szCs w:val="32"/>
          <w:lang w:eastAsia="zh-CN"/>
        </w:rPr>
        <w:drawing>
          <wp:inline distT="0" distB="0" distL="114300" distR="114300">
            <wp:extent cx="4323715" cy="2226945"/>
            <wp:effectExtent l="4445" t="4445" r="15240" b="1651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firstLineChars="200"/>
        <w:outlineLvl w:val="1"/>
        <w:rPr>
          <w:rStyle w:val="30"/>
          <w:rFonts w:ascii="Times New Roman" w:hAnsi="Times New Roman" w:eastAsia="黑体"/>
          <w:b w:val="0"/>
        </w:rPr>
      </w:pPr>
      <w:bookmarkStart w:id="26" w:name="_Toc15396606"/>
      <w:bookmarkStart w:id="27" w:name="_Toc15377208"/>
      <w:r>
        <w:rPr>
          <w:rFonts w:hint="eastAsia" w:eastAsia="黑体"/>
          <w:sz w:val="32"/>
          <w:szCs w:val="32"/>
        </w:rPr>
        <w:t>四、财</w:t>
      </w:r>
      <w:r>
        <w:rPr>
          <w:rStyle w:val="30"/>
          <w:rFonts w:hint="eastAsia" w:ascii="Times New Roman" w:hAnsi="Times New Roman" w:eastAsia="黑体"/>
          <w:b w:val="0"/>
        </w:rPr>
        <w:t>政拨款收入支出决算总体情况说明</w:t>
      </w:r>
      <w:bookmarkEnd w:id="26"/>
      <w:bookmarkEnd w:id="27"/>
    </w:p>
    <w:p>
      <w:pPr>
        <w:spacing w:line="600" w:lineRule="exact"/>
        <w:ind w:firstLine="640"/>
        <w:rPr>
          <w:rFonts w:eastAsia="仿宋_GB2312" w:cs="仿宋_GB2312"/>
          <w:sz w:val="32"/>
          <w:szCs w:val="32"/>
        </w:rPr>
      </w:pPr>
      <w:r>
        <w:rPr>
          <w:rFonts w:hint="eastAsia" w:eastAsia="仿宋_GB2312" w:cs="仿宋_GB2312"/>
          <w:sz w:val="32"/>
          <w:szCs w:val="32"/>
        </w:rPr>
        <w:t>2025年度财政拨款收入、支出总计均为</w:t>
      </w:r>
      <w:r>
        <w:rPr>
          <w:rFonts w:hint="eastAsia" w:ascii="仿宋_GB2312" w:hAnsi="仿宋_GB2312" w:eastAsia="仿宋_GB2312" w:cs="仿宋_GB2312"/>
          <w:sz w:val="32"/>
          <w:szCs w:val="32"/>
        </w:rPr>
        <w:t>395.08</w:t>
      </w:r>
      <w:r>
        <w:rPr>
          <w:rFonts w:hint="eastAsia" w:eastAsia="仿宋_GB2312" w:cs="仿宋_GB2312"/>
          <w:sz w:val="32"/>
          <w:szCs w:val="32"/>
        </w:rPr>
        <w:t>万元。与上年度相比，财政拨款收入、支出总计各增加</w:t>
      </w:r>
      <w:r>
        <w:rPr>
          <w:rFonts w:hint="eastAsia" w:eastAsia="仿宋_GB2312" w:cs="仿宋_GB2312"/>
          <w:sz w:val="32"/>
          <w:szCs w:val="32"/>
          <w:lang w:val="en-US" w:eastAsia="zh-CN"/>
        </w:rPr>
        <w:t>32.56</w:t>
      </w:r>
      <w:r>
        <w:rPr>
          <w:rFonts w:hint="eastAsia" w:eastAsia="仿宋_GB2312" w:cs="仿宋_GB2312"/>
          <w:sz w:val="32"/>
          <w:szCs w:val="32"/>
        </w:rPr>
        <w:t>万元，增长</w:t>
      </w:r>
      <w:r>
        <w:rPr>
          <w:rFonts w:hint="eastAsia" w:eastAsia="仿宋_GB2312" w:cs="仿宋_GB2312"/>
          <w:sz w:val="32"/>
          <w:szCs w:val="32"/>
          <w:lang w:val="en-US" w:eastAsia="zh-CN"/>
        </w:rPr>
        <w:t>8.2</w:t>
      </w:r>
      <w:r>
        <w:rPr>
          <w:rFonts w:hint="eastAsia" w:eastAsia="仿宋_GB2312" w:cs="仿宋_GB2312"/>
          <w:sz w:val="32"/>
          <w:szCs w:val="32"/>
        </w:rPr>
        <w:t>%。主要变动原因是</w:t>
      </w:r>
      <w:r>
        <w:rPr>
          <w:rFonts w:hint="eastAsia" w:eastAsia="仿宋_GB2312" w:cs="仿宋_GB2312"/>
          <w:sz w:val="32"/>
          <w:szCs w:val="32"/>
          <w:lang w:eastAsia="zh-CN"/>
        </w:rPr>
        <w:t>业务工作增加，项目增加。</w:t>
      </w:r>
    </w:p>
    <w:p>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（图4：财政拨款收、支决算总计变动情况）（柱状图）</w:t>
      </w:r>
    </w:p>
    <w:p>
      <w:pPr>
        <w:spacing w:line="600" w:lineRule="exact"/>
        <w:ind w:firstLine="640"/>
        <w:rPr>
          <w:rFonts w:eastAsia="仿宋_GB2312" w:cs="仿宋_GB2312"/>
          <w:sz w:val="32"/>
          <w:szCs w:val="32"/>
        </w:rPr>
      </w:pPr>
      <w:r>
        <w:rPr>
          <w:rFonts w:hint="eastAsia" w:eastAsia="仿宋_GB2312" w:cs="仿宋_GB2312"/>
          <w:sz w:val="32"/>
          <w:szCs w:val="32"/>
          <w:lang w:eastAsia="zh-CN"/>
        </w:rPr>
        <w:drawing>
          <wp:anchor distT="0" distB="0" distL="114300" distR="114300" simplePos="0" relativeHeight="251659264" behindDoc="0" locked="0" layoutInCell="1" allowOverlap="1">
            <wp:simplePos x="0" y="0"/>
            <wp:positionH relativeFrom="column">
              <wp:posOffset>261620</wp:posOffset>
            </wp:positionH>
            <wp:positionV relativeFrom="paragraph">
              <wp:posOffset>375920</wp:posOffset>
            </wp:positionV>
            <wp:extent cx="4495165" cy="2388235"/>
            <wp:effectExtent l="4445" t="4445" r="15240" b="7620"/>
            <wp:wrapTopAndBottom/>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spacing w:line="600" w:lineRule="exact"/>
        <w:ind w:firstLine="640" w:firstLineChars="200"/>
        <w:outlineLvl w:val="1"/>
        <w:rPr>
          <w:rStyle w:val="30"/>
          <w:rFonts w:ascii="Times New Roman" w:hAnsi="Times New Roman" w:eastAsia="黑体"/>
          <w:b w:val="0"/>
        </w:rPr>
      </w:pPr>
      <w:bookmarkStart w:id="28" w:name="_Toc15396607"/>
      <w:bookmarkStart w:id="29" w:name="_Toc15377209"/>
      <w:r>
        <w:rPr>
          <w:rFonts w:hint="eastAsia" w:eastAsia="黑体"/>
          <w:sz w:val="32"/>
          <w:szCs w:val="32"/>
        </w:rPr>
        <w:t>五、</w:t>
      </w:r>
      <w:r>
        <w:rPr>
          <w:rFonts w:hint="eastAsia" w:eastAsia="黑体"/>
          <w:b/>
          <w:sz w:val="32"/>
          <w:szCs w:val="32"/>
        </w:rPr>
        <w:t>一</w:t>
      </w:r>
      <w:r>
        <w:rPr>
          <w:rStyle w:val="30"/>
          <w:rFonts w:hint="eastAsia" w:ascii="Times New Roman" w:hAnsi="Times New Roman" w:eastAsia="黑体"/>
          <w:b w:val="0"/>
        </w:rPr>
        <w:t>般公共预算财政拨款支出决算情况说明</w:t>
      </w:r>
      <w:bookmarkEnd w:id="28"/>
      <w:bookmarkEnd w:id="29"/>
    </w:p>
    <w:p>
      <w:pPr>
        <w:spacing w:line="600" w:lineRule="exact"/>
        <w:ind w:firstLine="643" w:firstLineChars="200"/>
        <w:outlineLvl w:val="2"/>
        <w:rPr>
          <w:rFonts w:eastAsia="楷体_GB2312" w:cs="楷体_GB2312"/>
          <w:b/>
          <w:sz w:val="32"/>
          <w:szCs w:val="32"/>
        </w:rPr>
      </w:pPr>
      <w:bookmarkStart w:id="30" w:name="_Toc15377210"/>
      <w:r>
        <w:rPr>
          <w:rFonts w:hint="eastAsia" w:eastAsia="楷体_GB2312" w:cs="楷体_GB2312"/>
          <w:b/>
          <w:sz w:val="32"/>
          <w:szCs w:val="32"/>
        </w:rPr>
        <w:t>（一）一般公共预算财政拨款支出决算总体情况</w:t>
      </w:r>
      <w:bookmarkEnd w:id="30"/>
    </w:p>
    <w:p>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395.08</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100</w:t>
      </w:r>
      <w:r>
        <w:rPr>
          <w:rFonts w:hint="eastAsia" w:eastAsia="仿宋_GB2312" w:cs="仿宋_GB2312"/>
          <w:sz w:val="32"/>
          <w:szCs w:val="32"/>
        </w:rPr>
        <w:t>%。与上年度相比，一般公共预算财政拨款支出增加</w:t>
      </w:r>
      <w:r>
        <w:rPr>
          <w:rFonts w:hint="eastAsia" w:eastAsia="仿宋_GB2312" w:cs="仿宋_GB2312"/>
          <w:sz w:val="32"/>
          <w:szCs w:val="32"/>
          <w:lang w:val="en-US" w:eastAsia="zh-CN"/>
        </w:rPr>
        <w:t>32.56</w:t>
      </w:r>
      <w:r>
        <w:rPr>
          <w:rFonts w:hint="eastAsia" w:eastAsia="仿宋_GB2312" w:cs="仿宋_GB2312"/>
          <w:sz w:val="32"/>
          <w:szCs w:val="32"/>
        </w:rPr>
        <w:t>万元，增长</w:t>
      </w:r>
      <w:r>
        <w:rPr>
          <w:rFonts w:hint="eastAsia" w:eastAsia="仿宋_GB2312" w:cs="仿宋_GB2312"/>
          <w:sz w:val="32"/>
          <w:szCs w:val="32"/>
          <w:lang w:val="en-US" w:eastAsia="zh-CN"/>
        </w:rPr>
        <w:t>8.2</w:t>
      </w:r>
      <w:r>
        <w:rPr>
          <w:rFonts w:hint="eastAsia" w:eastAsia="仿宋_GB2312" w:cs="仿宋_GB2312"/>
          <w:sz w:val="32"/>
          <w:szCs w:val="32"/>
        </w:rPr>
        <w:t>%。主要变动原因是</w:t>
      </w:r>
      <w:r>
        <w:rPr>
          <w:rFonts w:hint="eastAsia" w:eastAsia="仿宋_GB2312" w:cs="仿宋_GB2312"/>
          <w:sz w:val="32"/>
          <w:szCs w:val="32"/>
          <w:lang w:eastAsia="zh-CN"/>
        </w:rPr>
        <w:t>业务工作增加，项目增加。</w:t>
      </w:r>
    </w:p>
    <w:p>
      <w:pPr>
        <w:spacing w:line="600" w:lineRule="exact"/>
        <w:ind w:firstLine="640"/>
        <w:rPr>
          <w:rFonts w:eastAsia="仿宋_GB2312" w:cs="仿宋_GB2312"/>
          <w:sz w:val="32"/>
          <w:szCs w:val="32"/>
        </w:rPr>
      </w:pPr>
      <w:r>
        <w:rPr>
          <w:rFonts w:hint="eastAsia" w:eastAsia="仿宋_GB2312" w:cs="仿宋_GB2312"/>
          <w:sz w:val="32"/>
          <w:szCs w:val="32"/>
        </w:rPr>
        <w:t>（图5：一般公共预算财政拨款支出决算变动情况）（柱状图）</w:t>
      </w:r>
    </w:p>
    <w:p>
      <w:pPr>
        <w:spacing w:line="600" w:lineRule="exact"/>
        <w:ind w:firstLine="640"/>
        <w:rPr>
          <w:rFonts w:eastAsia="仿宋_GB2312" w:cs="仿宋_GB2312"/>
          <w:sz w:val="32"/>
          <w:szCs w:val="32"/>
        </w:rPr>
      </w:pPr>
      <w:r>
        <w:rPr>
          <w:rFonts w:hint="eastAsia" w:eastAsia="仿宋_GB2312" w:cs="仿宋_GB2312"/>
          <w:sz w:val="32"/>
          <w:szCs w:val="32"/>
          <w:lang w:eastAsia="zh-CN"/>
        </w:rPr>
        <w:drawing>
          <wp:anchor distT="0" distB="0" distL="114300" distR="114300" simplePos="0" relativeHeight="251662336" behindDoc="0" locked="0" layoutInCell="1" allowOverlap="1">
            <wp:simplePos x="0" y="0"/>
            <wp:positionH relativeFrom="column">
              <wp:posOffset>80645</wp:posOffset>
            </wp:positionH>
            <wp:positionV relativeFrom="page">
              <wp:posOffset>995045</wp:posOffset>
            </wp:positionV>
            <wp:extent cx="4941570" cy="2159635"/>
            <wp:effectExtent l="4445" t="4445" r="6985" b="7620"/>
            <wp:wrapTopAndBottom/>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spacing w:line="600" w:lineRule="exact"/>
        <w:ind w:firstLine="643" w:firstLineChars="200"/>
        <w:outlineLvl w:val="2"/>
        <w:rPr>
          <w:rFonts w:eastAsia="楷体_GB2312" w:cs="楷体_GB2312"/>
          <w:b/>
          <w:sz w:val="32"/>
          <w:szCs w:val="32"/>
        </w:rPr>
      </w:pPr>
      <w:bookmarkStart w:id="31" w:name="_Toc15377211"/>
      <w:r>
        <w:rPr>
          <w:rFonts w:hint="eastAsia" w:eastAsia="楷体_GB2312" w:cs="楷体_GB2312"/>
          <w:b/>
          <w:sz w:val="32"/>
          <w:szCs w:val="32"/>
        </w:rPr>
        <w:t>（二）一般公共预算财政拨款支出决算结构情况</w:t>
      </w:r>
      <w:bookmarkEnd w:id="31"/>
    </w:p>
    <w:p>
      <w:pPr>
        <w:spacing w:line="600" w:lineRule="exact"/>
        <w:ind w:firstLine="640"/>
        <w:rPr>
          <w:rFonts w:hint="eastAsia" w:eastAsia="仿宋_GB2312" w:cs="仿宋_GB2312"/>
          <w:b/>
          <w:bCs/>
          <w:sz w:val="32"/>
          <w:szCs w:val="32"/>
          <w:lang w:eastAsia="zh-CN"/>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395.08</w:t>
      </w:r>
      <w:r>
        <w:rPr>
          <w:rFonts w:hint="eastAsia" w:eastAsia="仿宋_GB2312" w:cs="仿宋_GB2312"/>
          <w:sz w:val="32"/>
          <w:szCs w:val="32"/>
        </w:rPr>
        <w:t>万元，主要用于以下方面：一般公共服务支出</w:t>
      </w:r>
      <w:r>
        <w:rPr>
          <w:rFonts w:hint="eastAsia" w:eastAsia="仿宋_GB2312" w:cs="仿宋_GB2312"/>
          <w:sz w:val="32"/>
          <w:szCs w:val="32"/>
          <w:lang w:val="en-US" w:eastAsia="zh-CN"/>
        </w:rPr>
        <w:t>312.18</w:t>
      </w:r>
      <w:r>
        <w:rPr>
          <w:rFonts w:hint="eastAsia" w:eastAsia="仿宋_GB2312" w:cs="仿宋_GB2312"/>
          <w:sz w:val="32"/>
          <w:szCs w:val="32"/>
        </w:rPr>
        <w:t>万元，占</w:t>
      </w:r>
      <w:r>
        <w:rPr>
          <w:rFonts w:hint="eastAsia" w:eastAsia="仿宋_GB2312" w:cs="仿宋_GB2312"/>
          <w:sz w:val="32"/>
          <w:szCs w:val="32"/>
          <w:lang w:val="en-US" w:eastAsia="zh-CN"/>
        </w:rPr>
        <w:t>79.02</w:t>
      </w:r>
      <w:r>
        <w:rPr>
          <w:rFonts w:hint="eastAsia" w:eastAsia="仿宋_GB2312" w:cs="仿宋_GB2312"/>
          <w:sz w:val="32"/>
          <w:szCs w:val="32"/>
        </w:rPr>
        <w:t>%；社会保障和就业支出</w:t>
      </w:r>
      <w:r>
        <w:rPr>
          <w:rFonts w:hint="eastAsia" w:eastAsia="仿宋_GB2312" w:cs="仿宋_GB2312"/>
          <w:sz w:val="32"/>
          <w:szCs w:val="32"/>
          <w:lang w:val="en-US" w:eastAsia="zh-CN"/>
        </w:rPr>
        <w:t>42.21</w:t>
      </w:r>
      <w:r>
        <w:rPr>
          <w:rFonts w:hint="eastAsia" w:eastAsia="仿宋_GB2312" w:cs="仿宋_GB2312"/>
          <w:sz w:val="32"/>
          <w:szCs w:val="32"/>
        </w:rPr>
        <w:t>万元，占</w:t>
      </w:r>
      <w:r>
        <w:rPr>
          <w:rFonts w:hint="eastAsia" w:eastAsia="仿宋_GB2312" w:cs="仿宋_GB2312"/>
          <w:sz w:val="32"/>
          <w:szCs w:val="32"/>
          <w:lang w:val="en-US" w:eastAsia="zh-CN"/>
        </w:rPr>
        <w:t>10.68</w:t>
      </w:r>
      <w:r>
        <w:rPr>
          <w:rFonts w:hint="eastAsia" w:eastAsia="仿宋_GB2312" w:cs="仿宋_GB2312"/>
          <w:sz w:val="32"/>
          <w:szCs w:val="32"/>
        </w:rPr>
        <w:t>%；卫生健康支出</w:t>
      </w:r>
      <w:r>
        <w:rPr>
          <w:rFonts w:hint="eastAsia" w:eastAsia="仿宋_GB2312" w:cs="仿宋_GB2312"/>
          <w:sz w:val="32"/>
          <w:szCs w:val="32"/>
          <w:lang w:val="en-US" w:eastAsia="zh-CN"/>
        </w:rPr>
        <w:t>15.37</w:t>
      </w:r>
      <w:r>
        <w:rPr>
          <w:rFonts w:hint="eastAsia" w:eastAsia="仿宋_GB2312" w:cs="仿宋_GB2312"/>
          <w:sz w:val="32"/>
          <w:szCs w:val="32"/>
        </w:rPr>
        <w:t>万元，占</w:t>
      </w:r>
      <w:r>
        <w:rPr>
          <w:rFonts w:hint="eastAsia" w:eastAsia="仿宋_GB2312" w:cs="仿宋_GB2312"/>
          <w:sz w:val="32"/>
          <w:szCs w:val="32"/>
          <w:lang w:val="en-US" w:eastAsia="zh-CN"/>
        </w:rPr>
        <w:t>3.89</w:t>
      </w:r>
      <w:r>
        <w:rPr>
          <w:rFonts w:hint="eastAsia" w:eastAsia="仿宋_GB2312" w:cs="仿宋_GB2312"/>
          <w:sz w:val="32"/>
          <w:szCs w:val="32"/>
        </w:rPr>
        <w:t>%；住房保障支出</w:t>
      </w:r>
      <w:r>
        <w:rPr>
          <w:rFonts w:hint="eastAsia" w:eastAsia="仿宋_GB2312" w:cs="仿宋_GB2312"/>
          <w:sz w:val="32"/>
          <w:szCs w:val="32"/>
          <w:lang w:val="en-US" w:eastAsia="zh-CN"/>
        </w:rPr>
        <w:t>25.32</w:t>
      </w:r>
      <w:r>
        <w:rPr>
          <w:rFonts w:hint="eastAsia" w:eastAsia="仿宋_GB2312" w:cs="仿宋_GB2312"/>
          <w:sz w:val="32"/>
          <w:szCs w:val="32"/>
        </w:rPr>
        <w:t>万元，占</w:t>
      </w:r>
      <w:r>
        <w:rPr>
          <w:rFonts w:hint="eastAsia" w:eastAsia="仿宋_GB2312" w:cs="仿宋_GB2312"/>
          <w:sz w:val="32"/>
          <w:szCs w:val="32"/>
          <w:lang w:val="en-US" w:eastAsia="zh-CN"/>
        </w:rPr>
        <w:t>6.41</w:t>
      </w:r>
      <w:r>
        <w:rPr>
          <w:rFonts w:hint="eastAsia" w:eastAsia="仿宋_GB2312" w:cs="仿宋_GB2312"/>
          <w:sz w:val="32"/>
          <w:szCs w:val="32"/>
        </w:rPr>
        <w:t>%</w:t>
      </w:r>
      <w:r>
        <w:rPr>
          <w:rFonts w:hint="eastAsia" w:eastAsia="仿宋_GB2312" w:cs="仿宋_GB2312"/>
          <w:sz w:val="32"/>
          <w:szCs w:val="32"/>
          <w:lang w:val="en-US" w:eastAsia="zh-CN"/>
        </w:rPr>
        <w:t>.</w:t>
      </w:r>
    </w:p>
    <w:p>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（图6：一般公共预算财政拨款支出决算结构）（饼状图）</w:t>
      </w:r>
    </w:p>
    <w:p>
      <w:pPr>
        <w:spacing w:line="600" w:lineRule="exact"/>
        <w:ind w:firstLine="640"/>
        <w:rPr>
          <w:rFonts w:eastAsia="仿宋_GB2312" w:cs="仿宋_GB2312"/>
          <w:sz w:val="32"/>
          <w:szCs w:val="32"/>
        </w:rPr>
      </w:pPr>
      <w:r>
        <w:rPr>
          <w:rFonts w:hint="eastAsia" w:eastAsia="仿宋_GB2312" w:cs="仿宋_GB2312"/>
          <w:sz w:val="32"/>
          <w:szCs w:val="32"/>
          <w:lang w:eastAsia="zh-CN"/>
        </w:rPr>
        <w:drawing>
          <wp:anchor distT="0" distB="0" distL="114300" distR="114300" simplePos="0" relativeHeight="251666432" behindDoc="0" locked="0" layoutInCell="1" allowOverlap="0">
            <wp:simplePos x="0" y="0"/>
            <wp:positionH relativeFrom="column">
              <wp:posOffset>23495</wp:posOffset>
            </wp:positionH>
            <wp:positionV relativeFrom="page">
              <wp:posOffset>6148070</wp:posOffset>
            </wp:positionV>
            <wp:extent cx="5256530" cy="2988310"/>
            <wp:effectExtent l="4445" t="4445" r="15875" b="17145"/>
            <wp:wrapTopAndBottom/>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pPr>
        <w:spacing w:line="600" w:lineRule="exact"/>
        <w:ind w:firstLine="643" w:firstLineChars="200"/>
        <w:outlineLvl w:val="2"/>
        <w:rPr>
          <w:rFonts w:eastAsia="楷体_GB2312" w:cs="楷体_GB2312"/>
          <w:b/>
          <w:sz w:val="32"/>
          <w:szCs w:val="32"/>
        </w:rPr>
      </w:pPr>
      <w:bookmarkStart w:id="32" w:name="_Toc15377212"/>
      <w:r>
        <w:rPr>
          <w:rFonts w:hint="eastAsia" w:eastAsia="楷体_GB2312" w:cs="楷体_GB2312"/>
          <w:b/>
          <w:sz w:val="32"/>
          <w:szCs w:val="32"/>
        </w:rPr>
        <w:t>（三）一般公共预算财政拨款支出决算具体情况</w:t>
      </w:r>
      <w:bookmarkEnd w:id="32"/>
    </w:p>
    <w:p>
      <w:pPr>
        <w:spacing w:line="600" w:lineRule="exact"/>
        <w:ind w:firstLine="640"/>
        <w:rPr>
          <w:rFonts w:eastAsia="仿宋_GB2312" w:cs="仿宋_GB2312"/>
          <w:sz w:val="32"/>
          <w:szCs w:val="32"/>
        </w:rPr>
      </w:pPr>
      <w:bookmarkStart w:id="33" w:name="_Toc15378460"/>
      <w:bookmarkStart w:id="34" w:name="_Toc15377213"/>
      <w:bookmarkStart w:id="35" w:name="_Toc15377444"/>
      <w:r>
        <w:rPr>
          <w:rFonts w:hint="eastAsia" w:eastAsia="仿宋_GB2312" w:cs="仿宋_GB2312"/>
          <w:sz w:val="32"/>
          <w:szCs w:val="32"/>
        </w:rPr>
        <w:t>2025年度一般公共预算支出决算数为</w:t>
      </w:r>
      <w:r>
        <w:rPr>
          <w:rFonts w:hint="eastAsia" w:ascii="仿宋_GB2312" w:hAnsi="仿宋_GB2312" w:eastAsia="仿宋_GB2312" w:cs="仿宋_GB2312"/>
          <w:sz w:val="32"/>
          <w:szCs w:val="32"/>
        </w:rPr>
        <w:t>395.08</w:t>
      </w:r>
      <w:r>
        <w:rPr>
          <w:rFonts w:hint="eastAsia" w:eastAsia="仿宋_GB2312" w:cs="仿宋_GB2312"/>
          <w:sz w:val="32"/>
          <w:szCs w:val="32"/>
        </w:rPr>
        <w:t>，完成预算</w:t>
      </w:r>
      <w:r>
        <w:rPr>
          <w:rFonts w:hint="eastAsia" w:eastAsia="仿宋_GB2312" w:cs="仿宋_GB2312"/>
          <w:sz w:val="32"/>
          <w:szCs w:val="32"/>
          <w:lang w:val="en-US" w:eastAsia="zh-CN"/>
        </w:rPr>
        <w:t>100</w:t>
      </w:r>
      <w:r>
        <w:rPr>
          <w:rFonts w:hint="eastAsia" w:eastAsia="仿宋_GB2312" w:cs="仿宋_GB2312"/>
          <w:sz w:val="32"/>
          <w:szCs w:val="32"/>
        </w:rPr>
        <w:t>%。其中：</w:t>
      </w:r>
      <w:bookmarkEnd w:id="33"/>
      <w:bookmarkEnd w:id="34"/>
      <w:bookmarkEnd w:id="35"/>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1.行政运行2013401：支出决算为</w:t>
      </w:r>
      <w:r>
        <w:rPr>
          <w:rFonts w:hint="eastAsia" w:eastAsia="仿宋_GB2312" w:cs="仿宋_GB2312"/>
          <w:sz w:val="32"/>
          <w:szCs w:val="32"/>
          <w:lang w:val="en-US" w:eastAsia="zh-CN"/>
        </w:rPr>
        <w:t>245.49</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2</w:t>
      </w:r>
      <w:r>
        <w:rPr>
          <w:rFonts w:hint="eastAsia" w:eastAsia="仿宋_GB2312" w:cs="仿宋_GB2312"/>
          <w:sz w:val="32"/>
          <w:szCs w:val="32"/>
        </w:rPr>
        <w:t>.宗教事务2013404：支出决算为</w:t>
      </w:r>
      <w:r>
        <w:rPr>
          <w:rFonts w:hint="eastAsia" w:eastAsia="仿宋_GB2312" w:cs="仿宋_GB2312"/>
          <w:sz w:val="32"/>
          <w:szCs w:val="32"/>
          <w:lang w:val="en-US" w:eastAsia="zh-CN"/>
        </w:rPr>
        <w:t>37.78</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3</w:t>
      </w:r>
      <w:r>
        <w:rPr>
          <w:rFonts w:hint="eastAsia" w:eastAsia="仿宋_GB2312" w:cs="仿宋_GB2312"/>
          <w:sz w:val="32"/>
          <w:szCs w:val="32"/>
        </w:rPr>
        <w:t>.其他统战事务支出2013499：支出决算为</w:t>
      </w:r>
      <w:r>
        <w:rPr>
          <w:rFonts w:hint="eastAsia" w:eastAsia="仿宋_GB2312" w:cs="仿宋_GB2312"/>
          <w:sz w:val="32"/>
          <w:szCs w:val="32"/>
          <w:lang w:val="en-US" w:eastAsia="zh-CN"/>
        </w:rPr>
        <w:t>28.91</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4.机关事业单位基本养老保险缴费支出2080505：</w:t>
      </w:r>
      <w:r>
        <w:rPr>
          <w:rFonts w:hint="eastAsia" w:eastAsia="仿宋_GB2312" w:cs="仿宋_GB2312"/>
          <w:sz w:val="32"/>
          <w:szCs w:val="32"/>
        </w:rPr>
        <w:t>支出决算为</w:t>
      </w:r>
      <w:r>
        <w:rPr>
          <w:rFonts w:hint="eastAsia" w:eastAsia="仿宋_GB2312" w:cs="仿宋_GB2312"/>
          <w:sz w:val="32"/>
          <w:szCs w:val="32"/>
          <w:lang w:val="en-US" w:eastAsia="zh-CN"/>
        </w:rPr>
        <w:t>29.14</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5.机关事业单位职业年金缴费支出2080506：</w:t>
      </w:r>
      <w:r>
        <w:rPr>
          <w:rFonts w:hint="eastAsia" w:eastAsia="仿宋_GB2312" w:cs="仿宋_GB2312"/>
          <w:sz w:val="32"/>
          <w:szCs w:val="32"/>
        </w:rPr>
        <w:t>支出决算为</w:t>
      </w:r>
      <w:r>
        <w:rPr>
          <w:rFonts w:hint="eastAsia" w:eastAsia="仿宋_GB2312" w:cs="仿宋_GB2312"/>
          <w:sz w:val="32"/>
          <w:szCs w:val="32"/>
          <w:lang w:val="en-US" w:eastAsia="zh-CN"/>
        </w:rPr>
        <w:t>13.08</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6.行政单位医疗2101101：</w:t>
      </w:r>
      <w:r>
        <w:rPr>
          <w:rFonts w:hint="eastAsia" w:eastAsia="仿宋_GB2312" w:cs="仿宋_GB2312"/>
          <w:sz w:val="32"/>
          <w:szCs w:val="32"/>
        </w:rPr>
        <w:t>支出决算为</w:t>
      </w:r>
      <w:r>
        <w:rPr>
          <w:rFonts w:hint="eastAsia" w:eastAsia="仿宋_GB2312" w:cs="仿宋_GB2312"/>
          <w:sz w:val="32"/>
          <w:szCs w:val="32"/>
          <w:lang w:val="en-US" w:eastAsia="zh-CN"/>
        </w:rPr>
        <w:t>13.62</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7.公务员医疗补助2101103：</w:t>
      </w:r>
      <w:r>
        <w:rPr>
          <w:rFonts w:hint="eastAsia" w:eastAsia="仿宋_GB2312" w:cs="仿宋_GB2312"/>
          <w:sz w:val="32"/>
          <w:szCs w:val="32"/>
        </w:rPr>
        <w:t>支出决算为</w:t>
      </w:r>
      <w:r>
        <w:rPr>
          <w:rFonts w:hint="eastAsia" w:eastAsia="仿宋_GB2312" w:cs="仿宋_GB2312"/>
          <w:sz w:val="32"/>
          <w:szCs w:val="32"/>
          <w:lang w:val="en-US" w:eastAsia="zh-CN"/>
        </w:rPr>
        <w:t>1.75</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eastAsia="zh-CN"/>
        </w:rPr>
      </w:pPr>
      <w:r>
        <w:rPr>
          <w:rFonts w:hint="eastAsia" w:eastAsia="仿宋_GB2312" w:cs="仿宋_GB2312"/>
          <w:sz w:val="32"/>
          <w:szCs w:val="32"/>
          <w:lang w:val="en-US" w:eastAsia="zh-CN"/>
        </w:rPr>
        <w:t>8.住房公积金2210201：</w:t>
      </w:r>
      <w:r>
        <w:rPr>
          <w:rFonts w:hint="eastAsia" w:eastAsia="仿宋_GB2312" w:cs="仿宋_GB2312"/>
          <w:sz w:val="32"/>
          <w:szCs w:val="32"/>
        </w:rPr>
        <w:t>支出决算为</w:t>
      </w:r>
      <w:r>
        <w:rPr>
          <w:rFonts w:hint="eastAsia" w:eastAsia="仿宋_GB2312" w:cs="仿宋_GB2312"/>
          <w:sz w:val="32"/>
          <w:szCs w:val="32"/>
          <w:lang w:val="en-US" w:eastAsia="zh-CN"/>
        </w:rPr>
        <w:t>25.32</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pPr>
        <w:spacing w:line="600" w:lineRule="exact"/>
        <w:ind w:firstLine="640"/>
        <w:rPr>
          <w:rFonts w:hint="eastAsia" w:eastAsia="仿宋_GB2312" w:cs="仿宋_GB2312"/>
          <w:sz w:val="32"/>
          <w:szCs w:val="32"/>
          <w:lang w:val="en-US" w:eastAsia="zh-CN"/>
        </w:rPr>
      </w:pPr>
    </w:p>
    <w:p>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eastAsia="仿宋_GB2312" w:cs="仿宋_GB2312"/>
          <w:sz w:val="32"/>
          <w:szCs w:val="32"/>
        </w:rPr>
      </w:pPr>
    </w:p>
    <w:p>
      <w:pPr>
        <w:tabs>
          <w:tab w:val="right" w:pos="8306"/>
        </w:tabs>
        <w:spacing w:line="600" w:lineRule="exact"/>
        <w:ind w:firstLine="640"/>
        <w:outlineLvl w:val="1"/>
        <w:rPr>
          <w:rStyle w:val="30"/>
          <w:rFonts w:ascii="Times New Roman" w:hAnsi="Times New Roman"/>
        </w:rPr>
      </w:pPr>
      <w:bookmarkStart w:id="36" w:name="_Toc15377214"/>
      <w:bookmarkStart w:id="37" w:name="_Toc15396608"/>
      <w:r>
        <w:rPr>
          <w:rFonts w:hint="eastAsia" w:eastAsia="黑体"/>
          <w:sz w:val="32"/>
          <w:szCs w:val="32"/>
        </w:rPr>
        <w:t>六</w:t>
      </w:r>
      <w:r>
        <w:rPr>
          <w:rFonts w:hint="eastAsia" w:eastAsia="黑体"/>
          <w:b/>
          <w:sz w:val="32"/>
          <w:szCs w:val="32"/>
        </w:rPr>
        <w:t>、一</w:t>
      </w:r>
      <w:r>
        <w:rPr>
          <w:rStyle w:val="30"/>
          <w:rFonts w:hint="eastAsia" w:ascii="Times New Roman" w:hAnsi="Times New Roman" w:eastAsia="黑体"/>
          <w:b w:val="0"/>
        </w:rPr>
        <w:t>般公共预算财政拨款基本支出决算情况说明</w:t>
      </w:r>
      <w:bookmarkEnd w:id="36"/>
      <w:bookmarkEnd w:id="37"/>
      <w:r>
        <w:rPr>
          <w:rStyle w:val="30"/>
          <w:rFonts w:ascii="Times New Roman" w:hAnsi="Times New Roman" w:eastAsia="黑体"/>
          <w:b w:val="0"/>
        </w:rPr>
        <w:tab/>
      </w:r>
    </w:p>
    <w:p>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ascii="仿宋_GB2312" w:hAnsi="仿宋_GB2312" w:eastAsia="仿宋_GB2312" w:cs="仿宋_GB2312"/>
          <w:sz w:val="32"/>
          <w:szCs w:val="32"/>
        </w:rPr>
        <w:t>328.39</w:t>
      </w:r>
      <w:r>
        <w:rPr>
          <w:rFonts w:hint="eastAsia" w:eastAsia="仿宋_GB2312" w:cs="仿宋_GB2312"/>
          <w:sz w:val="32"/>
          <w:szCs w:val="32"/>
        </w:rPr>
        <w:t>万元，其中：</w:t>
      </w:r>
    </w:p>
    <w:p>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ascii="仿宋_GB2312" w:hAnsi="仿宋_GB2312" w:eastAsia="仿宋_GB2312" w:cs="仿宋_GB2312"/>
          <w:sz w:val="32"/>
          <w:szCs w:val="32"/>
        </w:rPr>
        <w:t>286.46</w:t>
      </w:r>
      <w:r>
        <w:rPr>
          <w:rFonts w:hint="eastAsia" w:eastAsia="仿宋_GB2312" w:cs="仿宋_GB2312"/>
          <w:sz w:val="32"/>
          <w:szCs w:val="32"/>
        </w:rPr>
        <w:t>万元，主要包括：基本工资</w:t>
      </w:r>
      <w:r>
        <w:rPr>
          <w:rFonts w:hint="eastAsia" w:eastAsia="仿宋_GB2312" w:cs="仿宋_GB2312"/>
          <w:sz w:val="32"/>
          <w:szCs w:val="32"/>
          <w:lang w:val="en-US" w:eastAsia="zh-CN"/>
        </w:rPr>
        <w:t>54.95万元</w:t>
      </w:r>
      <w:r>
        <w:rPr>
          <w:rFonts w:hint="eastAsia" w:eastAsia="仿宋_GB2312" w:cs="仿宋_GB2312"/>
          <w:sz w:val="32"/>
          <w:szCs w:val="32"/>
        </w:rPr>
        <w:t>、津贴补贴</w:t>
      </w:r>
      <w:r>
        <w:rPr>
          <w:rFonts w:hint="eastAsia" w:eastAsia="仿宋_GB2312" w:cs="仿宋_GB2312"/>
          <w:sz w:val="32"/>
          <w:szCs w:val="32"/>
          <w:lang w:val="en-US" w:eastAsia="zh-CN"/>
        </w:rPr>
        <w:t>91.96万元</w:t>
      </w:r>
      <w:r>
        <w:rPr>
          <w:rFonts w:hint="eastAsia" w:eastAsia="仿宋_GB2312" w:cs="仿宋_GB2312"/>
          <w:sz w:val="32"/>
          <w:szCs w:val="32"/>
        </w:rPr>
        <w:t>、奖金</w:t>
      </w:r>
      <w:r>
        <w:rPr>
          <w:rFonts w:hint="eastAsia" w:eastAsia="仿宋_GB2312" w:cs="仿宋_GB2312"/>
          <w:sz w:val="32"/>
          <w:szCs w:val="32"/>
          <w:lang w:val="en-US" w:eastAsia="zh-CN"/>
        </w:rPr>
        <w:t>55.59万元</w:t>
      </w:r>
      <w:r>
        <w:rPr>
          <w:rFonts w:hint="eastAsia" w:eastAsia="仿宋_GB2312" w:cs="仿宋_GB2312"/>
          <w:sz w:val="32"/>
          <w:szCs w:val="32"/>
        </w:rPr>
        <w:t>、机关事业单位基本养老保险缴费</w:t>
      </w:r>
      <w:r>
        <w:rPr>
          <w:rFonts w:hint="eastAsia" w:eastAsia="仿宋_GB2312" w:cs="仿宋_GB2312"/>
          <w:sz w:val="32"/>
          <w:szCs w:val="32"/>
          <w:lang w:val="en-US" w:eastAsia="zh-CN"/>
        </w:rPr>
        <w:t>29.14万元</w:t>
      </w:r>
      <w:r>
        <w:rPr>
          <w:rFonts w:hint="eastAsia" w:eastAsia="仿宋_GB2312" w:cs="仿宋_GB2312"/>
          <w:sz w:val="32"/>
          <w:szCs w:val="32"/>
        </w:rPr>
        <w:t>、职业年金缴费</w:t>
      </w:r>
      <w:r>
        <w:rPr>
          <w:rFonts w:hint="eastAsia" w:eastAsia="仿宋_GB2312" w:cs="仿宋_GB2312"/>
          <w:sz w:val="32"/>
          <w:szCs w:val="32"/>
          <w:lang w:val="en-US" w:eastAsia="zh-CN"/>
        </w:rPr>
        <w:t>13.08万元</w:t>
      </w:r>
      <w:r>
        <w:rPr>
          <w:rFonts w:hint="eastAsia" w:eastAsia="仿宋_GB2312" w:cs="仿宋_GB2312"/>
          <w:sz w:val="32"/>
          <w:szCs w:val="32"/>
        </w:rPr>
        <w:t>、职工基本医疗保险缴费</w:t>
      </w:r>
      <w:r>
        <w:rPr>
          <w:rFonts w:hint="eastAsia" w:eastAsia="仿宋_GB2312" w:cs="仿宋_GB2312"/>
          <w:sz w:val="32"/>
          <w:szCs w:val="32"/>
          <w:lang w:eastAsia="zh-CN"/>
        </w:rPr>
        <w:t>、</w:t>
      </w:r>
      <w:r>
        <w:rPr>
          <w:rFonts w:hint="eastAsia" w:eastAsia="仿宋_GB2312" w:cs="仿宋_GB2312"/>
          <w:sz w:val="32"/>
          <w:szCs w:val="32"/>
          <w:lang w:val="en-US" w:eastAsia="zh-CN"/>
        </w:rPr>
        <w:t>13.62万元、</w:t>
      </w:r>
      <w:r>
        <w:rPr>
          <w:rFonts w:hint="eastAsia" w:eastAsia="仿宋_GB2312" w:cs="仿宋_GB2312"/>
          <w:sz w:val="32"/>
          <w:szCs w:val="32"/>
        </w:rPr>
        <w:t>其他社会保障缴费</w:t>
      </w:r>
      <w:r>
        <w:rPr>
          <w:rFonts w:hint="eastAsia" w:eastAsia="仿宋_GB2312" w:cs="仿宋_GB2312"/>
          <w:sz w:val="32"/>
          <w:szCs w:val="32"/>
          <w:lang w:val="en-US" w:eastAsia="zh-CN"/>
        </w:rPr>
        <w:t>0.3万元</w:t>
      </w:r>
      <w:r>
        <w:rPr>
          <w:rFonts w:hint="eastAsia" w:eastAsia="仿宋_GB2312" w:cs="仿宋_GB2312"/>
          <w:sz w:val="32"/>
          <w:szCs w:val="32"/>
        </w:rPr>
        <w:t>、其他工资福利支出</w:t>
      </w:r>
      <w:r>
        <w:rPr>
          <w:rFonts w:hint="eastAsia" w:eastAsia="仿宋_GB2312" w:cs="仿宋_GB2312"/>
          <w:sz w:val="32"/>
          <w:szCs w:val="32"/>
          <w:lang w:val="en-US" w:eastAsia="zh-CN"/>
        </w:rPr>
        <w:t>万元</w:t>
      </w:r>
      <w:r>
        <w:rPr>
          <w:rFonts w:hint="eastAsia" w:eastAsia="仿宋_GB2312" w:cs="仿宋_GB2312"/>
          <w:sz w:val="32"/>
          <w:szCs w:val="32"/>
        </w:rPr>
        <w:t>、离休费、退休费、抚恤金、生活补助、医疗费补助</w:t>
      </w:r>
      <w:r>
        <w:rPr>
          <w:rFonts w:hint="eastAsia" w:eastAsia="仿宋_GB2312" w:cs="仿宋_GB2312"/>
          <w:sz w:val="32"/>
          <w:szCs w:val="32"/>
          <w:lang w:val="en-US" w:eastAsia="zh-CN"/>
        </w:rPr>
        <w:t>1.75万元</w:t>
      </w:r>
      <w:r>
        <w:rPr>
          <w:rFonts w:hint="eastAsia" w:eastAsia="仿宋_GB2312" w:cs="仿宋_GB2312"/>
          <w:sz w:val="32"/>
          <w:szCs w:val="32"/>
        </w:rPr>
        <w:t>、奖励金、住房公积金</w:t>
      </w:r>
      <w:r>
        <w:rPr>
          <w:rFonts w:hint="eastAsia" w:eastAsia="仿宋_GB2312" w:cs="仿宋_GB2312"/>
          <w:sz w:val="32"/>
          <w:szCs w:val="32"/>
          <w:lang w:val="en-US" w:eastAsia="zh-CN"/>
        </w:rPr>
        <w:t>25.32万元</w:t>
      </w:r>
      <w:r>
        <w:rPr>
          <w:rFonts w:hint="eastAsia" w:eastAsia="仿宋_GB2312" w:cs="仿宋_GB2312"/>
          <w:sz w:val="32"/>
          <w:szCs w:val="32"/>
        </w:rPr>
        <w:t>、</w:t>
      </w:r>
      <w:r>
        <w:rPr>
          <w:rFonts w:hint="eastAsia" w:eastAsia="仿宋_GB2312" w:cs="仿宋_GB2312"/>
          <w:sz w:val="32"/>
          <w:szCs w:val="32"/>
          <w:lang w:eastAsia="zh-CN"/>
        </w:rPr>
        <w:t>医疗费</w:t>
      </w:r>
      <w:r>
        <w:rPr>
          <w:rFonts w:hint="eastAsia" w:eastAsia="仿宋_GB2312" w:cs="仿宋_GB2312"/>
          <w:sz w:val="32"/>
          <w:szCs w:val="32"/>
          <w:lang w:val="en-US" w:eastAsia="zh-CN"/>
        </w:rPr>
        <w:t>0.76万元</w:t>
      </w:r>
      <w:r>
        <w:rPr>
          <w:rFonts w:hint="eastAsia" w:eastAsia="仿宋_GB2312" w:cs="仿宋_GB2312"/>
          <w:sz w:val="32"/>
          <w:szCs w:val="32"/>
        </w:rPr>
        <w:t>其他对个人和家庭的补助支出等。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ascii="仿宋_GB2312" w:hAnsi="仿宋_GB2312" w:eastAsia="仿宋_GB2312" w:cs="仿宋_GB2312"/>
          <w:sz w:val="32"/>
          <w:szCs w:val="32"/>
          <w:lang w:val="en-US" w:eastAsia="zh-CN"/>
        </w:rPr>
        <w:t>49.28</w:t>
      </w:r>
      <w:r>
        <w:rPr>
          <w:rFonts w:hint="eastAsia" w:eastAsia="仿宋_GB2312" w:cs="仿宋_GB2312"/>
          <w:sz w:val="32"/>
          <w:szCs w:val="32"/>
        </w:rPr>
        <w:t>万元，主要包括：办公费</w:t>
      </w:r>
      <w:r>
        <w:rPr>
          <w:rFonts w:hint="eastAsia" w:eastAsia="仿宋_GB2312" w:cs="仿宋_GB2312"/>
          <w:sz w:val="32"/>
          <w:szCs w:val="32"/>
          <w:lang w:val="en-US" w:eastAsia="zh-CN"/>
        </w:rPr>
        <w:t>22.44万元</w:t>
      </w:r>
      <w:r>
        <w:rPr>
          <w:rFonts w:hint="eastAsia" w:eastAsia="仿宋_GB2312" w:cs="仿宋_GB2312"/>
          <w:sz w:val="32"/>
          <w:szCs w:val="32"/>
        </w:rPr>
        <w:t>、印刷费</w:t>
      </w:r>
      <w:r>
        <w:rPr>
          <w:rFonts w:hint="eastAsia" w:eastAsia="仿宋_GB2312" w:cs="仿宋_GB2312"/>
          <w:sz w:val="32"/>
          <w:szCs w:val="32"/>
          <w:lang w:val="en-US" w:eastAsia="zh-CN"/>
        </w:rPr>
        <w:t>5.15万元</w:t>
      </w:r>
      <w:r>
        <w:rPr>
          <w:rFonts w:hint="eastAsia" w:eastAsia="仿宋_GB2312" w:cs="仿宋_GB2312"/>
          <w:sz w:val="32"/>
          <w:szCs w:val="32"/>
        </w:rPr>
        <w:t>、水费</w:t>
      </w:r>
      <w:r>
        <w:rPr>
          <w:rFonts w:hint="eastAsia" w:eastAsia="仿宋_GB2312" w:cs="仿宋_GB2312"/>
          <w:sz w:val="32"/>
          <w:szCs w:val="32"/>
          <w:lang w:val="en-US" w:eastAsia="zh-CN"/>
        </w:rPr>
        <w:t>0.05万元</w:t>
      </w:r>
      <w:r>
        <w:rPr>
          <w:rFonts w:hint="eastAsia" w:eastAsia="仿宋_GB2312" w:cs="仿宋_GB2312"/>
          <w:sz w:val="32"/>
          <w:szCs w:val="32"/>
        </w:rPr>
        <w:t>、电费</w:t>
      </w:r>
      <w:r>
        <w:rPr>
          <w:rFonts w:hint="eastAsia" w:eastAsia="仿宋_GB2312" w:cs="仿宋_GB2312"/>
          <w:sz w:val="32"/>
          <w:szCs w:val="32"/>
          <w:lang w:val="en-US" w:eastAsia="zh-CN"/>
        </w:rPr>
        <w:t>3.2万元</w:t>
      </w:r>
      <w:r>
        <w:rPr>
          <w:rFonts w:hint="eastAsia" w:eastAsia="仿宋_GB2312" w:cs="仿宋_GB2312"/>
          <w:sz w:val="32"/>
          <w:szCs w:val="32"/>
        </w:rPr>
        <w:t>、邮电费</w:t>
      </w:r>
      <w:r>
        <w:rPr>
          <w:rFonts w:hint="eastAsia" w:eastAsia="仿宋_GB2312" w:cs="仿宋_GB2312"/>
          <w:sz w:val="32"/>
          <w:szCs w:val="32"/>
          <w:lang w:val="en-US" w:eastAsia="zh-CN"/>
        </w:rPr>
        <w:t>2.15万元</w:t>
      </w:r>
      <w:r>
        <w:rPr>
          <w:rFonts w:hint="eastAsia" w:eastAsia="仿宋_GB2312" w:cs="仿宋_GB2312"/>
          <w:sz w:val="32"/>
          <w:szCs w:val="32"/>
        </w:rPr>
        <w:t>、差旅费</w:t>
      </w:r>
      <w:r>
        <w:rPr>
          <w:rFonts w:hint="eastAsia" w:eastAsia="仿宋_GB2312" w:cs="仿宋_GB2312"/>
          <w:sz w:val="32"/>
          <w:szCs w:val="32"/>
          <w:lang w:val="en-US" w:eastAsia="zh-CN"/>
        </w:rPr>
        <w:t>1.16万元</w:t>
      </w:r>
      <w:r>
        <w:rPr>
          <w:rFonts w:hint="eastAsia" w:eastAsia="仿宋_GB2312" w:cs="仿宋_GB2312"/>
          <w:sz w:val="32"/>
          <w:szCs w:val="32"/>
        </w:rPr>
        <w:t>、劳务费</w:t>
      </w:r>
      <w:r>
        <w:rPr>
          <w:rFonts w:hint="eastAsia" w:eastAsia="仿宋_GB2312" w:cs="仿宋_GB2312"/>
          <w:sz w:val="32"/>
          <w:szCs w:val="32"/>
          <w:lang w:val="en-US" w:eastAsia="zh-CN"/>
        </w:rPr>
        <w:t>3.03万元</w:t>
      </w:r>
      <w:r>
        <w:rPr>
          <w:rFonts w:hint="eastAsia" w:eastAsia="仿宋_GB2312" w:cs="仿宋_GB2312"/>
          <w:sz w:val="32"/>
          <w:szCs w:val="32"/>
        </w:rPr>
        <w:t>、委托业务费</w:t>
      </w:r>
      <w:r>
        <w:rPr>
          <w:rFonts w:hint="eastAsia" w:eastAsia="仿宋_GB2312" w:cs="仿宋_GB2312"/>
          <w:sz w:val="32"/>
          <w:szCs w:val="32"/>
          <w:lang w:val="en-US" w:eastAsia="zh-CN"/>
        </w:rPr>
        <w:t>0.3万元</w:t>
      </w:r>
      <w:r>
        <w:rPr>
          <w:rFonts w:hint="eastAsia" w:eastAsia="仿宋_GB2312" w:cs="仿宋_GB2312"/>
          <w:sz w:val="32"/>
          <w:szCs w:val="32"/>
        </w:rPr>
        <w:t>、工会经费</w:t>
      </w:r>
      <w:r>
        <w:rPr>
          <w:rFonts w:hint="eastAsia" w:eastAsia="仿宋_GB2312" w:cs="仿宋_GB2312"/>
          <w:sz w:val="32"/>
          <w:szCs w:val="32"/>
          <w:lang w:val="en-US" w:eastAsia="zh-CN"/>
        </w:rPr>
        <w:t>2.23万元</w:t>
      </w:r>
      <w:r>
        <w:rPr>
          <w:rFonts w:hint="eastAsia" w:eastAsia="仿宋_GB2312" w:cs="仿宋_GB2312"/>
          <w:sz w:val="32"/>
          <w:szCs w:val="32"/>
        </w:rPr>
        <w:t>、福利费</w:t>
      </w:r>
      <w:r>
        <w:rPr>
          <w:rFonts w:hint="eastAsia" w:eastAsia="仿宋_GB2312" w:cs="仿宋_GB2312"/>
          <w:sz w:val="32"/>
          <w:szCs w:val="32"/>
          <w:lang w:val="en-US" w:eastAsia="zh-CN"/>
        </w:rPr>
        <w:t>4.09万元</w:t>
      </w:r>
      <w:r>
        <w:rPr>
          <w:rFonts w:hint="eastAsia" w:eastAsia="仿宋_GB2312" w:cs="仿宋_GB2312"/>
          <w:sz w:val="32"/>
          <w:szCs w:val="32"/>
        </w:rPr>
        <w:t>、公务用车运行维护费</w:t>
      </w:r>
      <w:r>
        <w:rPr>
          <w:rFonts w:hint="eastAsia" w:eastAsia="仿宋_GB2312" w:cs="仿宋_GB2312"/>
          <w:sz w:val="32"/>
          <w:szCs w:val="32"/>
          <w:lang w:val="en-US" w:eastAsia="zh-CN"/>
        </w:rPr>
        <w:t>2.89万元</w:t>
      </w:r>
      <w:r>
        <w:rPr>
          <w:rFonts w:hint="eastAsia" w:eastAsia="仿宋_GB2312" w:cs="仿宋_GB2312"/>
          <w:sz w:val="32"/>
          <w:szCs w:val="32"/>
        </w:rPr>
        <w:t>、其他商品和服务支出</w:t>
      </w:r>
      <w:r>
        <w:rPr>
          <w:rFonts w:hint="eastAsia" w:eastAsia="仿宋_GB2312" w:cs="仿宋_GB2312"/>
          <w:sz w:val="32"/>
          <w:szCs w:val="32"/>
          <w:lang w:val="en-US" w:eastAsia="zh-CN"/>
        </w:rPr>
        <w:t>2.59万元</w:t>
      </w:r>
      <w:r>
        <w:rPr>
          <w:rFonts w:hint="eastAsia" w:eastAsia="仿宋_GB2312" w:cs="仿宋_GB2312"/>
          <w:sz w:val="32"/>
          <w:szCs w:val="32"/>
        </w:rPr>
        <w:t>。</w:t>
      </w:r>
    </w:p>
    <w:p>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（注：仅罗列本部门实际支出涉及的经济分类科目）</w:t>
      </w:r>
    </w:p>
    <w:p>
      <w:pPr>
        <w:spacing w:line="600" w:lineRule="exact"/>
        <w:ind w:firstLine="640"/>
        <w:rPr>
          <w:rFonts w:eastAsia="仿宋_GB2312" w:cs="仿宋_GB2312"/>
          <w:sz w:val="32"/>
          <w:szCs w:val="32"/>
        </w:rPr>
      </w:pPr>
    </w:p>
    <w:p>
      <w:pPr>
        <w:spacing w:line="600" w:lineRule="exact"/>
        <w:ind w:firstLine="640"/>
        <w:outlineLvl w:val="1"/>
        <w:rPr>
          <w:rStyle w:val="30"/>
          <w:rFonts w:ascii="Times New Roman" w:hAnsi="Times New Roman" w:eastAsia="黑体"/>
          <w:b w:val="0"/>
        </w:rPr>
      </w:pPr>
      <w:bookmarkStart w:id="38" w:name="_Toc15396609"/>
      <w:bookmarkStart w:id="39" w:name="_Toc15377215"/>
      <w:r>
        <w:rPr>
          <w:rFonts w:hint="eastAsia" w:eastAsia="黑体"/>
          <w:sz w:val="32"/>
          <w:szCs w:val="32"/>
        </w:rPr>
        <w:t>七、</w:t>
      </w:r>
      <w:r>
        <w:rPr>
          <w:rStyle w:val="30"/>
          <w:rFonts w:hint="eastAsia" w:ascii="Times New Roman" w:hAnsi="Times New Roman" w:eastAsia="黑体"/>
          <w:b w:val="0"/>
        </w:rPr>
        <w:t>财政拨款</w:t>
      </w:r>
      <w:r>
        <w:rPr>
          <w:rStyle w:val="30"/>
          <w:rFonts w:hint="eastAsia" w:ascii="Times New Roman" w:hAnsi="Times New Roman" w:eastAsia="黑体"/>
        </w:rPr>
        <w:t>“</w:t>
      </w:r>
      <w:r>
        <w:rPr>
          <w:rStyle w:val="30"/>
          <w:rFonts w:hint="eastAsia" w:ascii="Times New Roman" w:hAnsi="Times New Roman" w:eastAsia="黑体"/>
          <w:b w:val="0"/>
        </w:rPr>
        <w:t>三公”经费支出决算情况说明</w:t>
      </w:r>
      <w:bookmarkEnd w:id="38"/>
      <w:bookmarkEnd w:id="39"/>
    </w:p>
    <w:p>
      <w:pPr>
        <w:spacing w:line="600" w:lineRule="exact"/>
        <w:ind w:firstLine="643" w:firstLineChars="200"/>
        <w:outlineLvl w:val="2"/>
        <w:rPr>
          <w:rFonts w:eastAsia="楷体_GB2312" w:cs="楷体_GB2312"/>
          <w:b/>
          <w:sz w:val="32"/>
          <w:szCs w:val="32"/>
        </w:rPr>
      </w:pPr>
      <w:bookmarkStart w:id="40" w:name="_Toc15377216"/>
      <w:r>
        <w:rPr>
          <w:rFonts w:hint="eastAsia" w:eastAsia="楷体_GB2312" w:cs="楷体_GB2312"/>
          <w:b/>
          <w:sz w:val="32"/>
          <w:szCs w:val="32"/>
        </w:rPr>
        <w:t>（一）财政拨款“三公”经费支出决算总体情况说明</w:t>
      </w:r>
      <w:bookmarkEnd w:id="40"/>
    </w:p>
    <w:p>
      <w:pPr>
        <w:spacing w:line="600" w:lineRule="exact"/>
        <w:ind w:firstLine="640"/>
        <w:rPr>
          <w:rFonts w:eastAsia="仿宋_GB2312" w:cs="仿宋_GB2312"/>
          <w:sz w:val="32"/>
          <w:szCs w:val="32"/>
        </w:rPr>
      </w:pPr>
      <w:r>
        <w:rPr>
          <w:rFonts w:hint="eastAsia" w:eastAsia="仿宋_GB2312" w:cs="仿宋_GB2312"/>
          <w:sz w:val="32"/>
          <w:szCs w:val="32"/>
        </w:rPr>
        <w:t>2025年度财政拨款“三公”经费支出决算为</w:t>
      </w:r>
      <w:r>
        <w:rPr>
          <w:rFonts w:hint="eastAsia" w:ascii="仿宋_GB2312" w:hAnsi="仿宋_GB2312" w:eastAsia="仿宋_GB2312" w:cs="仿宋_GB2312"/>
          <w:sz w:val="32"/>
          <w:szCs w:val="32"/>
        </w:rPr>
        <w:t>2.89</w:t>
      </w:r>
      <w:r>
        <w:rPr>
          <w:rFonts w:hint="eastAsia" w:eastAsia="仿宋_GB2312" w:cs="仿宋_GB2312"/>
          <w:sz w:val="32"/>
          <w:szCs w:val="32"/>
        </w:rPr>
        <w:t>万元，完成预算</w:t>
      </w:r>
      <w:r>
        <w:rPr>
          <w:rFonts w:hint="eastAsia" w:ascii="仿宋_GB2312" w:hAnsi="仿宋_GB2312" w:eastAsia="仿宋_GB2312" w:cs="仿宋_GB2312"/>
          <w:sz w:val="32"/>
          <w:szCs w:val="32"/>
        </w:rPr>
        <w:t>84.92</w:t>
      </w:r>
      <w:r>
        <w:rPr>
          <w:rFonts w:hint="eastAsia" w:eastAsia="仿宋_GB2312" w:cs="仿宋_GB2312"/>
          <w:sz w:val="32"/>
          <w:szCs w:val="32"/>
        </w:rPr>
        <w:t>%，较上年度增加</w:t>
      </w:r>
      <w:r>
        <w:rPr>
          <w:rFonts w:hint="eastAsia" w:eastAsia="仿宋_GB2312" w:cs="仿宋_GB2312"/>
          <w:sz w:val="32"/>
          <w:szCs w:val="32"/>
          <w:lang w:val="en-US" w:eastAsia="zh-CN"/>
        </w:rPr>
        <w:t>0.4</w:t>
      </w:r>
      <w:r>
        <w:rPr>
          <w:rFonts w:hint="eastAsia" w:eastAsia="仿宋_GB2312" w:cs="仿宋_GB2312"/>
          <w:sz w:val="32"/>
          <w:szCs w:val="32"/>
        </w:rPr>
        <w:t>万元，增长</w:t>
      </w:r>
      <w:r>
        <w:rPr>
          <w:rFonts w:hint="eastAsia" w:eastAsia="仿宋_GB2312" w:cs="仿宋_GB2312"/>
          <w:sz w:val="32"/>
          <w:szCs w:val="32"/>
          <w:lang w:val="en-US" w:eastAsia="zh-CN"/>
        </w:rPr>
        <w:t>13.84</w:t>
      </w:r>
      <w:r>
        <w:rPr>
          <w:rFonts w:hint="eastAsia" w:eastAsia="仿宋_GB2312" w:cs="仿宋_GB2312"/>
          <w:sz w:val="32"/>
          <w:szCs w:val="32"/>
        </w:rPr>
        <w:t>%。决算数小于预算数</w:t>
      </w:r>
      <w:r>
        <w:rPr>
          <w:rFonts w:hint="eastAsia" w:eastAsia="仿宋_GB2312" w:cs="仿宋_GB2312"/>
          <w:sz w:val="32"/>
          <w:szCs w:val="32"/>
          <w:lang w:eastAsia="zh-CN"/>
        </w:rPr>
        <w:t>。</w:t>
      </w:r>
      <w:r>
        <w:rPr>
          <w:rFonts w:hint="eastAsia" w:eastAsia="仿宋_GB2312" w:cs="仿宋_GB2312"/>
          <w:sz w:val="32"/>
          <w:szCs w:val="32"/>
        </w:rPr>
        <w:t>的主要原因是</w:t>
      </w:r>
      <w:r>
        <w:rPr>
          <w:rFonts w:hint="eastAsia" w:eastAsia="仿宋_GB2312" w:cs="仿宋_GB2312"/>
          <w:sz w:val="32"/>
          <w:szCs w:val="32"/>
          <w:lang w:eastAsia="zh-CN"/>
        </w:rPr>
        <w:t>厉行节约。</w:t>
      </w:r>
    </w:p>
    <w:p>
      <w:pPr>
        <w:spacing w:line="600" w:lineRule="exact"/>
        <w:ind w:firstLine="640"/>
        <w:rPr>
          <w:rFonts w:eastAsia="仿宋_GB2312" w:cs="仿宋_GB2312"/>
          <w:b/>
          <w:bCs/>
          <w:sz w:val="32"/>
          <w:szCs w:val="32"/>
        </w:rPr>
      </w:pPr>
      <w:r>
        <w:rPr>
          <w:rFonts w:hint="eastAsia" w:eastAsia="仿宋_GB2312" w:cs="仿宋_GB2312"/>
          <w:b/>
          <w:bCs/>
          <w:sz w:val="32"/>
          <w:szCs w:val="32"/>
        </w:rPr>
        <w:t>（注：上述“预算”口径为全年预算数，包括一般公共预算和政府性基金预算财政拨款支出决算情况，与预算数持平可以不写原因）</w:t>
      </w:r>
    </w:p>
    <w:p>
      <w:pPr>
        <w:spacing w:line="600" w:lineRule="exact"/>
        <w:ind w:firstLine="643" w:firstLineChars="200"/>
        <w:outlineLvl w:val="2"/>
        <w:rPr>
          <w:rFonts w:eastAsia="楷体_GB2312" w:cs="楷体_GB2312"/>
          <w:b/>
          <w:sz w:val="32"/>
          <w:szCs w:val="32"/>
        </w:rPr>
      </w:pPr>
      <w:bookmarkStart w:id="41" w:name="_Toc15377217"/>
      <w:r>
        <w:rPr>
          <w:rFonts w:hint="eastAsia" w:eastAsia="楷体_GB2312" w:cs="楷体_GB2312"/>
          <w:b/>
          <w:sz w:val="32"/>
          <w:szCs w:val="32"/>
        </w:rPr>
        <w:t>（二）财政拨款“三公”经费支出决算具体情况说明</w:t>
      </w:r>
      <w:bookmarkEnd w:id="41"/>
    </w:p>
    <w:p>
      <w:pPr>
        <w:spacing w:line="600" w:lineRule="exact"/>
        <w:ind w:firstLine="640"/>
        <w:rPr>
          <w:rFonts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ascii="仿宋_GB2312" w:hAnsi="仿宋_GB2312" w:eastAsia="仿宋_GB2312" w:cs="仿宋_GB2312"/>
          <w:sz w:val="32"/>
          <w:szCs w:val="32"/>
        </w:rPr>
        <w:t>0</w:t>
      </w:r>
      <w:r>
        <w:rPr>
          <w:rFonts w:hint="eastAsia" w:eastAsia="仿宋_GB2312" w:cs="仿宋_GB2312"/>
          <w:sz w:val="32"/>
          <w:szCs w:val="32"/>
        </w:rPr>
        <w:t>万元；公务用车购置及运行维护费支出决算</w:t>
      </w:r>
      <w:r>
        <w:rPr>
          <w:rFonts w:hint="eastAsia" w:ascii="仿宋_GB2312" w:hAnsi="仿宋_GB2312" w:eastAsia="仿宋_GB2312" w:cs="仿宋_GB2312"/>
          <w:sz w:val="32"/>
          <w:szCs w:val="32"/>
        </w:rPr>
        <w:t>2.89</w:t>
      </w:r>
      <w:r>
        <w:rPr>
          <w:rFonts w:hint="eastAsia" w:eastAsia="仿宋_GB2312" w:cs="仿宋_GB2312"/>
          <w:sz w:val="32"/>
          <w:szCs w:val="32"/>
        </w:rPr>
        <w:t>万元，占</w:t>
      </w:r>
      <w:r>
        <w:rPr>
          <w:rFonts w:hint="eastAsia" w:eastAsia="仿宋_GB2312" w:cs="仿宋_GB2312"/>
          <w:sz w:val="32"/>
          <w:szCs w:val="32"/>
          <w:lang w:val="en-US" w:eastAsia="zh-CN"/>
        </w:rPr>
        <w:t>100</w:t>
      </w:r>
      <w:r>
        <w:rPr>
          <w:rFonts w:hint="eastAsia" w:eastAsia="仿宋_GB2312" w:cs="仿宋_GB2312"/>
          <w:sz w:val="32"/>
          <w:szCs w:val="32"/>
        </w:rPr>
        <w:t>%；公务接待费支出决算</w:t>
      </w:r>
      <w:r>
        <w:rPr>
          <w:rFonts w:hint="eastAsia" w:ascii="仿宋_GB2312" w:hAnsi="仿宋_GB2312" w:eastAsia="仿宋_GB2312" w:cs="仿宋_GB2312"/>
          <w:sz w:val="32"/>
          <w:szCs w:val="32"/>
        </w:rPr>
        <w:t>0</w:t>
      </w:r>
      <w:r>
        <w:rPr>
          <w:rFonts w:hint="eastAsia" w:eastAsia="仿宋_GB2312" w:cs="仿宋_GB2312"/>
          <w:sz w:val="32"/>
          <w:szCs w:val="32"/>
        </w:rPr>
        <w:t>万元。具体情况如下：</w:t>
      </w:r>
    </w:p>
    <w:p>
      <w:pPr>
        <w:spacing w:line="600" w:lineRule="exact"/>
        <w:ind w:firstLine="640"/>
        <w:rPr>
          <w:rFonts w:eastAsia="仿宋_GB2312" w:cs="仿宋_GB2312"/>
          <w:sz w:val="32"/>
          <w:szCs w:val="32"/>
        </w:rPr>
      </w:pPr>
      <w:r>
        <w:rPr>
          <w:rFonts w:hint="eastAsia" w:eastAsia="仿宋_GB2312" w:cs="仿宋_GB2312"/>
          <w:sz w:val="32"/>
          <w:szCs w:val="32"/>
        </w:rPr>
        <w:t>（图7：财政拨款“三公”经费支出结构）（饼状图）</w:t>
      </w:r>
    </w:p>
    <w:p>
      <w:pPr>
        <w:spacing w:line="600" w:lineRule="exact"/>
        <w:ind w:firstLine="640"/>
        <w:rPr>
          <w:rFonts w:eastAsia="仿宋_GB2312" w:cs="仿宋_GB2312"/>
          <w:sz w:val="32"/>
          <w:szCs w:val="32"/>
        </w:rPr>
      </w:pPr>
      <w:r>
        <w:rPr>
          <w:rFonts w:hint="eastAsia" w:eastAsia="仿宋_GB2312" w:cs="仿宋_GB2312"/>
          <w:b/>
          <w:bCs/>
          <w:sz w:val="32"/>
          <w:szCs w:val="32"/>
        </w:rPr>
        <w:t>1.公务用车购置及运行维护费支出</w:t>
      </w:r>
      <w:r>
        <w:rPr>
          <w:rFonts w:hint="eastAsia" w:ascii="仿宋_GB2312" w:hAnsi="仿宋_GB2312" w:eastAsia="仿宋_GB2312" w:cs="仿宋_GB2312"/>
          <w:b/>
          <w:bCs/>
          <w:sz w:val="32"/>
          <w:szCs w:val="32"/>
        </w:rPr>
        <w:t>2.89</w:t>
      </w:r>
      <w:r>
        <w:rPr>
          <w:rFonts w:hint="eastAsia" w:eastAsia="仿宋_GB2312" w:cs="仿宋_GB2312"/>
          <w:b/>
          <w:bCs/>
          <w:sz w:val="32"/>
          <w:szCs w:val="32"/>
        </w:rPr>
        <w:t>万元，完成预算**%。</w:t>
      </w:r>
      <w:r>
        <w:rPr>
          <w:rFonts w:hint="eastAsia" w:eastAsia="仿宋_GB2312" w:cs="仿宋_GB2312"/>
          <w:sz w:val="32"/>
          <w:szCs w:val="32"/>
        </w:rPr>
        <w:t>公务用车购置及运行维护费支出决算比上年度增加/减少**万元，增长/下降**%。主要原因是……</w:t>
      </w:r>
    </w:p>
    <w:p>
      <w:pPr>
        <w:spacing w:line="600" w:lineRule="exact"/>
        <w:ind w:firstLine="640"/>
        <w:rPr>
          <w:rFonts w:eastAsia="仿宋_GB2312" w:cs="仿宋_GB2312"/>
          <w:sz w:val="32"/>
          <w:szCs w:val="32"/>
        </w:rPr>
      </w:pPr>
      <w:r>
        <w:rPr>
          <w:rFonts w:hint="eastAsia" w:eastAsia="仿宋_GB2312" w:cs="仿宋_GB2312"/>
          <w:sz w:val="32"/>
          <w:szCs w:val="32"/>
        </w:rPr>
        <w:t>其中：公务用车购置支出</w:t>
      </w:r>
      <w:r>
        <w:rPr>
          <w:rFonts w:hint="eastAsia" w:ascii="仿宋_GB2312" w:hAnsi="仿宋_GB2312" w:eastAsia="仿宋_GB2312" w:cs="仿宋_GB2312"/>
          <w:sz w:val="32"/>
          <w:szCs w:val="32"/>
        </w:rPr>
        <w:t>0</w:t>
      </w:r>
      <w:r>
        <w:rPr>
          <w:rFonts w:hint="eastAsia" w:eastAsia="仿宋_GB2312" w:cs="仿宋_GB2312"/>
          <w:sz w:val="32"/>
          <w:szCs w:val="32"/>
        </w:rPr>
        <w:t>万元。全年按规定更新购置公务用车</w:t>
      </w:r>
      <w:r>
        <w:rPr>
          <w:rFonts w:hint="eastAsia" w:eastAsia="仿宋_GB2312" w:cs="仿宋_GB2312"/>
          <w:sz w:val="32"/>
          <w:szCs w:val="32"/>
          <w:lang w:val="en-US" w:eastAsia="zh-CN"/>
        </w:rPr>
        <w:t>0</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万元，越野车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万元，载客汽车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w:t>
      </w:r>
      <w:r>
        <w:rPr>
          <w:rFonts w:hint="eastAsia" w:eastAsia="仿宋_GB2312" w:cs="仿宋_GB2312"/>
          <w:sz w:val="32"/>
          <w:szCs w:val="32"/>
          <w:lang w:val="en-US" w:eastAsia="zh-CN"/>
        </w:rPr>
        <w:t>0</w:t>
      </w:r>
      <w:r>
        <w:rPr>
          <w:rFonts w:hint="eastAsia" w:eastAsia="仿宋_GB2312" w:cs="仿宋_GB2312"/>
          <w:sz w:val="32"/>
          <w:szCs w:val="32"/>
        </w:rPr>
        <w:t>。截至2025年12月31日，单位共有公务用车</w:t>
      </w:r>
      <w:r>
        <w:rPr>
          <w:rFonts w:hint="eastAsia" w:eastAsia="仿宋_GB2312" w:cs="仿宋_GB2312"/>
          <w:sz w:val="32"/>
          <w:szCs w:val="32"/>
          <w:lang w:val="en-US" w:eastAsia="zh-CN"/>
        </w:rPr>
        <w:t>1</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辆、越野车</w:t>
      </w:r>
      <w:r>
        <w:rPr>
          <w:rFonts w:hint="eastAsia" w:eastAsia="仿宋_GB2312" w:cs="仿宋_GB2312"/>
          <w:sz w:val="32"/>
          <w:szCs w:val="32"/>
          <w:lang w:val="en-US" w:eastAsia="zh-CN"/>
        </w:rPr>
        <w:t>1</w:t>
      </w:r>
      <w:r>
        <w:rPr>
          <w:rFonts w:hint="eastAsia" w:eastAsia="仿宋_GB2312" w:cs="仿宋_GB2312"/>
          <w:sz w:val="32"/>
          <w:szCs w:val="32"/>
        </w:rPr>
        <w:t>辆、载客汽车</w:t>
      </w:r>
      <w:r>
        <w:rPr>
          <w:rFonts w:hint="eastAsia" w:eastAsia="仿宋_GB2312" w:cs="仿宋_GB2312"/>
          <w:sz w:val="32"/>
          <w:szCs w:val="32"/>
          <w:lang w:val="en-US" w:eastAsia="zh-CN"/>
        </w:rPr>
        <w:t>0</w:t>
      </w:r>
      <w:r>
        <w:rPr>
          <w:rFonts w:hint="eastAsia" w:eastAsia="仿宋_GB2312" w:cs="仿宋_GB2312"/>
          <w:sz w:val="32"/>
          <w:szCs w:val="32"/>
        </w:rPr>
        <w:t>辆。</w:t>
      </w:r>
    </w:p>
    <w:p>
      <w:pPr>
        <w:spacing w:line="600" w:lineRule="exact"/>
        <w:ind w:firstLine="640"/>
        <w:rPr>
          <w:rFonts w:eastAsia="仿宋_GB2312" w:cs="仿宋_GB2312"/>
          <w:sz w:val="32"/>
          <w:szCs w:val="32"/>
        </w:rPr>
      </w:pPr>
      <w:r>
        <w:rPr>
          <w:rFonts w:hint="eastAsia" w:eastAsia="仿宋_GB2312" w:cs="仿宋_GB2312"/>
          <w:sz w:val="32"/>
          <w:szCs w:val="32"/>
        </w:rPr>
        <w:t>公务用车运行维护费支出</w:t>
      </w:r>
      <w:r>
        <w:rPr>
          <w:rFonts w:hint="eastAsia" w:ascii="仿宋_GB2312" w:hAnsi="仿宋_GB2312" w:eastAsia="仿宋_GB2312" w:cs="仿宋_GB2312"/>
          <w:sz w:val="32"/>
          <w:szCs w:val="32"/>
        </w:rPr>
        <w:t>2.89</w:t>
      </w:r>
      <w:r>
        <w:rPr>
          <w:rFonts w:hint="eastAsia" w:eastAsia="仿宋_GB2312" w:cs="仿宋_GB2312"/>
          <w:sz w:val="32"/>
          <w:szCs w:val="32"/>
        </w:rPr>
        <w:t>万元。主要用于</w:t>
      </w:r>
      <w:r>
        <w:rPr>
          <w:rFonts w:hint="eastAsia" w:eastAsia="仿宋_GB2312" w:cs="仿宋_GB2312"/>
          <w:sz w:val="32"/>
          <w:szCs w:val="32"/>
          <w:lang w:eastAsia="zh-CN"/>
        </w:rPr>
        <w:t>寺管工作</w:t>
      </w:r>
      <w:r>
        <w:rPr>
          <w:rFonts w:hint="eastAsia" w:eastAsia="仿宋_GB2312" w:cs="仿宋_GB2312"/>
          <w:sz w:val="32"/>
          <w:szCs w:val="32"/>
        </w:rPr>
        <w:t>所需的公务用车燃料费、维修费、过路过桥费、保险费等支出。</w:t>
      </w:r>
    </w:p>
    <w:p>
      <w:pPr>
        <w:spacing w:line="600" w:lineRule="exact"/>
        <w:ind w:firstLine="640"/>
        <w:rPr>
          <w:rFonts w:eastAsia="仿宋_GB2312" w:cs="仿宋_GB2312"/>
          <w:sz w:val="32"/>
          <w:szCs w:val="32"/>
        </w:rPr>
      </w:pPr>
      <w:bookmarkStart w:id="42" w:name="_Toc15377218"/>
      <w:bookmarkStart w:id="43" w:name="_Toc15396610"/>
    </w:p>
    <w:p>
      <w:pPr>
        <w:spacing w:line="600" w:lineRule="exact"/>
        <w:ind w:firstLine="640"/>
        <w:outlineLvl w:val="1"/>
        <w:rPr>
          <w:rStyle w:val="30"/>
          <w:rFonts w:ascii="Times New Roman" w:hAnsi="Times New Roman" w:eastAsia="黑体"/>
        </w:rPr>
      </w:pPr>
      <w:r>
        <w:rPr>
          <w:rFonts w:hint="eastAsia" w:eastAsia="黑体"/>
          <w:sz w:val="32"/>
          <w:szCs w:val="32"/>
        </w:rPr>
        <w:t>八、</w:t>
      </w:r>
      <w:r>
        <w:rPr>
          <w:rStyle w:val="30"/>
          <w:rFonts w:hint="eastAsia" w:ascii="Times New Roman" w:hAnsi="Times New Roman" w:eastAsia="黑体"/>
          <w:b w:val="0"/>
        </w:rPr>
        <w:t>政府性基金预算支出决算情况说明</w:t>
      </w:r>
      <w:bookmarkEnd w:id="42"/>
      <w:bookmarkEnd w:id="43"/>
    </w:p>
    <w:p>
      <w:pPr>
        <w:spacing w:line="600" w:lineRule="exact"/>
        <w:ind w:firstLine="640"/>
        <w:rPr>
          <w:rFonts w:eastAsia="仿宋_GB2312" w:cs="仿宋_GB2312"/>
          <w:b/>
          <w:bCs/>
          <w:sz w:val="32"/>
          <w:szCs w:val="32"/>
        </w:rPr>
      </w:pPr>
      <w:r>
        <w:rPr>
          <w:rFonts w:hint="eastAsia" w:eastAsia="仿宋_GB2312" w:cs="仿宋_GB2312"/>
          <w:sz w:val="32"/>
          <w:szCs w:val="32"/>
        </w:rPr>
        <w:t>2025年度政府性基金预算财政拨款支出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%。与上年度相比，政府性基金预算财政拨款支出增加/减少</w:t>
      </w:r>
      <w:r>
        <w:rPr>
          <w:rFonts w:hint="eastAsia" w:eastAsia="仿宋_GB2312" w:cs="仿宋_GB2312"/>
          <w:sz w:val="32"/>
          <w:szCs w:val="32"/>
          <w:lang w:val="en-US" w:eastAsia="zh-CN"/>
        </w:rPr>
        <w:t>0</w:t>
      </w:r>
      <w:r>
        <w:rPr>
          <w:rFonts w:hint="eastAsia" w:eastAsia="仿宋_GB2312" w:cs="仿宋_GB2312"/>
          <w:sz w:val="32"/>
          <w:szCs w:val="32"/>
        </w:rPr>
        <w:t>万元，增长/下降</w:t>
      </w:r>
      <w:r>
        <w:rPr>
          <w:rFonts w:hint="eastAsia" w:eastAsia="仿宋_GB2312" w:cs="仿宋_GB2312"/>
          <w:sz w:val="32"/>
          <w:szCs w:val="32"/>
          <w:lang w:val="en-US" w:eastAsia="zh-CN"/>
        </w:rPr>
        <w:t>0</w:t>
      </w:r>
      <w:r>
        <w:rPr>
          <w:rFonts w:hint="eastAsia" w:eastAsia="仿宋_GB2312" w:cs="仿宋_GB2312"/>
          <w:sz w:val="32"/>
          <w:szCs w:val="32"/>
        </w:rPr>
        <w:t>%。</w:t>
      </w:r>
      <w:r>
        <w:rPr>
          <w:rFonts w:hint="eastAsia" w:eastAsia="仿宋_GB2312" w:cs="仿宋_GB2312"/>
          <w:b/>
          <w:bCs/>
          <w:sz w:val="32"/>
          <w:szCs w:val="32"/>
        </w:rPr>
        <w:t>（注：支出数与上年持平可以不写原因）</w:t>
      </w:r>
    </w:p>
    <w:p>
      <w:pPr>
        <w:spacing w:line="600" w:lineRule="exact"/>
        <w:ind w:firstLine="640"/>
        <w:rPr>
          <w:rFonts w:eastAsia="仿宋_GB2312" w:cs="仿宋_GB2312"/>
          <w:sz w:val="32"/>
          <w:szCs w:val="32"/>
        </w:rPr>
      </w:pPr>
    </w:p>
    <w:p>
      <w:pPr>
        <w:spacing w:line="600" w:lineRule="exact"/>
        <w:ind w:left="630"/>
        <w:outlineLvl w:val="1"/>
        <w:rPr>
          <w:rStyle w:val="30"/>
          <w:rFonts w:ascii="Times New Roman" w:hAnsi="Times New Roman" w:eastAsia="黑体"/>
          <w:b w:val="0"/>
        </w:rPr>
      </w:pPr>
      <w:bookmarkStart w:id="44" w:name="_Toc15396611"/>
      <w:bookmarkStart w:id="45" w:name="_Toc15377219"/>
      <w:r>
        <w:rPr>
          <w:rStyle w:val="30"/>
          <w:rFonts w:hint="eastAsia" w:ascii="Times New Roman" w:hAnsi="Times New Roman" w:eastAsia="黑体"/>
          <w:b w:val="0"/>
        </w:rPr>
        <w:t>九、国有资本经营预算支出决算情况说明</w:t>
      </w:r>
      <w:bookmarkEnd w:id="44"/>
      <w:bookmarkEnd w:id="45"/>
    </w:p>
    <w:p>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%。与上年度相比，国有资本经营预算财政拨款支出增加/减少</w:t>
      </w:r>
      <w:r>
        <w:rPr>
          <w:rFonts w:hint="eastAsia" w:eastAsia="仿宋_GB2312" w:cs="仿宋_GB2312"/>
          <w:sz w:val="32"/>
          <w:szCs w:val="32"/>
          <w:lang w:val="en-US" w:eastAsia="zh-CN"/>
        </w:rPr>
        <w:t>0</w:t>
      </w:r>
      <w:r>
        <w:rPr>
          <w:rFonts w:hint="eastAsia" w:eastAsia="仿宋_GB2312" w:cs="仿宋_GB2312"/>
          <w:sz w:val="32"/>
          <w:szCs w:val="32"/>
        </w:rPr>
        <w:t>万元，增长/下降</w:t>
      </w:r>
      <w:r>
        <w:rPr>
          <w:rFonts w:hint="eastAsia" w:eastAsia="仿宋_GB2312" w:cs="仿宋_GB2312"/>
          <w:sz w:val="32"/>
          <w:szCs w:val="32"/>
          <w:lang w:val="en-US" w:eastAsia="zh-CN"/>
        </w:rPr>
        <w:t>0</w:t>
      </w:r>
      <w:r>
        <w:rPr>
          <w:rFonts w:hint="eastAsia" w:eastAsia="仿宋_GB2312" w:cs="仿宋_GB2312"/>
          <w:sz w:val="32"/>
          <w:szCs w:val="32"/>
        </w:rPr>
        <w:t>%。</w:t>
      </w:r>
      <w:r>
        <w:rPr>
          <w:rFonts w:hint="eastAsia" w:eastAsia="仿宋_GB2312" w:cs="仿宋_GB2312"/>
          <w:b/>
          <w:bCs/>
          <w:sz w:val="32"/>
          <w:szCs w:val="32"/>
        </w:rPr>
        <w:t>（注：支出数与上年持平可以不写原因）</w:t>
      </w:r>
    </w:p>
    <w:p>
      <w:pPr>
        <w:spacing w:line="600" w:lineRule="exact"/>
        <w:ind w:firstLine="640"/>
        <w:rPr>
          <w:rFonts w:eastAsia="仿宋_GB2312" w:cs="仿宋_GB2312"/>
          <w:sz w:val="32"/>
          <w:szCs w:val="32"/>
        </w:rPr>
      </w:pPr>
    </w:p>
    <w:p>
      <w:pPr>
        <w:spacing w:line="600" w:lineRule="exact"/>
        <w:ind w:left="630"/>
        <w:outlineLvl w:val="1"/>
        <w:rPr>
          <w:rStyle w:val="30"/>
          <w:rFonts w:ascii="Times New Roman" w:hAnsi="Times New Roman" w:eastAsia="黑体"/>
          <w:b w:val="0"/>
        </w:rPr>
      </w:pPr>
      <w:bookmarkStart w:id="46" w:name="_Toc15396612"/>
      <w:bookmarkStart w:id="47" w:name="_Toc15377221"/>
      <w:r>
        <w:rPr>
          <w:rStyle w:val="30"/>
          <w:rFonts w:hint="eastAsia" w:ascii="Times New Roman" w:hAnsi="Times New Roman" w:eastAsia="黑体"/>
          <w:b w:val="0"/>
        </w:rPr>
        <w:t>十、其他重要事项的情况说明</w:t>
      </w:r>
      <w:bookmarkEnd w:id="46"/>
      <w:bookmarkEnd w:id="47"/>
    </w:p>
    <w:p>
      <w:pPr>
        <w:spacing w:line="600" w:lineRule="exact"/>
        <w:ind w:firstLine="643" w:firstLineChars="200"/>
        <w:outlineLvl w:val="2"/>
        <w:rPr>
          <w:rFonts w:eastAsia="楷体_GB2312" w:cs="楷体_GB2312"/>
          <w:b/>
          <w:sz w:val="32"/>
          <w:szCs w:val="32"/>
        </w:rPr>
      </w:pPr>
      <w:bookmarkStart w:id="48" w:name="_Toc15377222"/>
      <w:r>
        <w:rPr>
          <w:rFonts w:hint="eastAsia" w:eastAsia="楷体_GB2312" w:cs="楷体_GB2312"/>
          <w:b/>
          <w:sz w:val="32"/>
          <w:szCs w:val="32"/>
        </w:rPr>
        <w:t>（一）机关运行经费支出情况</w:t>
      </w:r>
      <w:bookmarkEnd w:id="48"/>
    </w:p>
    <w:p>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红原县麦洼寺寺庙管理委员会</w:t>
      </w:r>
      <w:r>
        <w:rPr>
          <w:rFonts w:hint="eastAsia" w:eastAsia="仿宋_GB2312" w:cs="仿宋_GB2312"/>
          <w:sz w:val="32"/>
          <w:szCs w:val="32"/>
        </w:rPr>
        <w:t>机关运行经费支出</w:t>
      </w:r>
      <w:r>
        <w:rPr>
          <w:rFonts w:hint="eastAsia" w:ascii="仿宋_GB2312" w:hAnsi="仿宋_GB2312" w:eastAsia="仿宋_GB2312" w:cs="仿宋_GB2312"/>
          <w:sz w:val="32"/>
          <w:szCs w:val="32"/>
        </w:rPr>
        <w:t>33.23</w:t>
      </w:r>
      <w:r>
        <w:rPr>
          <w:rFonts w:hint="eastAsia" w:eastAsia="仿宋_GB2312" w:cs="仿宋_GB2312"/>
          <w:sz w:val="32"/>
          <w:szCs w:val="32"/>
        </w:rPr>
        <w:t>万元，比上年度增加</w:t>
      </w:r>
      <w:r>
        <w:rPr>
          <w:rFonts w:hint="eastAsia" w:eastAsia="仿宋_GB2312" w:cs="仿宋_GB2312"/>
          <w:sz w:val="32"/>
          <w:szCs w:val="32"/>
          <w:lang w:val="en-US" w:eastAsia="zh-CN"/>
        </w:rPr>
        <w:t>5.75</w:t>
      </w:r>
      <w:r>
        <w:rPr>
          <w:rFonts w:hint="eastAsia" w:eastAsia="仿宋_GB2312" w:cs="仿宋_GB2312"/>
          <w:sz w:val="32"/>
          <w:szCs w:val="32"/>
        </w:rPr>
        <w:t>万元，增长</w:t>
      </w:r>
      <w:r>
        <w:rPr>
          <w:rFonts w:hint="eastAsia" w:eastAsia="仿宋_GB2312" w:cs="仿宋_GB2312"/>
          <w:sz w:val="32"/>
          <w:szCs w:val="32"/>
          <w:lang w:val="en-US" w:eastAsia="zh-CN"/>
        </w:rPr>
        <w:t>16.76</w:t>
      </w:r>
      <w:r>
        <w:rPr>
          <w:rFonts w:hint="eastAsia" w:eastAsia="仿宋_GB2312" w:cs="仿宋_GB2312"/>
          <w:sz w:val="32"/>
          <w:szCs w:val="32"/>
        </w:rPr>
        <w:t>%。主要原因是是</w:t>
      </w:r>
      <w:r>
        <w:rPr>
          <w:rFonts w:hint="eastAsia" w:eastAsia="仿宋_GB2312" w:cs="仿宋_GB2312"/>
          <w:sz w:val="32"/>
          <w:szCs w:val="32"/>
          <w:lang w:eastAsia="zh-CN"/>
        </w:rPr>
        <w:t>业务工作增加。</w:t>
      </w:r>
      <w:r>
        <w:rPr>
          <w:rFonts w:hint="eastAsia" w:eastAsia="仿宋_GB2312" w:cs="仿宋_GB2312"/>
          <w:b/>
          <w:bCs/>
          <w:sz w:val="32"/>
          <w:szCs w:val="32"/>
        </w:rPr>
        <w:t>（注：支出数与上年持平可以不写原因）</w:t>
      </w: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bookmarkStart w:id="49" w:name="_Toc15377223"/>
      <w:r>
        <w:rPr>
          <w:rFonts w:hint="eastAsia" w:eastAsia="楷体_GB2312" w:cs="楷体_GB2312"/>
          <w:b/>
          <w:sz w:val="32"/>
          <w:szCs w:val="32"/>
        </w:rPr>
        <w:t>（二）政府采购支出情况</w:t>
      </w:r>
      <w:bookmarkEnd w:id="49"/>
    </w:p>
    <w:p>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红原县麦洼寺寺庙管理委员会</w:t>
      </w:r>
      <w:r>
        <w:rPr>
          <w:rFonts w:hint="eastAsia" w:eastAsia="仿宋_GB2312" w:cs="仿宋_GB2312"/>
          <w:sz w:val="32"/>
          <w:szCs w:val="32"/>
        </w:rPr>
        <w:t>政府采购支出总额</w:t>
      </w:r>
      <w:r>
        <w:rPr>
          <w:rFonts w:hint="eastAsia" w:ascii="仿宋_GB2312" w:hAnsi="仿宋_GB2312" w:eastAsia="仿宋_GB2312" w:cs="仿宋_GB2312"/>
          <w:sz w:val="32"/>
          <w:szCs w:val="32"/>
        </w:rPr>
        <w:t>0</w:t>
      </w:r>
      <w:r>
        <w:rPr>
          <w:rFonts w:hint="eastAsia" w:eastAsia="仿宋_GB2312" w:cs="仿宋_GB2312"/>
          <w:sz w:val="32"/>
          <w:szCs w:val="32"/>
        </w:rPr>
        <w:t>万元，其中：政府采购货物支出</w:t>
      </w:r>
      <w:r>
        <w:rPr>
          <w:rFonts w:hint="eastAsia" w:ascii="仿宋_GB2312" w:hAnsi="仿宋_GB2312" w:eastAsia="仿宋_GB2312" w:cs="仿宋_GB2312"/>
          <w:sz w:val="32"/>
          <w:szCs w:val="32"/>
        </w:rPr>
        <w:t>0</w:t>
      </w:r>
      <w:r>
        <w:rPr>
          <w:rFonts w:hint="eastAsia" w:eastAsia="仿宋_GB2312" w:cs="仿宋_GB2312"/>
          <w:sz w:val="32"/>
          <w:szCs w:val="32"/>
        </w:rPr>
        <w:t>万元、政府采购工程支出</w:t>
      </w:r>
      <w:r>
        <w:rPr>
          <w:rFonts w:hint="eastAsia" w:ascii="仿宋_GB2312" w:hAnsi="仿宋_GB2312" w:eastAsia="仿宋_GB2312" w:cs="仿宋_GB2312"/>
          <w:sz w:val="32"/>
          <w:szCs w:val="32"/>
        </w:rPr>
        <w:t>0</w:t>
      </w:r>
      <w:r>
        <w:rPr>
          <w:rFonts w:hint="eastAsia" w:eastAsia="仿宋_GB2312" w:cs="仿宋_GB2312"/>
          <w:sz w:val="32"/>
          <w:szCs w:val="32"/>
        </w:rPr>
        <w:t>万元、政府采购服务支出</w:t>
      </w:r>
      <w:r>
        <w:rPr>
          <w:rFonts w:hint="eastAsia" w:ascii="仿宋_GB2312" w:hAnsi="仿宋_GB2312" w:eastAsia="仿宋_GB2312" w:cs="仿宋_GB2312"/>
          <w:sz w:val="32"/>
          <w:szCs w:val="32"/>
        </w:rPr>
        <w:t>0</w:t>
      </w:r>
      <w:r>
        <w:rPr>
          <w:rFonts w:hint="eastAsia" w:eastAsia="仿宋_GB2312" w:cs="仿宋_GB2312"/>
          <w:sz w:val="32"/>
          <w:szCs w:val="32"/>
        </w:rPr>
        <w:t>万元。授予中小企业合同金额</w:t>
      </w:r>
      <w:r>
        <w:rPr>
          <w:rFonts w:hint="eastAsia" w:ascii="仿宋_GB2312" w:hAnsi="仿宋_GB2312" w:eastAsia="仿宋_GB2312" w:cs="仿宋_GB2312"/>
          <w:sz w:val="32"/>
          <w:szCs w:val="32"/>
        </w:rPr>
        <w:t>0</w:t>
      </w:r>
      <w:r>
        <w:rPr>
          <w:rFonts w:hint="eastAsia" w:eastAsia="仿宋_GB2312" w:cs="仿宋_GB2312"/>
          <w:sz w:val="32"/>
          <w:szCs w:val="32"/>
        </w:rPr>
        <w:t>万元，占政府采购支出总额的</w:t>
      </w:r>
      <w:r>
        <w:rPr>
          <w:rFonts w:hint="eastAsia" w:ascii="仿宋_GB2312" w:hAnsi="仿宋_GB2312" w:eastAsia="仿宋_GB2312" w:cs="仿宋_GB2312"/>
          <w:sz w:val="32"/>
          <w:szCs w:val="32"/>
        </w:rPr>
        <w:t>0</w:t>
      </w:r>
      <w:r>
        <w:rPr>
          <w:rFonts w:hint="eastAsia" w:eastAsia="仿宋_GB2312" w:cs="仿宋_GB2312"/>
          <w:sz w:val="32"/>
          <w:szCs w:val="32"/>
        </w:rPr>
        <w:t>%，其中：授予小微企业合同金额</w:t>
      </w:r>
      <w:r>
        <w:rPr>
          <w:rFonts w:hint="eastAsia" w:ascii="仿宋_GB2312" w:hAnsi="仿宋_GB2312" w:eastAsia="仿宋_GB2312" w:cs="仿宋_GB2312"/>
          <w:sz w:val="32"/>
          <w:szCs w:val="32"/>
        </w:rPr>
        <w:t>0</w:t>
      </w:r>
      <w:r>
        <w:rPr>
          <w:rFonts w:hint="eastAsia" w:eastAsia="仿宋_GB2312" w:cs="仿宋_GB2312"/>
          <w:sz w:val="32"/>
          <w:szCs w:val="32"/>
        </w:rPr>
        <w:t>万元，占政府采购支出总额的</w:t>
      </w:r>
      <w:r>
        <w:rPr>
          <w:rFonts w:hint="eastAsia" w:ascii="仿宋_GB2312" w:hAnsi="仿宋_GB2312" w:eastAsia="仿宋_GB2312" w:cs="仿宋_GB2312"/>
          <w:sz w:val="32"/>
          <w:szCs w:val="32"/>
        </w:rPr>
        <w:t>0</w:t>
      </w:r>
      <w:r>
        <w:rPr>
          <w:rFonts w:hint="eastAsia" w:eastAsia="仿宋_GB2312" w:cs="仿宋_GB2312"/>
          <w:sz w:val="32"/>
          <w:szCs w:val="32"/>
        </w:rPr>
        <w:t>%。</w:t>
      </w: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bookmarkStart w:id="50" w:name="_Toc15377224"/>
      <w:r>
        <w:rPr>
          <w:rFonts w:hint="eastAsia" w:eastAsia="楷体_GB2312" w:cs="楷体_GB2312"/>
          <w:b/>
          <w:sz w:val="32"/>
          <w:szCs w:val="32"/>
        </w:rPr>
        <w:t>（三）国有资产占有使用情况</w:t>
      </w:r>
      <w:bookmarkEnd w:id="50"/>
    </w:p>
    <w:p>
      <w:pPr>
        <w:spacing w:line="600" w:lineRule="exact"/>
        <w:ind w:firstLine="640"/>
        <w:rPr>
          <w:rFonts w:eastAsia="仿宋_GB2312" w:cs="仿宋_GB2312"/>
          <w:sz w:val="32"/>
          <w:szCs w:val="32"/>
        </w:rPr>
      </w:pPr>
      <w:r>
        <w:rPr>
          <w:rFonts w:hint="eastAsia" w:eastAsia="仿宋_GB2312" w:cs="仿宋_GB2312"/>
          <w:sz w:val="32"/>
          <w:szCs w:val="32"/>
        </w:rPr>
        <w:t>截至2025年12月31日，</w:t>
      </w:r>
      <w:r>
        <w:rPr>
          <w:rFonts w:hint="eastAsia" w:ascii="仿宋_GB2312" w:hAnsi="仿宋_GB2312" w:eastAsia="仿宋_GB2312" w:cs="仿宋_GB2312"/>
          <w:sz w:val="32"/>
          <w:szCs w:val="32"/>
        </w:rPr>
        <w:t>红原县麦洼寺寺庙管理委员会</w:t>
      </w:r>
      <w:r>
        <w:rPr>
          <w:rFonts w:hint="eastAsia" w:eastAsia="仿宋_GB2312" w:cs="仿宋_GB2312"/>
          <w:sz w:val="32"/>
          <w:szCs w:val="32"/>
        </w:rPr>
        <w:t>共有车辆</w:t>
      </w:r>
      <w:r>
        <w:rPr>
          <w:rFonts w:hint="eastAsia" w:ascii="仿宋_GB2312" w:hAnsi="仿宋_GB2312" w:eastAsia="仿宋_GB2312" w:cs="仿宋_GB2312"/>
          <w:sz w:val="32"/>
          <w:szCs w:val="32"/>
        </w:rPr>
        <w:t>1</w:t>
      </w:r>
      <w:r>
        <w:rPr>
          <w:rFonts w:hint="eastAsia" w:eastAsia="仿宋_GB2312" w:cs="仿宋_GB2312"/>
          <w:sz w:val="32"/>
          <w:szCs w:val="32"/>
        </w:rPr>
        <w:t>辆，其中：副部（省）级及以上领导用车</w:t>
      </w:r>
      <w:r>
        <w:rPr>
          <w:rFonts w:hint="eastAsia" w:ascii="仿宋_GB2312" w:hAnsi="仿宋_GB2312" w:eastAsia="仿宋_GB2312" w:cs="仿宋_GB2312"/>
          <w:sz w:val="32"/>
          <w:szCs w:val="32"/>
        </w:rPr>
        <w:t>0</w:t>
      </w:r>
      <w:r>
        <w:rPr>
          <w:rFonts w:hint="eastAsia" w:eastAsia="仿宋_GB2312" w:cs="仿宋_GB2312"/>
          <w:sz w:val="32"/>
          <w:szCs w:val="32"/>
        </w:rPr>
        <w:t>辆、主要负责人用车</w:t>
      </w:r>
      <w:r>
        <w:rPr>
          <w:rFonts w:hint="eastAsia" w:ascii="仿宋_GB2312" w:hAnsi="仿宋_GB2312" w:eastAsia="仿宋_GB2312" w:cs="仿宋_GB2312"/>
          <w:sz w:val="32"/>
          <w:szCs w:val="32"/>
        </w:rPr>
        <w:t>0</w:t>
      </w:r>
      <w:r>
        <w:rPr>
          <w:rFonts w:hint="eastAsia" w:eastAsia="仿宋_GB2312" w:cs="仿宋_GB2312"/>
          <w:sz w:val="32"/>
          <w:szCs w:val="32"/>
        </w:rPr>
        <w:t>辆、机要通信用车</w:t>
      </w:r>
      <w:r>
        <w:rPr>
          <w:rFonts w:hint="eastAsia" w:ascii="仿宋_GB2312" w:hAnsi="仿宋_GB2312" w:eastAsia="仿宋_GB2312" w:cs="仿宋_GB2312"/>
          <w:sz w:val="32"/>
          <w:szCs w:val="32"/>
        </w:rPr>
        <w:t>0</w:t>
      </w:r>
      <w:r>
        <w:rPr>
          <w:rFonts w:hint="eastAsia" w:eastAsia="仿宋_GB2312" w:cs="仿宋_GB2312"/>
          <w:sz w:val="32"/>
          <w:szCs w:val="32"/>
        </w:rPr>
        <w:t>辆、应急保障用车</w:t>
      </w:r>
      <w:r>
        <w:rPr>
          <w:rFonts w:hint="eastAsia" w:ascii="仿宋_GB2312" w:hAnsi="仿宋_GB2312" w:eastAsia="仿宋_GB2312" w:cs="仿宋_GB2312"/>
          <w:sz w:val="32"/>
          <w:szCs w:val="32"/>
        </w:rPr>
        <w:t>0</w:t>
      </w:r>
      <w:r>
        <w:rPr>
          <w:rFonts w:hint="eastAsia" w:eastAsia="仿宋_GB2312" w:cs="仿宋_GB2312"/>
          <w:sz w:val="32"/>
          <w:szCs w:val="32"/>
        </w:rPr>
        <w:t>辆、执法执勤用车</w:t>
      </w:r>
      <w:r>
        <w:rPr>
          <w:rFonts w:hint="eastAsia" w:ascii="仿宋_GB2312" w:hAnsi="仿宋_GB2312" w:eastAsia="仿宋_GB2312" w:cs="仿宋_GB2312"/>
          <w:sz w:val="32"/>
          <w:szCs w:val="32"/>
        </w:rPr>
        <w:t>0</w:t>
      </w:r>
      <w:r>
        <w:rPr>
          <w:rFonts w:hint="eastAsia" w:eastAsia="仿宋_GB2312" w:cs="仿宋_GB2312"/>
          <w:sz w:val="32"/>
          <w:szCs w:val="32"/>
        </w:rPr>
        <w:t>辆、特种专业技术用车</w:t>
      </w:r>
      <w:r>
        <w:rPr>
          <w:rFonts w:hint="eastAsia" w:ascii="仿宋_GB2312" w:hAnsi="仿宋_GB2312" w:eastAsia="仿宋_GB2312" w:cs="仿宋_GB2312"/>
          <w:sz w:val="32"/>
          <w:szCs w:val="32"/>
        </w:rPr>
        <w:t>0</w:t>
      </w:r>
      <w:r>
        <w:rPr>
          <w:rFonts w:hint="eastAsia" w:eastAsia="仿宋_GB2312" w:cs="仿宋_GB2312"/>
          <w:sz w:val="32"/>
          <w:szCs w:val="32"/>
        </w:rPr>
        <w:t>辆、离退休干部服务用车</w:t>
      </w:r>
      <w:r>
        <w:rPr>
          <w:rFonts w:hint="eastAsia" w:ascii="仿宋_GB2312" w:hAnsi="仿宋_GB2312" w:eastAsia="仿宋_GB2312" w:cs="仿宋_GB2312"/>
          <w:sz w:val="32"/>
          <w:szCs w:val="32"/>
        </w:rPr>
        <w:t>0</w:t>
      </w:r>
      <w:r>
        <w:rPr>
          <w:rFonts w:hint="eastAsia" w:eastAsia="仿宋_GB2312" w:cs="仿宋_GB2312"/>
          <w:sz w:val="32"/>
          <w:szCs w:val="32"/>
        </w:rPr>
        <w:t>辆、其他用车</w:t>
      </w:r>
      <w:r>
        <w:rPr>
          <w:rFonts w:hint="eastAsia" w:ascii="仿宋_GB2312" w:hAnsi="仿宋_GB2312" w:eastAsia="仿宋_GB2312" w:cs="仿宋_GB2312"/>
          <w:sz w:val="32"/>
          <w:szCs w:val="32"/>
        </w:rPr>
        <w:t>1</w:t>
      </w:r>
      <w:r>
        <w:rPr>
          <w:rFonts w:hint="eastAsia" w:eastAsia="仿宋_GB2312" w:cs="仿宋_GB2312"/>
          <w:sz w:val="32"/>
          <w:szCs w:val="32"/>
        </w:rPr>
        <w:t>辆，其他用车主要是用于</w:t>
      </w:r>
      <w:r>
        <w:rPr>
          <w:rFonts w:hint="eastAsia" w:eastAsia="仿宋_GB2312" w:cs="仿宋_GB2312"/>
          <w:sz w:val="32"/>
          <w:szCs w:val="32"/>
          <w:lang w:eastAsia="zh-CN"/>
        </w:rPr>
        <w:t>开展日常工作</w:t>
      </w:r>
      <w:r>
        <w:rPr>
          <w:rFonts w:hint="eastAsia" w:eastAsia="仿宋_GB2312" w:cs="仿宋_GB2312"/>
          <w:sz w:val="32"/>
          <w:szCs w:val="32"/>
        </w:rPr>
        <w:t>。单价100万元（含）以上设备（不含车辆）</w:t>
      </w:r>
      <w:r>
        <w:rPr>
          <w:rFonts w:hint="eastAsia" w:ascii="仿宋_GB2312" w:hAnsi="仿宋_GB2312" w:eastAsia="仿宋_GB2312" w:cs="仿宋_GB2312"/>
          <w:sz w:val="32"/>
          <w:szCs w:val="32"/>
        </w:rPr>
        <w:t>0</w:t>
      </w:r>
      <w:r>
        <w:rPr>
          <w:rFonts w:hint="eastAsia" w:eastAsia="仿宋_GB2312" w:cs="仿宋_GB2312"/>
          <w:sz w:val="32"/>
          <w:szCs w:val="32"/>
        </w:rPr>
        <w:t>台（套）。</w:t>
      </w: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pPr>
        <w:spacing w:line="600" w:lineRule="exact"/>
        <w:ind w:firstLine="640"/>
        <w:rPr>
          <w:rFonts w:eastAsia="仿宋_GB2312" w:cs="仿宋_GB2312"/>
          <w:sz w:val="32"/>
          <w:szCs w:val="32"/>
        </w:rPr>
      </w:pPr>
      <w:r>
        <w:rPr>
          <w:rFonts w:hint="eastAsia" w:eastAsia="仿宋_GB2312" w:cs="仿宋_GB2312"/>
          <w:sz w:val="32"/>
          <w:szCs w:val="32"/>
        </w:rPr>
        <w:t>根据预算绩效管理要求，麦洼寺管委会在2025年度，组织对麦洼寺管委会（项目名称）等麦洼寺管委会个项目涉及金额麦洼寺管委会万元开展了事前绩效评估，对麦洼寺管委会个项目编制了绩效目标，预算执行过程中，选取麦洼寺管委会个项目开展绩效监控。</w:t>
      </w:r>
    </w:p>
    <w:p>
      <w:pPr>
        <w:spacing w:line="600" w:lineRule="exact"/>
        <w:ind w:firstLine="640"/>
        <w:rPr>
          <w:rFonts w:eastAsia="仿宋_GB2312" w:cs="仿宋_GB2312"/>
          <w:sz w:val="32"/>
          <w:szCs w:val="32"/>
        </w:rPr>
      </w:pPr>
      <w:r>
        <w:rPr>
          <w:rFonts w:hint="eastAsia" w:eastAsia="仿宋_GB2312" w:cs="仿宋_GB2312"/>
          <w:sz w:val="32"/>
          <w:szCs w:val="32"/>
        </w:rPr>
        <w:t>组织对2025年度一般公共预算、政府性基金预算、国有资本经营预算、社会保险基金预算以及资本资产、债券资金等全面开展绩效自评，形成麦洼寺管委会部门预算（含部门预算项目）绩效自评报告（此项单位不涉及）、麦洼寺管委会等专项预算项目绩效自评报告，其中，麦洼寺管委会部门预算（含部门预算项目）绩效自评得分为麦洼寺管委会分，绩效自评综述……；麦洼寺管委会专项预算项目绩效自评得分为麦洼寺管委会分，绩效自评综述……。绩效自评报告详见附件。（注：如不涉及，可根据实际修改表述。）</w:t>
      </w:r>
    </w:p>
    <w:p>
      <w:pPr>
        <w:spacing w:line="600" w:lineRule="exact"/>
        <w:ind w:firstLine="640"/>
        <w:rPr>
          <w:rFonts w:eastAsia="仿宋_GB2312" w:cs="仿宋_GB2312"/>
          <w:sz w:val="32"/>
          <w:szCs w:val="32"/>
        </w:rPr>
      </w:pPr>
    </w:p>
    <w:p>
      <w:pPr>
        <w:spacing w:line="600" w:lineRule="exact"/>
        <w:jc w:val="center"/>
        <w:outlineLvl w:val="0"/>
        <w:rPr>
          <w:rFonts w:eastAsia="黑体"/>
          <w:sz w:val="44"/>
          <w:szCs w:val="44"/>
        </w:rPr>
      </w:pPr>
      <w:bookmarkStart w:id="51" w:name="_Toc15377225"/>
      <w:bookmarkStart w:id="52" w:name="_Toc15396613"/>
      <w:r>
        <w:rPr>
          <w:rFonts w:hint="eastAsia" w:eastAsia="黑体"/>
          <w:sz w:val="44"/>
          <w:szCs w:val="44"/>
        </w:rPr>
        <w:t>第三部分  名词解释</w:t>
      </w:r>
      <w:bookmarkEnd w:id="51"/>
      <w:bookmarkEnd w:id="52"/>
    </w:p>
    <w:p>
      <w:pPr>
        <w:spacing w:line="600" w:lineRule="exact"/>
        <w:jc w:val="left"/>
        <w:rPr>
          <w:b/>
          <w:sz w:val="44"/>
          <w:szCs w:val="44"/>
        </w:rPr>
      </w:pPr>
    </w:p>
    <w:p>
      <w:pPr>
        <w:spacing w:line="600" w:lineRule="exact"/>
        <w:ind w:firstLine="640"/>
        <w:rPr>
          <w:rFonts w:eastAsia="仿宋_GB2312" w:cs="仿宋_GB2312"/>
          <w:sz w:val="32"/>
          <w:szCs w:val="32"/>
        </w:rPr>
      </w:pPr>
      <w:r>
        <w:rPr>
          <w:rFonts w:hint="eastAsia" w:eastAsia="仿宋_GB2312" w:cs="仿宋_GB2312"/>
          <w:sz w:val="32"/>
          <w:szCs w:val="32"/>
        </w:rPr>
        <w:t>1.财政拨款收入：指单位从同级财政部门取得的财政预算资金。</w:t>
      </w:r>
    </w:p>
    <w:p>
      <w:pPr>
        <w:spacing w:line="600" w:lineRule="exact"/>
        <w:ind w:firstLine="640"/>
        <w:rPr>
          <w:rFonts w:eastAsia="仿宋_GB2312" w:cs="仿宋_GB2312"/>
          <w:sz w:val="32"/>
          <w:szCs w:val="32"/>
        </w:rPr>
      </w:pPr>
      <w:r>
        <w:rPr>
          <w:rFonts w:hint="eastAsia" w:eastAsia="仿宋_GB2312" w:cs="仿宋_GB2312"/>
          <w:sz w:val="32"/>
          <w:szCs w:val="32"/>
        </w:rPr>
        <w:t>2.事业收入：指事业单位开展专业业务活动及辅助活动取得的收入。如……（二级预算单位事业收入情况）等。</w:t>
      </w:r>
    </w:p>
    <w:p>
      <w:pPr>
        <w:spacing w:line="600" w:lineRule="exact"/>
        <w:ind w:firstLine="640"/>
        <w:rPr>
          <w:rFonts w:eastAsia="仿宋_GB2312" w:cs="仿宋_GB2312"/>
          <w:sz w:val="32"/>
          <w:szCs w:val="32"/>
        </w:rPr>
      </w:pPr>
      <w:r>
        <w:rPr>
          <w:rFonts w:hint="eastAsia" w:eastAsia="仿宋_GB2312" w:cs="仿宋_GB2312"/>
          <w:sz w:val="32"/>
          <w:szCs w:val="32"/>
        </w:rPr>
        <w:t>3.经营收入：指事业单位在专业业务活动及其辅助活动之外开展非独立核算经营活动取得的收入。如……（二级预算单位经营收入情况）等。</w:t>
      </w:r>
    </w:p>
    <w:p>
      <w:pPr>
        <w:spacing w:line="600" w:lineRule="exact"/>
        <w:ind w:firstLine="640"/>
        <w:rPr>
          <w:rFonts w:eastAsia="仿宋_GB2312" w:cs="仿宋_GB2312"/>
          <w:sz w:val="32"/>
          <w:szCs w:val="32"/>
        </w:rPr>
      </w:pPr>
      <w:r>
        <w:rPr>
          <w:rFonts w:hint="eastAsia" w:eastAsia="仿宋_GB2312" w:cs="仿宋_GB2312"/>
          <w:sz w:val="32"/>
          <w:szCs w:val="32"/>
        </w:rPr>
        <w:t xml:space="preserve">4.其他收入：指单位取得的除上述收入以外的各项收入。主要是……（收入类型）等。 </w:t>
      </w:r>
    </w:p>
    <w:p>
      <w:pPr>
        <w:spacing w:line="600" w:lineRule="exact"/>
        <w:ind w:firstLine="640"/>
        <w:rPr>
          <w:rFonts w:eastAsia="仿宋_GB2312" w:cs="仿宋_GB2312"/>
          <w:sz w:val="32"/>
          <w:szCs w:val="32"/>
        </w:rPr>
      </w:pPr>
      <w:r>
        <w:rPr>
          <w:rFonts w:hint="eastAsia" w:eastAsia="仿宋_GB2312" w:cs="仿宋_GB2312"/>
          <w:sz w:val="32"/>
          <w:szCs w:val="32"/>
        </w:rPr>
        <w:t xml:space="preserve">5.使用非财政拨款结余（含专用结余）：指事业单位使用以前年度积累的非财政拨款结余弥补当年收支差额的金额。 </w:t>
      </w:r>
    </w:p>
    <w:p>
      <w:pPr>
        <w:spacing w:line="600" w:lineRule="exact"/>
        <w:ind w:firstLine="640"/>
        <w:rPr>
          <w:rFonts w:eastAsia="仿宋_GB2312" w:cs="仿宋_GB2312"/>
          <w:sz w:val="32"/>
          <w:szCs w:val="32"/>
        </w:rPr>
      </w:pPr>
      <w:r>
        <w:rPr>
          <w:rFonts w:hint="eastAsia" w:eastAsia="仿宋_GB2312" w:cs="仿宋_GB2312"/>
          <w:sz w:val="32"/>
          <w:szCs w:val="32"/>
        </w:rPr>
        <w:t xml:space="preserve">6.年初结转和结余：指以前年度尚未完成、结转到本年按有关规定继续使用的资金。 </w:t>
      </w:r>
    </w:p>
    <w:p>
      <w:pPr>
        <w:spacing w:line="600" w:lineRule="exact"/>
        <w:ind w:firstLine="640"/>
        <w:rPr>
          <w:rFonts w:eastAsia="仿宋_GB2312" w:cs="仿宋_GB2312"/>
          <w:sz w:val="32"/>
          <w:szCs w:val="32"/>
        </w:rPr>
      </w:pPr>
      <w:r>
        <w:rPr>
          <w:rFonts w:hint="eastAsia" w:eastAsia="仿宋_GB2312" w:cs="仿宋_GB2312"/>
          <w:sz w:val="32"/>
          <w:szCs w:val="32"/>
        </w:rPr>
        <w:t>7.结余分配：指事业单位按照会计制度规定缴纳的所得税、提取的专用结余以及转入非财政拨款结余的金额等。</w:t>
      </w:r>
    </w:p>
    <w:p>
      <w:pPr>
        <w:spacing w:line="600" w:lineRule="exact"/>
        <w:ind w:firstLine="640"/>
        <w:rPr>
          <w:rFonts w:eastAsia="仿宋_GB2312" w:cs="仿宋_GB2312"/>
          <w:sz w:val="32"/>
          <w:szCs w:val="32"/>
        </w:rPr>
      </w:pPr>
      <w:r>
        <w:rPr>
          <w:rFonts w:hint="eastAsia" w:eastAsia="仿宋_GB2312" w:cs="仿宋_GB2312"/>
          <w:sz w:val="32"/>
          <w:szCs w:val="32"/>
        </w:rPr>
        <w:t>8.年末结转和结余：指单位按有关规定结转到下年或以后年度继续使用的资金。</w:t>
      </w:r>
    </w:p>
    <w:p>
      <w:pPr>
        <w:spacing w:line="600" w:lineRule="exact"/>
        <w:ind w:firstLine="640"/>
        <w:rPr>
          <w:rFonts w:eastAsia="仿宋_GB2312" w:cs="仿宋_GB2312"/>
          <w:sz w:val="32"/>
          <w:szCs w:val="32"/>
        </w:rPr>
      </w:pPr>
      <w:r>
        <w:rPr>
          <w:rFonts w:hint="eastAsia" w:eastAsia="仿宋_GB2312" w:cs="仿宋_GB2312"/>
          <w:sz w:val="32"/>
          <w:szCs w:val="32"/>
        </w:rPr>
        <w:t>9.一般公共服务（类）……（款）……（项）：指……</w:t>
      </w:r>
    </w:p>
    <w:p>
      <w:pPr>
        <w:spacing w:line="600" w:lineRule="exact"/>
        <w:ind w:firstLine="640"/>
        <w:rPr>
          <w:rFonts w:eastAsia="仿宋_GB2312" w:cs="仿宋_GB2312"/>
          <w:sz w:val="32"/>
          <w:szCs w:val="32"/>
        </w:rPr>
      </w:pPr>
      <w:r>
        <w:rPr>
          <w:rFonts w:hint="eastAsia" w:eastAsia="仿宋_GB2312" w:cs="仿宋_GB2312"/>
          <w:sz w:val="32"/>
          <w:szCs w:val="32"/>
        </w:rPr>
        <w:t>10.外交（类）……（款）……（项）：指……</w:t>
      </w:r>
    </w:p>
    <w:p>
      <w:pPr>
        <w:spacing w:line="600" w:lineRule="exact"/>
        <w:ind w:firstLine="640"/>
        <w:rPr>
          <w:rFonts w:eastAsia="仿宋_GB2312" w:cs="仿宋_GB2312"/>
          <w:sz w:val="32"/>
          <w:szCs w:val="32"/>
        </w:rPr>
      </w:pPr>
      <w:r>
        <w:rPr>
          <w:rFonts w:hint="eastAsia" w:eastAsia="仿宋_GB2312" w:cs="仿宋_GB2312"/>
          <w:sz w:val="32"/>
          <w:szCs w:val="32"/>
        </w:rPr>
        <w:t>11.公共安全（类）……（款）……（项）：指……</w:t>
      </w:r>
    </w:p>
    <w:p>
      <w:pPr>
        <w:spacing w:line="600" w:lineRule="exact"/>
        <w:ind w:firstLine="640"/>
        <w:rPr>
          <w:rFonts w:eastAsia="仿宋_GB2312" w:cs="仿宋_GB2312"/>
          <w:sz w:val="32"/>
          <w:szCs w:val="32"/>
        </w:rPr>
      </w:pPr>
      <w:r>
        <w:rPr>
          <w:rFonts w:hint="eastAsia" w:eastAsia="仿宋_GB2312" w:cs="仿宋_GB2312"/>
          <w:sz w:val="32"/>
          <w:szCs w:val="32"/>
        </w:rPr>
        <w:t>12.教育（类）……（款）……（项）：指……</w:t>
      </w:r>
    </w:p>
    <w:p>
      <w:pPr>
        <w:spacing w:line="600" w:lineRule="exact"/>
        <w:ind w:firstLine="640"/>
        <w:rPr>
          <w:rFonts w:eastAsia="仿宋_GB2312" w:cs="仿宋_GB2312"/>
          <w:sz w:val="32"/>
          <w:szCs w:val="32"/>
        </w:rPr>
      </w:pPr>
      <w:r>
        <w:rPr>
          <w:rFonts w:hint="eastAsia" w:eastAsia="仿宋_GB2312" w:cs="仿宋_GB2312"/>
          <w:sz w:val="32"/>
          <w:szCs w:val="32"/>
        </w:rPr>
        <w:t>13.科学技术（类）……（款）……（项）：指……</w:t>
      </w:r>
    </w:p>
    <w:p>
      <w:pPr>
        <w:spacing w:line="600" w:lineRule="exact"/>
        <w:ind w:firstLine="640"/>
        <w:rPr>
          <w:rFonts w:eastAsia="仿宋_GB2312" w:cs="仿宋_GB2312"/>
          <w:sz w:val="32"/>
          <w:szCs w:val="32"/>
        </w:rPr>
      </w:pPr>
      <w:r>
        <w:rPr>
          <w:rFonts w:hint="eastAsia" w:eastAsia="仿宋_GB2312" w:cs="仿宋_GB2312"/>
          <w:sz w:val="32"/>
          <w:szCs w:val="32"/>
        </w:rPr>
        <w:t>14.文化旅游体育与传媒（类）……（款）……（项）：指……</w:t>
      </w:r>
    </w:p>
    <w:p>
      <w:pPr>
        <w:spacing w:line="600" w:lineRule="exact"/>
        <w:ind w:firstLine="640"/>
        <w:rPr>
          <w:rFonts w:eastAsia="仿宋_GB2312" w:cs="仿宋_GB2312"/>
          <w:sz w:val="32"/>
          <w:szCs w:val="32"/>
        </w:rPr>
      </w:pPr>
      <w:r>
        <w:rPr>
          <w:rFonts w:hint="eastAsia" w:eastAsia="仿宋_GB2312" w:cs="仿宋_GB2312"/>
          <w:sz w:val="32"/>
          <w:szCs w:val="32"/>
        </w:rPr>
        <w:t>15.社会保障和就业（类）……（款）……（项）：指……</w:t>
      </w:r>
    </w:p>
    <w:p>
      <w:pPr>
        <w:spacing w:line="600" w:lineRule="exact"/>
        <w:ind w:firstLine="640"/>
        <w:rPr>
          <w:rFonts w:eastAsia="仿宋_GB2312" w:cs="仿宋_GB2312"/>
          <w:sz w:val="32"/>
          <w:szCs w:val="32"/>
        </w:rPr>
      </w:pPr>
      <w:r>
        <w:rPr>
          <w:rFonts w:hint="eastAsia" w:eastAsia="仿宋_GB2312" w:cs="仿宋_GB2312"/>
          <w:sz w:val="32"/>
          <w:szCs w:val="32"/>
        </w:rPr>
        <w:t>16.卫生健康（类）……（款）……（项）：指……</w:t>
      </w:r>
    </w:p>
    <w:p>
      <w:pPr>
        <w:spacing w:line="600" w:lineRule="exact"/>
        <w:ind w:firstLine="640"/>
        <w:rPr>
          <w:rFonts w:eastAsia="仿宋_GB2312" w:cs="仿宋_GB2312"/>
          <w:sz w:val="32"/>
          <w:szCs w:val="32"/>
        </w:rPr>
      </w:pPr>
      <w:r>
        <w:rPr>
          <w:rFonts w:hint="eastAsia" w:eastAsia="仿宋_GB2312" w:cs="仿宋_GB2312"/>
          <w:sz w:val="32"/>
          <w:szCs w:val="32"/>
        </w:rPr>
        <w:t>17.节能环保（类）……（款）……（项）：指……</w:t>
      </w:r>
    </w:p>
    <w:p>
      <w:pPr>
        <w:spacing w:line="600" w:lineRule="exact"/>
        <w:ind w:firstLine="640"/>
        <w:rPr>
          <w:rFonts w:eastAsia="仿宋_GB2312" w:cs="仿宋_GB2312"/>
          <w:sz w:val="32"/>
          <w:szCs w:val="32"/>
        </w:rPr>
      </w:pPr>
      <w:r>
        <w:rPr>
          <w:rFonts w:hint="eastAsia" w:eastAsia="仿宋_GB2312" w:cs="仿宋_GB2312"/>
          <w:sz w:val="32"/>
          <w:szCs w:val="32"/>
        </w:rPr>
        <w:t>18.城乡社区（类）……（款）……（项）：指……</w:t>
      </w:r>
    </w:p>
    <w:p>
      <w:pPr>
        <w:spacing w:line="600" w:lineRule="exact"/>
        <w:ind w:firstLine="640"/>
        <w:rPr>
          <w:rFonts w:eastAsia="仿宋_GB2312" w:cs="仿宋_GB2312"/>
          <w:sz w:val="32"/>
          <w:szCs w:val="32"/>
        </w:rPr>
      </w:pPr>
      <w:r>
        <w:rPr>
          <w:rFonts w:hint="eastAsia" w:eastAsia="仿宋_GB2312" w:cs="仿宋_GB2312"/>
          <w:sz w:val="32"/>
          <w:szCs w:val="32"/>
        </w:rPr>
        <w:t>19.农林水（类）……（款）……（项）：指……</w:t>
      </w:r>
    </w:p>
    <w:p>
      <w:pPr>
        <w:spacing w:line="600" w:lineRule="exact"/>
        <w:ind w:firstLine="640"/>
        <w:rPr>
          <w:rFonts w:eastAsia="仿宋_GB2312" w:cs="仿宋_GB2312"/>
          <w:sz w:val="32"/>
          <w:szCs w:val="32"/>
        </w:rPr>
      </w:pPr>
      <w:r>
        <w:rPr>
          <w:rFonts w:hint="eastAsia" w:eastAsia="仿宋_GB2312" w:cs="仿宋_GB2312"/>
          <w:sz w:val="32"/>
          <w:szCs w:val="32"/>
        </w:rPr>
        <w:t>20.交通运输（类）……（款）……（项）：指……</w:t>
      </w:r>
    </w:p>
    <w:p>
      <w:pPr>
        <w:spacing w:line="600" w:lineRule="exact"/>
        <w:ind w:firstLine="640"/>
        <w:rPr>
          <w:rFonts w:eastAsia="仿宋_GB2312" w:cs="仿宋_GB2312"/>
          <w:sz w:val="32"/>
          <w:szCs w:val="32"/>
        </w:rPr>
      </w:pPr>
      <w:r>
        <w:rPr>
          <w:rFonts w:hint="eastAsia" w:eastAsia="仿宋_GB2312" w:cs="仿宋_GB2312"/>
          <w:sz w:val="32"/>
          <w:szCs w:val="32"/>
        </w:rPr>
        <w:t>21.资源勘探工业信息等（类）……（款）……（项）：指……</w:t>
      </w:r>
    </w:p>
    <w:p>
      <w:pPr>
        <w:spacing w:line="600" w:lineRule="exact"/>
        <w:ind w:firstLine="640"/>
        <w:rPr>
          <w:rFonts w:eastAsia="仿宋_GB2312" w:cs="仿宋_GB2312"/>
          <w:sz w:val="32"/>
          <w:szCs w:val="32"/>
        </w:rPr>
      </w:pPr>
      <w:r>
        <w:rPr>
          <w:rFonts w:hint="eastAsia" w:eastAsia="仿宋_GB2312" w:cs="仿宋_GB2312"/>
          <w:sz w:val="32"/>
          <w:szCs w:val="32"/>
        </w:rPr>
        <w:t>22.商业服务业（类）……（款）……（项）：指……</w:t>
      </w:r>
    </w:p>
    <w:p>
      <w:pPr>
        <w:spacing w:line="600" w:lineRule="exact"/>
        <w:ind w:firstLine="640"/>
        <w:rPr>
          <w:rFonts w:eastAsia="仿宋_GB2312" w:cs="仿宋_GB2312"/>
          <w:sz w:val="32"/>
          <w:szCs w:val="32"/>
        </w:rPr>
      </w:pPr>
      <w:r>
        <w:rPr>
          <w:rFonts w:hint="eastAsia" w:eastAsia="仿宋_GB2312" w:cs="仿宋_GB2312"/>
          <w:sz w:val="32"/>
          <w:szCs w:val="32"/>
        </w:rPr>
        <w:t>23.金融（类）……（款）……（项）：指……</w:t>
      </w:r>
    </w:p>
    <w:p>
      <w:pPr>
        <w:spacing w:line="600" w:lineRule="exact"/>
        <w:ind w:firstLine="640"/>
        <w:rPr>
          <w:rFonts w:eastAsia="仿宋_GB2312" w:cs="仿宋_GB2312"/>
          <w:sz w:val="32"/>
          <w:szCs w:val="32"/>
        </w:rPr>
      </w:pPr>
      <w:r>
        <w:rPr>
          <w:rFonts w:hint="eastAsia" w:eastAsia="仿宋_GB2312" w:cs="仿宋_GB2312"/>
          <w:sz w:val="32"/>
          <w:szCs w:val="32"/>
        </w:rPr>
        <w:t>24.自然资源海洋气象等（类）……（款）……（项）：指……</w:t>
      </w:r>
    </w:p>
    <w:p>
      <w:pPr>
        <w:spacing w:line="600" w:lineRule="exact"/>
        <w:ind w:firstLine="640"/>
        <w:rPr>
          <w:rFonts w:eastAsia="仿宋_GB2312" w:cs="仿宋_GB2312"/>
          <w:sz w:val="32"/>
          <w:szCs w:val="32"/>
        </w:rPr>
      </w:pPr>
      <w:r>
        <w:rPr>
          <w:rFonts w:hint="eastAsia" w:eastAsia="仿宋_GB2312" w:cs="仿宋_GB2312"/>
          <w:sz w:val="32"/>
          <w:szCs w:val="32"/>
        </w:rPr>
        <w:t>25.住房保障（类）……（款）……（项）：指……</w:t>
      </w:r>
    </w:p>
    <w:p>
      <w:pPr>
        <w:spacing w:line="600" w:lineRule="exact"/>
        <w:ind w:firstLine="640"/>
        <w:rPr>
          <w:rFonts w:eastAsia="仿宋_GB2312" w:cs="仿宋_GB2312"/>
          <w:sz w:val="32"/>
          <w:szCs w:val="32"/>
        </w:rPr>
      </w:pPr>
      <w:r>
        <w:rPr>
          <w:rFonts w:hint="eastAsia" w:eastAsia="仿宋_GB2312" w:cs="仿宋_GB2312"/>
          <w:sz w:val="32"/>
          <w:szCs w:val="32"/>
        </w:rPr>
        <w:t>26.粮油物资储备（类）……（款）……（项）：指……</w:t>
      </w:r>
    </w:p>
    <w:p>
      <w:pPr>
        <w:spacing w:line="600" w:lineRule="exact"/>
        <w:ind w:firstLine="640"/>
        <w:rPr>
          <w:rFonts w:eastAsia="仿宋_GB2312" w:cs="仿宋_GB2312"/>
          <w:sz w:val="32"/>
          <w:szCs w:val="32"/>
        </w:rPr>
      </w:pPr>
      <w:r>
        <w:rPr>
          <w:rFonts w:hint="eastAsia" w:eastAsia="仿宋_GB2312" w:cs="仿宋_GB2312"/>
          <w:sz w:val="32"/>
          <w:szCs w:val="32"/>
        </w:rPr>
        <w:t>……</w:t>
      </w:r>
    </w:p>
    <w:p>
      <w:pPr>
        <w:spacing w:line="600" w:lineRule="exact"/>
        <w:ind w:firstLine="640"/>
        <w:rPr>
          <w:rFonts w:eastAsia="仿宋_GB2312" w:cs="仿宋_GB2312"/>
          <w:sz w:val="32"/>
          <w:szCs w:val="32"/>
        </w:rPr>
      </w:pPr>
      <w:r>
        <w:rPr>
          <w:rFonts w:hint="eastAsia" w:eastAsia="仿宋_GB2312" w:cs="仿宋_GB2312"/>
          <w:b/>
          <w:bCs/>
          <w:sz w:val="32"/>
          <w:szCs w:val="32"/>
        </w:rPr>
        <w:t>（注：解释本部门决算报表中涉及的全部功能分类科目至项级，不涉及的科目请自行删除。请参照《2025年政府收支分类科目》增减内容）</w:t>
      </w:r>
    </w:p>
    <w:p>
      <w:pPr>
        <w:spacing w:line="600" w:lineRule="exact"/>
        <w:ind w:firstLine="640"/>
        <w:rPr>
          <w:rFonts w:eastAsia="仿宋_GB2312" w:cs="仿宋_GB2312"/>
          <w:sz w:val="32"/>
          <w:szCs w:val="32"/>
        </w:rPr>
      </w:pPr>
      <w:r>
        <w:rPr>
          <w:rFonts w:hint="eastAsia" w:eastAsia="仿宋_GB2312" w:cs="仿宋_GB2312"/>
          <w:sz w:val="32"/>
          <w:szCs w:val="32"/>
        </w:rPr>
        <w:t>27.基本支出：指为保障机构正常运转、完成日常工作任务而发生的人员支出和公用支出。</w:t>
      </w:r>
    </w:p>
    <w:p>
      <w:pPr>
        <w:spacing w:line="600" w:lineRule="exact"/>
        <w:ind w:firstLine="640"/>
        <w:rPr>
          <w:rFonts w:eastAsia="仿宋_GB2312" w:cs="仿宋_GB2312"/>
          <w:sz w:val="32"/>
          <w:szCs w:val="32"/>
        </w:rPr>
      </w:pPr>
      <w:r>
        <w:rPr>
          <w:rFonts w:hint="eastAsia" w:eastAsia="仿宋_GB2312" w:cs="仿宋_GB2312"/>
          <w:sz w:val="32"/>
          <w:szCs w:val="32"/>
        </w:rPr>
        <w:t xml:space="preserve">28.项目支出：指在基本支出之外为完成特定行政任务和事业发展目标所发生的支出。 </w:t>
      </w:r>
    </w:p>
    <w:p>
      <w:pPr>
        <w:spacing w:line="600" w:lineRule="exact"/>
        <w:ind w:firstLine="640"/>
        <w:rPr>
          <w:rFonts w:eastAsia="仿宋_GB2312" w:cs="仿宋_GB2312"/>
          <w:sz w:val="32"/>
          <w:szCs w:val="32"/>
        </w:rPr>
      </w:pPr>
      <w:r>
        <w:rPr>
          <w:rFonts w:hint="eastAsia" w:eastAsia="仿宋_GB2312" w:cs="仿宋_GB2312"/>
          <w:sz w:val="32"/>
          <w:szCs w:val="32"/>
        </w:rPr>
        <w:t>29.经营支出：指事业单位在专业业务活动及其辅助活动之外开展非独立核算经营活动发生的支出。</w:t>
      </w:r>
    </w:p>
    <w:p>
      <w:pPr>
        <w:spacing w:line="600" w:lineRule="exact"/>
        <w:ind w:firstLine="640"/>
        <w:rPr>
          <w:rFonts w:eastAsia="仿宋_GB2312" w:cs="仿宋_GB2312"/>
          <w:sz w:val="32"/>
          <w:szCs w:val="32"/>
        </w:rPr>
      </w:pPr>
      <w:r>
        <w:rPr>
          <w:rFonts w:hint="eastAsia" w:eastAsia="仿宋_GB2312" w:cs="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eastAsia="仿宋_GB2312" w:cs="仿宋_GB2312"/>
          <w:sz w:val="32"/>
          <w:szCs w:val="32"/>
        </w:rPr>
      </w:pPr>
      <w:r>
        <w:rPr>
          <w:rFonts w:hint="eastAsia" w:eastAsia="仿宋_GB2312" w:cs="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eastAsia="仿宋_GB2312" w:cs="仿宋_GB2312"/>
          <w:sz w:val="32"/>
          <w:szCs w:val="32"/>
        </w:rPr>
      </w:pPr>
      <w:r>
        <w:rPr>
          <w:rFonts w:hint="eastAsia" w:eastAsia="仿宋_GB2312" w:cs="仿宋_GB2312"/>
          <w:sz w:val="32"/>
          <w:szCs w:val="32"/>
        </w:rPr>
        <w:t>32.……</w:t>
      </w:r>
    </w:p>
    <w:p>
      <w:pPr>
        <w:spacing w:line="600" w:lineRule="exact"/>
        <w:ind w:firstLine="640"/>
        <w:rPr>
          <w:rFonts w:eastAsia="仿宋_GB2312" w:cs="仿宋_GB2312"/>
          <w:b/>
          <w:bCs/>
          <w:sz w:val="32"/>
          <w:szCs w:val="32"/>
        </w:rPr>
      </w:pPr>
      <w:r>
        <w:rPr>
          <w:rFonts w:hint="eastAsia" w:eastAsia="仿宋_GB2312" w:cs="仿宋_GB2312"/>
          <w:b/>
          <w:bCs/>
          <w:sz w:val="32"/>
          <w:szCs w:val="32"/>
        </w:rPr>
        <w:t>（注：名词解释部分请根据各部门实际列支情况罗列，并根据本部门职责职能增减名词解释内容）</w:t>
      </w:r>
    </w:p>
    <w:p>
      <w:pPr>
        <w:spacing w:line="600" w:lineRule="exact"/>
        <w:jc w:val="center"/>
        <w:rPr>
          <w:rStyle w:val="29"/>
          <w:rFonts w:eastAsia="黑体"/>
          <w:b w:val="0"/>
        </w:rPr>
      </w:pPr>
      <w:bookmarkStart w:id="53" w:name="_Toc15377226"/>
      <w:r>
        <w:rPr>
          <w:rFonts w:hint="eastAsia" w:eastAsia="仿宋_GB2312" w:cs="仿宋_GB2312"/>
          <w:sz w:val="32"/>
          <w:szCs w:val="32"/>
        </w:rPr>
        <w:br w:type="page"/>
      </w:r>
      <w:bookmarkStart w:id="54" w:name="_Toc15396614"/>
      <w:r>
        <w:rPr>
          <w:rFonts w:hint="eastAsia" w:eastAsia="黑体"/>
          <w:sz w:val="44"/>
          <w:szCs w:val="44"/>
        </w:rPr>
        <w:t>第四部分  附件</w:t>
      </w:r>
      <w:bookmarkEnd w:id="54"/>
    </w:p>
    <w:p>
      <w:pPr>
        <w:spacing w:line="572" w:lineRule="exact"/>
        <w:jc w:val="left"/>
        <w:outlineLvl w:val="0"/>
        <w:rPr>
          <w:rFonts w:eastAsia="黑体" w:cs="黑体"/>
          <w:color w:val="FF0000"/>
          <w:sz w:val="32"/>
          <w:szCs w:val="32"/>
        </w:rPr>
      </w:pPr>
    </w:p>
    <w:p>
      <w:pPr>
        <w:spacing w:line="572" w:lineRule="exact"/>
        <w:jc w:val="left"/>
        <w:outlineLvl w:val="0"/>
        <w:rPr>
          <w:rFonts w:eastAsia="黑体" w:cs="方正小标宋简体"/>
          <w:sz w:val="44"/>
          <w:szCs w:val="44"/>
        </w:rPr>
      </w:pPr>
      <w:r>
        <w:rPr>
          <w:rFonts w:hint="eastAsia" w:eastAsia="黑体" w:cs="黑体"/>
          <w:sz w:val="32"/>
          <w:szCs w:val="32"/>
        </w:rPr>
        <w:t>附件1</w:t>
      </w:r>
    </w:p>
    <w:p>
      <w:pPr>
        <w:widowControl/>
        <w:spacing w:line="578" w:lineRule="exact"/>
        <w:contextualSpacing/>
        <w:jc w:val="center"/>
        <w:rPr>
          <w:rFonts w:eastAsia="方正小标宋简体"/>
          <w:bCs/>
          <w:sz w:val="44"/>
          <w:szCs w:val="44"/>
          <w:shd w:val="clear" w:color="auto" w:fill="FFFFFF"/>
        </w:rPr>
      </w:pPr>
    </w:p>
    <w:p>
      <w:pPr>
        <w:widowControl/>
        <w:spacing w:line="578" w:lineRule="exact"/>
        <w:contextualSpacing/>
        <w:jc w:val="center"/>
        <w:rPr>
          <w:rFonts w:eastAsia="方正小标宋简体"/>
          <w:bCs/>
          <w:sz w:val="44"/>
          <w:szCs w:val="44"/>
          <w:shd w:val="clear" w:color="auto" w:fill="FFFFFF"/>
        </w:rPr>
      </w:pPr>
      <w:r>
        <w:rPr>
          <w:rFonts w:eastAsia="方正小标宋简体"/>
          <w:bCs/>
          <w:sz w:val="44"/>
          <w:szCs w:val="44"/>
          <w:shd w:val="clear" w:color="auto" w:fill="FFFFFF"/>
        </w:rPr>
        <w:t>部门预算绩效</w:t>
      </w:r>
      <w:r>
        <w:rPr>
          <w:rFonts w:hint="eastAsia" w:eastAsia="方正小标宋简体"/>
          <w:bCs/>
          <w:sz w:val="44"/>
          <w:szCs w:val="44"/>
          <w:shd w:val="clear" w:color="auto" w:fill="FFFFFF"/>
        </w:rPr>
        <w:t>评价</w:t>
      </w:r>
      <w:r>
        <w:rPr>
          <w:rFonts w:eastAsia="方正小标宋简体"/>
          <w:bCs/>
          <w:sz w:val="44"/>
          <w:szCs w:val="44"/>
          <w:shd w:val="clear" w:color="auto" w:fill="FFFFFF"/>
        </w:rPr>
        <w:t>报告范本</w:t>
      </w:r>
    </w:p>
    <w:p>
      <w:pPr>
        <w:widowControl/>
        <w:spacing w:line="578" w:lineRule="exact"/>
        <w:contextualSpacing/>
        <w:jc w:val="center"/>
        <w:rPr>
          <w:rFonts w:eastAsia="仿宋_GB2312"/>
          <w:sz w:val="32"/>
          <w:szCs w:val="32"/>
          <w:shd w:val="clear" w:color="auto" w:fill="FFFFFF"/>
        </w:rPr>
      </w:pPr>
      <w:r>
        <w:rPr>
          <w:rFonts w:eastAsia="仿宋_GB2312"/>
          <w:sz w:val="32"/>
          <w:szCs w:val="32"/>
          <w:shd w:val="clear" w:color="auto" w:fill="FFFFFF"/>
        </w:rPr>
        <w:t>（报告范围包括机关和下属单位）</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hint="eastAsia" w:eastAsia="黑体"/>
          <w:color w:val="000000"/>
          <w:kern w:val="0"/>
          <w:sz w:val="32"/>
          <w:szCs w:val="32"/>
          <w:shd w:val="clear" w:color="auto" w:fill="FFFFFF"/>
          <w:lang w:val="zh-CN"/>
        </w:rPr>
        <w:t>一、</w:t>
      </w:r>
      <w:r>
        <w:rPr>
          <w:rFonts w:eastAsia="黑体"/>
          <w:color w:val="000000"/>
          <w:kern w:val="0"/>
          <w:sz w:val="32"/>
          <w:szCs w:val="32"/>
          <w:shd w:val="clear" w:color="auto" w:fill="FFFFFF"/>
          <w:lang w:val="zh-CN"/>
        </w:rPr>
        <w:t>部门（单位）基本情况</w:t>
      </w:r>
    </w:p>
    <w:p>
      <w:pPr>
        <w:widowControl/>
        <w:adjustRightInd w:val="0"/>
        <w:snapToGrid w:val="0"/>
        <w:spacing w:line="578" w:lineRule="exact"/>
        <w:ind w:firstLine="643" w:firstLineChars="200"/>
        <w:contextualSpacing/>
        <w:jc w:val="left"/>
        <w:rPr>
          <w:szCs w:val="32"/>
        </w:rPr>
      </w:pPr>
      <w:r>
        <w:rPr>
          <w:rFonts w:hint="eastAsia" w:eastAsia="楷体_GB2312" w:cs="楷体_GB2312"/>
          <w:b/>
          <w:sz w:val="32"/>
          <w:szCs w:val="32"/>
          <w:lang w:val="zh-CN"/>
        </w:rPr>
        <w:t>（一）</w:t>
      </w:r>
      <w:r>
        <w:rPr>
          <w:rFonts w:eastAsia="楷体_GB2312" w:cs="楷体_GB2312"/>
          <w:b/>
          <w:sz w:val="32"/>
          <w:szCs w:val="32"/>
          <w:lang w:val="zh-CN"/>
        </w:rPr>
        <w:t>机构组成。</w:t>
      </w:r>
      <w:r>
        <w:rPr>
          <w:rFonts w:hint="eastAsia" w:ascii="仿宋_GB2312" w:eastAsia="仿宋_GB2312"/>
          <w:sz w:val="32"/>
          <w:lang w:val="zh-CN"/>
        </w:rPr>
        <w:t>红原县</w:t>
      </w:r>
      <w:r>
        <w:rPr>
          <w:rFonts w:hint="eastAsia" w:ascii="仿宋_GB2312" w:eastAsia="仿宋_GB2312"/>
          <w:sz w:val="32"/>
        </w:rPr>
        <w:t>麦洼寺寺庙管理委员会</w:t>
      </w:r>
      <w:r>
        <w:rPr>
          <w:rFonts w:hint="eastAsia" w:ascii="仿宋_GB2312" w:eastAsia="仿宋_GB2312"/>
          <w:sz w:val="32"/>
          <w:lang w:val="zh-CN"/>
        </w:rPr>
        <w:t>是行政单位，执行行政单位会计制度，我</w:t>
      </w:r>
      <w:r>
        <w:rPr>
          <w:rFonts w:hint="eastAsia" w:ascii="仿宋_GB2312" w:eastAsia="仿宋_GB2312"/>
          <w:sz w:val="32"/>
        </w:rPr>
        <w:t>单位</w:t>
      </w:r>
      <w:r>
        <w:rPr>
          <w:rFonts w:hint="eastAsia" w:ascii="仿宋_GB2312" w:eastAsia="仿宋_GB2312"/>
          <w:sz w:val="32"/>
          <w:lang w:val="zh-CN"/>
        </w:rPr>
        <w:t>下属二级决算单位</w:t>
      </w:r>
      <w:r>
        <w:rPr>
          <w:rFonts w:hint="eastAsia" w:ascii="仿宋_GB2312" w:eastAsia="仿宋_GB2312"/>
          <w:sz w:val="32"/>
        </w:rPr>
        <w:t>0</w:t>
      </w:r>
      <w:r>
        <w:rPr>
          <w:rFonts w:hint="eastAsia" w:ascii="仿宋_GB2312" w:eastAsia="仿宋_GB2312"/>
          <w:sz w:val="32"/>
          <w:lang w:val="zh-CN"/>
        </w:rPr>
        <w:t>个，其中行政单位</w:t>
      </w:r>
      <w:r>
        <w:rPr>
          <w:rFonts w:hint="eastAsia" w:ascii="仿宋_GB2312" w:eastAsia="仿宋_GB2312"/>
          <w:sz w:val="32"/>
        </w:rPr>
        <w:t>0</w:t>
      </w:r>
      <w:r>
        <w:rPr>
          <w:rFonts w:hint="eastAsia" w:ascii="仿宋_GB2312" w:eastAsia="仿宋_GB2312"/>
          <w:sz w:val="32"/>
          <w:lang w:val="zh-CN"/>
        </w:rPr>
        <w:t>个，参照公务员法管理的事业单位</w:t>
      </w:r>
      <w:r>
        <w:rPr>
          <w:rFonts w:hint="eastAsia" w:ascii="仿宋_GB2312" w:eastAsia="仿宋_GB2312"/>
          <w:sz w:val="32"/>
        </w:rPr>
        <w:t>0</w:t>
      </w:r>
      <w:r>
        <w:rPr>
          <w:rFonts w:hint="eastAsia" w:ascii="仿宋_GB2312" w:eastAsia="仿宋_GB2312"/>
          <w:sz w:val="32"/>
          <w:lang w:val="zh-CN"/>
        </w:rPr>
        <w:t>个，其他事业单位0个，</w:t>
      </w:r>
      <w:r>
        <w:rPr>
          <w:rFonts w:ascii="仿宋_GB2312" w:eastAsia="仿宋_GB2312"/>
          <w:sz w:val="32"/>
          <w:lang w:val="zh-CN"/>
        </w:rPr>
        <w:t>是独立核算的机构</w:t>
      </w:r>
      <w:r>
        <w:rPr>
          <w:rFonts w:eastAsia="仿宋_GB2312" w:cs="仿宋_GB2312"/>
          <w:sz w:val="32"/>
          <w:szCs w:val="32"/>
        </w:rPr>
        <w:t>。</w:t>
      </w:r>
    </w:p>
    <w:p>
      <w:pPr>
        <w:pStyle w:val="15"/>
        <w:widowControl/>
        <w:numPr>
          <w:ilvl w:val="0"/>
          <w:numId w:val="0"/>
        </w:numPr>
        <w:shd w:val="clear" w:color="auto" w:fill="FFFFFF"/>
        <w:spacing w:before="0" w:beforeAutospacing="0" w:after="0" w:afterAutospacing="0" w:line="576" w:lineRule="exact"/>
        <w:ind w:firstLine="643" w:firstLineChars="200"/>
        <w:rPr>
          <w:rFonts w:eastAsia="仿宋_GB2312"/>
          <w:kern w:val="2"/>
          <w:sz w:val="32"/>
          <w:szCs w:val="32"/>
        </w:rPr>
      </w:pPr>
      <w:r>
        <w:rPr>
          <w:rFonts w:eastAsia="楷体_GB2312" w:cs="楷体_GB2312"/>
          <w:b/>
          <w:sz w:val="32"/>
          <w:szCs w:val="32"/>
          <w:lang w:val="zh-CN"/>
        </w:rPr>
        <w:t>（二）机构职能</w:t>
      </w:r>
      <w:r>
        <w:rPr>
          <w:rFonts w:hint="eastAsia" w:eastAsia="楷体_GB2312" w:cs="楷体_GB2312"/>
          <w:b/>
          <w:sz w:val="32"/>
          <w:szCs w:val="32"/>
          <w:lang w:val="zh-CN"/>
        </w:rPr>
        <w:t>。</w:t>
      </w:r>
      <w:r>
        <w:rPr>
          <w:rFonts w:hint="eastAsia" w:eastAsia="仿宋_GB2312"/>
          <w:kern w:val="2"/>
          <w:sz w:val="32"/>
          <w:szCs w:val="32"/>
        </w:rPr>
        <w:t>我管委会为县政府派出机构，受县政府委托，履行相应宗教事务管理执法权，业务上接收统战和宗教工作部门的指导和监督。</w:t>
      </w:r>
    </w:p>
    <w:p>
      <w:pPr>
        <w:pStyle w:val="15"/>
        <w:widowControl/>
        <w:shd w:val="clear" w:color="auto" w:fill="FFFFFF"/>
        <w:spacing w:before="0" w:beforeAutospacing="0" w:after="0" w:afterAutospacing="0" w:line="576" w:lineRule="exact"/>
        <w:ind w:firstLine="640" w:firstLineChars="200"/>
        <w:rPr>
          <w:rFonts w:eastAsia="仿宋_GB2312"/>
          <w:kern w:val="2"/>
          <w:sz w:val="32"/>
          <w:szCs w:val="32"/>
        </w:rPr>
      </w:pPr>
      <w:r>
        <w:rPr>
          <w:rFonts w:hint="eastAsia" w:eastAsia="仿宋_GB2312"/>
          <w:kern w:val="2"/>
          <w:sz w:val="32"/>
          <w:szCs w:val="32"/>
        </w:rPr>
        <w:t>依法管理宗教事务，加强寺庙管理，加强僧尼管理，加强宗教活动管理。</w:t>
      </w:r>
    </w:p>
    <w:p>
      <w:pPr>
        <w:pStyle w:val="15"/>
        <w:widowControl/>
        <w:shd w:val="clear" w:color="auto" w:fill="FFFFFF"/>
        <w:spacing w:before="0" w:beforeAutospacing="0" w:after="0" w:afterAutospacing="0" w:line="576" w:lineRule="exact"/>
        <w:ind w:firstLine="640" w:firstLineChars="200"/>
        <w:rPr>
          <w:rFonts w:eastAsia="仿宋_GB2312"/>
          <w:kern w:val="2"/>
          <w:sz w:val="32"/>
          <w:szCs w:val="32"/>
        </w:rPr>
      </w:pPr>
      <w:r>
        <w:rPr>
          <w:rFonts w:hint="eastAsia" w:eastAsia="仿宋_GB2312"/>
          <w:kern w:val="2"/>
          <w:sz w:val="32"/>
          <w:szCs w:val="32"/>
        </w:rPr>
        <w:t>教育引导，以增强僧尼法制意识、公民意识、政府议事、祖国意识为目标，坚持不懈加强对僧尼的教育引导。</w:t>
      </w:r>
    </w:p>
    <w:p>
      <w:pPr>
        <w:widowControl/>
        <w:adjustRightInd w:val="0"/>
        <w:snapToGrid w:val="0"/>
        <w:spacing w:line="578" w:lineRule="exact"/>
        <w:ind w:firstLine="640" w:firstLineChars="200"/>
        <w:contextualSpacing/>
        <w:jc w:val="left"/>
        <w:rPr>
          <w:rFonts w:eastAsia="楷体_GB2312"/>
          <w:b/>
          <w:bCs/>
          <w:color w:val="000000"/>
          <w:kern w:val="0"/>
          <w:szCs w:val="32"/>
          <w:shd w:val="clear" w:color="auto" w:fill="FFFFFF"/>
          <w:lang w:val="zh-CN"/>
        </w:rPr>
      </w:pPr>
      <w:r>
        <w:rPr>
          <w:rFonts w:hint="eastAsia" w:eastAsia="仿宋_GB2312"/>
          <w:sz w:val="32"/>
          <w:szCs w:val="32"/>
        </w:rPr>
        <w:t>公共服务，充分保障依法打击寺庙和持证僧尼的普惠性待遇，做到“五通”、“三有”、“三覆盖”。</w:t>
      </w:r>
    </w:p>
    <w:p>
      <w:pPr>
        <w:spacing w:line="600" w:lineRule="exact"/>
        <w:ind w:firstLine="643" w:firstLineChars="200"/>
        <w:rPr>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）人员概况</w:t>
      </w:r>
      <w:r>
        <w:rPr>
          <w:rFonts w:hint="eastAsia" w:eastAsia="楷体_GB2312"/>
          <w:b/>
          <w:bCs/>
          <w:color w:val="000000"/>
          <w:kern w:val="0"/>
          <w:sz w:val="32"/>
          <w:szCs w:val="32"/>
          <w:shd w:val="clear" w:color="auto" w:fill="FFFFFF"/>
          <w:lang w:val="zh-CN"/>
        </w:rPr>
        <w:t>。</w:t>
      </w:r>
      <w:r>
        <w:rPr>
          <w:rFonts w:eastAsia="仿宋_GB2312"/>
          <w:sz w:val="32"/>
          <w:szCs w:val="32"/>
        </w:rPr>
        <w:t>截至202</w:t>
      </w:r>
      <w:r>
        <w:rPr>
          <w:rFonts w:hint="eastAsia" w:eastAsia="仿宋_GB2312"/>
          <w:sz w:val="32"/>
          <w:szCs w:val="32"/>
        </w:rPr>
        <w:t>5</w:t>
      </w:r>
      <w:r>
        <w:rPr>
          <w:rFonts w:eastAsia="仿宋_GB2312"/>
          <w:sz w:val="32"/>
          <w:szCs w:val="32"/>
        </w:rPr>
        <w:t>年末，</w:t>
      </w:r>
      <w:r>
        <w:rPr>
          <w:rFonts w:hint="eastAsia" w:eastAsia="仿宋_GB2312"/>
          <w:sz w:val="32"/>
          <w:szCs w:val="32"/>
          <w:lang w:val="zh-CN"/>
        </w:rPr>
        <w:t>我</w:t>
      </w:r>
      <w:r>
        <w:rPr>
          <w:rFonts w:hint="eastAsia" w:eastAsia="仿宋_GB2312"/>
          <w:sz w:val="32"/>
          <w:szCs w:val="32"/>
        </w:rPr>
        <w:t>单位</w:t>
      </w:r>
      <w:r>
        <w:rPr>
          <w:rFonts w:hint="eastAsia" w:eastAsia="仿宋_GB2312"/>
          <w:sz w:val="32"/>
          <w:szCs w:val="32"/>
          <w:lang w:val="zh-CN"/>
        </w:rPr>
        <w:t>人事核定行政编制</w:t>
      </w:r>
      <w:r>
        <w:rPr>
          <w:rFonts w:hint="eastAsia" w:eastAsia="仿宋_GB2312"/>
          <w:sz w:val="32"/>
          <w:szCs w:val="32"/>
        </w:rPr>
        <w:t>10</w:t>
      </w:r>
      <w:r>
        <w:rPr>
          <w:rFonts w:hint="eastAsia" w:eastAsia="仿宋_GB2312"/>
          <w:sz w:val="32"/>
          <w:szCs w:val="32"/>
          <w:lang w:val="zh-CN"/>
        </w:rPr>
        <w:t>人，其中：行政工勤编制</w:t>
      </w:r>
      <w:r>
        <w:rPr>
          <w:rFonts w:hint="eastAsia" w:eastAsia="仿宋_GB2312"/>
          <w:sz w:val="32"/>
          <w:szCs w:val="32"/>
        </w:rPr>
        <w:t>0</w:t>
      </w:r>
      <w:r>
        <w:rPr>
          <w:rFonts w:hint="eastAsia" w:eastAsia="仿宋_GB2312"/>
          <w:sz w:val="32"/>
          <w:szCs w:val="32"/>
          <w:lang w:val="zh-CN"/>
        </w:rPr>
        <w:t>人。是独立核算的机构，是独立编报预算的单位。20</w:t>
      </w:r>
      <w:r>
        <w:rPr>
          <w:rFonts w:hint="eastAsia" w:eastAsia="仿宋_GB2312"/>
          <w:sz w:val="32"/>
          <w:szCs w:val="32"/>
        </w:rPr>
        <w:t>2</w:t>
      </w:r>
      <w:r>
        <w:rPr>
          <w:rFonts w:hint="eastAsia" w:eastAsia="仿宋_GB2312"/>
          <w:sz w:val="32"/>
          <w:szCs w:val="32"/>
          <w:lang w:val="en-US" w:eastAsia="zh-CN"/>
        </w:rPr>
        <w:t>5</w:t>
      </w:r>
      <w:r>
        <w:rPr>
          <w:rFonts w:hint="eastAsia" w:eastAsia="仿宋_GB2312"/>
          <w:sz w:val="32"/>
          <w:szCs w:val="32"/>
          <w:lang w:val="zh-CN"/>
        </w:rPr>
        <w:t>年年末在职行政人数</w:t>
      </w:r>
      <w:r>
        <w:rPr>
          <w:rFonts w:hint="eastAsia" w:eastAsia="仿宋_GB2312"/>
          <w:sz w:val="32"/>
          <w:szCs w:val="32"/>
          <w:lang w:val="en-US" w:eastAsia="zh-CN"/>
        </w:rPr>
        <w:t>9</w:t>
      </w:r>
      <w:r>
        <w:rPr>
          <w:rFonts w:hint="eastAsia" w:eastAsia="仿宋_GB2312"/>
          <w:sz w:val="32"/>
          <w:szCs w:val="32"/>
          <w:lang w:val="zh-CN"/>
        </w:rPr>
        <w:t>人，其中：行政工勤在职人数</w:t>
      </w:r>
      <w:r>
        <w:rPr>
          <w:rFonts w:hint="eastAsia" w:eastAsia="仿宋_GB2312"/>
          <w:sz w:val="32"/>
          <w:szCs w:val="32"/>
        </w:rPr>
        <w:t>0</w:t>
      </w:r>
      <w:r>
        <w:rPr>
          <w:rFonts w:hint="eastAsia" w:eastAsia="仿宋_GB2312"/>
          <w:sz w:val="32"/>
          <w:szCs w:val="32"/>
          <w:lang w:val="zh-CN"/>
        </w:rPr>
        <w:t>人。事业编制人数</w:t>
      </w:r>
      <w:r>
        <w:rPr>
          <w:rFonts w:hint="eastAsia" w:eastAsia="仿宋_GB2312"/>
          <w:sz w:val="32"/>
          <w:szCs w:val="32"/>
        </w:rPr>
        <w:t>0人，实有人数</w:t>
      </w:r>
      <w:r>
        <w:rPr>
          <w:rFonts w:hint="eastAsia" w:eastAsia="仿宋_GB2312"/>
          <w:sz w:val="32"/>
          <w:szCs w:val="32"/>
          <w:lang w:val="en-US" w:eastAsia="zh-CN"/>
        </w:rPr>
        <w:t>9</w:t>
      </w:r>
      <w:r>
        <w:rPr>
          <w:rFonts w:hint="eastAsia" w:eastAsia="仿宋_GB2312"/>
          <w:sz w:val="32"/>
          <w:szCs w:val="32"/>
        </w:rPr>
        <w:t>人。</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pPr>
        <w:ind w:firstLine="643" w:firstLineChars="200"/>
        <w:rPr>
          <w:rFonts w:eastAsia="楷体_GB2312"/>
          <w:b/>
          <w:bCs/>
          <w:color w:val="000000"/>
          <w:kern w:val="0"/>
          <w:szCs w:val="32"/>
          <w:shd w:val="clear" w:color="auto" w:fill="FFFFFF"/>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收入情况</w:t>
      </w:r>
      <w:r>
        <w:rPr>
          <w:rFonts w:eastAsia="楷体_GB2312"/>
          <w:b/>
          <w:bCs/>
          <w:color w:val="000000"/>
          <w:kern w:val="0"/>
          <w:sz w:val="32"/>
          <w:szCs w:val="32"/>
          <w:shd w:val="clear" w:color="auto" w:fill="FFFFFF"/>
          <w:lang w:val="zh-CN"/>
        </w:rPr>
        <w:t>。</w:t>
      </w:r>
      <w:r>
        <w:rPr>
          <w:rFonts w:hint="eastAsia" w:eastAsia="仿宋_GB2312" w:cs="仿宋_GB2312"/>
          <w:sz w:val="32"/>
          <w:szCs w:val="32"/>
          <w:lang w:val="zh-CN"/>
        </w:rPr>
        <w:t>本单位202</w:t>
      </w:r>
      <w:r>
        <w:rPr>
          <w:rFonts w:hint="eastAsia" w:eastAsia="仿宋_GB2312" w:cs="仿宋_GB2312"/>
          <w:sz w:val="32"/>
          <w:szCs w:val="32"/>
          <w:lang w:val="en-US" w:eastAsia="zh-CN"/>
        </w:rPr>
        <w:t>5</w:t>
      </w:r>
      <w:r>
        <w:rPr>
          <w:rFonts w:hint="eastAsia" w:eastAsia="仿宋_GB2312" w:cs="仿宋_GB2312"/>
          <w:sz w:val="32"/>
          <w:szCs w:val="32"/>
          <w:lang w:val="zh-CN"/>
        </w:rPr>
        <w:t>年收入全年预算数为</w:t>
      </w:r>
      <w:r>
        <w:rPr>
          <w:rFonts w:hint="eastAsia" w:eastAsia="仿宋_GB2312" w:cs="仿宋_GB2312"/>
          <w:sz w:val="32"/>
          <w:szCs w:val="32"/>
          <w:lang w:val="en-US" w:eastAsia="zh-CN"/>
        </w:rPr>
        <w:t>395.08</w:t>
      </w:r>
      <w:r>
        <w:rPr>
          <w:rFonts w:hint="eastAsia" w:eastAsia="仿宋_GB2312" w:cs="仿宋_GB2312"/>
          <w:sz w:val="32"/>
          <w:szCs w:val="32"/>
          <w:lang w:val="zh-CN"/>
        </w:rPr>
        <w:t>万元，收入决算数为</w:t>
      </w:r>
      <w:r>
        <w:rPr>
          <w:rFonts w:hint="eastAsia" w:eastAsia="仿宋_GB2312" w:cs="仿宋_GB2312"/>
          <w:sz w:val="32"/>
          <w:szCs w:val="32"/>
          <w:lang w:val="en-US" w:eastAsia="zh-CN"/>
        </w:rPr>
        <w:t>395.08</w:t>
      </w:r>
      <w:r>
        <w:rPr>
          <w:rFonts w:hint="eastAsia" w:eastAsia="仿宋_GB2312" w:cs="仿宋_GB2312"/>
          <w:sz w:val="32"/>
          <w:szCs w:val="32"/>
          <w:lang w:val="zh-CN"/>
        </w:rPr>
        <w:t>万元，预算完成度为100%。202</w:t>
      </w:r>
      <w:r>
        <w:rPr>
          <w:rFonts w:hint="eastAsia" w:eastAsia="仿宋_GB2312" w:cs="仿宋_GB2312"/>
          <w:sz w:val="32"/>
          <w:szCs w:val="32"/>
          <w:lang w:val="en-US" w:eastAsia="zh-CN"/>
        </w:rPr>
        <w:t>5</w:t>
      </w:r>
      <w:r>
        <w:rPr>
          <w:rFonts w:hint="eastAsia" w:eastAsia="仿宋_GB2312" w:cs="仿宋_GB2312"/>
          <w:sz w:val="32"/>
          <w:szCs w:val="32"/>
          <w:lang w:val="zh-CN"/>
        </w:rPr>
        <w:t>年总收入</w:t>
      </w:r>
      <w:r>
        <w:rPr>
          <w:rFonts w:hint="eastAsia" w:eastAsia="仿宋_GB2312" w:cs="仿宋_GB2312"/>
          <w:sz w:val="32"/>
          <w:szCs w:val="32"/>
          <w:lang w:val="en-US" w:eastAsia="zh-CN"/>
        </w:rPr>
        <w:t>395.08</w:t>
      </w:r>
      <w:r>
        <w:rPr>
          <w:rFonts w:hint="eastAsia" w:eastAsia="仿宋_GB2312" w:cs="仿宋_GB2312"/>
          <w:sz w:val="32"/>
          <w:szCs w:val="32"/>
          <w:lang w:val="zh-CN"/>
        </w:rPr>
        <w:t>万元，其中：财政拨款收入</w:t>
      </w:r>
      <w:r>
        <w:rPr>
          <w:rFonts w:hint="eastAsia" w:eastAsia="仿宋_GB2312" w:cs="仿宋_GB2312"/>
          <w:sz w:val="32"/>
          <w:szCs w:val="32"/>
          <w:lang w:val="en-US" w:eastAsia="zh-CN"/>
        </w:rPr>
        <w:t>395.08</w:t>
      </w:r>
      <w:r>
        <w:rPr>
          <w:rFonts w:hint="eastAsia" w:eastAsia="仿宋_GB2312" w:cs="仿宋_GB2312"/>
          <w:sz w:val="32"/>
          <w:szCs w:val="32"/>
          <w:lang w:val="zh-CN"/>
        </w:rPr>
        <w:t>万元，占100%。</w:t>
      </w:r>
    </w:p>
    <w:p>
      <w:pPr>
        <w:widowControl/>
        <w:adjustRightInd w:val="0"/>
        <w:snapToGrid w:val="0"/>
        <w:spacing w:line="578" w:lineRule="exact"/>
        <w:ind w:firstLine="643" w:firstLineChars="200"/>
        <w:contextualSpacing/>
        <w:jc w:val="left"/>
        <w:rPr>
          <w:szCs w:val="32"/>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二</w:t>
      </w: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支出情况</w:t>
      </w:r>
      <w:r>
        <w:rPr>
          <w:rFonts w:eastAsia="楷体_GB2312"/>
          <w:b/>
          <w:bCs/>
          <w:color w:val="000000"/>
          <w:kern w:val="0"/>
          <w:sz w:val="32"/>
          <w:szCs w:val="32"/>
          <w:shd w:val="clear" w:color="auto" w:fill="FFFFFF"/>
          <w:lang w:val="zh-CN"/>
        </w:rPr>
        <w:t>。</w:t>
      </w:r>
      <w:r>
        <w:rPr>
          <w:rFonts w:hint="eastAsia" w:eastAsia="仿宋_GB2312" w:cs="仿宋_GB2312"/>
          <w:sz w:val="32"/>
          <w:szCs w:val="32"/>
          <w:lang w:val="zh-CN"/>
        </w:rPr>
        <w:t>本单位202</w:t>
      </w:r>
      <w:r>
        <w:rPr>
          <w:rFonts w:hint="eastAsia" w:eastAsia="仿宋_GB2312" w:cs="仿宋_GB2312"/>
          <w:sz w:val="32"/>
          <w:szCs w:val="32"/>
          <w:lang w:val="en-US" w:eastAsia="zh-CN"/>
        </w:rPr>
        <w:t>5</w:t>
      </w:r>
      <w:r>
        <w:rPr>
          <w:rFonts w:hint="eastAsia" w:eastAsia="仿宋_GB2312" w:cs="仿宋_GB2312"/>
          <w:sz w:val="32"/>
          <w:szCs w:val="32"/>
          <w:lang w:val="zh-CN"/>
        </w:rPr>
        <w:t>年支出全年预算数为</w:t>
      </w:r>
      <w:r>
        <w:rPr>
          <w:rFonts w:hint="eastAsia" w:eastAsia="仿宋_GB2312" w:cs="仿宋_GB2312"/>
          <w:sz w:val="32"/>
          <w:szCs w:val="32"/>
          <w:lang w:val="en-US" w:eastAsia="zh-CN"/>
        </w:rPr>
        <w:t>395.08</w:t>
      </w:r>
      <w:r>
        <w:rPr>
          <w:rFonts w:hint="eastAsia" w:eastAsia="仿宋_GB2312" w:cs="仿宋_GB2312"/>
          <w:sz w:val="32"/>
          <w:szCs w:val="32"/>
          <w:lang w:val="zh-CN"/>
        </w:rPr>
        <w:t>万元，支出决算数为</w:t>
      </w:r>
      <w:r>
        <w:rPr>
          <w:rFonts w:hint="eastAsia" w:eastAsia="仿宋_GB2312" w:cs="仿宋_GB2312"/>
          <w:sz w:val="32"/>
          <w:szCs w:val="32"/>
          <w:lang w:val="en-US" w:eastAsia="zh-CN"/>
        </w:rPr>
        <w:t>395.08</w:t>
      </w:r>
      <w:r>
        <w:rPr>
          <w:rFonts w:hint="eastAsia" w:eastAsia="仿宋_GB2312" w:cs="仿宋_GB2312"/>
          <w:sz w:val="32"/>
          <w:szCs w:val="32"/>
          <w:lang w:val="zh-CN"/>
        </w:rPr>
        <w:t>万元，预算完成度为100%。202</w:t>
      </w:r>
      <w:r>
        <w:rPr>
          <w:rFonts w:hint="eastAsia" w:eastAsia="仿宋_GB2312" w:cs="仿宋_GB2312"/>
          <w:sz w:val="32"/>
          <w:szCs w:val="32"/>
          <w:lang w:val="en-US" w:eastAsia="zh-CN"/>
        </w:rPr>
        <w:t>5</w:t>
      </w:r>
      <w:r>
        <w:rPr>
          <w:rFonts w:hint="eastAsia" w:eastAsia="仿宋_GB2312" w:cs="仿宋_GB2312"/>
          <w:sz w:val="32"/>
          <w:szCs w:val="32"/>
          <w:lang w:val="zh-CN"/>
        </w:rPr>
        <w:t>年支出合计</w:t>
      </w:r>
      <w:r>
        <w:rPr>
          <w:rFonts w:hint="eastAsia" w:eastAsia="仿宋_GB2312" w:cs="仿宋_GB2312"/>
          <w:sz w:val="32"/>
          <w:szCs w:val="32"/>
          <w:lang w:val="en-US" w:eastAsia="zh-CN"/>
        </w:rPr>
        <w:t>395.08</w:t>
      </w:r>
      <w:r>
        <w:rPr>
          <w:rFonts w:hint="eastAsia" w:eastAsia="仿宋_GB2312" w:cs="仿宋_GB2312"/>
          <w:sz w:val="32"/>
          <w:szCs w:val="32"/>
          <w:lang w:val="zh-CN"/>
        </w:rPr>
        <w:t>万元，</w:t>
      </w:r>
      <w:r>
        <w:rPr>
          <w:rFonts w:hint="eastAsia" w:eastAsia="仿宋_GB2312"/>
          <w:sz w:val="32"/>
          <w:szCs w:val="32"/>
        </w:rPr>
        <w:t>。</w:t>
      </w:r>
    </w:p>
    <w:p>
      <w:pPr>
        <w:widowControl/>
        <w:adjustRightInd w:val="0"/>
        <w:snapToGrid w:val="0"/>
        <w:spacing w:line="578" w:lineRule="exact"/>
        <w:ind w:firstLine="643" w:firstLineChars="200"/>
        <w:contextualSpacing/>
        <w:jc w:val="left"/>
        <w:rPr>
          <w:rFonts w:eastAsia="仿宋_GB2312"/>
          <w:color w:val="000000"/>
          <w:kern w:val="0"/>
          <w:szCs w:val="32"/>
          <w:shd w:val="clear" w:color="auto" w:fill="FFFFFF"/>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）结余分配和结转结余情况</w:t>
      </w:r>
      <w:r>
        <w:rPr>
          <w:rFonts w:hint="eastAsia" w:eastAsia="楷体_GB2312"/>
          <w:b/>
          <w:bCs/>
          <w:color w:val="000000"/>
          <w:kern w:val="0"/>
          <w:sz w:val="32"/>
          <w:szCs w:val="32"/>
          <w:shd w:val="clear" w:color="auto" w:fill="FFFFFF"/>
          <w:lang w:val="zh-CN"/>
        </w:rPr>
        <w:t>。</w:t>
      </w:r>
      <w:r>
        <w:rPr>
          <w:rFonts w:hint="eastAsia" w:eastAsia="仿宋_GB2312" w:cs="仿宋_GB2312"/>
          <w:sz w:val="32"/>
          <w:szCs w:val="32"/>
        </w:rPr>
        <w:t>麦洼寺管委会</w:t>
      </w:r>
      <w:r>
        <w:rPr>
          <w:rFonts w:hint="eastAsia" w:eastAsia="仿宋_GB2312"/>
          <w:sz w:val="32"/>
          <w:szCs w:val="32"/>
        </w:rPr>
        <w:t>2025年</w:t>
      </w:r>
      <w:r>
        <w:rPr>
          <w:rFonts w:hint="eastAsia" w:eastAsia="仿宋_GB2312"/>
          <w:sz w:val="32"/>
        </w:rPr>
        <w:t>决算报表</w:t>
      </w:r>
      <w:r>
        <w:rPr>
          <w:rFonts w:eastAsia="仿宋_GB2312"/>
          <w:sz w:val="32"/>
        </w:rPr>
        <w:t>结转结余</w:t>
      </w:r>
      <w:r>
        <w:rPr>
          <w:rFonts w:hint="eastAsia" w:eastAsia="仿宋_GB2312"/>
          <w:sz w:val="32"/>
        </w:rPr>
        <w:t>为0元</w:t>
      </w:r>
      <w:r>
        <w:rPr>
          <w:rFonts w:eastAsia="仿宋_GB2312"/>
          <w:sz w:val="32"/>
          <w:szCs w:val="32"/>
        </w:rPr>
        <w:t>。</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pPr>
        <w:adjustRightInd w:val="0"/>
        <w:snapToGrid w:val="0"/>
        <w:spacing w:line="578" w:lineRule="exact"/>
        <w:ind w:firstLine="643" w:firstLineChars="200"/>
        <w:contextualSpacing/>
        <w:jc w:val="left"/>
        <w:rPr>
          <w:rFonts w:eastAsia="仿宋_GB2312" w:cs="仿宋_GB2312"/>
          <w:sz w:val="32"/>
          <w:szCs w:val="32"/>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总体绩效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，依次包括履职效能、预算管理、财务管理、资产管理、采购管理等情况。</w:t>
      </w:r>
    </w:p>
    <w:p>
      <w:pPr>
        <w:adjustRightInd w:val="0"/>
        <w:snapToGrid w:val="0"/>
        <w:spacing w:line="578" w:lineRule="exact"/>
        <w:ind w:firstLine="640" w:firstLineChars="200"/>
        <w:jc w:val="left"/>
        <w:rPr>
          <w:rFonts w:eastAsia="仿宋_GB2312"/>
          <w:sz w:val="32"/>
          <w:szCs w:val="32"/>
        </w:rPr>
      </w:pPr>
      <w:r>
        <w:rPr>
          <w:rFonts w:hint="eastAsia" w:eastAsia="仿宋_GB2312" w:cs="仿宋_GB2312"/>
          <w:sz w:val="32"/>
          <w:szCs w:val="32"/>
        </w:rPr>
        <w:t>1.</w:t>
      </w:r>
      <w:r>
        <w:rPr>
          <w:rFonts w:hint="eastAsia" w:eastAsia="仿宋_GB2312" w:cs="仿宋_GB2312"/>
          <w:sz w:val="32"/>
          <w:szCs w:val="32"/>
          <w:lang w:val="zh-CN"/>
        </w:rPr>
        <w:t>履职效能。</w:t>
      </w:r>
      <w:r>
        <w:rPr>
          <w:rFonts w:hint="eastAsia" w:eastAsia="仿宋_GB2312"/>
          <w:sz w:val="32"/>
          <w:szCs w:val="32"/>
        </w:rPr>
        <w:t>产出指标：数量指标，宣传资料发放数量，≥1000册，全年完成值应保尽保。</w:t>
      </w:r>
    </w:p>
    <w:p>
      <w:pPr>
        <w:adjustRightInd w:val="0"/>
        <w:snapToGrid w:val="0"/>
        <w:spacing w:line="578" w:lineRule="exact"/>
        <w:ind w:firstLine="640" w:firstLineChars="200"/>
        <w:jc w:val="left"/>
        <w:rPr>
          <w:rFonts w:eastAsia="仿宋_GB2312"/>
          <w:sz w:val="32"/>
          <w:szCs w:val="32"/>
        </w:rPr>
      </w:pPr>
      <w:r>
        <w:rPr>
          <w:rFonts w:hint="eastAsia" w:eastAsia="仿宋_GB2312"/>
          <w:sz w:val="32"/>
          <w:szCs w:val="32"/>
        </w:rPr>
        <w:t>效益指标：社会效益指标，推进寺庙管理法制化，定性指标，有效推进。</w:t>
      </w:r>
    </w:p>
    <w:p>
      <w:pPr>
        <w:adjustRightInd w:val="0"/>
        <w:snapToGrid w:val="0"/>
        <w:spacing w:line="578" w:lineRule="exact"/>
        <w:ind w:firstLine="640" w:firstLineChars="200"/>
        <w:jc w:val="left"/>
        <w:rPr>
          <w:rFonts w:eastAsia="仿宋_GB2312" w:cs="仿宋_GB2312"/>
          <w:sz w:val="32"/>
          <w:szCs w:val="32"/>
          <w:lang w:val="zh-CN"/>
        </w:rPr>
      </w:pPr>
      <w:r>
        <w:rPr>
          <w:rFonts w:hint="eastAsia" w:eastAsia="仿宋_GB2312"/>
          <w:sz w:val="32"/>
          <w:szCs w:val="32"/>
        </w:rPr>
        <w:t>满意度指标：服务对象满意度指标，寺庙僧人满意度，≥95%，全年完成值100%。</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2.</w:t>
      </w:r>
      <w:r>
        <w:rPr>
          <w:rFonts w:eastAsia="仿宋_GB2312" w:cs="仿宋_GB2312"/>
          <w:sz w:val="32"/>
          <w:szCs w:val="32"/>
          <w:lang w:val="zh-CN"/>
        </w:rPr>
        <w:t>预算管理</w:t>
      </w:r>
      <w:r>
        <w:rPr>
          <w:rFonts w:hint="eastAsia" w:eastAsia="仿宋_GB2312" w:cs="仿宋_GB2312"/>
          <w:sz w:val="32"/>
          <w:szCs w:val="32"/>
          <w:lang w:val="zh-CN"/>
        </w:rPr>
        <w:t>。</w:t>
      </w:r>
      <w:r>
        <w:rPr>
          <w:rFonts w:hint="eastAsia" w:eastAsia="仿宋_GB2312"/>
          <w:sz w:val="32"/>
          <w:szCs w:val="32"/>
          <w:lang w:val="zh-CN"/>
        </w:rPr>
        <w:t>实际收入与预算收入无差异，实际支出与预算支出无差异。所有应纳入预算的项目被涵盖</w:t>
      </w:r>
      <w:r>
        <w:rPr>
          <w:rFonts w:hint="eastAsia" w:eastAsia="仿宋_GB2312"/>
          <w:sz w:val="32"/>
          <w:szCs w:val="32"/>
        </w:rPr>
        <w:t>100%，预算分配与单位的年度总体目标相匹配。预算编制符合法律法规和内部政策制度</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eastAsia="仿宋_GB2312" w:cs="仿宋_GB2312"/>
          <w:sz w:val="32"/>
          <w:szCs w:val="32"/>
        </w:rPr>
        <w:t>3.</w:t>
      </w:r>
      <w:r>
        <w:rPr>
          <w:rFonts w:eastAsia="仿宋_GB2312" w:cs="仿宋_GB2312"/>
          <w:sz w:val="32"/>
          <w:szCs w:val="32"/>
          <w:lang w:val="zh-CN"/>
        </w:rPr>
        <w:t>财务管理</w:t>
      </w:r>
      <w:r>
        <w:rPr>
          <w:rFonts w:hint="eastAsia" w:eastAsia="仿宋_GB2312" w:cs="仿宋_GB2312"/>
          <w:sz w:val="32"/>
          <w:szCs w:val="32"/>
          <w:lang w:val="zh-CN"/>
        </w:rPr>
        <w:t>。</w:t>
      </w:r>
      <w:r>
        <w:rPr>
          <w:rFonts w:hint="eastAsia" w:ascii="仿宋" w:hAnsi="仿宋" w:eastAsia="仿宋" w:cs="仿宋"/>
          <w:color w:val="000000"/>
          <w:kern w:val="0"/>
          <w:sz w:val="32"/>
          <w:szCs w:val="32"/>
          <w:shd w:val="clear" w:color="auto" w:fill="FFFFFF"/>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A</w:t>
      </w:r>
      <w:r>
        <w:rPr>
          <w:rFonts w:hint="eastAsia" w:ascii="仿宋" w:hAnsi="仿宋" w:eastAsia="仿宋" w:cs="仿宋"/>
          <w:color w:val="000000"/>
          <w:kern w:val="0"/>
          <w:sz w:val="32"/>
          <w:szCs w:val="32"/>
          <w:shd w:val="clear" w:color="auto" w:fill="FFFFFF"/>
          <w:lang w:val="zh-CN"/>
        </w:rPr>
        <w:t>、明确了记账人员与审批人员、经办人员的职责权限，使其相互分离、相互制约，以明确责任，防止舞弊，各项业务事项得以有序进行。</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B</w:t>
      </w:r>
      <w:r>
        <w:rPr>
          <w:rFonts w:hint="eastAsia" w:ascii="仿宋" w:hAnsi="仿宋" w:eastAsia="仿宋" w:cs="仿宋"/>
          <w:color w:val="000000"/>
          <w:kern w:val="0"/>
          <w:sz w:val="32"/>
          <w:szCs w:val="32"/>
          <w:shd w:val="clear" w:color="auto" w:fill="FFFFFF"/>
          <w:lang w:val="zh-CN"/>
        </w:rPr>
        <w:t>、明确了财务收支审批程序和审批人的权限和责任，规范了各项资金的使用，提高了资金使用效益。</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C</w:t>
      </w:r>
      <w:r>
        <w:rPr>
          <w:rFonts w:hint="eastAsia" w:ascii="仿宋" w:hAnsi="仿宋" w:eastAsia="仿宋" w:cs="仿宋"/>
          <w:color w:val="000000"/>
          <w:kern w:val="0"/>
          <w:sz w:val="32"/>
          <w:szCs w:val="32"/>
          <w:shd w:val="clear" w:color="auto" w:fill="FFFFFF"/>
          <w:lang w:val="zh-CN"/>
        </w:rPr>
        <w:t>、明确经费支出的范围和开支标准，采取各种有效措施控制经费开支，杜绝了浪费现象的发生。</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ascii="仿宋" w:hAnsi="仿宋" w:eastAsia="仿宋" w:cs="仿宋"/>
          <w:color w:val="000000"/>
          <w:kern w:val="0"/>
          <w:sz w:val="32"/>
          <w:shd w:val="clear" w:color="auto" w:fill="FFFFFF"/>
        </w:rPr>
        <w:t>D</w:t>
      </w:r>
      <w:r>
        <w:rPr>
          <w:rFonts w:hint="eastAsia" w:ascii="仿宋" w:hAnsi="仿宋" w:eastAsia="仿宋" w:cs="仿宋"/>
          <w:color w:val="000000"/>
          <w:kern w:val="0"/>
          <w:sz w:val="32"/>
          <w:shd w:val="clear" w:color="auto" w:fill="FFFFFF"/>
          <w:lang w:val="zh-CN"/>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eastAsia="仿宋_GB2312" w:cs="仿宋_GB2312"/>
          <w:sz w:val="32"/>
          <w:szCs w:val="32"/>
        </w:rPr>
        <w:t>4.</w:t>
      </w:r>
      <w:r>
        <w:rPr>
          <w:rFonts w:eastAsia="仿宋_GB2312" w:cs="仿宋_GB2312"/>
          <w:sz w:val="32"/>
          <w:szCs w:val="32"/>
          <w:lang w:val="zh-CN"/>
        </w:rPr>
        <w:t>资产管理</w:t>
      </w:r>
      <w:r>
        <w:rPr>
          <w:rFonts w:hint="eastAsia" w:eastAsia="仿宋_GB2312" w:cs="仿宋_GB2312"/>
          <w:sz w:val="32"/>
          <w:szCs w:val="32"/>
          <w:lang w:val="zh-CN"/>
        </w:rPr>
        <w:t>。</w:t>
      </w:r>
      <w:r>
        <w:rPr>
          <w:rFonts w:hint="eastAsia" w:ascii="仿宋" w:hAnsi="仿宋" w:eastAsia="仿宋" w:cs="仿宋"/>
          <w:color w:val="000000"/>
          <w:kern w:val="0"/>
          <w:sz w:val="32"/>
          <w:szCs w:val="32"/>
          <w:shd w:val="clear" w:color="auto" w:fill="FFFFFF"/>
          <w:lang w:val="zh-CN"/>
        </w:rPr>
        <w:t>人均资产变化率：无变化。</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资产利用率：</w:t>
      </w:r>
      <w:r>
        <w:rPr>
          <w:rFonts w:hint="eastAsia" w:ascii="仿宋" w:hAnsi="仿宋" w:eastAsia="仿宋" w:cs="仿宋"/>
          <w:color w:val="000000"/>
          <w:kern w:val="0"/>
          <w:sz w:val="32"/>
          <w:szCs w:val="32"/>
          <w:shd w:val="clear" w:color="auto" w:fill="FFFFFF"/>
        </w:rPr>
        <w:t>100%。</w:t>
      </w:r>
    </w:p>
    <w:p>
      <w:pPr>
        <w:adjustRightInd w:val="0"/>
        <w:snapToGrid w:val="0"/>
        <w:spacing w:line="578" w:lineRule="exact"/>
        <w:ind w:firstLine="640" w:firstLineChars="200"/>
        <w:contextualSpacing/>
        <w:jc w:val="left"/>
        <w:rPr>
          <w:rFonts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资产盘活率：</w:t>
      </w:r>
      <w:r>
        <w:rPr>
          <w:rFonts w:hint="eastAsia" w:ascii="仿宋" w:hAnsi="仿宋" w:eastAsia="仿宋" w:cs="仿宋"/>
          <w:color w:val="000000"/>
          <w:kern w:val="0"/>
          <w:sz w:val="32"/>
          <w:szCs w:val="32"/>
          <w:shd w:val="clear" w:color="auto" w:fill="FFFFFF"/>
        </w:rPr>
        <w:t>95%。</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ascii="仿宋" w:hAnsi="仿宋" w:eastAsia="仿宋" w:cs="仿宋"/>
          <w:color w:val="000000"/>
          <w:kern w:val="0"/>
          <w:sz w:val="32"/>
          <w:szCs w:val="32"/>
          <w:shd w:val="clear" w:color="auto" w:fill="FFFFFF"/>
          <w:lang w:val="zh-CN"/>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5.</w:t>
      </w:r>
      <w:r>
        <w:rPr>
          <w:rFonts w:eastAsia="仿宋_GB2312" w:cs="仿宋_GB2312"/>
          <w:sz w:val="32"/>
          <w:szCs w:val="32"/>
          <w:lang w:val="zh-CN"/>
        </w:rPr>
        <w:t>采购管理</w:t>
      </w:r>
      <w:r>
        <w:rPr>
          <w:rFonts w:hint="eastAsia" w:eastAsia="仿宋_GB2312" w:cs="仿宋_GB2312"/>
          <w:sz w:val="32"/>
          <w:szCs w:val="32"/>
          <w:lang w:val="zh-CN"/>
        </w:rPr>
        <w:t>。</w:t>
      </w:r>
      <w:r>
        <w:rPr>
          <w:rFonts w:hint="eastAsia" w:ascii="Times New Roman" w:eastAsia="仿宋_GB2312"/>
          <w:sz w:val="32"/>
        </w:rPr>
        <w:t>本单位无采购</w:t>
      </w:r>
    </w:p>
    <w:p>
      <w:pPr>
        <w:adjustRightInd w:val="0"/>
        <w:snapToGrid w:val="0"/>
        <w:spacing w:line="578" w:lineRule="exact"/>
        <w:ind w:firstLine="643" w:firstLineChars="200"/>
        <w:contextualSpacing/>
        <w:rPr>
          <w:rFonts w:eastAsia="仿宋_GB2312" w:cs="仿宋_GB2312"/>
          <w:sz w:val="32"/>
          <w:szCs w:val="32"/>
        </w:rPr>
      </w:pPr>
      <w:r>
        <w:rPr>
          <w:rFonts w:eastAsia="楷体_GB2312"/>
          <w:b/>
          <w:bCs/>
          <w:color w:val="000000"/>
          <w:kern w:val="0"/>
          <w:sz w:val="32"/>
          <w:szCs w:val="32"/>
          <w:shd w:val="clear" w:color="auto" w:fill="FFFFFF"/>
          <w:lang w:val="zh-CN"/>
        </w:rPr>
        <w:t>（二）部门预算项目绩效分析。</w:t>
      </w:r>
      <w:r>
        <w:rPr>
          <w:rFonts w:hint="eastAsia" w:eastAsia="仿宋_GB2312" w:cs="仿宋_GB2312"/>
          <w:sz w:val="32"/>
          <w:szCs w:val="32"/>
          <w:lang w:val="zh-CN"/>
        </w:rPr>
        <w:t>填报以下数据，并</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项目绩效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，依次包括项目</w:t>
      </w:r>
      <w:r>
        <w:rPr>
          <w:rFonts w:eastAsia="仿宋_GB2312" w:cs="仿宋_GB2312"/>
          <w:sz w:val="32"/>
          <w:szCs w:val="32"/>
        </w:rPr>
        <w:t>决策、项目执行、目标实现等情况</w:t>
      </w:r>
      <w:r>
        <w:rPr>
          <w:rFonts w:hint="eastAsia" w:eastAsia="仿宋_GB2312" w:cs="仿宋_GB2312"/>
          <w:sz w:val="32"/>
          <w:szCs w:val="32"/>
        </w:rPr>
        <w:t>。</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w:t>
      </w:r>
      <w:r>
        <w:rPr>
          <w:rFonts w:hint="eastAsia" w:eastAsia="仿宋_GB2312" w:cs="仿宋_GB2312"/>
          <w:sz w:val="32"/>
          <w:szCs w:val="32"/>
        </w:rPr>
        <w:t>麦洼寺管委会</w:t>
      </w:r>
      <w:r>
        <w:rPr>
          <w:rFonts w:eastAsia="仿宋_GB2312" w:cs="仿宋_GB2312"/>
          <w:sz w:val="32"/>
          <w:szCs w:val="32"/>
          <w:lang w:val="zh-CN"/>
        </w:rPr>
        <w:t>个，涉及预算总金额</w:t>
      </w:r>
      <w:r>
        <w:rPr>
          <w:rFonts w:hint="eastAsia" w:eastAsia="仿宋_GB2312" w:cs="仿宋_GB2312"/>
          <w:sz w:val="32"/>
          <w:szCs w:val="32"/>
        </w:rPr>
        <w:t>麦洼寺管委会</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麦洼寺管委会</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麦洼寺管委会</w:t>
      </w:r>
      <w:r>
        <w:rPr>
          <w:rFonts w:eastAsia="仿宋_GB2312" w:cs="仿宋_GB2312"/>
          <w:sz w:val="32"/>
          <w:szCs w:val="32"/>
          <w:lang w:val="zh-CN"/>
        </w:rPr>
        <w:t>个。</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w:t>
      </w:r>
      <w:r>
        <w:rPr>
          <w:rFonts w:hint="eastAsia" w:eastAsia="仿宋_GB2312" w:cs="仿宋_GB2312"/>
          <w:sz w:val="32"/>
          <w:szCs w:val="32"/>
        </w:rPr>
        <w:t>麦洼寺管委会</w:t>
      </w:r>
      <w:r>
        <w:rPr>
          <w:rFonts w:eastAsia="仿宋_GB2312" w:cs="仿宋_GB2312"/>
          <w:sz w:val="32"/>
          <w:szCs w:val="32"/>
          <w:lang w:val="zh-CN"/>
        </w:rPr>
        <w:t>个，涉及预算总金额</w:t>
      </w:r>
      <w:r>
        <w:rPr>
          <w:rFonts w:hint="eastAsia" w:eastAsia="仿宋_GB2312" w:cs="仿宋_GB2312"/>
          <w:sz w:val="32"/>
          <w:szCs w:val="32"/>
        </w:rPr>
        <w:t>麦洼寺管委会</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麦洼寺管委会</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麦洼寺管委会</w:t>
      </w:r>
      <w:r>
        <w:rPr>
          <w:rFonts w:eastAsia="仿宋_GB2312" w:cs="仿宋_GB2312"/>
          <w:sz w:val="32"/>
          <w:szCs w:val="32"/>
          <w:lang w:val="zh-CN"/>
        </w:rPr>
        <w:t>个。</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项目决策。围绕决策程序、目标设置、项目入库</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2.项目执行</w:t>
      </w:r>
      <w:r>
        <w:rPr>
          <w:rFonts w:hint="eastAsia" w:eastAsia="仿宋_GB2312" w:cs="仿宋_GB2312"/>
          <w:sz w:val="32"/>
          <w:szCs w:val="32"/>
          <w:lang w:val="zh-CN"/>
        </w:rPr>
        <w:t>。围绕资金执行同向、项目调整、执行结果</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3.</w:t>
      </w:r>
      <w:r>
        <w:rPr>
          <w:rFonts w:hint="eastAsia" w:eastAsia="仿宋_GB2312" w:cs="仿宋_GB2312"/>
          <w:sz w:val="32"/>
          <w:szCs w:val="32"/>
          <w:lang w:val="zh-CN"/>
        </w:rPr>
        <w:t>目标实现。围绕目标完成、目标偏离、实现效果</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rPr>
          <w:rFonts w:eastAsia="仿宋_GB2312" w:cs="仿宋_GB2312"/>
          <w:sz w:val="32"/>
          <w:szCs w:val="32"/>
        </w:rPr>
      </w:pPr>
      <w:r>
        <w:rPr>
          <w:rFonts w:eastAsia="仿宋_GB2312" w:cs="仿宋_GB2312"/>
          <w:sz w:val="32"/>
          <w:szCs w:val="32"/>
        </w:rPr>
        <w:t>省级部门对</w:t>
      </w:r>
      <w:r>
        <w:rPr>
          <w:rFonts w:hint="eastAsia" w:eastAsia="仿宋_GB2312" w:cs="仿宋_GB2312"/>
          <w:sz w:val="32"/>
          <w:szCs w:val="32"/>
        </w:rPr>
        <w:t>2025年度</w:t>
      </w:r>
      <w:r>
        <w:rPr>
          <w:rFonts w:eastAsia="仿宋_GB2312" w:cs="仿宋_GB2312"/>
          <w:sz w:val="32"/>
          <w:szCs w:val="32"/>
        </w:rPr>
        <w:t>一般公共预算、政府性基金预算、国有资本经营预算安排的常年项目、阶段项目绩效目标完成情况，以及债券资金、政府购买服务有关情况进行梳理阐述</w:t>
      </w:r>
      <w:r>
        <w:rPr>
          <w:rFonts w:hint="eastAsia" w:eastAsia="仿宋_GB2312" w:cs="仿宋_GB2312"/>
          <w:sz w:val="32"/>
          <w:szCs w:val="32"/>
        </w:rPr>
        <w:t>。</w:t>
      </w:r>
    </w:p>
    <w:p>
      <w:pPr>
        <w:adjustRightInd w:val="0"/>
        <w:snapToGrid w:val="0"/>
        <w:spacing w:line="578" w:lineRule="exact"/>
        <w:ind w:firstLine="643" w:firstLineChars="200"/>
        <w:contextualSpacing/>
        <w:rPr>
          <w:rFonts w:eastAsia="仿宋_GB2312" w:cs="仿宋_GB2312"/>
          <w:sz w:val="32"/>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rPr>
        <w:t>三</w:t>
      </w:r>
      <w:r>
        <w:rPr>
          <w:rFonts w:eastAsia="楷体_GB2312"/>
          <w:b/>
          <w:bCs/>
          <w:color w:val="000000"/>
          <w:kern w:val="0"/>
          <w:sz w:val="32"/>
          <w:szCs w:val="32"/>
          <w:shd w:val="clear" w:color="auto" w:fill="FFFFFF"/>
          <w:lang w:val="zh-CN"/>
        </w:rPr>
        <w:t>）绩效结果应用情况</w:t>
      </w:r>
      <w:r>
        <w:rPr>
          <w:rFonts w:hint="eastAsia" w:eastAsia="楷体_GB2312"/>
          <w:b/>
          <w:bCs/>
          <w:color w:val="000000"/>
          <w:kern w:val="0"/>
          <w:sz w:val="32"/>
          <w:szCs w:val="32"/>
          <w:shd w:val="clear" w:color="auto" w:fill="FFFFFF"/>
          <w:lang w:val="zh-CN"/>
        </w:rPr>
        <w:t>。</w:t>
      </w:r>
      <w:r>
        <w:rPr>
          <w:rFonts w:hint="eastAsia" w:eastAsia="仿宋_GB2312"/>
          <w:sz w:val="32"/>
          <w:szCs w:val="32"/>
          <w:lang w:val="zh-CN"/>
        </w:rPr>
        <w:t>我</w:t>
      </w:r>
      <w:r>
        <w:rPr>
          <w:rFonts w:hint="eastAsia" w:eastAsia="仿宋_GB2312"/>
          <w:sz w:val="32"/>
          <w:szCs w:val="32"/>
        </w:rPr>
        <w:t>单位</w:t>
      </w:r>
      <w:r>
        <w:rPr>
          <w:rFonts w:hint="eastAsia" w:eastAsia="仿宋_GB2312"/>
          <w:sz w:val="32"/>
          <w:szCs w:val="32"/>
          <w:lang w:val="zh-CN"/>
        </w:rPr>
        <w:t>部门绩效结果应用到了下一年的绩效目标设定与调整。根据支出预决算，为下一年度的预算提供了基础预算数据。优化了</w:t>
      </w:r>
      <w:r>
        <w:rPr>
          <w:rFonts w:hint="eastAsia" w:eastAsia="仿宋_GB2312"/>
          <w:sz w:val="32"/>
          <w:szCs w:val="32"/>
        </w:rPr>
        <w:t>单位</w:t>
      </w:r>
      <w:r>
        <w:rPr>
          <w:rFonts w:hint="eastAsia" w:eastAsia="仿宋_GB2312"/>
          <w:sz w:val="32"/>
          <w:szCs w:val="32"/>
          <w:lang w:val="zh-CN"/>
        </w:rPr>
        <w:t>资金的使用率。保障了机关日常正常运转，专项资金保障了</w:t>
      </w:r>
      <w:r>
        <w:rPr>
          <w:rFonts w:hint="eastAsia" w:eastAsia="仿宋_GB2312"/>
          <w:sz w:val="32"/>
          <w:szCs w:val="32"/>
        </w:rPr>
        <w:t>宗教事务管理</w:t>
      </w:r>
      <w:r>
        <w:rPr>
          <w:rFonts w:hint="eastAsia" w:eastAsia="仿宋_GB2312"/>
          <w:sz w:val="32"/>
          <w:szCs w:val="32"/>
          <w:lang w:val="zh-CN"/>
        </w:rPr>
        <w:t>，同时在维护少数民族地区的社会稳定，提高人民生活水平，改善人民生活质量等方面有着极其重要的意义，有力促进了社会和谐发展，为全县经济发展作出了应有的贡献，</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年预算及决算已在政府信息公开网站进行了公开。</w:t>
      </w:r>
      <w:r>
        <w:rPr>
          <w:rFonts w:hint="eastAsia" w:eastAsia="仿宋_GB2312" w:cs="仿宋_GB2312"/>
          <w:sz w:val="32"/>
          <w:szCs w:val="32"/>
          <w:lang w:val="zh-CN"/>
        </w:rPr>
        <w:t>。</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四、评价结论及建议</w:t>
      </w:r>
    </w:p>
    <w:p>
      <w:pPr>
        <w:ind w:firstLine="643" w:firstLineChars="200"/>
        <w:rPr>
          <w:rFonts w:ascii="楷体_GB2312" w:eastAsia="楷体_GB2312"/>
          <w:b/>
          <w:sz w:val="32"/>
          <w:szCs w:val="32"/>
        </w:rPr>
      </w:pPr>
      <w:r>
        <w:rPr>
          <w:rFonts w:hint="eastAsia" w:ascii="楷体_GB2312" w:eastAsia="楷体_GB2312"/>
          <w:b/>
          <w:sz w:val="32"/>
          <w:szCs w:val="32"/>
        </w:rPr>
        <w:t>一）评价结论。</w:t>
      </w:r>
    </w:p>
    <w:p>
      <w:pPr>
        <w:adjustRightInd w:val="0"/>
        <w:snapToGrid w:val="0"/>
        <w:spacing w:line="578" w:lineRule="exact"/>
        <w:ind w:firstLine="640" w:firstLineChars="200"/>
        <w:contextualSpacing/>
        <w:jc w:val="left"/>
        <w:rPr>
          <w:rFonts w:eastAsia="仿宋_GB2312"/>
          <w:sz w:val="32"/>
          <w:szCs w:val="32"/>
          <w:lang w:val="zh-CN"/>
        </w:rPr>
      </w:pPr>
      <w:r>
        <w:rPr>
          <w:rFonts w:hint="eastAsia" w:eastAsia="仿宋_GB2312"/>
          <w:sz w:val="32"/>
          <w:szCs w:val="32"/>
          <w:lang w:val="zh-CN"/>
        </w:rPr>
        <w:t>我</w:t>
      </w:r>
      <w:r>
        <w:rPr>
          <w:rFonts w:hint="eastAsia" w:eastAsia="仿宋_GB2312"/>
          <w:sz w:val="32"/>
          <w:szCs w:val="32"/>
        </w:rPr>
        <w:t>单位</w:t>
      </w:r>
      <w:r>
        <w:rPr>
          <w:rFonts w:hint="eastAsia" w:eastAsia="仿宋_GB2312"/>
          <w:sz w:val="32"/>
          <w:szCs w:val="32"/>
          <w:lang w:val="zh-CN"/>
        </w:rPr>
        <w:t>部门支出预算，保障了机关日常正常运转，专项资金保障了</w:t>
      </w:r>
      <w:r>
        <w:rPr>
          <w:rFonts w:hint="eastAsia" w:eastAsia="仿宋_GB2312"/>
          <w:sz w:val="32"/>
          <w:szCs w:val="32"/>
        </w:rPr>
        <w:t>宗教事务管理</w:t>
      </w:r>
      <w:r>
        <w:rPr>
          <w:rFonts w:hint="eastAsia" w:eastAsia="仿宋_GB2312"/>
          <w:sz w:val="32"/>
          <w:szCs w:val="32"/>
          <w:lang w:val="zh-CN"/>
        </w:rPr>
        <w:t>，同时在维护少数民族地区的社会稳定，提高人民生活水平，改善人民生活质量等方面有着极其重要的意义，有力促进了社会和谐发展，为全县及乡镇的经济发展作出了应有的贡献，部门整体支出绩效自评等级为优秀。</w:t>
      </w:r>
    </w:p>
    <w:p>
      <w:pPr>
        <w:numPr>
          <w:ilvl w:val="0"/>
          <w:numId w:val="2"/>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存在问题。</w:t>
      </w:r>
    </w:p>
    <w:p>
      <w:pPr>
        <w:autoSpaceDE w:val="0"/>
        <w:spacing w:line="560" w:lineRule="exact"/>
        <w:ind w:firstLine="640" w:firstLineChars="200"/>
        <w:jc w:val="left"/>
        <w:rPr>
          <w:rFonts w:ascii="仿宋_GB2312" w:hAnsi="仿宋" w:eastAsia="仿宋_GB2312" w:cs="仿宋_GB2312"/>
          <w:color w:val="000000"/>
          <w:kern w:val="0"/>
          <w:sz w:val="32"/>
          <w:szCs w:val="32"/>
          <w:lang w:val="zh-CN"/>
        </w:rPr>
      </w:pPr>
      <w:r>
        <w:rPr>
          <w:rFonts w:hint="eastAsia" w:eastAsia="仿宋_GB2312"/>
          <w:sz w:val="32"/>
          <w:szCs w:val="32"/>
        </w:rPr>
        <w:t>由于财政支出的多样性和复杂性，绩效评价指标体系设置难度大，即使可以量化，但实际操作中很多项目间缺乏可比性且指标本身也在逐步变化，需要逐步完善。</w:t>
      </w:r>
      <w:r>
        <w:rPr>
          <w:rFonts w:hint="eastAsia" w:eastAsia="仿宋_GB2312"/>
          <w:sz w:val="32"/>
          <w:szCs w:val="32"/>
        </w:rPr>
        <w:br w:type="textWrapping"/>
      </w:r>
      <w:r>
        <w:rPr>
          <w:rFonts w:hint="eastAsia" w:eastAsia="仿宋_GB2312"/>
          <w:sz w:val="32"/>
          <w:szCs w:val="32"/>
        </w:rPr>
        <w:t xml:space="preserve">    在平时工作推进过程中，缺乏技术人员进行专业指导及培训，工作推进存在一定困难，预算编制还需更加精准。</w:t>
      </w:r>
    </w:p>
    <w:p>
      <w:pPr>
        <w:numPr>
          <w:ilvl w:val="0"/>
          <w:numId w:val="2"/>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改进建议。</w:t>
      </w:r>
    </w:p>
    <w:p>
      <w:pPr>
        <w:autoSpaceDE w:val="0"/>
        <w:spacing w:line="560" w:lineRule="exact"/>
        <w:ind w:firstLine="640" w:firstLineChars="200"/>
        <w:jc w:val="left"/>
        <w:rPr>
          <w:rFonts w:ascii="仿宋_GB2312" w:hAnsi="仿宋" w:eastAsia="仿宋_GB2312" w:cs="仿宋_GB2312"/>
          <w:color w:val="000000"/>
          <w:kern w:val="0"/>
          <w:sz w:val="32"/>
          <w:szCs w:val="32"/>
        </w:rPr>
      </w:pPr>
      <w:r>
        <w:rPr>
          <w:rFonts w:hint="eastAsia" w:ascii="仿宋_GB2312" w:hAnsi="仿宋" w:eastAsia="仿宋_GB2312" w:cs="仿宋_GB2312"/>
          <w:color w:val="000000"/>
          <w:kern w:val="0"/>
          <w:sz w:val="32"/>
          <w:szCs w:val="32"/>
        </w:rPr>
        <w:t>1.通过各种途径加强绩效管理学习，科学合理编制预算，严格执行预算。</w:t>
      </w:r>
    </w:p>
    <w:p>
      <w:pPr>
        <w:ind w:firstLine="640" w:firstLineChars="200"/>
        <w:rPr>
          <w:rFonts w:eastAsia="仿宋_GB2312"/>
          <w:sz w:val="32"/>
          <w:szCs w:val="32"/>
          <w:lang w:val="zh-CN"/>
        </w:rPr>
      </w:pPr>
      <w:r>
        <w:rPr>
          <w:rFonts w:hint="eastAsia" w:ascii="仿宋_GB2312" w:hAnsi="仿宋" w:eastAsia="仿宋_GB2312" w:cs="仿宋_GB2312"/>
          <w:color w:val="000000"/>
          <w:kern w:val="0"/>
          <w:sz w:val="32"/>
          <w:szCs w:val="32"/>
        </w:rPr>
        <w:t>2.规范账务处理，提高财务信息质量。</w:t>
      </w:r>
    </w:p>
    <w:p>
      <w:pPr>
        <w:pStyle w:val="3"/>
        <w:spacing w:line="560" w:lineRule="exact"/>
        <w:ind w:left="0" w:leftChars="0" w:firstLine="640"/>
        <w:rPr>
          <w:rFonts w:ascii="Times New Roman" w:eastAsia="仿宋_GB2312"/>
          <w:sz w:val="32"/>
          <w:lang w:val="zh-CN"/>
        </w:rPr>
      </w:pPr>
    </w:p>
    <w:p>
      <w:pPr>
        <w:pStyle w:val="3"/>
        <w:spacing w:line="560" w:lineRule="exact"/>
        <w:ind w:left="0" w:leftChars="0" w:firstLine="640"/>
        <w:rPr>
          <w:rFonts w:ascii="Times New Roman" w:eastAsia="仿宋_GB2312"/>
          <w:sz w:val="32"/>
          <w:lang w:val="zh-CN"/>
        </w:rPr>
      </w:pPr>
      <w:r>
        <w:rPr>
          <w:rFonts w:hint="eastAsia" w:ascii="Times New Roman" w:eastAsia="仿宋_GB2312"/>
          <w:sz w:val="32"/>
          <w:lang w:val="zh-CN"/>
        </w:rPr>
        <w:t>附表：</w:t>
      </w:r>
      <w:r>
        <w:rPr>
          <w:rFonts w:hint="eastAsia" w:ascii="Times New Roman" w:eastAsia="仿宋_GB2312"/>
          <w:sz w:val="32"/>
        </w:rPr>
        <w:t>部门预算项目支出绩效自评表（2025年度）</w:t>
      </w:r>
    </w:p>
    <w:tbl>
      <w:tblPr>
        <w:tblStyle w:val="16"/>
        <w:tblW w:w="8280" w:type="dxa"/>
        <w:tblInd w:w="0" w:type="dxa"/>
        <w:tblLayout w:type="fixed"/>
        <w:tblCellMar>
          <w:top w:w="15" w:type="dxa"/>
          <w:left w:w="15" w:type="dxa"/>
          <w:bottom w:w="15" w:type="dxa"/>
          <w:right w:w="15" w:type="dxa"/>
        </w:tblCellMar>
      </w:tblPr>
      <w:tblGrid>
        <w:gridCol w:w="389"/>
        <w:gridCol w:w="664"/>
        <w:gridCol w:w="912"/>
        <w:gridCol w:w="664"/>
        <w:gridCol w:w="1029"/>
        <w:gridCol w:w="1523"/>
        <w:gridCol w:w="1419"/>
        <w:gridCol w:w="1680"/>
      </w:tblGrid>
      <w:tr>
        <w:tblPrEx>
          <w:tblLayout w:type="fixed"/>
          <w:tblCellMar>
            <w:top w:w="15" w:type="dxa"/>
            <w:left w:w="15" w:type="dxa"/>
            <w:bottom w:w="15" w:type="dxa"/>
            <w:right w:w="15" w:type="dxa"/>
          </w:tblCellMar>
        </w:tblPrEx>
        <w:trPr>
          <w:trHeight w:val="732" w:hRule="atLeast"/>
        </w:trPr>
        <w:tc>
          <w:tcPr>
            <w:tcW w:w="8280"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940" w:hRule="atLeast"/>
        </w:trPr>
        <w:tc>
          <w:tcPr>
            <w:tcW w:w="1965"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6315"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仿宋_GB2312" w:hAnsi="仿宋_GB2312" w:eastAsia="仿宋_GB2312" w:cs="仿宋_GB2312"/>
                <w:sz w:val="32"/>
                <w:szCs w:val="32"/>
              </w:rPr>
              <w:t>寺庙办公经费、生活补助、三员经费、尼姑寺卫生费</w:t>
            </w:r>
          </w:p>
        </w:tc>
      </w:tr>
      <w:tr>
        <w:tblPrEx>
          <w:tblLayout w:type="fixed"/>
          <w:tblCellMar>
            <w:top w:w="15" w:type="dxa"/>
            <w:left w:w="15" w:type="dxa"/>
            <w:bottom w:w="15" w:type="dxa"/>
            <w:right w:w="15" w:type="dxa"/>
          </w:tblCellMar>
        </w:tblPrEx>
        <w:trPr>
          <w:trHeight w:val="360" w:hRule="atLeast"/>
        </w:trPr>
        <w:tc>
          <w:tcPr>
            <w:tcW w:w="1965"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6315" w:type="dxa"/>
            <w:gridSpan w:val="5"/>
            <w:tcBorders>
              <w:top w:val="single" w:color="000000" w:sz="4" w:space="0"/>
              <w:left w:val="single" w:color="000000" w:sz="4" w:space="0"/>
              <w:bottom w:val="single" w:color="000000" w:sz="4" w:space="0"/>
              <w:right w:val="single" w:color="000000" w:sz="4" w:space="0"/>
            </w:tcBorders>
            <w:vAlign w:val="center"/>
          </w:tcPr>
          <w:p>
            <w:pPr>
              <w:ind w:firstLine="1687" w:firstLineChars="700"/>
              <w:rPr>
                <w:rFonts w:ascii="宋体" w:cs="宋体"/>
                <w:b/>
                <w:color w:val="000000"/>
                <w:sz w:val="24"/>
              </w:rPr>
            </w:pPr>
            <w:r>
              <w:rPr>
                <w:rFonts w:hint="eastAsia" w:ascii="宋体" w:hAnsi="宋体" w:cs="宋体"/>
                <w:b/>
                <w:color w:val="000000"/>
                <w:sz w:val="24"/>
              </w:rPr>
              <w:t>红原县麦洼寺寺庙管理委员会</w:t>
            </w:r>
          </w:p>
        </w:tc>
      </w:tr>
      <w:tr>
        <w:tblPrEx>
          <w:tblLayout w:type="fixed"/>
          <w:tblCellMar>
            <w:top w:w="15" w:type="dxa"/>
            <w:left w:w="15" w:type="dxa"/>
            <w:bottom w:w="15" w:type="dxa"/>
            <w:right w:w="15" w:type="dxa"/>
          </w:tblCellMar>
        </w:tblPrEx>
        <w:trPr>
          <w:trHeight w:val="360" w:hRule="atLeast"/>
        </w:trPr>
        <w:tc>
          <w:tcPr>
            <w:tcW w:w="3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57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69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eastAsia="宋体" w:cs="宋体"/>
                <w:b/>
                <w:color w:val="000000"/>
                <w:sz w:val="24"/>
                <w:lang w:val="en-US" w:eastAsia="zh-CN"/>
              </w:rPr>
            </w:pPr>
            <w:r>
              <w:rPr>
                <w:rFonts w:hint="eastAsia" w:ascii="宋体" w:cs="宋体"/>
                <w:b/>
                <w:color w:val="000000"/>
                <w:sz w:val="24"/>
                <w:lang w:val="en-US" w:eastAsia="zh-CN"/>
              </w:rPr>
              <w:t>36.86</w:t>
            </w:r>
          </w:p>
        </w:tc>
        <w:tc>
          <w:tcPr>
            <w:tcW w:w="15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09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宋体" w:cs="宋体"/>
                <w:b/>
                <w:color w:val="000000"/>
                <w:sz w:val="24"/>
                <w:lang w:val="en-US" w:eastAsia="zh-CN"/>
              </w:rPr>
              <w:t>36.86</w:t>
            </w:r>
          </w:p>
        </w:tc>
      </w:tr>
      <w:tr>
        <w:tblPrEx>
          <w:tblLayout w:type="fixed"/>
          <w:tblCellMar>
            <w:top w:w="15" w:type="dxa"/>
            <w:left w:w="15" w:type="dxa"/>
            <w:bottom w:w="15" w:type="dxa"/>
            <w:right w:w="15" w:type="dxa"/>
          </w:tblCellMar>
        </w:tblPrEx>
        <w:trPr>
          <w:trHeight w:val="36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57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69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宋体" w:cs="宋体"/>
                <w:b/>
                <w:color w:val="000000"/>
                <w:sz w:val="24"/>
                <w:lang w:val="en-US" w:eastAsia="zh-CN"/>
              </w:rPr>
              <w:t>36.86</w:t>
            </w:r>
          </w:p>
        </w:tc>
        <w:tc>
          <w:tcPr>
            <w:tcW w:w="15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09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宋体" w:cs="宋体"/>
                <w:b/>
                <w:color w:val="000000"/>
                <w:sz w:val="24"/>
                <w:lang w:val="en-US" w:eastAsia="zh-CN"/>
              </w:rPr>
              <w:t>36.86</w:t>
            </w:r>
          </w:p>
        </w:tc>
      </w:tr>
      <w:tr>
        <w:tblPrEx>
          <w:tblLayout w:type="fixed"/>
          <w:tblCellMar>
            <w:top w:w="15" w:type="dxa"/>
            <w:left w:w="15" w:type="dxa"/>
            <w:bottom w:w="15" w:type="dxa"/>
            <w:right w:w="15" w:type="dxa"/>
          </w:tblCellMar>
        </w:tblPrEx>
        <w:trPr>
          <w:trHeight w:val="918"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57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69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p>
        </w:tc>
        <w:tc>
          <w:tcPr>
            <w:tcW w:w="152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p>
        </w:tc>
        <w:tc>
          <w:tcPr>
            <w:tcW w:w="309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p>
        </w:tc>
      </w:tr>
      <w:tr>
        <w:tblPrEx>
          <w:tblLayout w:type="fixed"/>
          <w:tblCellMar>
            <w:top w:w="15" w:type="dxa"/>
            <w:left w:w="15" w:type="dxa"/>
            <w:bottom w:w="15" w:type="dxa"/>
            <w:right w:w="15" w:type="dxa"/>
          </w:tblCellMar>
        </w:tblPrEx>
        <w:trPr>
          <w:trHeight w:val="360" w:hRule="atLeast"/>
        </w:trPr>
        <w:tc>
          <w:tcPr>
            <w:tcW w:w="3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24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预期目标</w:t>
            </w:r>
          </w:p>
        </w:tc>
        <w:tc>
          <w:tcPr>
            <w:tcW w:w="5651"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实际完成目标</w:t>
            </w:r>
          </w:p>
        </w:tc>
      </w:tr>
      <w:tr>
        <w:tblPrEx>
          <w:tblLayout w:type="fixed"/>
          <w:tblCellMar>
            <w:top w:w="15" w:type="dxa"/>
            <w:left w:w="15" w:type="dxa"/>
            <w:bottom w:w="15" w:type="dxa"/>
            <w:right w:w="15" w:type="dxa"/>
          </w:tblCellMar>
        </w:tblPrEx>
        <w:trPr>
          <w:trHeight w:val="1804"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24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kern w:val="0"/>
                <w:sz w:val="20"/>
                <w:szCs w:val="20"/>
              </w:rPr>
            </w:pPr>
            <w:r>
              <w:rPr>
                <w:rFonts w:hint="eastAsia" w:ascii="仿宋_GB2312" w:hAnsi="仿宋_GB2312" w:eastAsia="仿宋_GB2312" w:cs="仿宋_GB2312"/>
                <w:sz w:val="24"/>
              </w:rPr>
              <w:t>促进民管会成员工作积极性，保障寺庙工作开展。</w:t>
            </w:r>
          </w:p>
        </w:tc>
        <w:tc>
          <w:tcPr>
            <w:tcW w:w="5651"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仿宋_GB2312" w:eastAsia="仿宋_GB2312" w:cs="仿宋_GB2312"/>
                <w:sz w:val="24"/>
              </w:rPr>
            </w:pPr>
            <w:r>
              <w:rPr>
                <w:rFonts w:hint="eastAsia" w:ascii="仿宋_GB2312" w:hAnsi="仿宋_GB2312" w:eastAsia="仿宋_GB2312" w:cs="仿宋_GB2312"/>
                <w:sz w:val="24"/>
              </w:rPr>
              <w:t>促进民管会成员工作积极性，保障寺庙工作开展。</w:t>
            </w:r>
          </w:p>
        </w:tc>
      </w:tr>
      <w:tr>
        <w:tblPrEx>
          <w:tblLayout w:type="fixed"/>
          <w:tblCellMar>
            <w:top w:w="15" w:type="dxa"/>
            <w:left w:w="15" w:type="dxa"/>
            <w:bottom w:w="15" w:type="dxa"/>
            <w:right w:w="15" w:type="dxa"/>
          </w:tblCellMar>
        </w:tblPrEx>
        <w:trPr>
          <w:trHeight w:val="680" w:hRule="atLeast"/>
        </w:trPr>
        <w:tc>
          <w:tcPr>
            <w:tcW w:w="3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6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91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6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552"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41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68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552"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41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8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552"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41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8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99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社会满意效益100%</w:t>
            </w:r>
          </w:p>
        </w:tc>
        <w:tc>
          <w:tcPr>
            <w:tcW w:w="1680"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hAnsi="宋体" w:cs="宋体"/>
                <w:color w:val="000000"/>
                <w:kern w:val="0"/>
                <w:sz w:val="20"/>
                <w:szCs w:val="20"/>
              </w:rPr>
            </w:pPr>
            <w:r>
              <w:rPr>
                <w:rFonts w:hint="eastAsia" w:ascii="宋?" w:cs="宋?"/>
                <w:kern w:val="0"/>
                <w:sz w:val="20"/>
                <w:szCs w:val="20"/>
              </w:rPr>
              <w:t>社会满意效益100%</w:t>
            </w:r>
          </w:p>
        </w:tc>
      </w:tr>
      <w:tr>
        <w:tblPrEx>
          <w:tblLayout w:type="fixed"/>
          <w:tblCellMar>
            <w:top w:w="15" w:type="dxa"/>
            <w:left w:w="15" w:type="dxa"/>
            <w:bottom w:w="15" w:type="dxa"/>
            <w:right w:w="15" w:type="dxa"/>
          </w:tblCellMar>
        </w:tblPrEx>
        <w:trPr>
          <w:trHeight w:val="701"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99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r>
      <w:tr>
        <w:tblPrEx>
          <w:tblLayout w:type="fixed"/>
          <w:tblCellMar>
            <w:top w:w="15" w:type="dxa"/>
            <w:left w:w="15" w:type="dxa"/>
            <w:bottom w:w="15" w:type="dxa"/>
            <w:right w:w="15" w:type="dxa"/>
          </w:tblCellMar>
        </w:tblPrEx>
        <w:trPr>
          <w:trHeight w:val="99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符合</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36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是</w:t>
            </w:r>
          </w:p>
        </w:tc>
      </w:tr>
      <w:tr>
        <w:tblPrEx>
          <w:tblLayout w:type="fixed"/>
          <w:tblCellMar>
            <w:top w:w="15" w:type="dxa"/>
            <w:left w:w="15" w:type="dxa"/>
            <w:bottom w:w="15" w:type="dxa"/>
            <w:right w:w="15" w:type="dxa"/>
          </w:tblCellMar>
        </w:tblPrEx>
        <w:trPr>
          <w:trHeight w:val="80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r>
      <w:tr>
        <w:tblPrEx>
          <w:tblLayout w:type="fixed"/>
          <w:tblCellMar>
            <w:top w:w="15" w:type="dxa"/>
            <w:left w:w="15" w:type="dxa"/>
            <w:bottom w:w="15" w:type="dxa"/>
            <w:right w:w="15" w:type="dxa"/>
          </w:tblCellMar>
        </w:tblPrEx>
        <w:trPr>
          <w:trHeight w:val="886"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24"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r>
      <w:tr>
        <w:tblPrEx>
          <w:tblLayout w:type="fixed"/>
          <w:tblCellMar>
            <w:top w:w="15" w:type="dxa"/>
            <w:left w:w="15" w:type="dxa"/>
            <w:bottom w:w="15" w:type="dxa"/>
            <w:right w:w="15" w:type="dxa"/>
          </w:tblCellMar>
        </w:tblPrEx>
        <w:trPr>
          <w:trHeight w:val="131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029"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523"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r>
      <w:tr>
        <w:tblPrEx>
          <w:tblLayout w:type="fixed"/>
          <w:tblCellMar>
            <w:top w:w="15" w:type="dxa"/>
            <w:left w:w="15" w:type="dxa"/>
            <w:bottom w:w="15" w:type="dxa"/>
            <w:right w:w="15" w:type="dxa"/>
          </w:tblCellMar>
        </w:tblPrEx>
        <w:trPr>
          <w:trHeight w:val="2278"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029"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523"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224"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4"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916"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未出现更改</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cs="宋体"/>
                <w:color w:val="000000"/>
                <w:sz w:val="20"/>
                <w:szCs w:val="20"/>
              </w:rPr>
              <w:t>未出现更改</w:t>
            </w:r>
          </w:p>
        </w:tc>
      </w:tr>
      <w:tr>
        <w:tblPrEx>
          <w:tblLayout w:type="fixed"/>
          <w:tblCellMar>
            <w:top w:w="15" w:type="dxa"/>
            <w:left w:w="15" w:type="dxa"/>
            <w:bottom w:w="15" w:type="dxa"/>
            <w:right w:w="15" w:type="dxa"/>
          </w:tblCellMar>
        </w:tblPrEx>
        <w:trPr>
          <w:trHeight w:val="824"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cs="宋?"/>
                <w:kern w:val="0"/>
                <w:sz w:val="20"/>
                <w:szCs w:val="20"/>
              </w:rPr>
              <w:t>100%</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99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100%</w:t>
            </w:r>
          </w:p>
        </w:tc>
      </w:tr>
      <w:tr>
        <w:tblPrEx>
          <w:tblLayout w:type="fixed"/>
          <w:tblCellMar>
            <w:top w:w="15" w:type="dxa"/>
            <w:left w:w="15" w:type="dxa"/>
            <w:bottom w:w="15" w:type="dxa"/>
            <w:right w:w="15" w:type="dxa"/>
          </w:tblCellMar>
        </w:tblPrEx>
        <w:trPr>
          <w:trHeight w:val="680"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99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补助标准</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 w:hAnsi="宋?" w:cs="宋?"/>
                <w:sz w:val="20"/>
                <w:szCs w:val="20"/>
              </w:rPr>
              <w:t>补助标准</w:t>
            </w:r>
          </w:p>
        </w:tc>
      </w:tr>
      <w:tr>
        <w:tblPrEx>
          <w:tblLayout w:type="fixed"/>
          <w:tblCellMar>
            <w:top w:w="15" w:type="dxa"/>
            <w:left w:w="15" w:type="dxa"/>
            <w:bottom w:w="15" w:type="dxa"/>
            <w:right w:w="15" w:type="dxa"/>
          </w:tblCellMar>
        </w:tblPrEx>
        <w:trPr>
          <w:trHeight w:val="131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仿宋_GB2312" w:hAnsi="仿宋_GB2312" w:eastAsia="仿宋_GB2312" w:cs="仿宋_GB2312"/>
                <w:sz w:val="24"/>
              </w:rPr>
              <w:t>促进民管会成员工作积极性，保障寺庙工作开展。</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仿宋_GB2312" w:hAnsi="仿宋_GB2312" w:eastAsia="仿宋_GB2312" w:cs="仿宋_GB2312"/>
                <w:sz w:val="24"/>
              </w:rPr>
              <w:t>促进民管会成员工作积极性，保障寺庙工作开展。</w:t>
            </w:r>
          </w:p>
        </w:tc>
      </w:tr>
      <w:tr>
        <w:tblPrEx>
          <w:tblLayout w:type="fixed"/>
          <w:tblCellMar>
            <w:top w:w="15" w:type="dxa"/>
            <w:left w:w="15" w:type="dxa"/>
            <w:bottom w:w="15" w:type="dxa"/>
            <w:right w:w="15" w:type="dxa"/>
          </w:tblCellMar>
        </w:tblPrEx>
        <w:trPr>
          <w:trHeight w:val="1319"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6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552"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仿宋_GB2312" w:hAnsi="仿宋_GB2312" w:eastAsia="仿宋_GB2312" w:cs="仿宋_GB2312"/>
                <w:sz w:val="24"/>
              </w:rPr>
              <w:t>促进民管会成员工作积极性，保障寺庙工作开展。</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left"/>
              <w:rPr>
                <w:rFonts w:ascii="宋体" w:cs="宋体"/>
                <w:color w:val="000000"/>
                <w:sz w:val="20"/>
                <w:szCs w:val="20"/>
              </w:rPr>
            </w:pPr>
            <w:r>
              <w:rPr>
                <w:rFonts w:hint="eastAsia" w:ascii="仿宋_GB2312" w:hAnsi="仿宋_GB2312" w:eastAsia="仿宋_GB2312" w:cs="仿宋_GB2312"/>
                <w:sz w:val="24"/>
              </w:rPr>
              <w:t>促进民管会成员工作积极性，保障寺庙工作开展。</w:t>
            </w:r>
          </w:p>
        </w:tc>
      </w:tr>
      <w:tr>
        <w:tblPrEx>
          <w:tblLayout w:type="fixed"/>
          <w:tblCellMar>
            <w:top w:w="15" w:type="dxa"/>
            <w:left w:w="15" w:type="dxa"/>
            <w:bottom w:w="15" w:type="dxa"/>
            <w:right w:w="15" w:type="dxa"/>
          </w:tblCellMar>
        </w:tblPrEx>
        <w:trPr>
          <w:trHeight w:val="1157" w:hRule="atLeast"/>
        </w:trPr>
        <w:tc>
          <w:tcPr>
            <w:tcW w:w="3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6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91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6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5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419"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680"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pStyle w:val="3"/>
        <w:spacing w:line="560" w:lineRule="exact"/>
        <w:ind w:left="0" w:leftChars="0" w:firstLine="0" w:firstLineChars="0"/>
        <w:rPr>
          <w:rFonts w:ascii="Times New Roman"/>
          <w:sz w:val="32"/>
          <w:highlight w:val="yellow"/>
          <w:lang w:val="zh-CN"/>
        </w:rPr>
      </w:pPr>
      <w:bookmarkStart w:id="69" w:name="_GoBack"/>
      <w:bookmarkEnd w:id="69"/>
    </w:p>
    <w:p>
      <w:pPr>
        <w:pStyle w:val="8"/>
        <w:spacing w:before="93"/>
        <w:rPr>
          <w:rFonts w:ascii="Times New Roman" w:cs="宋体"/>
          <w:color w:val="FF0000"/>
          <w:sz w:val="32"/>
          <w:szCs w:val="32"/>
          <w:highlight w:val="yellow"/>
          <w:shd w:val="clear" w:color="auto" w:fill="FFFFFF"/>
          <w:lang w:val="zh-CN"/>
        </w:rPr>
      </w:pPr>
    </w:p>
    <w:p>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pPr>
        <w:widowControl/>
        <w:jc w:val="center"/>
        <w:rPr>
          <w:rFonts w:eastAsia="仿宋"/>
        </w:rPr>
      </w:pPr>
      <w:bookmarkStart w:id="55" w:name="_Toc15396618"/>
      <w:r>
        <w:rPr>
          <w:rFonts w:hint="eastAsia" w:eastAsia="黑体"/>
          <w:sz w:val="44"/>
          <w:szCs w:val="44"/>
        </w:rPr>
        <w:t>第</w:t>
      </w:r>
      <w:r>
        <w:rPr>
          <w:rStyle w:val="29"/>
          <w:rFonts w:hint="eastAsia" w:eastAsia="黑体"/>
          <w:b w:val="0"/>
        </w:rPr>
        <w:t>五部分 附表</w:t>
      </w:r>
      <w:bookmarkEnd w:id="53"/>
      <w:bookmarkEnd w:id="55"/>
      <w:bookmarkStart w:id="56" w:name="_Toc15396619"/>
    </w:p>
    <w:p>
      <w:pPr>
        <w:pStyle w:val="14"/>
        <w:adjustRightInd w:val="0"/>
        <w:snapToGrid w:val="0"/>
        <w:spacing w:line="560" w:lineRule="exact"/>
        <w:jc w:val="left"/>
        <w:rPr>
          <w:rFonts w:eastAsia="仿宋_GB2312" w:cs="仿宋_GB2312"/>
          <w:sz w:val="32"/>
          <w:szCs w:val="32"/>
        </w:rPr>
      </w:pPr>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6"/>
    </w:p>
    <w:p>
      <w:pPr>
        <w:pStyle w:val="14"/>
        <w:adjustRightInd w:val="0"/>
        <w:snapToGrid w:val="0"/>
        <w:spacing w:line="560" w:lineRule="exact"/>
        <w:jc w:val="left"/>
        <w:rPr>
          <w:rFonts w:eastAsia="仿宋_GB2312" w:cs="仿宋_GB2312"/>
          <w:sz w:val="32"/>
          <w:szCs w:val="32"/>
        </w:rPr>
      </w:pPr>
      <w:bookmarkStart w:id="57" w:name="_Toc15396620"/>
      <w:r>
        <w:rPr>
          <w:rFonts w:hint="eastAsia" w:eastAsia="仿宋_GB2312" w:cs="仿宋_GB2312"/>
          <w:sz w:val="32"/>
          <w:szCs w:val="32"/>
        </w:rPr>
        <w:t>二、收入决算表</w:t>
      </w:r>
      <w:bookmarkEnd w:id="57"/>
    </w:p>
    <w:p>
      <w:pPr>
        <w:pStyle w:val="14"/>
        <w:adjustRightInd w:val="0"/>
        <w:snapToGrid w:val="0"/>
        <w:spacing w:line="560" w:lineRule="exact"/>
        <w:jc w:val="left"/>
        <w:rPr>
          <w:rFonts w:eastAsia="仿宋_GB2312" w:cs="仿宋_GB2312"/>
          <w:sz w:val="32"/>
          <w:szCs w:val="32"/>
        </w:rPr>
      </w:pPr>
      <w:bookmarkStart w:id="58" w:name="_Toc15396621"/>
      <w:r>
        <w:rPr>
          <w:rFonts w:hint="eastAsia" w:eastAsia="仿宋_GB2312" w:cs="仿宋_GB2312"/>
          <w:sz w:val="32"/>
          <w:szCs w:val="32"/>
        </w:rPr>
        <w:t>三、支出决算表</w:t>
      </w:r>
      <w:bookmarkEnd w:id="58"/>
    </w:p>
    <w:p>
      <w:pPr>
        <w:pStyle w:val="14"/>
        <w:adjustRightInd w:val="0"/>
        <w:snapToGrid w:val="0"/>
        <w:spacing w:line="560" w:lineRule="exact"/>
        <w:jc w:val="left"/>
        <w:rPr>
          <w:rFonts w:eastAsia="仿宋_GB2312" w:cs="仿宋_GB2312"/>
          <w:sz w:val="32"/>
          <w:szCs w:val="32"/>
        </w:rPr>
      </w:pPr>
      <w:bookmarkStart w:id="59" w:name="_Toc15396622"/>
      <w:r>
        <w:rPr>
          <w:rFonts w:hint="eastAsia" w:eastAsia="仿宋_GB2312" w:cs="仿宋_GB2312"/>
          <w:sz w:val="32"/>
          <w:szCs w:val="32"/>
        </w:rPr>
        <w:t>四、财政拨款收入支出决算总表</w:t>
      </w:r>
      <w:bookmarkEnd w:id="59"/>
    </w:p>
    <w:p>
      <w:pPr>
        <w:pStyle w:val="14"/>
        <w:adjustRightInd w:val="0"/>
        <w:snapToGrid w:val="0"/>
        <w:spacing w:line="560" w:lineRule="exact"/>
        <w:jc w:val="left"/>
        <w:rPr>
          <w:rFonts w:eastAsia="仿宋_GB2312" w:cs="仿宋_GB2312"/>
          <w:sz w:val="32"/>
          <w:szCs w:val="32"/>
        </w:rPr>
      </w:pPr>
      <w:bookmarkStart w:id="60" w:name="_Toc15396623"/>
      <w:r>
        <w:rPr>
          <w:rFonts w:hint="eastAsia" w:eastAsia="仿宋_GB2312" w:cs="仿宋_GB2312"/>
          <w:sz w:val="32"/>
          <w:szCs w:val="32"/>
        </w:rPr>
        <w:t>五、财政拨款支出决算明细表</w:t>
      </w:r>
      <w:bookmarkEnd w:id="60"/>
      <w:bookmarkStart w:id="61" w:name="_Toc15396624"/>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61"/>
    </w:p>
    <w:p>
      <w:pPr>
        <w:pStyle w:val="14"/>
        <w:adjustRightInd w:val="0"/>
        <w:snapToGrid w:val="0"/>
        <w:spacing w:line="560" w:lineRule="exact"/>
        <w:jc w:val="left"/>
        <w:rPr>
          <w:rFonts w:eastAsia="仿宋_GB2312" w:cs="仿宋_GB2312"/>
          <w:sz w:val="32"/>
          <w:szCs w:val="32"/>
        </w:rPr>
      </w:pPr>
      <w:bookmarkStart w:id="62" w:name="_Toc15396625"/>
      <w:r>
        <w:rPr>
          <w:rFonts w:hint="eastAsia" w:eastAsia="仿宋_GB2312" w:cs="仿宋_GB2312"/>
          <w:sz w:val="32"/>
          <w:szCs w:val="32"/>
        </w:rPr>
        <w:t>七、一般公共预算财政拨款支出决算明细表</w:t>
      </w:r>
      <w:bookmarkEnd w:id="62"/>
    </w:p>
    <w:p>
      <w:pPr>
        <w:pStyle w:val="14"/>
        <w:adjustRightInd w:val="0"/>
        <w:snapToGrid w:val="0"/>
        <w:spacing w:line="560" w:lineRule="exact"/>
        <w:jc w:val="left"/>
        <w:rPr>
          <w:rFonts w:eastAsia="仿宋_GB2312" w:cs="仿宋_GB2312"/>
          <w:sz w:val="32"/>
          <w:szCs w:val="32"/>
        </w:rPr>
      </w:pPr>
      <w:bookmarkStart w:id="63" w:name="_Toc15396626"/>
      <w:r>
        <w:rPr>
          <w:rFonts w:hint="eastAsia" w:eastAsia="仿宋_GB2312" w:cs="仿宋_GB2312"/>
          <w:sz w:val="32"/>
          <w:szCs w:val="32"/>
        </w:rPr>
        <w:t>八、一般公共预算财政拨款基本支出决算表</w:t>
      </w:r>
      <w:bookmarkEnd w:id="63"/>
    </w:p>
    <w:p>
      <w:pPr>
        <w:pStyle w:val="14"/>
        <w:adjustRightInd w:val="0"/>
        <w:snapToGrid w:val="0"/>
        <w:spacing w:line="560" w:lineRule="exact"/>
        <w:jc w:val="left"/>
        <w:rPr>
          <w:rFonts w:eastAsia="仿宋_GB2312" w:cs="仿宋_GB2312"/>
          <w:sz w:val="32"/>
          <w:szCs w:val="32"/>
        </w:rPr>
      </w:pPr>
      <w:bookmarkStart w:id="64" w:name="_Toc15396627"/>
      <w:r>
        <w:rPr>
          <w:rFonts w:hint="eastAsia" w:eastAsia="仿宋_GB2312" w:cs="仿宋_GB2312"/>
          <w:sz w:val="32"/>
          <w:szCs w:val="32"/>
        </w:rPr>
        <w:t>九、一般公共预算财政拨款项目支出决算表</w:t>
      </w:r>
      <w:bookmarkEnd w:id="64"/>
    </w:p>
    <w:p>
      <w:pPr>
        <w:pStyle w:val="14"/>
        <w:adjustRightInd w:val="0"/>
        <w:snapToGrid w:val="0"/>
        <w:spacing w:line="560" w:lineRule="exact"/>
        <w:jc w:val="left"/>
        <w:rPr>
          <w:rFonts w:eastAsia="仿宋_GB2312" w:cs="仿宋_GB2312"/>
          <w:sz w:val="32"/>
          <w:szCs w:val="32"/>
        </w:rPr>
      </w:pPr>
      <w:bookmarkStart w:id="65" w:name="_Toc15396628"/>
      <w:r>
        <w:rPr>
          <w:rFonts w:hint="eastAsia" w:eastAsia="仿宋_GB2312" w:cs="仿宋_GB2312"/>
          <w:sz w:val="32"/>
          <w:szCs w:val="32"/>
        </w:rPr>
        <w:t>十、</w:t>
      </w:r>
      <w:bookmarkEnd w:id="65"/>
      <w:r>
        <w:rPr>
          <w:rFonts w:hint="eastAsia" w:eastAsia="仿宋_GB2312" w:cs="仿宋_GB2312"/>
          <w:sz w:val="32"/>
          <w:szCs w:val="32"/>
        </w:rPr>
        <w:t>政府性基金预算财政拨款收入支出决算表</w:t>
      </w:r>
    </w:p>
    <w:p>
      <w:pPr>
        <w:pStyle w:val="14"/>
        <w:adjustRightInd w:val="0"/>
        <w:snapToGrid w:val="0"/>
        <w:spacing w:line="560" w:lineRule="exact"/>
        <w:jc w:val="left"/>
        <w:rPr>
          <w:rFonts w:eastAsia="仿宋_GB2312" w:cs="仿宋_GB2312"/>
          <w:sz w:val="32"/>
          <w:szCs w:val="32"/>
        </w:rPr>
      </w:pPr>
      <w:bookmarkStart w:id="66" w:name="_Toc15396629"/>
      <w:r>
        <w:rPr>
          <w:rFonts w:hint="eastAsia" w:eastAsia="仿宋_GB2312" w:cs="仿宋_GB2312"/>
          <w:sz w:val="32"/>
          <w:szCs w:val="32"/>
        </w:rPr>
        <w:t>十一、</w:t>
      </w:r>
      <w:bookmarkEnd w:id="66"/>
      <w:r>
        <w:rPr>
          <w:rFonts w:hint="eastAsia" w:eastAsia="仿宋_GB2312" w:cs="仿宋_GB2312"/>
          <w:sz w:val="32"/>
          <w:szCs w:val="32"/>
        </w:rPr>
        <w:t>国有资本经营预算财政拨款收入支出决算表</w:t>
      </w:r>
    </w:p>
    <w:p>
      <w:pPr>
        <w:pStyle w:val="14"/>
        <w:adjustRightInd w:val="0"/>
        <w:snapToGrid w:val="0"/>
        <w:spacing w:line="560" w:lineRule="exact"/>
        <w:jc w:val="left"/>
        <w:rPr>
          <w:rFonts w:eastAsia="仿宋_GB2312" w:cs="仿宋_GB2312"/>
          <w:sz w:val="32"/>
          <w:szCs w:val="32"/>
        </w:rPr>
      </w:pPr>
      <w:bookmarkStart w:id="67" w:name="_Toc15396630"/>
      <w:r>
        <w:rPr>
          <w:rFonts w:hint="eastAsia" w:eastAsia="仿宋_GB2312" w:cs="仿宋_GB2312"/>
          <w:sz w:val="32"/>
          <w:szCs w:val="32"/>
        </w:rPr>
        <w:t>十二、</w:t>
      </w:r>
      <w:bookmarkEnd w:id="67"/>
      <w:r>
        <w:rPr>
          <w:rFonts w:hint="eastAsia" w:eastAsia="仿宋_GB2312" w:cs="仿宋_GB2312"/>
          <w:sz w:val="32"/>
          <w:szCs w:val="32"/>
        </w:rPr>
        <w:t>国有资本经营预算财政拨款支出决算表</w:t>
      </w:r>
    </w:p>
    <w:p>
      <w:pPr>
        <w:pStyle w:val="14"/>
        <w:adjustRightInd w:val="0"/>
        <w:snapToGrid w:val="0"/>
        <w:spacing w:line="560" w:lineRule="exact"/>
        <w:jc w:val="left"/>
        <w:rPr>
          <w:rFonts w:eastAsia="仿宋_GB2312" w:cs="仿宋_GB2312"/>
          <w:sz w:val="32"/>
          <w:szCs w:val="32"/>
        </w:rPr>
      </w:pPr>
      <w:bookmarkStart w:id="68" w:name="_Toc15396631"/>
      <w:r>
        <w:rPr>
          <w:rFonts w:hint="eastAsia" w:eastAsia="仿宋_GB2312" w:cs="仿宋_GB2312"/>
          <w:sz w:val="32"/>
          <w:szCs w:val="32"/>
        </w:rPr>
        <w:t>十三、</w:t>
      </w:r>
      <w:bookmarkEnd w:id="68"/>
      <w:r>
        <w:rPr>
          <w:rFonts w:hint="eastAsia" w:eastAsia="仿宋_GB2312" w:cs="仿宋_GB2312"/>
          <w:sz w:val="32"/>
          <w:szCs w:val="32"/>
        </w:rPr>
        <w:t>财政拨款“三公”经费支出决算表</w:t>
      </w:r>
    </w:p>
    <w:p/>
    <w:sectPr>
      <w:footerReference r:id="rId8" w:type="first"/>
      <w:footerReference r:id="rId7"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宋?">
    <w:altName w:val="宋体"/>
    <w:panose1 w:val="00000000000000000000"/>
    <w:charset w:val="81"/>
    <w:family w:val="roman"/>
    <w:pitch w:val="default"/>
    <w:sig w:usb0="00000000" w:usb1="0000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joinstyle="miter"/>
          <v:imagedata o:title=""/>
          <o:lock v:ext="edit"/>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1">
    <w:nsid w:val="666825DE"/>
    <w:multiLevelType w:val="singleLevel"/>
    <w:tmpl w:val="666825DE"/>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6F28FF"/>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77456"/>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16E3BE0"/>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6"/>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jc w:val="left"/>
    </w:pPr>
    <w:rPr>
      <w:kern w:val="0"/>
      <w:sz w:val="24"/>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8"/>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5"/>
    <w:qFormat/>
    <w:uiPriority w:val="9"/>
    <w:rPr>
      <w:rFonts w:ascii="Times New Roman" w:hAnsi="Times New Roman"/>
      <w:b/>
      <w:bCs/>
      <w:kern w:val="44"/>
      <w:sz w:val="44"/>
      <w:szCs w:val="44"/>
    </w:rPr>
  </w:style>
  <w:style w:type="character" w:customStyle="1" w:styleId="30">
    <w:name w:val="标题 2 Char"/>
    <w:basedOn w:val="17"/>
    <w:link w:val="6"/>
    <w:qFormat/>
    <w:uiPriority w:val="9"/>
    <w:rPr>
      <w:rFonts w:asciiTheme="majorHAnsi" w:hAnsiTheme="majorHAnsi" w:eastAsiaTheme="majorEastAsia" w:cstheme="majorBidi"/>
      <w:b/>
      <w:bCs/>
      <w:kern w:val="2"/>
      <w:sz w:val="32"/>
      <w:szCs w:val="32"/>
    </w:rPr>
  </w:style>
  <w:style w:type="paragraph" w:customStyle="1" w:styleId="31">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2">
    <w:name w:val="批注框文本 Char"/>
    <w:basedOn w:val="17"/>
    <w:link w:val="10"/>
    <w:semiHidden/>
    <w:qFormat/>
    <w:uiPriority w:val="99"/>
    <w:rPr>
      <w:rFonts w:ascii="Times New Roman" w:hAnsi="Times New Roman"/>
      <w:kern w:val="2"/>
      <w:sz w:val="18"/>
      <w:szCs w:val="18"/>
    </w:rPr>
  </w:style>
  <w:style w:type="character" w:customStyle="1" w:styleId="33">
    <w:name w:val="标题 3 Char"/>
    <w:basedOn w:val="17"/>
    <w:link w:val="7"/>
    <w:qFormat/>
    <w:uiPriority w:val="9"/>
    <w:rPr>
      <w:rFonts w:ascii="Times New Roman" w:hAnsi="Times New Roman"/>
      <w:b/>
      <w:bCs/>
      <w:kern w:val="2"/>
      <w:sz w:val="32"/>
      <w:szCs w:val="32"/>
    </w:rPr>
  </w:style>
  <w:style w:type="paragraph" w:customStyle="1" w:styleId="34">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收入、支出决算总计变动情况图</c:v>
                </c:pt>
              </c:strCache>
            </c:strRef>
          </c:tx>
          <c:spPr>
            <a:solidFill>
              <a:schemeClr val="accent1"/>
            </a:solidFill>
            <a:ln>
              <a:noFill/>
            </a:ln>
            <a:effectLst/>
          </c:spPr>
          <c:invertIfNegative val="0"/>
          <c:dLbls>
            <c:delete val="1"/>
          </c:dLbls>
          <c:cat>
            <c:numRef>
              <c:f>Sheet1!$A$2:$A$3</c:f>
              <c:numCache>
                <c:formatCode>General</c:formatCode>
                <c:ptCount val="2"/>
                <c:pt idx="0">
                  <c:v>2025</c:v>
                </c:pt>
                <c:pt idx="1">
                  <c:v>2024</c:v>
                </c:pt>
              </c:numCache>
            </c:numRef>
          </c:cat>
          <c:val>
            <c:numRef>
              <c:f>Sheet1!$B$2:$B$3</c:f>
              <c:numCache>
                <c:formatCode>General</c:formatCode>
                <c:ptCount val="2"/>
                <c:pt idx="0">
                  <c:v>395.08</c:v>
                </c:pt>
                <c:pt idx="1">
                  <c:v>362.52</c:v>
                </c:pt>
              </c:numCache>
            </c:numRef>
          </c:val>
        </c:ser>
        <c:dLbls>
          <c:showLegendKey val="0"/>
          <c:showVal val="0"/>
          <c:showCatName val="0"/>
          <c:showSerName val="0"/>
          <c:showPercent val="0"/>
          <c:showBubbleSize val="0"/>
        </c:dLbls>
        <c:gapWidth val="246"/>
        <c:overlap val="-28"/>
        <c:axId val="510942593"/>
        <c:axId val="907124890"/>
      </c:barChart>
      <c:catAx>
        <c:axId val="51094259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07124890"/>
        <c:crosses val="autoZero"/>
        <c:auto val="1"/>
        <c:lblAlgn val="ctr"/>
        <c:lblOffset val="100"/>
        <c:noMultiLvlLbl val="0"/>
      </c:catAx>
      <c:valAx>
        <c:axId val="90712489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094259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收入决算结构图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elete val="1"/>
          </c:dLbls>
          <c:cat>
            <c:strRef>
              <c:f>Sheet1!$A$2:$A$5</c:f>
              <c:strCache>
                <c:ptCount val="4"/>
                <c:pt idx="0">
                  <c:v>般公共预算财政拨款收入</c:v>
                </c:pt>
              </c:strCache>
            </c:strRef>
          </c:cat>
          <c:val>
            <c:numRef>
              <c:f>Sheet1!$B$2:$B$5</c:f>
              <c:numCache>
                <c:formatCode>General</c:formatCode>
                <c:ptCount val="4"/>
                <c:pt idx="0">
                  <c:v>1</c:v>
                </c:pt>
                <c:pt idx="1">
                  <c:v>0</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Sheet1!#REF!</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elete val="1"/>
          </c:dLbls>
          <c:cat>
            <c:strRef>
              <c:f>Sheet1!$A$2:$A$5</c:f>
              <c:strCache>
                <c:ptCount val="4"/>
                <c:pt idx="0">
                  <c:v>基本支出</c:v>
                </c:pt>
                <c:pt idx="1">
                  <c:v>项目支出</c:v>
                </c:pt>
              </c:strCache>
            </c:strRef>
          </c:cat>
          <c:val>
            <c:numRef>
              <c:f>Sheet1!$B$2:$B$5</c:f>
              <c:numCache>
                <c:formatCode>General</c:formatCode>
                <c:ptCount val="4"/>
                <c:pt idx="0">
                  <c:v>83.11</c:v>
                </c:pt>
                <c:pt idx="1">
                  <c:v>16.88</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numRef>
              <c:f>Sheet1!$A$2:$A$3</c:f>
              <c:numCache>
                <c:formatCode>General</c:formatCode>
                <c:ptCount val="2"/>
                <c:pt idx="0">
                  <c:v>2025</c:v>
                </c:pt>
                <c:pt idx="1">
                  <c:v>2024</c:v>
                </c:pt>
              </c:numCache>
            </c:numRef>
          </c:cat>
          <c:val>
            <c:numRef>
              <c:f>Sheet1!$B$2:$B$3</c:f>
              <c:numCache>
                <c:formatCode>General</c:formatCode>
                <c:ptCount val="2"/>
                <c:pt idx="0">
                  <c:v>395.08</c:v>
                </c:pt>
                <c:pt idx="1">
                  <c:v>362.52</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numRef>
              <c:f>Sheet1!$A$2:$A$3</c:f>
              <c:numCache>
                <c:formatCode>General</c:formatCode>
                <c:ptCount val="2"/>
                <c:pt idx="0">
                  <c:v>2025</c:v>
                </c:pt>
                <c:pt idx="1">
                  <c:v>2024</c:v>
                </c:pt>
              </c:numCache>
            </c:numRef>
          </c:cat>
          <c:val>
            <c:numRef>
              <c:f>Sheet1!$C$2:$C$3</c:f>
              <c:numCache>
                <c:formatCode>General</c:formatCode>
                <c:ptCount val="2"/>
                <c:pt idx="0">
                  <c:v>395.08</c:v>
                </c:pt>
                <c:pt idx="1">
                  <c:v>362.52</c:v>
                </c:pt>
              </c:numCache>
            </c:numRef>
          </c:val>
        </c:ser>
        <c:dLbls>
          <c:showLegendKey val="0"/>
          <c:showVal val="0"/>
          <c:showCatName val="0"/>
          <c:showSerName val="0"/>
          <c:showPercent val="0"/>
          <c:showBubbleSize val="0"/>
        </c:dLbls>
        <c:gapWidth val="246"/>
        <c:overlap val="-28"/>
        <c:axId val="956707994"/>
        <c:axId val="361347410"/>
      </c:barChart>
      <c:catAx>
        <c:axId val="95670799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1347410"/>
        <c:crosses val="autoZero"/>
        <c:auto val="1"/>
        <c:lblAlgn val="ctr"/>
        <c:lblOffset val="100"/>
        <c:noMultiLvlLbl val="0"/>
      </c:catAx>
      <c:valAx>
        <c:axId val="36134741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5670799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a:noFill/>
            </a:ln>
            <a:effectLst/>
          </c:spPr>
          <c:invertIfNegative val="0"/>
          <c:dLbls>
            <c:delete val="1"/>
          </c:dLbls>
          <c:cat>
            <c:numRef>
              <c:f>Sheet1!$A$2:$A$3</c:f>
              <c:numCache>
                <c:formatCode>General</c:formatCode>
                <c:ptCount val="2"/>
                <c:pt idx="0">
                  <c:v>2025</c:v>
                </c:pt>
                <c:pt idx="1">
                  <c:v>2024</c:v>
                </c:pt>
              </c:numCache>
            </c:numRef>
          </c:cat>
          <c:val>
            <c:numRef>
              <c:f>Sheet1!$B$2:$B$3</c:f>
              <c:numCache>
                <c:formatCode>General</c:formatCode>
                <c:ptCount val="2"/>
                <c:pt idx="0">
                  <c:v>395.08</c:v>
                </c:pt>
                <c:pt idx="1">
                  <c:v>362.52</c:v>
                </c:pt>
              </c:numCache>
            </c:numRef>
          </c:val>
        </c:ser>
        <c:dLbls>
          <c:showLegendKey val="0"/>
          <c:showVal val="0"/>
          <c:showCatName val="0"/>
          <c:showSerName val="0"/>
          <c:showPercent val="0"/>
          <c:showBubbleSize val="0"/>
        </c:dLbls>
        <c:gapWidth val="246"/>
        <c:overlap val="-28"/>
        <c:axId val="883175768"/>
        <c:axId val="502970174"/>
      </c:barChart>
      <c:catAx>
        <c:axId val="8831757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2970174"/>
        <c:crosses val="autoZero"/>
        <c:auto val="1"/>
        <c:lblAlgn val="ctr"/>
        <c:lblOffset val="100"/>
        <c:noMultiLvlLbl val="0"/>
      </c:catAx>
      <c:valAx>
        <c:axId val="50297017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317576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elete val="1"/>
          </c:dLbls>
          <c:cat>
            <c:strRef>
              <c:f>Sheet1!$A$2:$A$5</c:f>
              <c:strCache>
                <c:ptCount val="4"/>
                <c:pt idx="0">
                  <c:v>一般公共服务支出</c:v>
                </c:pt>
                <c:pt idx="1">
                  <c:v>社会保障和就业支出</c:v>
                </c:pt>
                <c:pt idx="2">
                  <c:v>卫生健康支出</c:v>
                </c:pt>
                <c:pt idx="3">
                  <c:v>住房保障支出</c:v>
                </c:pt>
              </c:strCache>
            </c:strRef>
          </c:cat>
          <c:val>
            <c:numRef>
              <c:f>Sheet1!$B$2:$B$5</c:f>
              <c:numCache>
                <c:formatCode>General</c:formatCode>
                <c:ptCount val="4"/>
                <c:pt idx="0">
                  <c:v>79.02</c:v>
                </c:pt>
                <c:pt idx="1">
                  <c:v>10.68</c:v>
                </c:pt>
                <c:pt idx="2">
                  <c:v>3.89</c:v>
                </c:pt>
                <c:pt idx="3">
                  <c:v>6.41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8132</Words>
  <Characters>709</Characters>
  <Lines>5</Lines>
  <Paragraphs>17</Paragraphs>
  <TotalTime>0</TotalTime>
  <ScaleCrop>false</ScaleCrop>
  <LinksUpToDate>false</LinksUpToDate>
  <CharactersWithSpaces>8824</CharactersWithSpaces>
  <Application>WPS Office_11.8.2.8696_F1E327BC-269C-435d-A152-05C5408002CA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2026-10-27T02:47:00Z</dcterms:created>
  <dc:creator>曹颖</dc:creator>
  <cp:lastModifiedBy>Administrator</cp:lastModifiedBy>
  <cp:lastPrinted>2026-08-03T09:27:00Z</cp:lastPrinted>
  <dcterms:modified xsi:type="dcterms:W3CDTF">2026-10-27T03:36:41Z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400D301575C74348A5277D00A7902E06</vt:lpwstr>
  </property>
</Properties>
</file>