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9"/>
        <w:rPr>
          <w:rFonts w:ascii="方正小标宋简体" w:hAnsi="宋体" w:eastAsia="方正小标宋简体"/>
          <w:sz w:val="72"/>
          <w:szCs w:val="72"/>
        </w:rPr>
      </w:pPr>
      <w:bookmarkStart w:id="0" w:name="_Toc15378441"/>
      <w:bookmarkStart w:id="1" w:name="_Toc15377193"/>
      <w:bookmarkStart w:id="2" w:name="_Toc15396597"/>
      <w:bookmarkStart w:id="3" w:name="_Toc15396475"/>
      <w:bookmarkStart w:id="4" w:name="_Toc15377425"/>
      <w:bookmarkStart w:id="5" w:name="_Toc15306267"/>
    </w:p>
    <w:p>
      <w:pPr>
        <w:pStyle w:val="7"/>
        <w:spacing w:before="93"/>
      </w:pPr>
    </w:p>
    <w:p>
      <w:pPr>
        <w:spacing w:line="600" w:lineRule="exact"/>
        <w:jc w:val="center"/>
        <w:outlineLvl w:val="9"/>
        <w:rPr>
          <w:rFonts w:ascii="方正小标宋简体" w:hAnsi="宋体" w:eastAsia="方正小标宋简体"/>
          <w:sz w:val="72"/>
          <w:szCs w:val="72"/>
        </w:rPr>
      </w:pPr>
    </w:p>
    <w:p>
      <w:pPr>
        <w:spacing w:line="600" w:lineRule="exact"/>
        <w:jc w:val="center"/>
        <w:outlineLvl w:val="9"/>
        <w:rPr>
          <w:rFonts w:ascii="方正小标宋简体" w:hAnsi="宋体" w:eastAsia="方正小标宋简体"/>
          <w:sz w:val="72"/>
          <w:szCs w:val="72"/>
        </w:rPr>
      </w:pPr>
    </w:p>
    <w:p>
      <w:pPr>
        <w:adjustRightInd w:val="0"/>
        <w:snapToGrid w:val="0"/>
        <w:spacing w:line="360" w:lineRule="auto"/>
        <w:jc w:val="center"/>
        <w:outlineLvl w:val="0"/>
        <w:rPr>
          <w:rFonts w:ascii="方正小标宋简体" w:hAnsi="方正小标宋简体" w:eastAsia="方正小标宋简体" w:cs="方正小标宋简体"/>
          <w:sz w:val="44"/>
          <w:szCs w:val="44"/>
        </w:rPr>
      </w:pPr>
      <w:bookmarkStart w:id="6" w:name="_Toc24790"/>
      <w:bookmarkStart w:id="7" w:name="_Toc32223"/>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rPr>
        <w:t>年度</w:t>
      </w:r>
      <w:bookmarkEnd w:id="0"/>
      <w:bookmarkEnd w:id="1"/>
      <w:bookmarkEnd w:id="2"/>
      <w:bookmarkEnd w:id="3"/>
      <w:bookmarkEnd w:id="4"/>
      <w:bookmarkEnd w:id="6"/>
      <w:bookmarkEnd w:id="7"/>
    </w:p>
    <w:bookmarkEnd w:id="5"/>
    <w:p>
      <w:pPr>
        <w:adjustRightInd w:val="0"/>
        <w:snapToGrid w:val="0"/>
        <w:spacing w:line="360" w:lineRule="auto"/>
        <w:jc w:val="center"/>
        <w:outlineLvl w:val="0"/>
        <w:rPr>
          <w:rFonts w:hint="default" w:ascii="方正小标宋简体" w:hAnsi="方正小标宋简体" w:eastAsia="方正小标宋简体" w:cs="方正小标宋简体"/>
          <w:sz w:val="44"/>
          <w:szCs w:val="44"/>
          <w:lang w:val="en-US" w:eastAsia="zh-CN"/>
        </w:rPr>
      </w:pPr>
      <w:bookmarkStart w:id="8" w:name="_Toc15396598"/>
      <w:bookmarkStart w:id="9" w:name="_Toc15377194"/>
      <w:bookmarkStart w:id="10" w:name="_Toc15377426"/>
      <w:bookmarkStart w:id="11" w:name="_Toc15396476"/>
      <w:bookmarkStart w:id="12" w:name="_Toc15378442"/>
      <w:bookmarkStart w:id="13" w:name="_Toc15306268"/>
      <w:bookmarkStart w:id="14" w:name="_Toc7141"/>
      <w:bookmarkStart w:id="15" w:name="_Toc10145"/>
      <w:r>
        <w:rPr>
          <w:rFonts w:hint="eastAsia" w:ascii="方正小标宋简体" w:hAnsi="方正小标宋简体" w:eastAsia="方正小标宋简体" w:cs="方正小标宋简体"/>
          <w:sz w:val="44"/>
          <w:szCs w:val="44"/>
          <w:lang w:val="en-US" w:eastAsia="zh-CN"/>
        </w:rPr>
        <w:t>红原县妇女联合会</w:t>
      </w:r>
      <w:r>
        <w:rPr>
          <w:rFonts w:hint="eastAsia" w:ascii="方正小标宋简体" w:hAnsi="方正小标宋简体" w:eastAsia="方正小标宋简体" w:cs="方正小标宋简体"/>
          <w:sz w:val="44"/>
          <w:szCs w:val="44"/>
        </w:rPr>
        <w:t>部门决算</w:t>
      </w:r>
      <w:bookmarkEnd w:id="8"/>
      <w:bookmarkEnd w:id="9"/>
      <w:bookmarkEnd w:id="10"/>
      <w:bookmarkEnd w:id="11"/>
      <w:bookmarkEnd w:id="12"/>
      <w:bookmarkEnd w:id="13"/>
      <w:bookmarkEnd w:id="14"/>
      <w:r>
        <w:rPr>
          <w:rFonts w:hint="eastAsia" w:ascii="方正小标宋简体" w:hAnsi="方正小标宋简体" w:eastAsia="方正小标宋简体" w:cs="方正小标宋简体"/>
          <w:sz w:val="44"/>
          <w:szCs w:val="44"/>
          <w:lang w:val="en-US" w:eastAsia="zh-CN"/>
        </w:rPr>
        <w:t>公开编制说明</w:t>
      </w:r>
      <w:bookmarkEnd w:id="15"/>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4"/>
        <w:adjustRightInd w:val="0"/>
        <w:snapToGrid w:val="0"/>
        <w:spacing w:line="440" w:lineRule="exact"/>
        <w:jc w:val="left"/>
        <w:rPr>
          <w:rFonts w:ascii="方正小标宋简体" w:hAnsi="宋体" w:eastAsia="方正小标宋简体"/>
          <w:sz w:val="36"/>
          <w:szCs w:val="36"/>
        </w:rPr>
      </w:pPr>
    </w:p>
    <w:p>
      <w:pPr>
        <w:pStyle w:val="15"/>
        <w:keepNext w:val="0"/>
        <w:keepLines w:val="0"/>
        <w:widowControl/>
        <w:suppressLineNumbers w:val="0"/>
        <w:ind w:left="0" w:right="75"/>
        <w:jc w:val="left"/>
      </w:pPr>
      <w:r>
        <w:rPr>
          <w:sz w:val="24"/>
          <w:szCs w:val="24"/>
          <w:shd w:val="clear" w:color="auto" w:fill="FFFFFF"/>
        </w:rPr>
        <w:t>保密审查情况：已审查，内容审定</w:t>
      </w:r>
    </w:p>
    <w:p>
      <w:pPr>
        <w:pStyle w:val="14"/>
        <w:adjustRightInd w:val="0"/>
        <w:snapToGrid w:val="0"/>
        <w:spacing w:line="440" w:lineRule="exact"/>
        <w:ind w:left="0" w:leftChars="0" w:firstLine="0" w:firstLineChars="0"/>
        <w:jc w:val="left"/>
        <w:rPr>
          <w:rFonts w:ascii="方正小标宋简体" w:hAnsi="宋体" w:eastAsia="方正小标宋简体"/>
          <w:sz w:val="36"/>
          <w:szCs w:val="36"/>
        </w:rPr>
      </w:pPr>
      <w:r>
        <w:rPr>
          <w:sz w:val="24"/>
          <w:szCs w:val="24"/>
          <w:shd w:val="clear" w:color="auto" w:fill="FFFFFF"/>
        </w:rPr>
        <w:t>部门主要负责人审签情况：已审签，同意对外公开</w:t>
      </w:r>
      <w:r>
        <w:rPr>
          <w:rFonts w:ascii="方正小标宋简体" w:hAnsi="宋体" w:eastAsia="方正小标宋简体"/>
          <w:sz w:val="36"/>
          <w:szCs w:val="36"/>
        </w:rPr>
        <w:br w:type="page"/>
      </w:r>
    </w:p>
    <w:sdt>
      <w:sdtPr>
        <w:rPr>
          <w:rFonts w:hint="eastAsia" w:ascii="黑体" w:hAnsi="黑体" w:eastAsia="黑体" w:cs="黑体"/>
          <w:kern w:val="2"/>
          <w:sz w:val="44"/>
          <w:szCs w:val="44"/>
          <w:lang w:val="en-US" w:eastAsia="zh-CN" w:bidi="ar-SA"/>
        </w:rPr>
        <w:id w:val="147467588"/>
        <w15:color w:val="DBDBDB"/>
        <w:docPartObj>
          <w:docPartGallery w:val="Table of Contents"/>
          <w:docPartUnique/>
        </w:docPartObj>
      </w:sdtPr>
      <w:sdtEndPr>
        <w:rPr>
          <w:rFonts w:hint="eastAsia" w:ascii="黑体" w:hAnsi="黑体" w:eastAsia="黑体" w:cs="黑体"/>
          <w:kern w:val="2"/>
          <w:sz w:val="44"/>
          <w:szCs w:val="44"/>
          <w:lang w:val="en-US" w:eastAsia="zh-CN" w:bidi="ar-SA"/>
        </w:rPr>
      </w:sdtEndPr>
      <w:sdtContent>
        <w:p>
          <w:pPr>
            <w:widowControl/>
            <w:jc w:val="center"/>
            <w:rPr>
              <w:rFonts w:ascii="黑体" w:eastAsia="黑体"/>
              <w:sz w:val="48"/>
              <w:szCs w:val="48"/>
            </w:rPr>
          </w:pPr>
          <w:r>
            <w:rPr>
              <w:rFonts w:hint="eastAsia" w:ascii="黑体" w:eastAsia="黑体"/>
              <w:sz w:val="48"/>
              <w:szCs w:val="48"/>
            </w:rPr>
            <w:t>目录</w:t>
          </w:r>
        </w:p>
        <w:p>
          <w:pPr>
            <w:widowControl/>
            <w:jc w:val="center"/>
            <w:rPr>
              <w:rFonts w:ascii="黑体" w:eastAsia="黑体" w:cs="Arial"/>
              <w:sz w:val="28"/>
              <w:szCs w:val="28"/>
            </w:rPr>
          </w:pPr>
        </w:p>
        <w:p>
          <w:pPr>
            <w:pStyle w:val="13"/>
          </w:pPr>
          <w:r>
            <w:rPr>
              <w:rFonts w:hint="eastAsia"/>
            </w:rPr>
            <w:t>公开时间：202</w:t>
          </w:r>
          <w:r>
            <w:rPr>
              <w:rFonts w:hint="eastAsia"/>
              <w:lang w:val="en-US" w:eastAsia="zh-CN"/>
            </w:rPr>
            <w:t>6</w:t>
          </w:r>
          <w:r>
            <w:rPr>
              <w:rFonts w:hint="eastAsia"/>
            </w:rPr>
            <w:t>年</w:t>
          </w:r>
          <w:r>
            <w:rPr>
              <w:rFonts w:hint="eastAsia"/>
              <w:lang w:val="en-US" w:eastAsia="zh-CN"/>
            </w:rPr>
            <w:t>10</w:t>
          </w:r>
          <w:r>
            <w:rPr>
              <w:rFonts w:hint="eastAsia"/>
            </w:rPr>
            <w:t>月</w:t>
          </w:r>
          <w:r>
            <w:rPr>
              <w:rFonts w:hint="eastAsia"/>
              <w:lang w:val="en-US" w:eastAsia="zh-CN"/>
            </w:rPr>
            <w:t>12</w:t>
          </w:r>
          <w:r>
            <w:rPr>
              <w:rFonts w:hint="eastAsia"/>
            </w:rPr>
            <w:t>日</w:t>
          </w:r>
        </w:p>
        <w:p/>
        <w:sdt>
          <w:sdtPr>
            <w:rPr>
              <w:rFonts w:ascii="宋体" w:hAnsi="宋体" w:eastAsia="宋体" w:cs="Times New Roman"/>
              <w:kern w:val="2"/>
              <w:sz w:val="21"/>
              <w:szCs w:val="24"/>
              <w:lang w:val="en-US" w:eastAsia="zh-CN" w:bidi="ar-SA"/>
            </w:rPr>
            <w:id w:val="147451071"/>
            <w15:color w:val="DBDBDB"/>
            <w:docPartObj>
              <w:docPartGallery w:val="Table of Contents"/>
              <w:docPartUnique/>
            </w:docPartObj>
          </w:sdtPr>
          <w:sdtEndPr>
            <w:rPr>
              <w:rFonts w:hint="eastAsia" w:ascii="仿宋_GB2312" w:hAnsi="仿宋_GB2312" w:eastAsia="仿宋_GB2312" w:cs="仿宋_GB2312"/>
              <w:b/>
              <w:color w:val="auto"/>
              <w:kern w:val="2"/>
              <w:sz w:val="28"/>
              <w:szCs w:val="28"/>
              <w:lang w:val="en-US" w:eastAsia="zh-CN" w:bidi="ar-SA"/>
            </w:rPr>
          </w:sdtEndPr>
          <w:sdtContent>
            <w:p>
              <w:pPr>
                <w:spacing w:before="0" w:beforeLines="0" w:after="0" w:afterLines="0" w:line="240" w:lineRule="auto"/>
                <w:ind w:left="0" w:leftChars="0" w:right="0" w:rightChars="0" w:firstLine="0" w:firstLineChars="0"/>
                <w:jc w:val="center"/>
              </w:pPr>
            </w:p>
            <w:p>
              <w:pPr>
                <w:pStyle w:val="13"/>
                <w:tabs>
                  <w:tab w:val="right" w:leader="dot" w:pos="8306"/>
                  <w:tab w:val="clear" w:pos="8296"/>
                </w:tabs>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TOC \o "1-2" \h \u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_Toc32223 </w:instrText>
              </w:r>
              <w:r>
                <w:rPr>
                  <w:rFonts w:hint="eastAsia" w:ascii="仿宋_GB2312" w:hAnsi="仿宋_GB2312" w:eastAsia="仿宋_GB2312" w:cs="仿宋_GB2312"/>
                  <w:szCs w:val="28"/>
                </w:rPr>
                <w:fldChar w:fldCharType="separate"/>
              </w:r>
              <w:r>
                <w:rPr>
                  <w:rFonts w:hint="eastAsia" w:ascii="方正小标宋简体" w:hAnsi="方正小标宋简体" w:eastAsia="方正小标宋简体" w:cs="方正小标宋简体"/>
                  <w:szCs w:val="44"/>
                </w:rPr>
                <w:t>202</w:t>
              </w:r>
              <w:r>
                <w:rPr>
                  <w:rFonts w:hint="eastAsia" w:ascii="方正小标宋简体" w:hAnsi="方正小标宋简体" w:eastAsia="方正小标宋简体" w:cs="方正小标宋简体"/>
                  <w:szCs w:val="44"/>
                  <w:lang w:val="en-US" w:eastAsia="zh-CN"/>
                </w:rPr>
                <w:t>5</w:t>
              </w:r>
              <w:r>
                <w:rPr>
                  <w:rFonts w:hint="eastAsia" w:ascii="方正小标宋简体" w:hAnsi="方正小标宋简体" w:eastAsia="方正小标宋简体" w:cs="方正小标宋简体"/>
                  <w:szCs w:val="44"/>
                </w:rPr>
                <w:t>年度</w:t>
              </w:r>
              <w:r>
                <w:tab/>
              </w:r>
              <w:r>
                <w:fldChar w:fldCharType="begin"/>
              </w:r>
              <w:r>
                <w:instrText xml:space="preserve"> PAGEREF _Toc32223 \h </w:instrText>
              </w:r>
              <w:r>
                <w:fldChar w:fldCharType="separate"/>
              </w:r>
              <w:r>
                <w:t>1</w:t>
              </w:r>
              <w:r>
                <w:fldChar w:fldCharType="end"/>
              </w:r>
              <w:r>
                <w:rPr>
                  <w:rFonts w:hint="eastAsia" w:ascii="仿宋_GB2312" w:hAnsi="仿宋_GB2312" w:eastAsia="仿宋_GB2312" w:cs="仿宋_GB2312"/>
                  <w:color w:val="auto"/>
                  <w:szCs w:val="28"/>
                </w:rPr>
                <w:fldChar w:fldCharType="end"/>
              </w:r>
            </w:p>
            <w:p>
              <w:pPr>
                <w:pStyle w:val="13"/>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_Toc10145 </w:instrText>
              </w:r>
              <w:r>
                <w:rPr>
                  <w:rFonts w:hint="eastAsia" w:ascii="仿宋_GB2312" w:hAnsi="仿宋_GB2312" w:eastAsia="仿宋_GB2312" w:cs="仿宋_GB2312"/>
                  <w:szCs w:val="28"/>
                </w:rPr>
                <w:fldChar w:fldCharType="separate"/>
              </w:r>
              <w:r>
                <w:rPr>
                  <w:rFonts w:hint="eastAsia" w:ascii="方正小标宋简体" w:hAnsi="方正小标宋简体" w:eastAsia="方正小标宋简体" w:cs="方正小标宋简体"/>
                  <w:szCs w:val="44"/>
                  <w:lang w:val="en-US" w:eastAsia="zh-CN"/>
                </w:rPr>
                <w:t>红原县妇女联合会</w:t>
              </w:r>
              <w:r>
                <w:rPr>
                  <w:rFonts w:hint="eastAsia" w:ascii="方正小标宋简体" w:hAnsi="方正小标宋简体" w:eastAsia="方正小标宋简体" w:cs="方正小标宋简体"/>
                  <w:szCs w:val="44"/>
                </w:rPr>
                <w:t>部门决算</w:t>
              </w:r>
              <w:r>
                <w:rPr>
                  <w:rFonts w:hint="eastAsia" w:ascii="方正小标宋简体" w:hAnsi="方正小标宋简体" w:eastAsia="方正小标宋简体" w:cs="方正小标宋简体"/>
                  <w:szCs w:val="44"/>
                  <w:lang w:val="en-US" w:eastAsia="zh-CN"/>
                </w:rPr>
                <w:t>公开编制说明</w:t>
              </w:r>
              <w:r>
                <w:tab/>
              </w:r>
              <w:r>
                <w:fldChar w:fldCharType="begin"/>
              </w:r>
              <w:r>
                <w:instrText xml:space="preserve"> PAGEREF _Toc10145 \h </w:instrText>
              </w:r>
              <w:r>
                <w:fldChar w:fldCharType="separate"/>
              </w:r>
              <w:r>
                <w:t>1</w:t>
              </w:r>
              <w:r>
                <w:fldChar w:fldCharType="end"/>
              </w:r>
              <w:r>
                <w:rPr>
                  <w:rFonts w:hint="eastAsia" w:ascii="仿宋_GB2312" w:hAnsi="仿宋_GB2312" w:eastAsia="仿宋_GB2312" w:cs="仿宋_GB2312"/>
                  <w:color w:val="auto"/>
                  <w:szCs w:val="28"/>
                </w:rPr>
                <w:fldChar w:fldCharType="end"/>
              </w:r>
            </w:p>
            <w:p>
              <w:pPr>
                <w:pStyle w:val="13"/>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_Toc1324 </w:instrText>
              </w:r>
              <w:r>
                <w:rPr>
                  <w:rFonts w:hint="eastAsia" w:ascii="仿宋_GB2312" w:hAnsi="仿宋_GB2312" w:eastAsia="仿宋_GB2312" w:cs="仿宋_GB2312"/>
                  <w:szCs w:val="28"/>
                </w:rPr>
                <w:fldChar w:fldCharType="separate"/>
              </w:r>
              <w:r>
                <w:rPr>
                  <w:rFonts w:hint="eastAsia" w:ascii="黑体" w:hAnsi="黑体" w:eastAsia="黑体"/>
                </w:rPr>
                <w:t xml:space="preserve">第一部分 </w:t>
              </w:r>
              <w:r>
                <w:rPr>
                  <w:rFonts w:hint="eastAsia" w:ascii="黑体" w:hAnsi="黑体" w:eastAsia="黑体"/>
                  <w:bCs w:val="0"/>
                </w:rPr>
                <w:t>部门概况</w:t>
              </w:r>
              <w:r>
                <w:tab/>
              </w:r>
              <w:r>
                <w:fldChar w:fldCharType="begin"/>
              </w:r>
              <w:r>
                <w:instrText xml:space="preserve"> PAGEREF _Toc1324 \h </w:instrText>
              </w:r>
              <w:r>
                <w:fldChar w:fldCharType="separate"/>
              </w:r>
              <w:r>
                <w:t>3</w:t>
              </w:r>
              <w:r>
                <w:fldChar w:fldCharType="end"/>
              </w:r>
              <w:r>
                <w:rPr>
                  <w:rFonts w:hint="eastAsia" w:ascii="仿宋_GB2312" w:hAnsi="仿宋_GB2312" w:eastAsia="仿宋_GB2312" w:cs="仿宋_GB2312"/>
                  <w:color w:val="auto"/>
                  <w:szCs w:val="28"/>
                </w:rPr>
                <w:fldChar w:fldCharType="end"/>
              </w:r>
            </w:p>
            <w:p>
              <w:pPr>
                <w:pStyle w:val="14"/>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_Toc17225 </w:instrText>
              </w:r>
              <w:r>
                <w:rPr>
                  <w:rFonts w:hint="eastAsia" w:ascii="仿宋_GB2312" w:hAnsi="仿宋_GB2312" w:eastAsia="仿宋_GB2312" w:cs="仿宋_GB2312"/>
                  <w:szCs w:val="28"/>
                </w:rPr>
                <w:fldChar w:fldCharType="separate"/>
              </w:r>
              <w:r>
                <w:rPr>
                  <w:rFonts w:hint="eastAsia" w:ascii="黑体" w:hAnsi="黑体" w:eastAsia="黑体"/>
                </w:rPr>
                <w:t>一、 部门职责</w:t>
              </w:r>
              <w:r>
                <w:tab/>
              </w:r>
              <w:r>
                <w:fldChar w:fldCharType="begin"/>
              </w:r>
              <w:r>
                <w:instrText xml:space="preserve"> PAGEREF _Toc17225 \h </w:instrText>
              </w:r>
              <w:r>
                <w:fldChar w:fldCharType="separate"/>
              </w:r>
              <w:r>
                <w:t>3</w:t>
              </w:r>
              <w:r>
                <w:fldChar w:fldCharType="end"/>
              </w:r>
              <w:r>
                <w:rPr>
                  <w:rFonts w:hint="eastAsia" w:ascii="仿宋_GB2312" w:hAnsi="仿宋_GB2312" w:eastAsia="仿宋_GB2312" w:cs="仿宋_GB2312"/>
                  <w:color w:val="auto"/>
                  <w:szCs w:val="28"/>
                </w:rPr>
                <w:fldChar w:fldCharType="end"/>
              </w:r>
            </w:p>
            <w:p>
              <w:pPr>
                <w:pStyle w:val="14"/>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_Toc3874 </w:instrText>
              </w:r>
              <w:r>
                <w:rPr>
                  <w:rFonts w:hint="eastAsia" w:ascii="仿宋_GB2312" w:hAnsi="仿宋_GB2312" w:eastAsia="仿宋_GB2312" w:cs="仿宋_GB2312"/>
                  <w:szCs w:val="28"/>
                </w:rPr>
                <w:fldChar w:fldCharType="separate"/>
              </w:r>
              <w:r>
                <w:rPr>
                  <w:rFonts w:hint="eastAsia" w:ascii="黑体" w:eastAsia="黑体"/>
                </w:rPr>
                <w:t>二、</w:t>
              </w:r>
              <w:r>
                <w:rPr>
                  <w:rFonts w:hint="eastAsia" w:ascii="黑体" w:hAnsi="黑体" w:eastAsia="黑体"/>
                </w:rPr>
                <w:t>机</w:t>
              </w:r>
              <w:r>
                <w:rPr>
                  <w:rFonts w:hint="eastAsia" w:ascii="黑体" w:hAnsi="黑体" w:eastAsia="黑体"/>
                  <w:bCs w:val="0"/>
                </w:rPr>
                <w:t>构设置</w:t>
              </w:r>
              <w:r>
                <w:tab/>
              </w:r>
              <w:r>
                <w:fldChar w:fldCharType="begin"/>
              </w:r>
              <w:r>
                <w:instrText xml:space="preserve"> PAGEREF _Toc3874 \h </w:instrText>
              </w:r>
              <w:r>
                <w:fldChar w:fldCharType="separate"/>
              </w:r>
              <w:r>
                <w:t>3</w:t>
              </w:r>
              <w:r>
                <w:fldChar w:fldCharType="end"/>
              </w:r>
              <w:r>
                <w:rPr>
                  <w:rFonts w:hint="eastAsia" w:ascii="仿宋_GB2312" w:hAnsi="仿宋_GB2312" w:eastAsia="仿宋_GB2312" w:cs="仿宋_GB2312"/>
                  <w:color w:val="auto"/>
                  <w:szCs w:val="28"/>
                </w:rPr>
                <w:fldChar w:fldCharType="end"/>
              </w:r>
            </w:p>
            <w:p>
              <w:pPr>
                <w:pStyle w:val="13"/>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_Toc14774 </w:instrText>
              </w:r>
              <w:r>
                <w:rPr>
                  <w:rFonts w:hint="eastAsia" w:ascii="仿宋_GB2312" w:hAnsi="仿宋_GB2312" w:eastAsia="仿宋_GB2312" w:cs="仿宋_GB2312"/>
                  <w:szCs w:val="28"/>
                </w:rPr>
                <w:fldChar w:fldCharType="separate"/>
              </w:r>
              <w:r>
                <w:rPr>
                  <w:rFonts w:hint="eastAsia" w:ascii="黑体" w:hAnsi="黑体" w:eastAsia="黑体"/>
                </w:rPr>
                <w:t>第二部分 202</w:t>
              </w:r>
              <w:r>
                <w:rPr>
                  <w:rFonts w:hint="eastAsia" w:ascii="黑体" w:hAnsi="黑体" w:eastAsia="黑体"/>
                  <w:lang w:val="en-US" w:eastAsia="zh-CN"/>
                </w:rPr>
                <w:t>5</w:t>
              </w:r>
              <w:r>
                <w:rPr>
                  <w:rFonts w:hint="eastAsia" w:ascii="黑体" w:hAnsi="黑体" w:eastAsia="黑体"/>
                </w:rPr>
                <w:t>年度</w:t>
              </w:r>
              <w:r>
                <w:rPr>
                  <w:rFonts w:hint="eastAsia" w:ascii="黑体" w:hAnsi="黑体" w:eastAsia="黑体"/>
                  <w:bCs/>
                </w:rPr>
                <w:t>部门决算情况说明</w:t>
              </w:r>
              <w:r>
                <w:tab/>
              </w:r>
              <w:r>
                <w:fldChar w:fldCharType="begin"/>
              </w:r>
              <w:r>
                <w:instrText xml:space="preserve"> PAGEREF _Toc14774 \h </w:instrText>
              </w:r>
              <w:r>
                <w:fldChar w:fldCharType="separate"/>
              </w:r>
              <w:r>
                <w:t>4</w:t>
              </w:r>
              <w:r>
                <w:fldChar w:fldCharType="end"/>
              </w:r>
              <w:r>
                <w:rPr>
                  <w:rFonts w:hint="eastAsia" w:ascii="仿宋_GB2312" w:hAnsi="仿宋_GB2312" w:eastAsia="仿宋_GB2312" w:cs="仿宋_GB2312"/>
                  <w:color w:val="auto"/>
                  <w:szCs w:val="28"/>
                </w:rPr>
                <w:fldChar w:fldCharType="end"/>
              </w:r>
            </w:p>
            <w:p>
              <w:pPr>
                <w:pStyle w:val="14"/>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_Toc28047 </w:instrText>
              </w:r>
              <w:r>
                <w:rPr>
                  <w:rFonts w:hint="eastAsia" w:ascii="仿宋_GB2312" w:hAnsi="仿宋_GB2312" w:eastAsia="仿宋_GB2312" w:cs="仿宋_GB2312"/>
                  <w:szCs w:val="28"/>
                </w:rPr>
                <w:fldChar w:fldCharType="separate"/>
              </w:r>
              <w:r>
                <w:rPr>
                  <w:rFonts w:hint="default" w:ascii="黑体" w:hAnsi="黑体" w:eastAsia="黑体"/>
                </w:rPr>
                <w:t xml:space="preserve">一、 </w:t>
              </w:r>
              <w:r>
                <w:rPr>
                  <w:rFonts w:hint="eastAsia" w:ascii="黑体" w:hAnsi="黑体" w:eastAsia="黑体"/>
                  <w:szCs w:val="32"/>
                </w:rPr>
                <w:t>收</w:t>
              </w:r>
              <w:r>
                <w:rPr>
                  <w:rFonts w:hint="eastAsia" w:ascii="黑体" w:hAnsi="黑体" w:eastAsia="黑体"/>
                </w:rPr>
                <w:t>入支出决算总体情况说明</w:t>
              </w:r>
              <w:r>
                <w:tab/>
              </w:r>
              <w:r>
                <w:fldChar w:fldCharType="begin"/>
              </w:r>
              <w:r>
                <w:instrText xml:space="preserve"> PAGEREF _Toc28047 \h </w:instrText>
              </w:r>
              <w:r>
                <w:fldChar w:fldCharType="separate"/>
              </w:r>
              <w:r>
                <w:t>4</w:t>
              </w:r>
              <w:r>
                <w:fldChar w:fldCharType="end"/>
              </w:r>
              <w:r>
                <w:rPr>
                  <w:rFonts w:hint="eastAsia" w:ascii="仿宋_GB2312" w:hAnsi="仿宋_GB2312" w:eastAsia="仿宋_GB2312" w:cs="仿宋_GB2312"/>
                  <w:color w:val="auto"/>
                  <w:szCs w:val="28"/>
                </w:rPr>
                <w:fldChar w:fldCharType="end"/>
              </w:r>
            </w:p>
            <w:p>
              <w:pPr>
                <w:pStyle w:val="14"/>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_Toc23927 </w:instrText>
              </w:r>
              <w:r>
                <w:rPr>
                  <w:rFonts w:hint="eastAsia" w:ascii="仿宋_GB2312" w:hAnsi="仿宋_GB2312" w:eastAsia="仿宋_GB2312" w:cs="仿宋_GB2312"/>
                  <w:szCs w:val="28"/>
                </w:rPr>
                <w:fldChar w:fldCharType="separate"/>
              </w:r>
              <w:r>
                <w:rPr>
                  <w:rFonts w:hint="default" w:ascii="黑体" w:hAnsi="黑体" w:eastAsia="黑体"/>
                </w:rPr>
                <w:t xml:space="preserve">二、 </w:t>
              </w:r>
              <w:r>
                <w:rPr>
                  <w:rFonts w:hint="eastAsia" w:ascii="黑体" w:hAnsi="黑体" w:eastAsia="黑体"/>
                  <w:szCs w:val="32"/>
                </w:rPr>
                <w:t>收</w:t>
              </w:r>
              <w:r>
                <w:rPr>
                  <w:rFonts w:hint="eastAsia" w:ascii="黑体" w:hAnsi="黑体" w:eastAsia="黑体"/>
                </w:rPr>
                <w:t>入决算情况说明</w:t>
              </w:r>
              <w:r>
                <w:tab/>
              </w:r>
              <w:r>
                <w:fldChar w:fldCharType="begin"/>
              </w:r>
              <w:r>
                <w:instrText xml:space="preserve"> PAGEREF _Toc23927 \h </w:instrText>
              </w:r>
              <w:r>
                <w:fldChar w:fldCharType="separate"/>
              </w:r>
              <w:r>
                <w:t>4</w:t>
              </w:r>
              <w:r>
                <w:fldChar w:fldCharType="end"/>
              </w:r>
              <w:r>
                <w:rPr>
                  <w:rFonts w:hint="eastAsia" w:ascii="仿宋_GB2312" w:hAnsi="仿宋_GB2312" w:eastAsia="仿宋_GB2312" w:cs="仿宋_GB2312"/>
                  <w:color w:val="auto"/>
                  <w:szCs w:val="28"/>
                </w:rPr>
                <w:fldChar w:fldCharType="end"/>
              </w:r>
            </w:p>
            <w:p>
              <w:pPr>
                <w:pStyle w:val="14"/>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_Toc14547 </w:instrText>
              </w:r>
              <w:r>
                <w:rPr>
                  <w:rFonts w:hint="eastAsia" w:ascii="仿宋_GB2312" w:hAnsi="仿宋_GB2312" w:eastAsia="仿宋_GB2312" w:cs="仿宋_GB2312"/>
                  <w:szCs w:val="28"/>
                </w:rPr>
                <w:fldChar w:fldCharType="separate"/>
              </w:r>
              <w:r>
                <w:rPr>
                  <w:rFonts w:hint="default" w:ascii="黑体" w:hAnsi="黑体" w:eastAsia="黑体"/>
                </w:rPr>
                <w:t xml:space="preserve">三、 </w:t>
              </w:r>
              <w:r>
                <w:rPr>
                  <w:rFonts w:hint="eastAsia" w:ascii="黑体" w:hAnsi="黑体" w:eastAsia="黑体"/>
                  <w:szCs w:val="32"/>
                </w:rPr>
                <w:t>支</w:t>
              </w:r>
              <w:r>
                <w:rPr>
                  <w:rFonts w:hint="eastAsia" w:ascii="黑体" w:hAnsi="黑体" w:eastAsia="黑体"/>
                </w:rPr>
                <w:t>出决算情况说明</w:t>
              </w:r>
              <w:r>
                <w:tab/>
              </w:r>
              <w:r>
                <w:fldChar w:fldCharType="begin"/>
              </w:r>
              <w:r>
                <w:instrText xml:space="preserve"> PAGEREF _Toc14547 \h </w:instrText>
              </w:r>
              <w:r>
                <w:fldChar w:fldCharType="separate"/>
              </w:r>
              <w:r>
                <w:t>5</w:t>
              </w:r>
              <w:r>
                <w:fldChar w:fldCharType="end"/>
              </w:r>
              <w:r>
                <w:rPr>
                  <w:rFonts w:hint="eastAsia" w:ascii="仿宋_GB2312" w:hAnsi="仿宋_GB2312" w:eastAsia="仿宋_GB2312" w:cs="仿宋_GB2312"/>
                  <w:color w:val="auto"/>
                  <w:szCs w:val="28"/>
                </w:rPr>
                <w:fldChar w:fldCharType="end"/>
              </w:r>
            </w:p>
            <w:p>
              <w:pPr>
                <w:pStyle w:val="14"/>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_Toc32056 </w:instrText>
              </w:r>
              <w:r>
                <w:rPr>
                  <w:rFonts w:hint="eastAsia" w:ascii="仿宋_GB2312" w:hAnsi="仿宋_GB2312" w:eastAsia="仿宋_GB2312" w:cs="仿宋_GB2312"/>
                  <w:szCs w:val="28"/>
                </w:rPr>
                <w:fldChar w:fldCharType="separate"/>
              </w:r>
              <w:r>
                <w:rPr>
                  <w:rFonts w:hint="eastAsia" w:ascii="黑体" w:hAnsi="黑体" w:eastAsia="黑体"/>
                  <w:szCs w:val="32"/>
                </w:rPr>
                <w:t>四、财</w:t>
              </w:r>
              <w:r>
                <w:rPr>
                  <w:rFonts w:hint="eastAsia" w:ascii="黑体" w:hAnsi="黑体" w:eastAsia="黑体"/>
                </w:rPr>
                <w:t>政拨款收入支出决算总体情况说明</w:t>
              </w:r>
              <w:r>
                <w:tab/>
              </w:r>
              <w:r>
                <w:fldChar w:fldCharType="begin"/>
              </w:r>
              <w:r>
                <w:instrText xml:space="preserve"> PAGEREF _Toc32056 \h </w:instrText>
              </w:r>
              <w:r>
                <w:fldChar w:fldCharType="separate"/>
              </w:r>
              <w:r>
                <w:t>6</w:t>
              </w:r>
              <w:r>
                <w:fldChar w:fldCharType="end"/>
              </w:r>
              <w:r>
                <w:rPr>
                  <w:rFonts w:hint="eastAsia" w:ascii="仿宋_GB2312" w:hAnsi="仿宋_GB2312" w:eastAsia="仿宋_GB2312" w:cs="仿宋_GB2312"/>
                  <w:color w:val="auto"/>
                  <w:szCs w:val="28"/>
                </w:rPr>
                <w:fldChar w:fldCharType="end"/>
              </w:r>
            </w:p>
            <w:p>
              <w:pPr>
                <w:pStyle w:val="14"/>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_Toc25995 </w:instrText>
              </w:r>
              <w:r>
                <w:rPr>
                  <w:rFonts w:hint="eastAsia" w:ascii="仿宋_GB2312" w:hAnsi="仿宋_GB2312" w:eastAsia="仿宋_GB2312" w:cs="仿宋_GB2312"/>
                  <w:szCs w:val="28"/>
                </w:rPr>
                <w:fldChar w:fldCharType="separate"/>
              </w:r>
              <w:r>
                <w:rPr>
                  <w:rFonts w:hint="eastAsia" w:ascii="黑体" w:hAnsi="黑体" w:eastAsia="黑体"/>
                  <w:szCs w:val="32"/>
                </w:rPr>
                <w:t>五、一</w:t>
              </w:r>
              <w:r>
                <w:rPr>
                  <w:rFonts w:hint="eastAsia" w:ascii="黑体" w:hAnsi="黑体" w:eastAsia="黑体"/>
                </w:rPr>
                <w:t>般公共预算财政拨款支出决算情况说明</w:t>
              </w:r>
              <w:r>
                <w:tab/>
              </w:r>
              <w:r>
                <w:fldChar w:fldCharType="begin"/>
              </w:r>
              <w:r>
                <w:instrText xml:space="preserve"> PAGEREF _Toc25995 \h </w:instrText>
              </w:r>
              <w:r>
                <w:fldChar w:fldCharType="separate"/>
              </w:r>
              <w:r>
                <w:t>6</w:t>
              </w:r>
              <w:r>
                <w:fldChar w:fldCharType="end"/>
              </w:r>
              <w:r>
                <w:rPr>
                  <w:rFonts w:hint="eastAsia" w:ascii="仿宋_GB2312" w:hAnsi="仿宋_GB2312" w:eastAsia="仿宋_GB2312" w:cs="仿宋_GB2312"/>
                  <w:color w:val="auto"/>
                  <w:szCs w:val="28"/>
                </w:rPr>
                <w:fldChar w:fldCharType="end"/>
              </w:r>
            </w:p>
            <w:p>
              <w:pPr>
                <w:pStyle w:val="14"/>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_Toc8504 </w:instrText>
              </w:r>
              <w:r>
                <w:rPr>
                  <w:rFonts w:hint="eastAsia" w:ascii="仿宋_GB2312" w:hAnsi="仿宋_GB2312" w:eastAsia="仿宋_GB2312" w:cs="仿宋_GB2312"/>
                  <w:szCs w:val="28"/>
                </w:rPr>
                <w:fldChar w:fldCharType="separate"/>
              </w:r>
              <w:r>
                <w:rPr>
                  <w:rFonts w:hint="eastAsia" w:ascii="黑体" w:eastAsia="黑体"/>
                  <w:szCs w:val="32"/>
                </w:rPr>
                <w:t>六、</w:t>
              </w:r>
              <w:r>
                <w:rPr>
                  <w:rFonts w:hint="eastAsia" w:ascii="黑体" w:hAnsi="黑体" w:eastAsia="黑体"/>
                  <w:szCs w:val="32"/>
                </w:rPr>
                <w:t>一</w:t>
              </w:r>
              <w:r>
                <w:rPr>
                  <w:rFonts w:hint="eastAsia" w:ascii="黑体" w:hAnsi="黑体" w:eastAsia="黑体"/>
                </w:rPr>
                <w:t>般公共预算财政拨款基本支出决算情况说明</w:t>
              </w:r>
              <w:r>
                <w:tab/>
              </w:r>
              <w:r>
                <w:fldChar w:fldCharType="begin"/>
              </w:r>
              <w:r>
                <w:instrText xml:space="preserve"> PAGEREF _Toc8504 \h </w:instrText>
              </w:r>
              <w:r>
                <w:fldChar w:fldCharType="separate"/>
              </w:r>
              <w:r>
                <w:t>9</w:t>
              </w:r>
              <w:r>
                <w:fldChar w:fldCharType="end"/>
              </w:r>
              <w:r>
                <w:rPr>
                  <w:rFonts w:hint="eastAsia" w:ascii="仿宋_GB2312" w:hAnsi="仿宋_GB2312" w:eastAsia="仿宋_GB2312" w:cs="仿宋_GB2312"/>
                  <w:color w:val="auto"/>
                  <w:szCs w:val="28"/>
                </w:rPr>
                <w:fldChar w:fldCharType="end"/>
              </w:r>
            </w:p>
            <w:p>
              <w:pPr>
                <w:pStyle w:val="14"/>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_Toc4273 </w:instrText>
              </w:r>
              <w:r>
                <w:rPr>
                  <w:rFonts w:hint="eastAsia" w:ascii="仿宋_GB2312" w:hAnsi="仿宋_GB2312" w:eastAsia="仿宋_GB2312" w:cs="仿宋_GB2312"/>
                  <w:szCs w:val="28"/>
                </w:rPr>
                <w:fldChar w:fldCharType="separate"/>
              </w:r>
              <w:r>
                <w:rPr>
                  <w:rFonts w:hint="eastAsia" w:ascii="黑体" w:eastAsia="黑体"/>
                  <w:szCs w:val="32"/>
                </w:rPr>
                <w:t>七、</w:t>
              </w:r>
              <w:r>
                <w:rPr>
                  <w:rFonts w:hint="eastAsia" w:ascii="黑体" w:hAnsi="黑体" w:eastAsia="黑体"/>
                </w:rPr>
                <w:t>财政拨款“三公”经费支出决算情况说明</w:t>
              </w:r>
              <w:r>
                <w:tab/>
              </w:r>
              <w:r>
                <w:fldChar w:fldCharType="begin"/>
              </w:r>
              <w:r>
                <w:instrText xml:space="preserve"> PAGEREF _Toc4273 \h </w:instrText>
              </w:r>
              <w:r>
                <w:fldChar w:fldCharType="separate"/>
              </w:r>
              <w:r>
                <w:t>10</w:t>
              </w:r>
              <w:r>
                <w:fldChar w:fldCharType="end"/>
              </w:r>
              <w:r>
                <w:rPr>
                  <w:rFonts w:hint="eastAsia" w:ascii="仿宋_GB2312" w:hAnsi="仿宋_GB2312" w:eastAsia="仿宋_GB2312" w:cs="仿宋_GB2312"/>
                  <w:color w:val="auto"/>
                  <w:szCs w:val="28"/>
                </w:rPr>
                <w:fldChar w:fldCharType="end"/>
              </w:r>
            </w:p>
            <w:p>
              <w:pPr>
                <w:pStyle w:val="14"/>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_Toc6518 </w:instrText>
              </w:r>
              <w:r>
                <w:rPr>
                  <w:rFonts w:hint="eastAsia" w:ascii="仿宋_GB2312" w:hAnsi="仿宋_GB2312" w:eastAsia="仿宋_GB2312" w:cs="仿宋_GB2312"/>
                  <w:szCs w:val="28"/>
                </w:rPr>
                <w:fldChar w:fldCharType="separate"/>
              </w:r>
              <w:r>
                <w:rPr>
                  <w:rFonts w:hint="eastAsia" w:ascii="黑体" w:eastAsia="黑体"/>
                  <w:szCs w:val="32"/>
                </w:rPr>
                <w:t>八、</w:t>
              </w:r>
              <w:r>
                <w:rPr>
                  <w:rFonts w:hint="eastAsia" w:ascii="黑体" w:hAnsi="黑体" w:eastAsia="黑体"/>
                </w:rPr>
                <w:t>政府性基金预算支出决算情况说明</w:t>
              </w:r>
              <w:r>
                <w:tab/>
              </w:r>
              <w:r>
                <w:fldChar w:fldCharType="begin"/>
              </w:r>
              <w:r>
                <w:instrText xml:space="preserve"> PAGEREF _Toc6518 \h </w:instrText>
              </w:r>
              <w:r>
                <w:fldChar w:fldCharType="separate"/>
              </w:r>
              <w:r>
                <w:t>11</w:t>
              </w:r>
              <w:r>
                <w:fldChar w:fldCharType="end"/>
              </w:r>
              <w:r>
                <w:rPr>
                  <w:rFonts w:hint="eastAsia" w:ascii="仿宋_GB2312" w:hAnsi="仿宋_GB2312" w:eastAsia="仿宋_GB2312" w:cs="仿宋_GB2312"/>
                  <w:color w:val="auto"/>
                  <w:szCs w:val="28"/>
                </w:rPr>
                <w:fldChar w:fldCharType="end"/>
              </w:r>
            </w:p>
            <w:p>
              <w:pPr>
                <w:pStyle w:val="14"/>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_Toc32135 </w:instrText>
              </w:r>
              <w:r>
                <w:rPr>
                  <w:rFonts w:hint="eastAsia" w:ascii="仿宋_GB2312" w:hAnsi="仿宋_GB2312" w:eastAsia="仿宋_GB2312" w:cs="仿宋_GB2312"/>
                  <w:szCs w:val="28"/>
                </w:rPr>
                <w:fldChar w:fldCharType="separate"/>
              </w:r>
              <w:r>
                <w:rPr>
                  <w:rFonts w:hint="eastAsia" w:ascii="黑体" w:hAnsi="黑体" w:eastAsia="黑体"/>
                </w:rPr>
                <w:t>九、 国有资本经营预算支出决算情况说明</w:t>
              </w:r>
              <w:r>
                <w:tab/>
              </w:r>
              <w:r>
                <w:fldChar w:fldCharType="begin"/>
              </w:r>
              <w:r>
                <w:instrText xml:space="preserve"> PAGEREF _Toc32135 \h </w:instrText>
              </w:r>
              <w:r>
                <w:fldChar w:fldCharType="separate"/>
              </w:r>
              <w:r>
                <w:t>12</w:t>
              </w:r>
              <w:r>
                <w:fldChar w:fldCharType="end"/>
              </w:r>
              <w:r>
                <w:rPr>
                  <w:rFonts w:hint="eastAsia" w:ascii="仿宋_GB2312" w:hAnsi="仿宋_GB2312" w:eastAsia="仿宋_GB2312" w:cs="仿宋_GB2312"/>
                  <w:color w:val="auto"/>
                  <w:szCs w:val="28"/>
                </w:rPr>
                <w:fldChar w:fldCharType="end"/>
              </w:r>
            </w:p>
            <w:p>
              <w:pPr>
                <w:pStyle w:val="14"/>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_Toc2661 </w:instrText>
              </w:r>
              <w:r>
                <w:rPr>
                  <w:rFonts w:hint="eastAsia" w:ascii="仿宋_GB2312" w:hAnsi="仿宋_GB2312" w:eastAsia="仿宋_GB2312" w:cs="仿宋_GB2312"/>
                  <w:szCs w:val="28"/>
                </w:rPr>
                <w:fldChar w:fldCharType="separate"/>
              </w:r>
              <w:r>
                <w:rPr>
                  <w:rFonts w:hint="eastAsia" w:ascii="黑体" w:hAnsi="黑体" w:eastAsia="黑体"/>
                </w:rPr>
                <w:t>十、 其他重要事项的情况说明</w:t>
              </w:r>
              <w:r>
                <w:tab/>
              </w:r>
              <w:r>
                <w:fldChar w:fldCharType="begin"/>
              </w:r>
              <w:r>
                <w:instrText xml:space="preserve"> PAGEREF _Toc2661 \h </w:instrText>
              </w:r>
              <w:r>
                <w:fldChar w:fldCharType="separate"/>
              </w:r>
              <w:r>
                <w:t>12</w:t>
              </w:r>
              <w:r>
                <w:fldChar w:fldCharType="end"/>
              </w:r>
              <w:r>
                <w:rPr>
                  <w:rFonts w:hint="eastAsia" w:ascii="仿宋_GB2312" w:hAnsi="仿宋_GB2312" w:eastAsia="仿宋_GB2312" w:cs="仿宋_GB2312"/>
                  <w:color w:val="auto"/>
                  <w:szCs w:val="28"/>
                </w:rPr>
                <w:fldChar w:fldCharType="end"/>
              </w:r>
            </w:p>
            <w:p>
              <w:pPr>
                <w:pStyle w:val="13"/>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_Toc23558 </w:instrText>
              </w:r>
              <w:r>
                <w:rPr>
                  <w:rFonts w:hint="eastAsia" w:ascii="仿宋_GB2312" w:hAnsi="仿宋_GB2312" w:eastAsia="仿宋_GB2312" w:cs="仿宋_GB2312"/>
                  <w:szCs w:val="28"/>
                </w:rPr>
                <w:fldChar w:fldCharType="separate"/>
              </w:r>
              <w:r>
                <w:rPr>
                  <w:rFonts w:hint="eastAsia" w:ascii="黑体" w:hAnsi="黑体" w:eastAsia="黑体"/>
                </w:rPr>
                <w:t>第三部分 名词解释</w:t>
              </w:r>
              <w:r>
                <w:tab/>
              </w:r>
              <w:r>
                <w:fldChar w:fldCharType="begin"/>
              </w:r>
              <w:r>
                <w:instrText xml:space="preserve"> PAGEREF _Toc23558 \h </w:instrText>
              </w:r>
              <w:r>
                <w:fldChar w:fldCharType="separate"/>
              </w:r>
              <w:r>
                <w:t>13</w:t>
              </w:r>
              <w:r>
                <w:fldChar w:fldCharType="end"/>
              </w:r>
              <w:r>
                <w:rPr>
                  <w:rFonts w:hint="eastAsia" w:ascii="仿宋_GB2312" w:hAnsi="仿宋_GB2312" w:eastAsia="仿宋_GB2312" w:cs="仿宋_GB2312"/>
                  <w:color w:val="auto"/>
                  <w:szCs w:val="28"/>
                </w:rPr>
                <w:fldChar w:fldCharType="end"/>
              </w:r>
            </w:p>
            <w:p>
              <w:pPr>
                <w:pStyle w:val="13"/>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_Toc21542 </w:instrText>
              </w:r>
              <w:r>
                <w:rPr>
                  <w:rFonts w:hint="eastAsia" w:ascii="仿宋_GB2312" w:hAnsi="仿宋_GB2312" w:eastAsia="仿宋_GB2312" w:cs="仿宋_GB2312"/>
                  <w:szCs w:val="28"/>
                </w:rPr>
                <w:fldChar w:fldCharType="separate"/>
              </w:r>
              <w:r>
                <w:rPr>
                  <w:rFonts w:hint="eastAsia" w:ascii="黑体" w:hAnsi="黑体" w:eastAsia="黑体"/>
                </w:rPr>
                <w:t>第四部分 附件</w:t>
              </w:r>
              <w:bookmarkStart w:id="99" w:name="_GoBack"/>
              <w:bookmarkEnd w:id="99"/>
              <w:r>
                <w:tab/>
              </w:r>
              <w:r>
                <w:fldChar w:fldCharType="begin"/>
              </w:r>
              <w:r>
                <w:instrText xml:space="preserve"> PAGEREF _Toc21542 \h </w:instrText>
              </w:r>
              <w:r>
                <w:fldChar w:fldCharType="separate"/>
              </w:r>
              <w:r>
                <w:t>16</w:t>
              </w:r>
              <w:r>
                <w:fldChar w:fldCharType="end"/>
              </w:r>
              <w:r>
                <w:rPr>
                  <w:rFonts w:hint="eastAsia" w:ascii="仿宋_GB2312" w:hAnsi="仿宋_GB2312" w:eastAsia="仿宋_GB2312" w:cs="仿宋_GB2312"/>
                  <w:color w:val="auto"/>
                  <w:szCs w:val="28"/>
                </w:rPr>
                <w:fldChar w:fldCharType="end"/>
              </w:r>
            </w:p>
            <w:p>
              <w:pPr>
                <w:pStyle w:val="13"/>
                <w:tabs>
                  <w:tab w:val="right" w:leader="dot" w:pos="8306"/>
                  <w:tab w:val="clear" w:pos="8296"/>
                </w:tabs>
              </w:pPr>
              <w:r>
                <w:rPr>
                  <w:rFonts w:hint="eastAsia" w:ascii="仿宋_GB2312" w:hAnsi="仿宋_GB2312" w:eastAsia="仿宋_GB2312" w:cs="仿宋_GB2312"/>
                  <w:color w:val="auto"/>
                  <w:szCs w:val="28"/>
                </w:rPr>
                <w:fldChar w:fldCharType="begin"/>
              </w:r>
              <w:r>
                <w:rPr>
                  <w:rFonts w:hint="eastAsia" w:ascii="仿宋_GB2312" w:hAnsi="仿宋_GB2312" w:eastAsia="仿宋_GB2312" w:cs="仿宋_GB2312"/>
                  <w:szCs w:val="28"/>
                </w:rPr>
                <w:instrText xml:space="preserve"> HYPERLINK \l _Toc25517 </w:instrText>
              </w:r>
              <w:r>
                <w:rPr>
                  <w:rFonts w:hint="eastAsia" w:ascii="仿宋_GB2312" w:hAnsi="仿宋_GB2312" w:eastAsia="仿宋_GB2312" w:cs="仿宋_GB2312"/>
                  <w:szCs w:val="28"/>
                </w:rPr>
                <w:fldChar w:fldCharType="separate"/>
              </w:r>
              <w:r>
                <w:rPr>
                  <w:rFonts w:hint="eastAsia" w:ascii="黑体" w:hAnsi="黑体" w:eastAsia="黑体"/>
                </w:rPr>
                <w:t>第五部分 附表</w:t>
              </w:r>
              <w:r>
                <w:tab/>
              </w:r>
              <w:r>
                <w:fldChar w:fldCharType="begin"/>
              </w:r>
              <w:r>
                <w:instrText xml:space="preserve"> PAGEREF _Toc25517 \h </w:instrText>
              </w:r>
              <w:r>
                <w:fldChar w:fldCharType="separate"/>
              </w:r>
              <w:r>
                <w:t>29</w:t>
              </w:r>
              <w:r>
                <w:fldChar w:fldCharType="end"/>
              </w:r>
              <w:r>
                <w:rPr>
                  <w:rFonts w:hint="eastAsia" w:ascii="仿宋_GB2312" w:hAnsi="仿宋_GB2312" w:eastAsia="仿宋_GB2312" w:cs="仿宋_GB2312"/>
                  <w:color w:val="auto"/>
                  <w:szCs w:val="28"/>
                </w:rPr>
                <w:fldChar w:fldCharType="end"/>
              </w:r>
            </w:p>
            <w:p>
              <w:r>
                <w:rPr>
                  <w:rFonts w:hint="eastAsia" w:ascii="仿宋_GB2312" w:hAnsi="仿宋_GB2312" w:eastAsia="仿宋_GB2312" w:cs="仿宋_GB2312"/>
                  <w:color w:val="auto"/>
                  <w:szCs w:val="28"/>
                </w:rPr>
                <w:fldChar w:fldCharType="end"/>
              </w:r>
            </w:p>
          </w:sdtContent>
        </w:sdt>
      </w:sdtContent>
    </w:sdt>
    <w:p>
      <w:pPr>
        <w:widowControl/>
        <w:spacing w:line="440" w:lineRule="exact"/>
        <w:jc w:val="left"/>
        <w:rPr>
          <w:rFonts w:hint="eastAsia" w:ascii="仿宋_GB2312" w:hAnsi="Times New Roman" w:eastAsia="仿宋_GB2312" w:cs="Times New Roman"/>
          <w:kern w:val="2"/>
          <w:sz w:val="32"/>
          <w:szCs w:val="32"/>
          <w:lang w:val="en-US" w:eastAsia="zh-CN" w:bidi="ar-SA"/>
        </w:rPr>
      </w:pPr>
      <w:bookmarkStart w:id="16" w:name="_Toc15377196"/>
      <w:bookmarkStart w:id="17" w:name="_Toc15396599"/>
      <w:r>
        <w:rPr>
          <w:rFonts w:hint="eastAsia" w:ascii="仿宋_GB2312" w:hAnsi="Times New Roman" w:eastAsia="仿宋_GB2312" w:cs="Times New Roman"/>
          <w:kern w:val="2"/>
          <w:sz w:val="32"/>
          <w:szCs w:val="32"/>
          <w:lang w:val="en-US" w:eastAsia="zh-CN" w:bidi="ar-SA"/>
        </w:rPr>
        <w:br w:type="page"/>
      </w:r>
    </w:p>
    <w:p>
      <w:pPr>
        <w:pStyle w:val="4"/>
        <w:jc w:val="center"/>
        <w:rPr>
          <w:rFonts w:ascii="黑体" w:eastAsia="黑体"/>
          <w:sz w:val="32"/>
          <w:szCs w:val="32"/>
        </w:rPr>
      </w:pPr>
      <w:bookmarkStart w:id="18" w:name="_Toc9511"/>
      <w:bookmarkStart w:id="19" w:name="_Toc1324"/>
      <w:r>
        <w:rPr>
          <w:rFonts w:hint="eastAsia" w:ascii="黑体" w:hAnsi="黑体" w:eastAsia="黑体"/>
          <w:b w:val="0"/>
        </w:rPr>
        <w:t xml:space="preserve">第一部分 </w:t>
      </w:r>
      <w:r>
        <w:rPr>
          <w:rStyle w:val="29"/>
          <w:rFonts w:hint="eastAsia" w:ascii="黑体" w:hAnsi="黑体" w:eastAsia="黑体"/>
          <w:b w:val="0"/>
          <w:bCs w:val="0"/>
        </w:rPr>
        <w:t>部门概况</w:t>
      </w:r>
      <w:bookmarkEnd w:id="16"/>
      <w:bookmarkEnd w:id="17"/>
      <w:bookmarkEnd w:id="18"/>
      <w:bookmarkEnd w:id="19"/>
    </w:p>
    <w:p>
      <w:pPr>
        <w:pStyle w:val="5"/>
        <w:pageBreakBefore w:val="0"/>
        <w:numPr>
          <w:ilvl w:val="0"/>
          <w:numId w:val="1"/>
        </w:numPr>
        <w:kinsoku/>
        <w:wordWrap/>
        <w:overflowPunct/>
        <w:topLinePunct w:val="0"/>
        <w:autoSpaceDE/>
        <w:autoSpaceDN/>
        <w:bidi w:val="0"/>
        <w:adjustRightInd/>
        <w:snapToGrid/>
        <w:spacing w:line="576" w:lineRule="exact"/>
        <w:textAlignment w:val="auto"/>
        <w:rPr>
          <w:rFonts w:hint="eastAsia" w:ascii="黑体" w:hAnsi="黑体" w:eastAsia="黑体"/>
          <w:b w:val="0"/>
        </w:rPr>
      </w:pPr>
      <w:bookmarkStart w:id="20" w:name="_Toc17225"/>
      <w:bookmarkStart w:id="21" w:name="_Toc28738"/>
      <w:r>
        <w:rPr>
          <w:rFonts w:hint="eastAsia" w:ascii="黑体" w:hAnsi="黑体" w:eastAsia="黑体"/>
          <w:b w:val="0"/>
        </w:rPr>
        <w:t>部门职责</w:t>
      </w:r>
      <w:bookmarkEnd w:id="20"/>
      <w:bookmarkEnd w:id="21"/>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06" w:beforeAutospacing="0" w:after="106" w:afterAutospacing="0" w:line="576" w:lineRule="exact"/>
        <w:ind w:right="0" w:firstLine="640" w:firstLineChars="200"/>
        <w:textAlignment w:val="auto"/>
        <w:rPr>
          <w:rFonts w:hint="eastAsia" w:ascii="仿宋_GB2312" w:eastAsia="仿宋_GB2312" w:cs="Times New Roman"/>
          <w:kern w:val="2"/>
          <w:sz w:val="32"/>
          <w:szCs w:val="32"/>
          <w:lang w:val="en-US" w:eastAsia="zh-CN" w:bidi="ar-SA"/>
        </w:rPr>
      </w:pPr>
      <w:r>
        <w:rPr>
          <w:rFonts w:hint="eastAsia" w:ascii="仿宋_GB2312" w:cs="Times New Roman"/>
          <w:kern w:val="2"/>
          <w:sz w:val="32"/>
          <w:szCs w:val="32"/>
          <w:lang w:val="en-US" w:eastAsia="zh-CN" w:bidi="ar-SA"/>
        </w:rPr>
        <w:t>1.</w:t>
      </w:r>
      <w:r>
        <w:rPr>
          <w:rFonts w:hint="eastAsia" w:ascii="仿宋_GB2312" w:eastAsia="仿宋_GB2312" w:cs="Times New Roman"/>
          <w:kern w:val="2"/>
          <w:sz w:val="32"/>
          <w:szCs w:val="32"/>
          <w:lang w:val="en-US" w:eastAsia="zh-CN" w:bidi="ar-SA"/>
        </w:rPr>
        <w:t>紧紧围绕党和政府的中心任务开展工作，团结、动员、组织妇女群众投身改革开放和社会主义物质文明、精神文明的建设，积极促进经济发展和社会进步，为维护改革发展稳定的大局服务。</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06" w:beforeAutospacing="0" w:after="106" w:afterAutospacing="0" w:line="576" w:lineRule="exact"/>
        <w:ind w:right="0" w:firstLine="640" w:firstLineChars="200"/>
        <w:textAlignment w:val="auto"/>
        <w:rPr>
          <w:rFonts w:hint="eastAsia" w:ascii="仿宋_GB2312" w:eastAsia="仿宋_GB2312" w:cs="Times New Roman"/>
          <w:kern w:val="2"/>
          <w:sz w:val="32"/>
          <w:szCs w:val="32"/>
          <w:lang w:val="en-US" w:eastAsia="zh-CN" w:bidi="ar-SA"/>
        </w:rPr>
      </w:pPr>
      <w:r>
        <w:rPr>
          <w:rFonts w:hint="eastAsia" w:ascii="仿宋_GB2312" w:cs="Times New Roman"/>
          <w:kern w:val="2"/>
          <w:sz w:val="32"/>
          <w:szCs w:val="32"/>
          <w:lang w:val="en-US" w:eastAsia="zh-CN" w:bidi="ar-SA"/>
        </w:rPr>
        <w:t>2.</w:t>
      </w:r>
      <w:r>
        <w:rPr>
          <w:rFonts w:hint="eastAsia" w:ascii="仿宋_GB2312" w:eastAsia="仿宋_GB2312" w:cs="Times New Roman"/>
          <w:kern w:val="2"/>
          <w:sz w:val="32"/>
          <w:szCs w:val="32"/>
          <w:lang w:val="en-US" w:eastAsia="zh-CN" w:bidi="ar-SA"/>
        </w:rPr>
        <w:t>教育、引导妇女群众树立正确的世界观、人生观、价值观、弘扬“自尊、自信、自立、自强”的精神，积极推动和开展对妇女的科技文化及生产劳动技能教育，全面提高妇女素质。</w:t>
      </w:r>
    </w:p>
    <w:p>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106" w:beforeAutospacing="0" w:after="106" w:afterAutospacing="0" w:line="20" w:lineRule="atLeast"/>
        <w:ind w:right="0" w:firstLine="640" w:firstLineChars="200"/>
        <w:rPr>
          <w:rFonts w:hint="eastAsia" w:ascii="仿宋_GB2312" w:eastAsia="仿宋_GB2312" w:cs="Times New Roman"/>
          <w:kern w:val="2"/>
          <w:sz w:val="32"/>
          <w:szCs w:val="32"/>
          <w:lang w:val="en-US" w:eastAsia="zh-CN" w:bidi="ar-SA"/>
        </w:rPr>
      </w:pPr>
      <w:r>
        <w:rPr>
          <w:rFonts w:hint="eastAsia" w:ascii="仿宋_GB2312" w:cs="Times New Roman"/>
          <w:kern w:val="2"/>
          <w:sz w:val="32"/>
          <w:szCs w:val="32"/>
          <w:lang w:val="en-US" w:eastAsia="zh-CN" w:bidi="ar-SA"/>
        </w:rPr>
        <w:t>3.</w:t>
      </w:r>
      <w:r>
        <w:rPr>
          <w:rFonts w:hint="eastAsia" w:ascii="仿宋_GB2312" w:eastAsia="仿宋_GB2312" w:cs="Times New Roman"/>
          <w:kern w:val="2"/>
          <w:sz w:val="32"/>
          <w:szCs w:val="32"/>
          <w:lang w:val="en-US" w:eastAsia="zh-CN" w:bidi="ar-SA"/>
        </w:rPr>
        <w:t>代表妇女参加国家和社会事务的民主管理和民主监督；关注并加强研究妇女切身利益的热点、难点问题。</w:t>
      </w:r>
    </w:p>
    <w:p>
      <w:pPr>
        <w:numPr>
          <w:ilvl w:val="0"/>
          <w:numId w:val="0"/>
        </w:numPr>
        <w:rPr>
          <w:sz w:val="32"/>
          <w:szCs w:val="32"/>
        </w:rPr>
      </w:pPr>
      <w:r>
        <w:rPr>
          <w:rFonts w:hint="eastAsia" w:ascii="仿宋_GB2312" w:cs="Times New Roman"/>
          <w:kern w:val="2"/>
          <w:sz w:val="32"/>
          <w:szCs w:val="32"/>
          <w:lang w:val="en-US" w:eastAsia="zh-CN" w:bidi="ar-SA"/>
        </w:rPr>
        <w:t>4.</w:t>
      </w:r>
      <w:r>
        <w:rPr>
          <w:rFonts w:hint="eastAsia" w:ascii="仿宋_GB2312" w:eastAsia="仿宋_GB2312" w:cs="Times New Roman"/>
          <w:kern w:val="2"/>
          <w:sz w:val="32"/>
          <w:szCs w:val="32"/>
          <w:lang w:val="en-US" w:eastAsia="zh-CN" w:bidi="ar-SA"/>
        </w:rPr>
        <w:t>坚持为妇女儿童服务、为基层服务，加强与社会各界的联系、协调推动全社会为妇女儿童办实事，办好事。</w:t>
      </w:r>
    </w:p>
    <w:p>
      <w:pPr>
        <w:pStyle w:val="5"/>
        <w:rPr>
          <w:rStyle w:val="30"/>
          <w:b w:val="0"/>
          <w:bCs w:val="0"/>
        </w:rPr>
      </w:pPr>
      <w:bookmarkStart w:id="22" w:name="_Toc15377200"/>
      <w:bookmarkStart w:id="23" w:name="_Toc3874"/>
      <w:bookmarkStart w:id="24" w:name="_Toc15396601"/>
      <w:bookmarkStart w:id="25" w:name="_Toc22462"/>
      <w:r>
        <w:rPr>
          <w:rFonts w:hint="eastAsia" w:ascii="黑体" w:eastAsia="黑体"/>
          <w:b w:val="0"/>
        </w:rPr>
        <w:t>二、</w:t>
      </w:r>
      <w:r>
        <w:rPr>
          <w:rFonts w:hint="eastAsia" w:ascii="黑体" w:hAnsi="黑体" w:eastAsia="黑体"/>
          <w:b w:val="0"/>
        </w:rPr>
        <w:t>机</w:t>
      </w:r>
      <w:r>
        <w:rPr>
          <w:rStyle w:val="30"/>
          <w:rFonts w:hint="eastAsia" w:ascii="黑体" w:hAnsi="黑体" w:eastAsia="黑体"/>
          <w:b w:val="0"/>
          <w:bCs w:val="0"/>
        </w:rPr>
        <w:t>构设置</w:t>
      </w:r>
      <w:bookmarkEnd w:id="22"/>
      <w:bookmarkEnd w:id="23"/>
      <w:bookmarkEnd w:id="24"/>
      <w:bookmarkEnd w:id="25"/>
    </w:p>
    <w:p>
      <w:pPr>
        <w:numPr>
          <w:ilvl w:val="0"/>
          <w:numId w:val="0"/>
        </w:numPr>
        <w:ind w:firstLine="640" w:firstLineChars="200"/>
        <w:rPr>
          <w:rFonts w:hint="eastAsia" w:ascii="仿宋_GB2312" w:eastAsia="仿宋_GB2312" w:cs="Times New Roman"/>
          <w:kern w:val="2"/>
          <w:sz w:val="32"/>
          <w:szCs w:val="32"/>
          <w:lang w:val="en-US" w:eastAsia="zh-CN" w:bidi="ar-SA"/>
        </w:rPr>
      </w:pPr>
      <w:r>
        <w:rPr>
          <w:rFonts w:hint="eastAsia" w:ascii="仿宋_GB2312" w:eastAsia="仿宋_GB2312" w:cs="Times New Roman"/>
          <w:kern w:val="2"/>
          <w:sz w:val="32"/>
          <w:szCs w:val="32"/>
          <w:lang w:val="en-US" w:eastAsia="zh-CN" w:bidi="ar-SA"/>
        </w:rPr>
        <w:t>红原县妇女联合会下属二级预算单位0个，其中行政单位1个，参照公务员法管理的事业单位0个，其他事业单位0个。</w:t>
      </w:r>
    </w:p>
    <w:p>
      <w:pPr>
        <w:numPr>
          <w:ilvl w:val="0"/>
          <w:numId w:val="0"/>
        </w:numPr>
        <w:ind w:firstLine="640" w:firstLineChars="200"/>
        <w:rPr>
          <w:rFonts w:hint="eastAsia" w:ascii="仿宋_GB2312" w:eastAsia="仿宋_GB2312" w:cs="Times New Roman"/>
          <w:kern w:val="2"/>
          <w:sz w:val="32"/>
          <w:szCs w:val="32"/>
          <w:lang w:val="en-US" w:eastAsia="zh-CN" w:bidi="ar-SA"/>
        </w:rPr>
      </w:pPr>
      <w:r>
        <w:rPr>
          <w:rFonts w:hint="eastAsia" w:ascii="仿宋_GB2312" w:eastAsia="仿宋_GB2312" w:cs="Times New Roman"/>
          <w:kern w:val="2"/>
          <w:sz w:val="32"/>
          <w:szCs w:val="32"/>
          <w:lang w:val="en-US" w:eastAsia="zh-CN" w:bidi="ar-SA"/>
        </w:rPr>
        <w:t>截至2025年末，本单位实有人数为5人，其中行政编制数5人，事业编制数0人，比上年增加0人；年末实有离退休人数为0人，比上年增加0人。年末实有其他人数为0人，比上年增加0人。</w:t>
      </w:r>
    </w:p>
    <w:p>
      <w:pPr>
        <w:pStyle w:val="4"/>
        <w:ind w:right="440"/>
        <w:jc w:val="center"/>
      </w:pPr>
      <w:bookmarkStart w:id="26" w:name="_Toc15377204"/>
      <w:bookmarkStart w:id="27" w:name="_Toc15396602"/>
      <w:bookmarkStart w:id="28" w:name="_Toc14774"/>
      <w:bookmarkStart w:id="29" w:name="_Toc3729"/>
      <w:r>
        <w:rPr>
          <w:rFonts w:hint="eastAsia" w:ascii="黑体" w:hAnsi="黑体" w:eastAsia="黑体"/>
          <w:b w:val="0"/>
        </w:rPr>
        <w:t>第二部分 202</w:t>
      </w:r>
      <w:r>
        <w:rPr>
          <w:rFonts w:hint="eastAsia" w:ascii="黑体" w:hAnsi="黑体" w:eastAsia="黑体"/>
          <w:b w:val="0"/>
          <w:lang w:val="en-US" w:eastAsia="zh-CN"/>
        </w:rPr>
        <w:t>5</w:t>
      </w:r>
      <w:r>
        <w:rPr>
          <w:rFonts w:hint="eastAsia" w:ascii="黑体" w:hAnsi="黑体" w:eastAsia="黑体"/>
          <w:b w:val="0"/>
        </w:rPr>
        <w:t>年度</w:t>
      </w:r>
      <w:r>
        <w:rPr>
          <w:rStyle w:val="29"/>
          <w:rFonts w:hint="eastAsia" w:ascii="黑体" w:hAnsi="黑体" w:eastAsia="黑体"/>
          <w:b w:val="0"/>
          <w:bCs/>
        </w:rPr>
        <w:t>部门决算情况说明</w:t>
      </w:r>
      <w:bookmarkEnd w:id="26"/>
      <w:bookmarkEnd w:id="27"/>
      <w:bookmarkEnd w:id="28"/>
      <w:bookmarkEnd w:id="29"/>
    </w:p>
    <w:p>
      <w:pPr>
        <w:pStyle w:val="28"/>
        <w:numPr>
          <w:ilvl w:val="0"/>
          <w:numId w:val="2"/>
        </w:numPr>
        <w:spacing w:line="600" w:lineRule="exact"/>
        <w:ind w:firstLineChars="0"/>
        <w:outlineLvl w:val="1"/>
        <w:rPr>
          <w:rStyle w:val="30"/>
          <w:rFonts w:ascii="黑体" w:hAnsi="黑体" w:eastAsia="黑体"/>
          <w:b w:val="0"/>
        </w:rPr>
      </w:pPr>
      <w:bookmarkStart w:id="30" w:name="_Toc2870"/>
      <w:bookmarkStart w:id="31" w:name="_Toc15377205"/>
      <w:bookmarkStart w:id="32" w:name="_Toc28047"/>
      <w:bookmarkStart w:id="33" w:name="_Toc15396603"/>
      <w:r>
        <w:rPr>
          <w:rFonts w:hint="eastAsia" w:ascii="黑体" w:hAnsi="黑体" w:eastAsia="黑体"/>
          <w:sz w:val="32"/>
          <w:szCs w:val="32"/>
        </w:rPr>
        <w:t>收</w:t>
      </w:r>
      <w:r>
        <w:rPr>
          <w:rStyle w:val="30"/>
          <w:rFonts w:hint="eastAsia" w:ascii="黑体" w:hAnsi="黑体" w:eastAsia="黑体"/>
          <w:b w:val="0"/>
        </w:rPr>
        <w:t>入支出决算总体情况说明</w:t>
      </w:r>
      <w:bookmarkEnd w:id="30"/>
      <w:bookmarkEnd w:id="31"/>
      <w:bookmarkEnd w:id="32"/>
      <w:bookmarkEnd w:id="33"/>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202</w:t>
      </w:r>
      <w:r>
        <w:rPr>
          <w:rFonts w:hint="eastAsia" w:ascii="仿宋_GB2312"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年度收、支总计均为</w:t>
      </w:r>
      <w:r>
        <w:rPr>
          <w:rFonts w:hint="eastAsia" w:ascii="仿宋_GB2312" w:eastAsia="仿宋_GB2312" w:cs="Times New Roman"/>
          <w:kern w:val="2"/>
          <w:sz w:val="32"/>
          <w:szCs w:val="32"/>
          <w:lang w:val="en-US" w:eastAsia="zh-CN" w:bidi="ar-SA"/>
        </w:rPr>
        <w:t>258.14</w:t>
      </w:r>
      <w:r>
        <w:rPr>
          <w:rFonts w:hint="eastAsia" w:ascii="仿宋_GB2312" w:hAnsi="Times New Roman" w:eastAsia="仿宋_GB2312" w:cs="Times New Roman"/>
          <w:kern w:val="2"/>
          <w:sz w:val="32"/>
          <w:szCs w:val="32"/>
          <w:lang w:val="en-US" w:eastAsia="zh-CN" w:bidi="ar-SA"/>
        </w:rPr>
        <w:t>万元。与202</w:t>
      </w:r>
      <w:r>
        <w:rPr>
          <w:rFonts w:hint="eastAsia" w:ascii="仿宋_GB2312"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en-US" w:eastAsia="zh-CN" w:bidi="ar-SA"/>
        </w:rPr>
        <w:t>年度相比，收、支总计各</w:t>
      </w:r>
      <w:r>
        <w:rPr>
          <w:rFonts w:hint="eastAsia" w:ascii="仿宋_GB2312" w:eastAsia="仿宋_GB2312" w:cs="Times New Roman"/>
          <w:kern w:val="2"/>
          <w:sz w:val="32"/>
          <w:szCs w:val="32"/>
          <w:lang w:val="en-US" w:eastAsia="zh-CN" w:bidi="ar-SA"/>
        </w:rPr>
        <w:t>增减130.87</w:t>
      </w:r>
      <w:r>
        <w:rPr>
          <w:rFonts w:hint="eastAsia" w:ascii="仿宋_GB2312" w:hAnsi="Times New Roman" w:eastAsia="仿宋_GB2312" w:cs="Times New Roman"/>
          <w:kern w:val="2"/>
          <w:sz w:val="32"/>
          <w:szCs w:val="32"/>
          <w:lang w:val="en-US" w:eastAsia="zh-CN" w:bidi="ar-SA"/>
        </w:rPr>
        <w:t>万元，</w:t>
      </w:r>
      <w:r>
        <w:rPr>
          <w:rFonts w:hint="eastAsia" w:ascii="仿宋_GB2312" w:hAnsi="仿宋" w:eastAsia="仿宋_GB2312"/>
          <w:sz w:val="32"/>
          <w:szCs w:val="32"/>
          <w:lang w:val="en-US" w:eastAsia="zh-CN"/>
        </w:rPr>
        <w:t>增减变动率</w:t>
      </w:r>
      <w:r>
        <w:rPr>
          <w:rFonts w:hint="eastAsia" w:ascii="仿宋_GB2312" w:eastAsia="仿宋_GB2312" w:cs="Times New Roman"/>
          <w:kern w:val="2"/>
          <w:sz w:val="32"/>
          <w:szCs w:val="32"/>
          <w:lang w:val="en-US" w:eastAsia="zh-CN" w:bidi="ar-SA"/>
        </w:rPr>
        <w:t>84.83</w:t>
      </w:r>
      <w:r>
        <w:rPr>
          <w:rFonts w:hint="eastAsia" w:ascii="仿宋_GB2312" w:hAnsi="Times New Roman" w:eastAsia="仿宋_GB2312" w:cs="Times New Roman"/>
          <w:kern w:val="2"/>
          <w:sz w:val="32"/>
          <w:szCs w:val="32"/>
          <w:lang w:val="en-US" w:eastAsia="zh-CN" w:bidi="ar-SA"/>
        </w:rPr>
        <w:t>%。主要变动原因是人员经费、日常公用经费及专项项目增加。</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w:t>
      </w:r>
      <w:r>
        <w:rPr>
          <w:rFonts w:ascii="仿宋" w:hAnsi="仿宋" w:eastAsia="仿宋"/>
          <w:sz w:val="32"/>
          <w:szCs w:val="32"/>
        </w:rPr>
        <w:t>1</w:t>
      </w:r>
      <w:r>
        <w:rPr>
          <w:rFonts w:hint="eastAsia" w:ascii="仿宋" w:hAnsi="仿宋" w:eastAsia="仿宋"/>
          <w:sz w:val="32"/>
          <w:szCs w:val="32"/>
        </w:rPr>
        <w:t>：收、支决算总计变动情况图）（柱状图）</w:t>
      </w:r>
    </w:p>
    <w:p>
      <w:pPr>
        <w:pStyle w:val="20"/>
        <w:outlineLvl w:val="9"/>
        <w:rPr>
          <w:rFonts w:hint="eastAsia" w:ascii="仿宋_GB2312" w:eastAsia="仿宋_GB2312"/>
          <w:sz w:val="32"/>
          <w:szCs w:val="32"/>
          <w:lang w:eastAsia="zh-CN"/>
        </w:rPr>
      </w:pPr>
      <w:r>
        <w:rPr>
          <w:rFonts w:hint="eastAsia" w:ascii="仿宋_GB2312" w:eastAsia="仿宋_GB2312"/>
          <w:sz w:val="32"/>
          <w:szCs w:val="32"/>
          <w:lang w:eastAsia="zh-CN"/>
        </w:rPr>
        <w:drawing>
          <wp:inline distT="0" distB="0" distL="114300" distR="114300">
            <wp:extent cx="4447540" cy="2701290"/>
            <wp:effectExtent l="4445" t="4445" r="5715" b="18415"/>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8"/>
        <w:numPr>
          <w:ilvl w:val="0"/>
          <w:numId w:val="2"/>
        </w:numPr>
        <w:spacing w:line="600" w:lineRule="exact"/>
        <w:ind w:firstLineChars="0"/>
        <w:outlineLvl w:val="1"/>
        <w:rPr>
          <w:rStyle w:val="30"/>
          <w:rFonts w:ascii="黑体" w:hAnsi="黑体" w:eastAsia="黑体"/>
          <w:b w:val="0"/>
        </w:rPr>
      </w:pPr>
      <w:bookmarkStart w:id="34" w:name="_Toc15377206"/>
      <w:bookmarkStart w:id="35" w:name="_Toc23927"/>
      <w:bookmarkStart w:id="36" w:name="_Toc15396604"/>
      <w:bookmarkStart w:id="37" w:name="_Toc14106"/>
      <w:r>
        <w:rPr>
          <w:rFonts w:hint="eastAsia" w:ascii="黑体" w:hAnsi="黑体" w:eastAsia="黑体"/>
          <w:sz w:val="32"/>
          <w:szCs w:val="32"/>
        </w:rPr>
        <w:t>收</w:t>
      </w:r>
      <w:r>
        <w:rPr>
          <w:rStyle w:val="30"/>
          <w:rFonts w:hint="eastAsia" w:ascii="黑体" w:hAnsi="黑体" w:eastAsia="黑体"/>
          <w:b w:val="0"/>
        </w:rPr>
        <w:t>入决算情况说明</w:t>
      </w:r>
      <w:bookmarkEnd w:id="34"/>
      <w:bookmarkEnd w:id="35"/>
      <w:bookmarkEnd w:id="36"/>
      <w:bookmarkEnd w:id="37"/>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202</w:t>
      </w:r>
      <w:r>
        <w:rPr>
          <w:rFonts w:hint="eastAsia" w:ascii="仿宋_GB2312"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年度本年收入合计</w:t>
      </w:r>
      <w:r>
        <w:rPr>
          <w:rFonts w:hint="eastAsia" w:ascii="仿宋_GB2312" w:eastAsia="仿宋_GB2312" w:cs="Times New Roman"/>
          <w:kern w:val="2"/>
          <w:sz w:val="32"/>
          <w:szCs w:val="32"/>
          <w:lang w:val="en-US" w:eastAsia="zh-CN" w:bidi="ar-SA"/>
        </w:rPr>
        <w:t>285.14</w:t>
      </w:r>
      <w:r>
        <w:rPr>
          <w:rFonts w:hint="eastAsia" w:ascii="仿宋_GB2312" w:hAnsi="Times New Roman" w:eastAsia="仿宋_GB2312" w:cs="Times New Roman"/>
          <w:kern w:val="2"/>
          <w:sz w:val="32"/>
          <w:szCs w:val="32"/>
          <w:lang w:val="en-US" w:eastAsia="zh-CN" w:bidi="ar-SA"/>
        </w:rPr>
        <w:t>万元，其中：一般公共预算财政拨款收入</w:t>
      </w:r>
      <w:r>
        <w:rPr>
          <w:rFonts w:hint="eastAsia" w:ascii="仿宋_GB2312" w:eastAsia="仿宋_GB2312" w:cs="Times New Roman"/>
          <w:kern w:val="2"/>
          <w:sz w:val="32"/>
          <w:szCs w:val="32"/>
          <w:lang w:val="en-US" w:eastAsia="zh-CN" w:bidi="ar-SA"/>
        </w:rPr>
        <w:t>285.14</w:t>
      </w:r>
      <w:r>
        <w:rPr>
          <w:rFonts w:hint="eastAsia" w:ascii="仿宋_GB2312" w:hAnsi="Times New Roman" w:eastAsia="仿宋_GB2312" w:cs="Times New Roman"/>
          <w:kern w:val="2"/>
          <w:sz w:val="32"/>
          <w:szCs w:val="32"/>
          <w:lang w:val="en-US" w:eastAsia="zh-CN" w:bidi="ar-SA"/>
        </w:rPr>
        <w:t>万元，占100%；政府性基金预算财政拨款收入0万元，占0%；国有资本经营预算财政拨款收入0万元，占0%；上级补助收入0万元，占0%；事业收入0万元，占0%；经营收入0万元，占0%；附属单位上缴收入0万元，占0%；其他收入0万元，占0%。</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（图2：收入决算结构图）（饼状图）</w:t>
      </w:r>
    </w:p>
    <w:p>
      <w:pPr>
        <w:pStyle w:val="20"/>
        <w:outlineLvl w:val="9"/>
        <w:rPr>
          <w:rFonts w:hint="eastAsia" w:eastAsia="仿宋"/>
          <w:lang w:eastAsia="zh-CN"/>
        </w:rPr>
      </w:pPr>
      <w:r>
        <w:rPr>
          <w:rFonts w:hint="eastAsia" w:eastAsia="仿宋"/>
          <w:lang w:eastAsia="zh-CN"/>
        </w:rPr>
        <w:drawing>
          <wp:inline distT="0" distB="0" distL="114300" distR="114300">
            <wp:extent cx="3623310" cy="2419350"/>
            <wp:effectExtent l="4445" t="4445" r="10795" b="1460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28"/>
        <w:numPr>
          <w:ilvl w:val="0"/>
          <w:numId w:val="2"/>
        </w:numPr>
        <w:spacing w:line="600" w:lineRule="exact"/>
        <w:ind w:firstLineChars="0"/>
        <w:outlineLvl w:val="1"/>
        <w:rPr>
          <w:rStyle w:val="30"/>
          <w:rFonts w:ascii="黑体" w:hAnsi="黑体" w:eastAsia="黑体"/>
          <w:b w:val="0"/>
        </w:rPr>
      </w:pPr>
      <w:bookmarkStart w:id="38" w:name="_Toc15396605"/>
      <w:bookmarkStart w:id="39" w:name="_Toc15377207"/>
      <w:bookmarkStart w:id="40" w:name="_Toc14547"/>
      <w:bookmarkStart w:id="41" w:name="_Toc32360"/>
      <w:r>
        <w:rPr>
          <w:rFonts w:hint="eastAsia" w:ascii="黑体" w:hAnsi="黑体" w:eastAsia="黑体"/>
          <w:sz w:val="32"/>
          <w:szCs w:val="32"/>
        </w:rPr>
        <w:t>支</w:t>
      </w:r>
      <w:r>
        <w:rPr>
          <w:rStyle w:val="30"/>
          <w:rFonts w:hint="eastAsia" w:ascii="黑体" w:hAnsi="黑体" w:eastAsia="黑体"/>
          <w:b w:val="0"/>
        </w:rPr>
        <w:t>出决算情况说明</w:t>
      </w:r>
      <w:bookmarkEnd w:id="38"/>
      <w:bookmarkEnd w:id="39"/>
      <w:bookmarkEnd w:id="40"/>
      <w:bookmarkEnd w:id="41"/>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202</w:t>
      </w:r>
      <w:r>
        <w:rPr>
          <w:rFonts w:hint="eastAsia" w:ascii="仿宋_GB2312"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年度本年支出合计</w:t>
      </w:r>
      <w:r>
        <w:rPr>
          <w:rFonts w:hint="eastAsia" w:ascii="仿宋_GB2312" w:eastAsia="仿宋_GB2312" w:cs="Times New Roman"/>
          <w:kern w:val="2"/>
          <w:sz w:val="32"/>
          <w:szCs w:val="32"/>
          <w:lang w:val="en-US" w:eastAsia="zh-CN" w:bidi="ar-SA"/>
        </w:rPr>
        <w:t>285.14</w:t>
      </w:r>
      <w:r>
        <w:rPr>
          <w:rFonts w:hint="eastAsia" w:ascii="仿宋_GB2312" w:hAnsi="Times New Roman" w:eastAsia="仿宋_GB2312" w:cs="Times New Roman"/>
          <w:kern w:val="2"/>
          <w:sz w:val="32"/>
          <w:szCs w:val="32"/>
          <w:lang w:val="en-US" w:eastAsia="zh-CN" w:bidi="ar-SA"/>
        </w:rPr>
        <w:t>万元，其中：基本支出</w:t>
      </w:r>
      <w:r>
        <w:rPr>
          <w:rFonts w:hint="eastAsia" w:ascii="仿宋_GB2312" w:eastAsia="仿宋_GB2312" w:cs="Times New Roman"/>
          <w:kern w:val="2"/>
          <w:sz w:val="32"/>
          <w:szCs w:val="32"/>
          <w:lang w:val="en-US" w:eastAsia="zh-CN" w:bidi="ar-SA"/>
        </w:rPr>
        <w:t>153.31</w:t>
      </w:r>
      <w:r>
        <w:rPr>
          <w:rFonts w:hint="eastAsia" w:ascii="仿宋_GB2312" w:hAnsi="Times New Roman" w:eastAsia="仿宋_GB2312" w:cs="Times New Roman"/>
          <w:kern w:val="2"/>
          <w:sz w:val="32"/>
          <w:szCs w:val="32"/>
          <w:lang w:val="en-US" w:eastAsia="zh-CN" w:bidi="ar-SA"/>
        </w:rPr>
        <w:t>万元，占</w:t>
      </w:r>
      <w:r>
        <w:rPr>
          <w:rFonts w:hint="eastAsia" w:ascii="仿宋_GB2312" w:eastAsia="仿宋_GB2312" w:cs="Times New Roman"/>
          <w:kern w:val="2"/>
          <w:sz w:val="32"/>
          <w:szCs w:val="32"/>
          <w:lang w:val="en-US" w:eastAsia="zh-CN" w:bidi="ar-SA"/>
        </w:rPr>
        <w:t>53.77</w:t>
      </w:r>
      <w:r>
        <w:rPr>
          <w:rFonts w:hint="eastAsia" w:ascii="仿宋_GB2312" w:hAnsi="Times New Roman" w:eastAsia="仿宋_GB2312" w:cs="Times New Roman"/>
          <w:kern w:val="2"/>
          <w:sz w:val="32"/>
          <w:szCs w:val="32"/>
          <w:lang w:val="en-US" w:eastAsia="zh-CN" w:bidi="ar-SA"/>
        </w:rPr>
        <w:t>%；项目支出</w:t>
      </w:r>
      <w:r>
        <w:rPr>
          <w:rFonts w:hint="eastAsia" w:ascii="仿宋_GB2312" w:eastAsia="仿宋_GB2312" w:cs="Times New Roman"/>
          <w:kern w:val="2"/>
          <w:sz w:val="32"/>
          <w:szCs w:val="32"/>
          <w:lang w:val="en-US" w:eastAsia="zh-CN" w:bidi="ar-SA"/>
        </w:rPr>
        <w:t>131.82</w:t>
      </w:r>
      <w:r>
        <w:rPr>
          <w:rFonts w:hint="eastAsia" w:ascii="仿宋_GB2312" w:hAnsi="Times New Roman" w:eastAsia="仿宋_GB2312" w:cs="Times New Roman"/>
          <w:kern w:val="2"/>
          <w:sz w:val="32"/>
          <w:szCs w:val="32"/>
          <w:lang w:val="en-US" w:eastAsia="zh-CN" w:bidi="ar-SA"/>
        </w:rPr>
        <w:t>万元，占</w:t>
      </w:r>
      <w:r>
        <w:rPr>
          <w:rFonts w:hint="eastAsia" w:ascii="仿宋_GB2312" w:eastAsia="仿宋_GB2312" w:cs="Times New Roman"/>
          <w:kern w:val="2"/>
          <w:sz w:val="32"/>
          <w:szCs w:val="32"/>
          <w:lang w:val="en-US" w:eastAsia="zh-CN" w:bidi="ar-SA"/>
        </w:rPr>
        <w:t>46.23</w:t>
      </w:r>
      <w:r>
        <w:rPr>
          <w:rFonts w:hint="eastAsia" w:ascii="仿宋_GB2312" w:hAnsi="Times New Roman" w:eastAsia="仿宋_GB2312" w:cs="Times New Roman"/>
          <w:kern w:val="2"/>
          <w:sz w:val="32"/>
          <w:szCs w:val="32"/>
          <w:lang w:val="en-US" w:eastAsia="zh-CN" w:bidi="ar-SA"/>
        </w:rPr>
        <w:t>%；上缴上级支出0万元，占0%；经营支出0万元，占0%；对附属单位补助支出0万元，占0%。</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（图3：支出决算结构图）（饼状图）</w:t>
      </w:r>
    </w:p>
    <w:p>
      <w:pPr>
        <w:pStyle w:val="20"/>
        <w:outlineLvl w:val="9"/>
        <w:rPr>
          <w:rFonts w:hint="eastAsia" w:eastAsia="仿宋"/>
          <w:lang w:eastAsia="zh-CN"/>
        </w:rPr>
      </w:pPr>
      <w:r>
        <w:rPr>
          <w:rFonts w:hint="eastAsia" w:eastAsia="仿宋"/>
          <w:lang w:eastAsia="zh-CN"/>
        </w:rPr>
        <w:drawing>
          <wp:inline distT="0" distB="0" distL="114300" distR="114300">
            <wp:extent cx="3394710" cy="1734820"/>
            <wp:effectExtent l="4445" t="4445" r="10795" b="1333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line="600" w:lineRule="exact"/>
        <w:ind w:firstLine="640" w:firstLineChars="200"/>
        <w:outlineLvl w:val="1"/>
        <w:rPr>
          <w:rFonts w:hint="eastAsia" w:ascii="黑体" w:hAnsi="黑体" w:eastAsia="黑体"/>
          <w:sz w:val="32"/>
          <w:szCs w:val="32"/>
        </w:rPr>
      </w:pPr>
      <w:bookmarkStart w:id="42" w:name="_Toc30268"/>
      <w:bookmarkStart w:id="43" w:name="_Toc15396606"/>
      <w:bookmarkStart w:id="44" w:name="_Toc15377208"/>
    </w:p>
    <w:p>
      <w:pPr>
        <w:spacing w:line="600" w:lineRule="exact"/>
        <w:ind w:firstLine="640" w:firstLineChars="200"/>
        <w:outlineLvl w:val="1"/>
        <w:rPr>
          <w:rStyle w:val="30"/>
          <w:rFonts w:ascii="黑体" w:hAnsi="黑体" w:eastAsia="黑体"/>
          <w:b w:val="0"/>
        </w:rPr>
      </w:pPr>
      <w:bookmarkStart w:id="45" w:name="_Toc32056"/>
      <w:r>
        <w:rPr>
          <w:rFonts w:hint="eastAsia" w:ascii="黑体" w:hAnsi="黑体" w:eastAsia="黑体"/>
          <w:sz w:val="32"/>
          <w:szCs w:val="32"/>
        </w:rPr>
        <w:t>四、财</w:t>
      </w:r>
      <w:r>
        <w:rPr>
          <w:rStyle w:val="30"/>
          <w:rFonts w:hint="eastAsia" w:ascii="黑体" w:hAnsi="黑体" w:eastAsia="黑体"/>
          <w:b w:val="0"/>
        </w:rPr>
        <w:t>政拨款收入支出决算总体情况说明</w:t>
      </w:r>
      <w:bookmarkEnd w:id="42"/>
      <w:bookmarkEnd w:id="43"/>
      <w:bookmarkEnd w:id="44"/>
      <w:bookmarkEnd w:id="45"/>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202</w:t>
      </w:r>
      <w:r>
        <w:rPr>
          <w:rFonts w:hint="eastAsia" w:ascii="仿宋_GB2312"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度财政拨款收、支总计均为</w:t>
      </w:r>
      <w:r>
        <w:rPr>
          <w:rFonts w:hint="eastAsia" w:ascii="仿宋_GB2312" w:eastAsia="仿宋_GB2312" w:cs="Times New Roman"/>
          <w:kern w:val="2"/>
          <w:sz w:val="32"/>
          <w:szCs w:val="32"/>
          <w:lang w:val="en-US" w:eastAsia="zh-CN" w:bidi="ar-SA"/>
        </w:rPr>
        <w:t>285.14</w:t>
      </w:r>
      <w:r>
        <w:rPr>
          <w:rFonts w:hint="eastAsia" w:ascii="仿宋_GB2312" w:hAnsi="Times New Roman" w:eastAsia="仿宋_GB2312" w:cs="Times New Roman"/>
          <w:kern w:val="2"/>
          <w:sz w:val="32"/>
          <w:szCs w:val="32"/>
          <w:lang w:val="en-US" w:eastAsia="zh-CN" w:bidi="ar-SA"/>
        </w:rPr>
        <w:t>万元。与202</w:t>
      </w:r>
      <w:r>
        <w:rPr>
          <w:rFonts w:hint="eastAsia" w:ascii="仿宋_GB2312"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en-US" w:eastAsia="zh-CN" w:bidi="ar-SA"/>
        </w:rPr>
        <w:t>年度相比，财政拨款收、支总计各</w:t>
      </w:r>
      <w:r>
        <w:rPr>
          <w:rFonts w:hint="eastAsia" w:ascii="仿宋_GB2312" w:eastAsia="仿宋_GB2312" w:cs="Times New Roman"/>
          <w:kern w:val="2"/>
          <w:sz w:val="32"/>
          <w:szCs w:val="32"/>
          <w:lang w:val="en-US" w:eastAsia="zh-CN" w:bidi="ar-SA"/>
        </w:rPr>
        <w:t>增减130.87</w:t>
      </w:r>
      <w:r>
        <w:rPr>
          <w:rFonts w:hint="eastAsia" w:ascii="仿宋_GB2312" w:hAnsi="Times New Roman" w:eastAsia="仿宋_GB2312" w:cs="Times New Roman"/>
          <w:kern w:val="2"/>
          <w:sz w:val="32"/>
          <w:szCs w:val="32"/>
          <w:lang w:val="en-US" w:eastAsia="zh-CN" w:bidi="ar-SA"/>
        </w:rPr>
        <w:t>万元，</w:t>
      </w:r>
      <w:r>
        <w:rPr>
          <w:rFonts w:hint="eastAsia" w:ascii="仿宋_GB2312" w:eastAsia="仿宋_GB2312" w:cs="Times New Roman"/>
          <w:kern w:val="2"/>
          <w:sz w:val="32"/>
          <w:szCs w:val="32"/>
          <w:lang w:val="en-US" w:eastAsia="zh-CN" w:bidi="ar-SA"/>
        </w:rPr>
        <w:t>增减变动率84.83</w:t>
      </w:r>
      <w:r>
        <w:rPr>
          <w:rFonts w:hint="eastAsia" w:ascii="仿宋_GB2312" w:hAnsi="Times New Roman" w:eastAsia="仿宋_GB2312" w:cs="Times New Roman"/>
          <w:kern w:val="2"/>
          <w:sz w:val="32"/>
          <w:szCs w:val="32"/>
          <w:lang w:val="en-US" w:eastAsia="zh-CN" w:bidi="ar-SA"/>
        </w:rPr>
        <w:t>%。主要变动原因是人员经费、日常公用经费及专项项目增加。</w:t>
      </w:r>
    </w:p>
    <w:p>
      <w:pPr>
        <w:spacing w:line="600" w:lineRule="exact"/>
        <w:ind w:firstLine="640" w:firstLineChars="200"/>
        <w:jc w:val="left"/>
        <w:rPr>
          <w:rFonts w:hint="default" w:ascii="仿宋_GB2312" w:hAnsi="Times New Roman" w:eastAsia="仿宋_GB2312" w:cs="Times New Roman"/>
          <w:kern w:val="2"/>
          <w:sz w:val="32"/>
          <w:szCs w:val="32"/>
          <w:lang w:val="en-US" w:eastAsia="zh-CN" w:bidi="ar-SA"/>
        </w:rPr>
      </w:pP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（图4：财政拨款收、支决算总计变动情况）（柱状图）</w:t>
      </w:r>
    </w:p>
    <w:p>
      <w:pPr>
        <w:pStyle w:val="20"/>
        <w:outlineLvl w:val="9"/>
        <w:rPr>
          <w:rFonts w:hint="eastAsia" w:ascii="仿宋" w:hAnsi="仿宋" w:eastAsia="仿宋"/>
          <w:b/>
          <w:sz w:val="32"/>
          <w:szCs w:val="32"/>
          <w:lang w:eastAsia="zh-CN"/>
        </w:rPr>
      </w:pPr>
      <w:r>
        <w:rPr>
          <w:rFonts w:hint="eastAsia" w:ascii="仿宋" w:hAnsi="仿宋" w:eastAsia="仿宋"/>
          <w:b/>
          <w:sz w:val="32"/>
          <w:szCs w:val="32"/>
          <w:lang w:eastAsia="zh-CN"/>
        </w:rPr>
        <w:drawing>
          <wp:inline distT="0" distB="0" distL="114300" distR="114300">
            <wp:extent cx="5100320" cy="2584450"/>
            <wp:effectExtent l="4445" t="4445" r="19685" b="20955"/>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spacing w:line="600" w:lineRule="exact"/>
        <w:ind w:firstLine="640" w:firstLineChars="200"/>
        <w:outlineLvl w:val="1"/>
        <w:rPr>
          <w:rStyle w:val="30"/>
          <w:rFonts w:ascii="黑体" w:hAnsi="黑体" w:eastAsia="黑体"/>
          <w:b w:val="0"/>
        </w:rPr>
      </w:pPr>
      <w:bookmarkStart w:id="46" w:name="_Toc22907"/>
      <w:bookmarkStart w:id="47" w:name="_Toc25995"/>
      <w:bookmarkStart w:id="48" w:name="_Toc15377209"/>
      <w:bookmarkStart w:id="49" w:name="_Toc15396607"/>
      <w:r>
        <w:rPr>
          <w:rFonts w:hint="eastAsia" w:ascii="黑体" w:hAnsi="黑体" w:eastAsia="黑体"/>
          <w:sz w:val="32"/>
          <w:szCs w:val="32"/>
        </w:rPr>
        <w:t>五、</w:t>
      </w:r>
      <w:r>
        <w:rPr>
          <w:rFonts w:hint="eastAsia" w:ascii="黑体" w:hAnsi="黑体" w:eastAsia="黑体"/>
          <w:b/>
          <w:sz w:val="32"/>
          <w:szCs w:val="32"/>
        </w:rPr>
        <w:t>一</w:t>
      </w:r>
      <w:r>
        <w:rPr>
          <w:rStyle w:val="30"/>
          <w:rFonts w:hint="eastAsia" w:ascii="黑体" w:hAnsi="黑体" w:eastAsia="黑体"/>
          <w:b w:val="0"/>
        </w:rPr>
        <w:t>般公共预算财政拨款支出决算情况说明</w:t>
      </w:r>
      <w:bookmarkEnd w:id="46"/>
      <w:bookmarkEnd w:id="47"/>
      <w:bookmarkEnd w:id="48"/>
      <w:bookmarkEnd w:id="49"/>
    </w:p>
    <w:p>
      <w:pPr>
        <w:spacing w:line="600" w:lineRule="exact"/>
        <w:ind w:firstLine="643" w:firstLineChars="200"/>
        <w:outlineLvl w:val="2"/>
        <w:rPr>
          <w:rFonts w:ascii="仿宋" w:hAnsi="仿宋" w:eastAsia="仿宋"/>
          <w:b/>
          <w:sz w:val="32"/>
          <w:szCs w:val="32"/>
        </w:rPr>
      </w:pPr>
      <w:bookmarkStart w:id="50" w:name="_Toc15377210"/>
      <w:bookmarkStart w:id="51" w:name="_Toc29627"/>
      <w:r>
        <w:rPr>
          <w:rFonts w:hint="eastAsia" w:ascii="仿宋" w:hAnsi="仿宋" w:eastAsia="仿宋"/>
          <w:b/>
          <w:sz w:val="32"/>
          <w:szCs w:val="32"/>
        </w:rPr>
        <w:t>（一）一般公共预算财政拨款支出决算总体情况</w:t>
      </w:r>
      <w:bookmarkEnd w:id="50"/>
      <w:bookmarkEnd w:id="51"/>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202</w:t>
      </w:r>
      <w:r>
        <w:rPr>
          <w:rFonts w:hint="eastAsia" w:ascii="仿宋_GB2312"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年度一般公共预算财政拨款支出</w:t>
      </w:r>
      <w:r>
        <w:rPr>
          <w:rFonts w:hint="eastAsia" w:ascii="仿宋_GB2312" w:eastAsia="仿宋_GB2312" w:cs="Times New Roman"/>
          <w:kern w:val="2"/>
          <w:sz w:val="32"/>
          <w:szCs w:val="32"/>
          <w:lang w:val="en-US" w:eastAsia="zh-CN" w:bidi="ar-SA"/>
        </w:rPr>
        <w:t>285.14</w:t>
      </w:r>
      <w:r>
        <w:rPr>
          <w:rFonts w:hint="eastAsia" w:ascii="仿宋_GB2312" w:hAnsi="Times New Roman" w:eastAsia="仿宋_GB2312" w:cs="Times New Roman"/>
          <w:kern w:val="2"/>
          <w:sz w:val="32"/>
          <w:szCs w:val="32"/>
          <w:lang w:val="en-US" w:eastAsia="zh-CN" w:bidi="ar-SA"/>
        </w:rPr>
        <w:t>万元，占本年支出合计的100%。与202</w:t>
      </w:r>
      <w:r>
        <w:rPr>
          <w:rFonts w:hint="eastAsia" w:ascii="仿宋_GB2312"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en-US" w:eastAsia="zh-CN" w:bidi="ar-SA"/>
        </w:rPr>
        <w:t>年度相比，一般公共预算财政拨款支出</w:t>
      </w:r>
      <w:r>
        <w:rPr>
          <w:rFonts w:hint="eastAsia" w:ascii="仿宋_GB2312" w:eastAsia="仿宋_GB2312" w:cs="Times New Roman"/>
          <w:kern w:val="2"/>
          <w:sz w:val="32"/>
          <w:szCs w:val="32"/>
          <w:lang w:val="en-US" w:eastAsia="zh-CN" w:bidi="ar-SA"/>
        </w:rPr>
        <w:t>增减130.87</w:t>
      </w:r>
      <w:r>
        <w:rPr>
          <w:rFonts w:hint="eastAsia" w:ascii="仿宋_GB2312" w:hAnsi="Times New Roman" w:eastAsia="仿宋_GB2312" w:cs="Times New Roman"/>
          <w:kern w:val="2"/>
          <w:sz w:val="32"/>
          <w:szCs w:val="32"/>
          <w:lang w:val="en-US" w:eastAsia="zh-CN" w:bidi="ar-SA"/>
        </w:rPr>
        <w:t>万元，</w:t>
      </w:r>
      <w:r>
        <w:rPr>
          <w:rFonts w:hint="eastAsia" w:ascii="仿宋_GB2312" w:eastAsia="仿宋_GB2312" w:cs="Times New Roman"/>
          <w:kern w:val="2"/>
          <w:sz w:val="32"/>
          <w:szCs w:val="32"/>
          <w:lang w:val="en-US" w:eastAsia="zh-CN" w:bidi="ar-SA"/>
        </w:rPr>
        <w:t>增减变动率84.83</w:t>
      </w:r>
      <w:r>
        <w:rPr>
          <w:rFonts w:hint="eastAsia" w:ascii="仿宋_GB2312" w:hAnsi="Times New Roman" w:eastAsia="仿宋_GB2312" w:cs="Times New Roman"/>
          <w:kern w:val="2"/>
          <w:sz w:val="32"/>
          <w:szCs w:val="32"/>
          <w:lang w:val="en-US" w:eastAsia="zh-CN" w:bidi="ar-SA"/>
        </w:rPr>
        <w:t>%。主要变动原因是人员经费、日常公用经费及专项项目增加。</w:t>
      </w:r>
    </w:p>
    <w:p>
      <w:pPr>
        <w:spacing w:line="600" w:lineRule="exact"/>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（图5：一般公共预算财政拨款支出决算变动情况）（柱状图）</w:t>
      </w:r>
    </w:p>
    <w:p>
      <w:pPr>
        <w:spacing w:line="600" w:lineRule="exact"/>
        <w:ind w:firstLine="420" w:firstLineChars="200"/>
        <w:jc w:val="left"/>
        <w:rPr>
          <w:rFonts w:hint="eastAsia" w:ascii="仿宋_GB2312" w:hAnsi="Times New Roman" w:eastAsia="仿宋_GB2312" w:cs="Times New Roman"/>
          <w:kern w:val="2"/>
          <w:sz w:val="32"/>
          <w:szCs w:val="32"/>
          <w:lang w:val="en-US" w:eastAsia="zh-CN" w:bidi="ar-SA"/>
        </w:rPr>
      </w:pPr>
      <w:r>
        <w:rPr>
          <w:rFonts w:hint="eastAsia" w:eastAsia="仿宋"/>
          <w:lang w:eastAsia="zh-CN"/>
        </w:rPr>
        <w:drawing>
          <wp:anchor distT="0" distB="0" distL="114300" distR="114300" simplePos="0" relativeHeight="251659264" behindDoc="0" locked="0" layoutInCell="1" allowOverlap="1">
            <wp:simplePos x="0" y="0"/>
            <wp:positionH relativeFrom="column">
              <wp:posOffset>234950</wp:posOffset>
            </wp:positionH>
            <wp:positionV relativeFrom="paragraph">
              <wp:posOffset>355600</wp:posOffset>
            </wp:positionV>
            <wp:extent cx="4087495" cy="2243455"/>
            <wp:effectExtent l="4445" t="4445" r="22860" b="19050"/>
            <wp:wrapNone/>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p>
    <w:p>
      <w:pPr>
        <w:spacing w:line="600" w:lineRule="exact"/>
        <w:ind w:firstLine="640" w:firstLineChars="200"/>
        <w:jc w:val="left"/>
        <w:rPr>
          <w:rFonts w:ascii="仿宋" w:hAnsi="仿宋" w:eastAsia="仿宋"/>
          <w:sz w:val="32"/>
          <w:szCs w:val="32"/>
        </w:rPr>
      </w:pPr>
    </w:p>
    <w:p>
      <w:pPr>
        <w:spacing w:line="600" w:lineRule="exact"/>
        <w:ind w:firstLine="643" w:firstLineChars="200"/>
        <w:outlineLvl w:val="2"/>
        <w:rPr>
          <w:rFonts w:ascii="仿宋" w:hAnsi="仿宋" w:eastAsia="仿宋"/>
          <w:b/>
          <w:sz w:val="32"/>
          <w:szCs w:val="32"/>
        </w:rPr>
      </w:pPr>
      <w:bookmarkStart w:id="52" w:name="_Toc11376"/>
      <w:bookmarkStart w:id="53" w:name="_Toc15377211"/>
      <w:r>
        <w:rPr>
          <w:rFonts w:hint="eastAsia" w:ascii="仿宋" w:hAnsi="仿宋" w:eastAsia="仿宋"/>
          <w:b/>
          <w:sz w:val="32"/>
          <w:szCs w:val="32"/>
        </w:rPr>
        <w:t>（二）一般公共预算财政拨款支出决算结构情况</w:t>
      </w:r>
      <w:bookmarkEnd w:id="52"/>
      <w:bookmarkEnd w:id="53"/>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202</w:t>
      </w:r>
      <w:r>
        <w:rPr>
          <w:rFonts w:hint="eastAsia" w:ascii="仿宋_GB2312"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年度一般公共预算财政拨款支出</w:t>
      </w:r>
      <w:r>
        <w:rPr>
          <w:rFonts w:hint="eastAsia" w:ascii="仿宋_GB2312" w:eastAsia="仿宋_GB2312" w:cs="Times New Roman"/>
          <w:kern w:val="2"/>
          <w:sz w:val="32"/>
          <w:szCs w:val="32"/>
          <w:lang w:val="en-US" w:eastAsia="zh-CN" w:bidi="ar-SA"/>
        </w:rPr>
        <w:t>285.14</w:t>
      </w:r>
      <w:r>
        <w:rPr>
          <w:rFonts w:hint="eastAsia" w:ascii="仿宋_GB2312" w:hAnsi="Times New Roman" w:eastAsia="仿宋_GB2312" w:cs="Times New Roman"/>
          <w:kern w:val="2"/>
          <w:sz w:val="32"/>
          <w:szCs w:val="32"/>
          <w:lang w:val="en-US" w:eastAsia="zh-CN" w:bidi="ar-SA"/>
        </w:rPr>
        <w:t>万元，主要用于以下方面:一般公共服务支出</w:t>
      </w:r>
      <w:r>
        <w:rPr>
          <w:rFonts w:hint="eastAsia" w:ascii="仿宋_GB2312" w:eastAsia="仿宋_GB2312" w:cs="Times New Roman"/>
          <w:kern w:val="2"/>
          <w:sz w:val="32"/>
          <w:szCs w:val="32"/>
          <w:lang w:val="en-US" w:eastAsia="zh-CN" w:bidi="ar-SA"/>
        </w:rPr>
        <w:t>248.01</w:t>
      </w:r>
      <w:r>
        <w:rPr>
          <w:rFonts w:hint="eastAsia" w:ascii="仿宋_GB2312" w:hAnsi="Times New Roman" w:eastAsia="仿宋_GB2312" w:cs="Times New Roman"/>
          <w:kern w:val="2"/>
          <w:sz w:val="32"/>
          <w:szCs w:val="32"/>
          <w:lang w:val="en-US" w:eastAsia="zh-CN" w:bidi="ar-SA"/>
        </w:rPr>
        <w:t>万元，占</w:t>
      </w:r>
      <w:r>
        <w:rPr>
          <w:rFonts w:hint="eastAsia" w:ascii="仿宋_GB2312" w:eastAsia="仿宋_GB2312" w:cs="Times New Roman"/>
          <w:kern w:val="2"/>
          <w:sz w:val="32"/>
          <w:szCs w:val="32"/>
          <w:lang w:val="en-US" w:eastAsia="zh-CN" w:bidi="ar-SA"/>
        </w:rPr>
        <w:t>86.98</w:t>
      </w:r>
      <w:r>
        <w:rPr>
          <w:rFonts w:hint="eastAsia" w:ascii="仿宋_GB2312" w:hAnsi="Times New Roman" w:eastAsia="仿宋_GB2312" w:cs="Times New Roman"/>
          <w:kern w:val="2"/>
          <w:sz w:val="32"/>
          <w:szCs w:val="32"/>
          <w:lang w:val="en-US" w:eastAsia="zh-CN" w:bidi="ar-SA"/>
        </w:rPr>
        <w:t>%；社会保障和就业支出</w:t>
      </w:r>
      <w:r>
        <w:rPr>
          <w:rFonts w:hint="eastAsia" w:ascii="仿宋_GB2312" w:eastAsia="仿宋_GB2312" w:cs="Times New Roman"/>
          <w:kern w:val="2"/>
          <w:sz w:val="32"/>
          <w:szCs w:val="32"/>
          <w:lang w:val="en-US" w:eastAsia="zh-CN" w:bidi="ar-SA"/>
        </w:rPr>
        <w:t>19.78</w:t>
      </w:r>
      <w:r>
        <w:rPr>
          <w:rFonts w:hint="eastAsia" w:ascii="仿宋_GB2312" w:hAnsi="Times New Roman" w:eastAsia="仿宋_GB2312" w:cs="Times New Roman"/>
          <w:kern w:val="2"/>
          <w:sz w:val="32"/>
          <w:szCs w:val="32"/>
          <w:lang w:val="en-US" w:eastAsia="zh-CN" w:bidi="ar-SA"/>
        </w:rPr>
        <w:t>万元，占</w:t>
      </w:r>
      <w:r>
        <w:rPr>
          <w:rFonts w:hint="eastAsia" w:ascii="仿宋_GB2312" w:eastAsia="仿宋_GB2312" w:cs="Times New Roman"/>
          <w:kern w:val="2"/>
          <w:sz w:val="32"/>
          <w:szCs w:val="32"/>
          <w:lang w:val="en-US" w:eastAsia="zh-CN" w:bidi="ar-SA"/>
        </w:rPr>
        <w:t>6.94</w:t>
      </w:r>
      <w:r>
        <w:rPr>
          <w:rFonts w:hint="eastAsia" w:ascii="仿宋_GB2312" w:hAnsi="Times New Roman" w:eastAsia="仿宋_GB2312" w:cs="Times New Roman"/>
          <w:kern w:val="2"/>
          <w:sz w:val="32"/>
          <w:szCs w:val="32"/>
          <w:lang w:val="en-US" w:eastAsia="zh-CN" w:bidi="ar-SA"/>
        </w:rPr>
        <w:t>%；卫生健康支出</w:t>
      </w:r>
      <w:r>
        <w:rPr>
          <w:rFonts w:hint="eastAsia" w:ascii="仿宋_GB2312" w:eastAsia="仿宋_GB2312" w:cs="Times New Roman"/>
          <w:kern w:val="2"/>
          <w:sz w:val="32"/>
          <w:szCs w:val="32"/>
          <w:lang w:val="en-US" w:eastAsia="zh-CN" w:bidi="ar-SA"/>
        </w:rPr>
        <w:t>7.13</w:t>
      </w:r>
      <w:r>
        <w:rPr>
          <w:rFonts w:hint="eastAsia" w:ascii="仿宋_GB2312" w:hAnsi="Times New Roman" w:eastAsia="仿宋_GB2312" w:cs="Times New Roman"/>
          <w:kern w:val="2"/>
          <w:sz w:val="32"/>
          <w:szCs w:val="32"/>
          <w:lang w:val="en-US" w:eastAsia="zh-CN" w:bidi="ar-SA"/>
        </w:rPr>
        <w:t>万元，占</w:t>
      </w:r>
      <w:r>
        <w:rPr>
          <w:rFonts w:hint="eastAsia" w:ascii="仿宋_GB2312" w:eastAsia="仿宋_GB2312" w:cs="Times New Roman"/>
          <w:kern w:val="2"/>
          <w:sz w:val="32"/>
          <w:szCs w:val="32"/>
          <w:lang w:val="en-US" w:eastAsia="zh-CN" w:bidi="ar-SA"/>
        </w:rPr>
        <w:t>2.5</w:t>
      </w:r>
      <w:r>
        <w:rPr>
          <w:rFonts w:hint="eastAsia" w:ascii="仿宋_GB2312" w:hAnsi="Times New Roman" w:eastAsia="仿宋_GB2312" w:cs="Times New Roman"/>
          <w:kern w:val="2"/>
          <w:sz w:val="32"/>
          <w:szCs w:val="32"/>
          <w:lang w:val="en-US" w:eastAsia="zh-CN" w:bidi="ar-SA"/>
        </w:rPr>
        <w:t>%；住房保障支出</w:t>
      </w:r>
      <w:r>
        <w:rPr>
          <w:rFonts w:hint="eastAsia" w:ascii="仿宋_GB2312" w:eastAsia="仿宋_GB2312" w:cs="Times New Roman"/>
          <w:kern w:val="2"/>
          <w:sz w:val="32"/>
          <w:szCs w:val="32"/>
          <w:lang w:val="en-US" w:eastAsia="zh-CN" w:bidi="ar-SA"/>
        </w:rPr>
        <w:t>10.22</w:t>
      </w:r>
      <w:r>
        <w:rPr>
          <w:rFonts w:hint="eastAsia" w:ascii="仿宋_GB2312" w:hAnsi="Times New Roman" w:eastAsia="仿宋_GB2312" w:cs="Times New Roman"/>
          <w:kern w:val="2"/>
          <w:sz w:val="32"/>
          <w:szCs w:val="32"/>
          <w:lang w:val="en-US" w:eastAsia="zh-CN" w:bidi="ar-SA"/>
        </w:rPr>
        <w:t>万元，占</w:t>
      </w:r>
      <w:r>
        <w:rPr>
          <w:rFonts w:hint="eastAsia" w:ascii="仿宋_GB2312" w:eastAsia="仿宋_GB2312" w:cs="Times New Roman"/>
          <w:kern w:val="2"/>
          <w:sz w:val="32"/>
          <w:szCs w:val="32"/>
          <w:lang w:val="en-US" w:eastAsia="zh-CN" w:bidi="ar-SA"/>
        </w:rPr>
        <w:t>3.58</w:t>
      </w:r>
      <w:r>
        <w:rPr>
          <w:rFonts w:hint="eastAsia" w:ascii="仿宋_GB2312" w:hAnsi="Times New Roman" w:eastAsia="仿宋_GB2312" w:cs="Times New Roman"/>
          <w:kern w:val="2"/>
          <w:sz w:val="32"/>
          <w:szCs w:val="32"/>
          <w:lang w:val="en-US" w:eastAsia="zh-CN" w:bidi="ar-SA"/>
        </w:rPr>
        <w:t>%。</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（图6：一般公共预算财政拨款支出决算结构）（饼状图）</w:t>
      </w:r>
    </w:p>
    <w:p>
      <w:pPr>
        <w:pStyle w:val="20"/>
        <w:outlineLvl w:val="9"/>
        <w:rPr>
          <w:rFonts w:hint="eastAsia" w:eastAsia="仿宋"/>
          <w:lang w:eastAsia="zh-CN"/>
        </w:rPr>
      </w:pPr>
      <w:r>
        <w:rPr>
          <w:rFonts w:hint="eastAsia" w:eastAsia="仿宋"/>
          <w:lang w:eastAsia="zh-CN"/>
        </w:rPr>
        <w:drawing>
          <wp:inline distT="0" distB="0" distL="114300" distR="114300">
            <wp:extent cx="3494405" cy="2750185"/>
            <wp:effectExtent l="4445" t="5080" r="6350" b="6985"/>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spacing w:line="600" w:lineRule="exact"/>
        <w:ind w:firstLine="643" w:firstLineChars="200"/>
        <w:outlineLvl w:val="2"/>
        <w:rPr>
          <w:rFonts w:hint="eastAsia" w:ascii="仿宋" w:hAnsi="仿宋" w:eastAsia="仿宋"/>
          <w:b/>
          <w:sz w:val="32"/>
          <w:szCs w:val="32"/>
        </w:rPr>
      </w:pPr>
      <w:bookmarkStart w:id="54" w:name="_Toc15377212"/>
      <w:bookmarkStart w:id="55" w:name="_Toc12704"/>
    </w:p>
    <w:p>
      <w:pPr>
        <w:spacing w:line="600" w:lineRule="exact"/>
        <w:ind w:firstLine="643" w:firstLineChars="200"/>
        <w:outlineLvl w:val="2"/>
        <w:rPr>
          <w:rFonts w:ascii="仿宋" w:hAnsi="仿宋" w:eastAsia="仿宋"/>
          <w:b/>
          <w:sz w:val="32"/>
          <w:szCs w:val="32"/>
        </w:rPr>
      </w:pPr>
      <w:r>
        <w:rPr>
          <w:rFonts w:hint="eastAsia" w:ascii="仿宋" w:hAnsi="仿宋" w:eastAsia="仿宋"/>
          <w:b/>
          <w:sz w:val="32"/>
          <w:szCs w:val="32"/>
        </w:rPr>
        <w:t>（三）一般公共预算财政拨款支出决算具体情况</w:t>
      </w:r>
      <w:bookmarkEnd w:id="54"/>
      <w:bookmarkEnd w:id="55"/>
    </w:p>
    <w:p>
      <w:pPr>
        <w:spacing w:line="600" w:lineRule="exact"/>
        <w:ind w:firstLine="643" w:firstLineChars="200"/>
        <w:outlineLvl w:val="2"/>
        <w:rPr>
          <w:rFonts w:ascii="仿宋" w:hAnsi="仿宋" w:eastAsia="仿宋"/>
          <w:sz w:val="32"/>
          <w:szCs w:val="32"/>
        </w:rPr>
      </w:pPr>
      <w:bookmarkStart w:id="56" w:name="_Toc15377213"/>
      <w:bookmarkStart w:id="57" w:name="_Toc15378460"/>
      <w:bookmarkStart w:id="58" w:name="_Toc15377444"/>
      <w:bookmarkStart w:id="59" w:name="_Toc789"/>
      <w:r>
        <w:rPr>
          <w:rFonts w:hint="eastAsia" w:ascii="仿宋" w:hAnsi="仿宋" w:eastAsia="仿宋"/>
          <w:b/>
          <w:sz w:val="32"/>
          <w:szCs w:val="32"/>
        </w:rPr>
        <w:t>202</w:t>
      </w:r>
      <w:r>
        <w:rPr>
          <w:rFonts w:hint="eastAsia" w:ascii="仿宋" w:hAnsi="仿宋" w:eastAsia="仿宋"/>
          <w:b/>
          <w:sz w:val="32"/>
          <w:szCs w:val="32"/>
          <w:lang w:val="en-US" w:eastAsia="zh-CN"/>
        </w:rPr>
        <w:t>5</w:t>
      </w:r>
      <w:r>
        <w:rPr>
          <w:rFonts w:hint="eastAsia" w:ascii="仿宋" w:hAnsi="仿宋" w:eastAsia="仿宋"/>
          <w:b/>
          <w:sz w:val="32"/>
          <w:szCs w:val="32"/>
        </w:rPr>
        <w:t>年度一般公共预算支出决算数为</w:t>
      </w:r>
      <w:r>
        <w:rPr>
          <w:rFonts w:hint="eastAsia" w:eastAsia="仿宋"/>
          <w:sz w:val="32"/>
          <w:szCs w:val="32"/>
          <w:lang w:val="en-US" w:eastAsia="zh-CN"/>
        </w:rPr>
        <w:t>285.14</w:t>
      </w:r>
      <w:r>
        <w:rPr>
          <w:rFonts w:hint="eastAsia" w:ascii="仿宋" w:hAnsi="仿宋" w:eastAsia="仿宋"/>
          <w:sz w:val="32"/>
          <w:szCs w:val="32"/>
        </w:rPr>
        <w:t>，</w:t>
      </w:r>
      <w:r>
        <w:rPr>
          <w:rStyle w:val="18"/>
          <w:rFonts w:hint="eastAsia" w:ascii="仿宋" w:hAnsi="仿宋" w:eastAsia="仿宋"/>
          <w:bCs/>
          <w:sz w:val="32"/>
          <w:szCs w:val="32"/>
        </w:rPr>
        <w:t>完成预算</w:t>
      </w:r>
      <w:r>
        <w:rPr>
          <w:rStyle w:val="18"/>
          <w:rFonts w:hint="eastAsia" w:ascii="仿宋" w:hAnsi="仿宋" w:eastAsia="仿宋"/>
          <w:bCs/>
          <w:sz w:val="32"/>
          <w:szCs w:val="32"/>
          <w:lang w:val="en-US" w:eastAsia="zh-CN"/>
        </w:rPr>
        <w:t>100</w:t>
      </w:r>
      <w:r>
        <w:rPr>
          <w:rStyle w:val="18"/>
          <w:rFonts w:ascii="仿宋" w:hAnsi="仿宋" w:eastAsia="仿宋"/>
          <w:bCs/>
          <w:sz w:val="32"/>
          <w:szCs w:val="32"/>
        </w:rPr>
        <w:t>%</w:t>
      </w:r>
      <w:r>
        <w:rPr>
          <w:rStyle w:val="18"/>
          <w:rFonts w:hint="eastAsia" w:ascii="仿宋" w:hAnsi="仿宋" w:eastAsia="仿宋"/>
          <w:bCs/>
          <w:sz w:val="32"/>
          <w:szCs w:val="32"/>
        </w:rPr>
        <w:t>。其中：</w:t>
      </w:r>
      <w:bookmarkEnd w:id="56"/>
      <w:bookmarkEnd w:id="57"/>
      <w:bookmarkEnd w:id="58"/>
      <w:bookmarkEnd w:id="59"/>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eastAsia="仿宋_GB2312" w:cs="Times New Roman"/>
          <w:kern w:val="2"/>
          <w:sz w:val="32"/>
          <w:szCs w:val="32"/>
          <w:lang w:val="en-US" w:eastAsia="zh-CN" w:bidi="ar-SA"/>
        </w:rPr>
        <w:t>1.</w:t>
      </w:r>
      <w:r>
        <w:rPr>
          <w:rFonts w:hint="eastAsia" w:ascii="仿宋_GB2312" w:hAnsi="Times New Roman" w:eastAsia="仿宋_GB2312" w:cs="Times New Roman"/>
          <w:kern w:val="2"/>
          <w:sz w:val="32"/>
          <w:szCs w:val="32"/>
          <w:lang w:val="en-US" w:eastAsia="zh-CN" w:bidi="ar-SA"/>
        </w:rPr>
        <w:t>一般公共服务201: 支出决算为</w:t>
      </w:r>
      <w:r>
        <w:rPr>
          <w:rFonts w:hint="eastAsia" w:ascii="仿宋_GB2312" w:eastAsia="仿宋_GB2312" w:cs="Times New Roman"/>
          <w:kern w:val="2"/>
          <w:sz w:val="32"/>
          <w:szCs w:val="32"/>
          <w:lang w:val="en-US" w:eastAsia="zh-CN" w:bidi="ar-SA"/>
        </w:rPr>
        <w:t>248.01</w:t>
      </w:r>
      <w:r>
        <w:rPr>
          <w:rFonts w:hint="eastAsia" w:ascii="仿宋_GB2312" w:hAnsi="Times New Roman" w:eastAsia="仿宋_GB2312" w:cs="Times New Roman"/>
          <w:kern w:val="2"/>
          <w:sz w:val="32"/>
          <w:szCs w:val="32"/>
          <w:lang w:val="en-US" w:eastAsia="zh-CN" w:bidi="ar-SA"/>
        </w:rPr>
        <w:t>万元，完成预算</w:t>
      </w:r>
      <w:r>
        <w:rPr>
          <w:rFonts w:hint="eastAsia" w:ascii="仿宋_GB2312" w:eastAsia="仿宋_GB2312" w:cs="Times New Roman"/>
          <w:kern w:val="2"/>
          <w:sz w:val="32"/>
          <w:szCs w:val="32"/>
          <w:lang w:val="en-US" w:eastAsia="zh-CN" w:bidi="ar-SA"/>
        </w:rPr>
        <w:t>86.98</w:t>
      </w:r>
      <w:r>
        <w:rPr>
          <w:rFonts w:hint="eastAsia" w:ascii="仿宋_GB2312" w:hAnsi="Times New Roman" w:eastAsia="仿宋_GB2312" w:cs="Times New Roman"/>
          <w:kern w:val="2"/>
          <w:sz w:val="32"/>
          <w:szCs w:val="32"/>
          <w:lang w:val="en-US" w:eastAsia="zh-CN" w:bidi="ar-SA"/>
        </w:rPr>
        <w:t>%，决算数等于预算数。</w:t>
      </w: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行政运行2012901：支出决算为</w:t>
      </w:r>
      <w:r>
        <w:rPr>
          <w:rFonts w:hint="eastAsia" w:ascii="仿宋_GB2312" w:eastAsia="仿宋_GB2312" w:cs="Times New Roman"/>
          <w:kern w:val="2"/>
          <w:sz w:val="32"/>
          <w:szCs w:val="32"/>
          <w:lang w:val="en-US" w:eastAsia="zh-CN" w:bidi="ar-SA"/>
        </w:rPr>
        <w:t>116.19</w:t>
      </w:r>
      <w:r>
        <w:rPr>
          <w:rFonts w:hint="eastAsia" w:ascii="仿宋_GB2312" w:hAnsi="Times New Roman" w:eastAsia="仿宋_GB2312" w:cs="Times New Roman"/>
          <w:kern w:val="2"/>
          <w:sz w:val="32"/>
          <w:szCs w:val="32"/>
          <w:lang w:val="en-US" w:eastAsia="zh-CN" w:bidi="ar-SA"/>
        </w:rPr>
        <w:t>万元，完成预算</w:t>
      </w:r>
      <w:r>
        <w:rPr>
          <w:rFonts w:hint="eastAsia" w:ascii="仿宋_GB2312" w:eastAsia="仿宋_GB2312" w:cs="Times New Roman"/>
          <w:kern w:val="2"/>
          <w:sz w:val="32"/>
          <w:szCs w:val="32"/>
          <w:lang w:val="en-US" w:eastAsia="zh-CN" w:bidi="ar-SA"/>
        </w:rPr>
        <w:t>46.95</w:t>
      </w:r>
      <w:r>
        <w:rPr>
          <w:rFonts w:hint="eastAsia" w:ascii="仿宋_GB2312" w:hAnsi="Times New Roman" w:eastAsia="仿宋_GB2312" w:cs="Times New Roman"/>
          <w:kern w:val="2"/>
          <w:sz w:val="32"/>
          <w:szCs w:val="32"/>
          <w:lang w:val="en-US" w:eastAsia="zh-CN" w:bidi="ar-SA"/>
        </w:rPr>
        <w:t>%，决算数等于预算数。</w:t>
      </w: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一般行政管理事务2012902：支出决算为</w:t>
      </w:r>
      <w:r>
        <w:rPr>
          <w:rFonts w:hint="eastAsia" w:ascii="仿宋_GB2312" w:eastAsia="仿宋_GB2312" w:cs="Times New Roman"/>
          <w:kern w:val="2"/>
          <w:sz w:val="32"/>
          <w:szCs w:val="32"/>
          <w:lang w:val="en-US" w:eastAsia="zh-CN" w:bidi="ar-SA"/>
        </w:rPr>
        <w:t>101.67</w:t>
      </w:r>
      <w:r>
        <w:rPr>
          <w:rFonts w:hint="eastAsia" w:ascii="仿宋_GB2312" w:hAnsi="Times New Roman" w:eastAsia="仿宋_GB2312" w:cs="Times New Roman"/>
          <w:kern w:val="2"/>
          <w:sz w:val="32"/>
          <w:szCs w:val="32"/>
          <w:lang w:val="en-US" w:eastAsia="zh-CN" w:bidi="ar-SA"/>
        </w:rPr>
        <w:t>万元，完成预算</w:t>
      </w:r>
      <w:r>
        <w:rPr>
          <w:rFonts w:hint="eastAsia" w:ascii="仿宋_GB2312" w:eastAsia="仿宋_GB2312" w:cs="Times New Roman"/>
          <w:kern w:val="2"/>
          <w:sz w:val="32"/>
          <w:szCs w:val="32"/>
          <w:lang w:val="en-US" w:eastAsia="zh-CN" w:bidi="ar-SA"/>
        </w:rPr>
        <w:t>40.99</w:t>
      </w:r>
      <w:r>
        <w:rPr>
          <w:rFonts w:hint="eastAsia" w:ascii="仿宋_GB2312" w:hAnsi="Times New Roman" w:eastAsia="仿宋_GB2312" w:cs="Times New Roman"/>
          <w:kern w:val="2"/>
          <w:sz w:val="32"/>
          <w:szCs w:val="32"/>
          <w:lang w:val="en-US" w:eastAsia="zh-CN" w:bidi="ar-SA"/>
        </w:rPr>
        <w:t>%，决算数等于预算数。</w:t>
      </w: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2.社会保障和就业208: 支出决算为</w:t>
      </w:r>
      <w:r>
        <w:rPr>
          <w:rFonts w:hint="eastAsia" w:ascii="仿宋_GB2312" w:eastAsia="仿宋_GB2312" w:cs="Times New Roman"/>
          <w:kern w:val="2"/>
          <w:sz w:val="32"/>
          <w:szCs w:val="32"/>
          <w:lang w:val="en-US" w:eastAsia="zh-CN" w:bidi="ar-SA"/>
        </w:rPr>
        <w:t>19.78</w:t>
      </w:r>
      <w:r>
        <w:rPr>
          <w:rFonts w:hint="eastAsia" w:ascii="仿宋_GB2312" w:hAnsi="Times New Roman" w:eastAsia="仿宋_GB2312" w:cs="Times New Roman"/>
          <w:kern w:val="2"/>
          <w:sz w:val="32"/>
          <w:szCs w:val="32"/>
          <w:lang w:val="en-US" w:eastAsia="zh-CN" w:bidi="ar-SA"/>
        </w:rPr>
        <w:t>万元，完成预算</w:t>
      </w:r>
      <w:r>
        <w:rPr>
          <w:rFonts w:hint="eastAsia" w:ascii="仿宋_GB2312" w:eastAsia="仿宋_GB2312" w:cs="Times New Roman"/>
          <w:kern w:val="2"/>
          <w:sz w:val="32"/>
          <w:szCs w:val="32"/>
          <w:lang w:val="en-US" w:eastAsia="zh-CN" w:bidi="ar-SA"/>
        </w:rPr>
        <w:t>6.94</w:t>
      </w:r>
      <w:r>
        <w:rPr>
          <w:rFonts w:hint="eastAsia" w:ascii="仿宋_GB2312" w:hAnsi="Times New Roman" w:eastAsia="仿宋_GB2312" w:cs="Times New Roman"/>
          <w:kern w:val="2"/>
          <w:sz w:val="32"/>
          <w:szCs w:val="32"/>
          <w:lang w:val="en-US" w:eastAsia="zh-CN" w:bidi="ar-SA"/>
        </w:rPr>
        <w:t>%，决算数等于预算数。</w:t>
      </w: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机关事业单位基本养老保险缴费支出2080505：支出决算为</w:t>
      </w:r>
      <w:r>
        <w:rPr>
          <w:rFonts w:hint="eastAsia" w:ascii="仿宋_GB2312" w:eastAsia="仿宋_GB2312" w:cs="Times New Roman"/>
          <w:kern w:val="2"/>
          <w:sz w:val="32"/>
          <w:szCs w:val="32"/>
          <w:lang w:val="en-US" w:eastAsia="zh-CN" w:bidi="ar-SA"/>
        </w:rPr>
        <w:t>13.19</w:t>
      </w:r>
      <w:r>
        <w:rPr>
          <w:rFonts w:hint="eastAsia" w:ascii="仿宋_GB2312" w:hAnsi="Times New Roman" w:eastAsia="仿宋_GB2312" w:cs="Times New Roman"/>
          <w:kern w:val="2"/>
          <w:sz w:val="32"/>
          <w:szCs w:val="32"/>
          <w:lang w:val="en-US" w:eastAsia="zh-CN" w:bidi="ar-SA"/>
        </w:rPr>
        <w:t>万元，完成预算</w:t>
      </w:r>
      <w:r>
        <w:rPr>
          <w:rFonts w:hint="eastAsia" w:ascii="仿宋_GB2312" w:eastAsia="仿宋_GB2312" w:cs="Times New Roman"/>
          <w:kern w:val="2"/>
          <w:sz w:val="32"/>
          <w:szCs w:val="32"/>
          <w:lang w:val="en-US" w:eastAsia="zh-CN" w:bidi="ar-SA"/>
        </w:rPr>
        <w:t>66.68</w:t>
      </w:r>
      <w:r>
        <w:rPr>
          <w:rFonts w:hint="eastAsia" w:ascii="仿宋_GB2312" w:hAnsi="Times New Roman" w:eastAsia="仿宋_GB2312" w:cs="Times New Roman"/>
          <w:kern w:val="2"/>
          <w:sz w:val="32"/>
          <w:szCs w:val="32"/>
          <w:lang w:val="en-US" w:eastAsia="zh-CN" w:bidi="ar-SA"/>
        </w:rPr>
        <w:t>%，决算数等于预算数。</w:t>
      </w:r>
    </w:p>
    <w:p>
      <w:pPr>
        <w:spacing w:line="600" w:lineRule="exact"/>
        <w:ind w:firstLine="640" w:firstLineChars="200"/>
        <w:jc w:val="left"/>
        <w:rPr>
          <w:rFonts w:hint="default"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机关事业单位职业年金缴费支出2080506：支出决算为</w:t>
      </w:r>
      <w:r>
        <w:rPr>
          <w:rFonts w:hint="eastAsia" w:ascii="仿宋_GB2312" w:eastAsia="仿宋_GB2312" w:cs="Times New Roman"/>
          <w:kern w:val="2"/>
          <w:sz w:val="32"/>
          <w:szCs w:val="32"/>
          <w:lang w:val="en-US" w:eastAsia="zh-CN" w:bidi="ar-SA"/>
        </w:rPr>
        <w:t>6.59</w:t>
      </w:r>
      <w:r>
        <w:rPr>
          <w:rFonts w:hint="eastAsia" w:ascii="仿宋_GB2312" w:hAnsi="Times New Roman" w:eastAsia="仿宋_GB2312" w:cs="Times New Roman"/>
          <w:kern w:val="2"/>
          <w:sz w:val="32"/>
          <w:szCs w:val="32"/>
          <w:lang w:val="en-US" w:eastAsia="zh-CN" w:bidi="ar-SA"/>
        </w:rPr>
        <w:t>万元，完成预算33.3</w:t>
      </w:r>
      <w:r>
        <w:rPr>
          <w:rFonts w:hint="eastAsia" w:ascii="仿宋_GB2312" w:eastAsia="仿宋_GB2312" w:cs="Times New Roman"/>
          <w:kern w:val="2"/>
          <w:sz w:val="32"/>
          <w:szCs w:val="32"/>
          <w:lang w:val="en-US" w:eastAsia="zh-CN" w:bidi="ar-SA"/>
        </w:rPr>
        <w:t>2</w:t>
      </w:r>
      <w:r>
        <w:rPr>
          <w:rFonts w:hint="eastAsia" w:ascii="仿宋_GB2312" w:hAnsi="Times New Roman" w:eastAsia="仿宋_GB2312" w:cs="Times New Roman"/>
          <w:kern w:val="2"/>
          <w:sz w:val="32"/>
          <w:szCs w:val="32"/>
          <w:lang w:val="en-US" w:eastAsia="zh-CN" w:bidi="ar-SA"/>
        </w:rPr>
        <w:t>%，决算数等于预算数。</w:t>
      </w: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3.卫生健康210:支出决算为</w:t>
      </w:r>
      <w:r>
        <w:rPr>
          <w:rFonts w:hint="eastAsia" w:ascii="仿宋_GB2312" w:eastAsia="仿宋_GB2312" w:cs="Times New Roman"/>
          <w:kern w:val="2"/>
          <w:sz w:val="32"/>
          <w:szCs w:val="32"/>
          <w:lang w:val="en-US" w:eastAsia="zh-CN" w:bidi="ar-SA"/>
        </w:rPr>
        <w:t>7.13</w:t>
      </w:r>
      <w:r>
        <w:rPr>
          <w:rFonts w:hint="eastAsia" w:ascii="仿宋_GB2312" w:hAnsi="Times New Roman" w:eastAsia="仿宋_GB2312" w:cs="Times New Roman"/>
          <w:kern w:val="2"/>
          <w:sz w:val="32"/>
          <w:szCs w:val="32"/>
          <w:lang w:val="en-US" w:eastAsia="zh-CN" w:bidi="ar-SA"/>
        </w:rPr>
        <w:t>万元，完成预算</w:t>
      </w:r>
      <w:r>
        <w:rPr>
          <w:rFonts w:hint="eastAsia" w:ascii="仿宋_GB2312" w:eastAsia="仿宋_GB2312" w:cs="Times New Roman"/>
          <w:kern w:val="2"/>
          <w:sz w:val="32"/>
          <w:szCs w:val="32"/>
          <w:lang w:val="en-US" w:eastAsia="zh-CN" w:bidi="ar-SA"/>
        </w:rPr>
        <w:t>2.5</w:t>
      </w:r>
      <w:r>
        <w:rPr>
          <w:rFonts w:hint="eastAsia" w:ascii="仿宋_GB2312" w:hAnsi="Times New Roman" w:eastAsia="仿宋_GB2312" w:cs="Times New Roman"/>
          <w:kern w:val="2"/>
          <w:sz w:val="32"/>
          <w:szCs w:val="32"/>
          <w:lang w:val="en-US" w:eastAsia="zh-CN" w:bidi="ar-SA"/>
        </w:rPr>
        <w:t>%，决算数等于预算数。</w:t>
      </w: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行政单位医疗2101101：支出决算为</w:t>
      </w:r>
      <w:r>
        <w:rPr>
          <w:rFonts w:hint="eastAsia" w:ascii="仿宋_GB2312" w:eastAsia="仿宋_GB2312" w:cs="Times New Roman"/>
          <w:kern w:val="2"/>
          <w:sz w:val="32"/>
          <w:szCs w:val="32"/>
          <w:lang w:val="en-US" w:eastAsia="zh-CN" w:bidi="ar-SA"/>
        </w:rPr>
        <w:t>5.92</w:t>
      </w:r>
      <w:r>
        <w:rPr>
          <w:rFonts w:hint="eastAsia" w:ascii="仿宋_GB2312" w:hAnsi="Times New Roman" w:eastAsia="仿宋_GB2312" w:cs="Times New Roman"/>
          <w:kern w:val="2"/>
          <w:sz w:val="32"/>
          <w:szCs w:val="32"/>
          <w:lang w:val="en-US" w:eastAsia="zh-CN" w:bidi="ar-SA"/>
        </w:rPr>
        <w:t>万元，完成预算</w:t>
      </w:r>
      <w:r>
        <w:rPr>
          <w:rFonts w:hint="eastAsia" w:ascii="仿宋_GB2312" w:eastAsia="仿宋_GB2312" w:cs="Times New Roman"/>
          <w:kern w:val="2"/>
          <w:sz w:val="32"/>
          <w:szCs w:val="32"/>
          <w:lang w:val="en-US" w:eastAsia="zh-CN" w:bidi="ar-SA"/>
        </w:rPr>
        <w:t>83.03</w:t>
      </w:r>
      <w:r>
        <w:rPr>
          <w:rFonts w:hint="eastAsia" w:ascii="仿宋_GB2312" w:hAnsi="Times New Roman" w:eastAsia="仿宋_GB2312" w:cs="Times New Roman"/>
          <w:kern w:val="2"/>
          <w:sz w:val="32"/>
          <w:szCs w:val="32"/>
          <w:lang w:val="en-US" w:eastAsia="zh-CN" w:bidi="ar-SA"/>
        </w:rPr>
        <w:t>%，决算数等于预算数。</w:t>
      </w: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公务员医疗补助2101103：支出决算为</w:t>
      </w:r>
      <w:r>
        <w:rPr>
          <w:rFonts w:hint="eastAsia" w:ascii="仿宋_GB2312" w:eastAsia="仿宋_GB2312" w:cs="Times New Roman"/>
          <w:kern w:val="2"/>
          <w:sz w:val="32"/>
          <w:szCs w:val="32"/>
          <w:lang w:val="en-US" w:eastAsia="zh-CN" w:bidi="ar-SA"/>
        </w:rPr>
        <w:t>1.2</w:t>
      </w:r>
      <w:r>
        <w:rPr>
          <w:rFonts w:hint="eastAsia" w:ascii="仿宋_GB2312" w:hAnsi="Times New Roman" w:eastAsia="仿宋_GB2312" w:cs="Times New Roman"/>
          <w:kern w:val="2"/>
          <w:sz w:val="32"/>
          <w:szCs w:val="32"/>
          <w:lang w:val="en-US" w:eastAsia="zh-CN" w:bidi="ar-SA"/>
        </w:rPr>
        <w:t>万元，完成预算</w:t>
      </w:r>
      <w:r>
        <w:rPr>
          <w:rFonts w:hint="eastAsia" w:ascii="仿宋_GB2312" w:eastAsia="仿宋_GB2312" w:cs="Times New Roman"/>
          <w:kern w:val="2"/>
          <w:sz w:val="32"/>
          <w:szCs w:val="32"/>
          <w:lang w:val="en-US" w:eastAsia="zh-CN" w:bidi="ar-SA"/>
        </w:rPr>
        <w:t>16.83</w:t>
      </w:r>
      <w:r>
        <w:rPr>
          <w:rFonts w:hint="eastAsia" w:ascii="仿宋_GB2312" w:hAnsi="Times New Roman" w:eastAsia="仿宋_GB2312" w:cs="Times New Roman"/>
          <w:kern w:val="2"/>
          <w:sz w:val="32"/>
          <w:szCs w:val="32"/>
          <w:lang w:val="en-US" w:eastAsia="zh-CN" w:bidi="ar-SA"/>
        </w:rPr>
        <w:t>%，决算数等于预算数。</w:t>
      </w: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4.住房保障支出221：支出决算为</w:t>
      </w:r>
      <w:r>
        <w:rPr>
          <w:rFonts w:hint="eastAsia" w:ascii="仿宋_GB2312" w:eastAsia="仿宋_GB2312" w:cs="Times New Roman"/>
          <w:kern w:val="2"/>
          <w:sz w:val="32"/>
          <w:szCs w:val="32"/>
          <w:lang w:val="en-US" w:eastAsia="zh-CN" w:bidi="ar-SA"/>
        </w:rPr>
        <w:t>10.22</w:t>
      </w:r>
      <w:r>
        <w:rPr>
          <w:rFonts w:hint="eastAsia" w:ascii="仿宋_GB2312" w:hAnsi="Times New Roman" w:eastAsia="仿宋_GB2312" w:cs="Times New Roman"/>
          <w:kern w:val="2"/>
          <w:sz w:val="32"/>
          <w:szCs w:val="32"/>
          <w:lang w:val="en-US" w:eastAsia="zh-CN" w:bidi="ar-SA"/>
        </w:rPr>
        <w:t>万元，完成预算</w:t>
      </w:r>
      <w:r>
        <w:rPr>
          <w:rFonts w:hint="eastAsia" w:ascii="仿宋_GB2312" w:eastAsia="仿宋_GB2312" w:cs="Times New Roman"/>
          <w:kern w:val="2"/>
          <w:sz w:val="32"/>
          <w:szCs w:val="32"/>
          <w:lang w:val="en-US" w:eastAsia="zh-CN" w:bidi="ar-SA"/>
        </w:rPr>
        <w:t>3.58</w:t>
      </w:r>
      <w:r>
        <w:rPr>
          <w:rFonts w:hint="eastAsia" w:ascii="仿宋_GB2312" w:hAnsi="Times New Roman" w:eastAsia="仿宋_GB2312" w:cs="Times New Roman"/>
          <w:kern w:val="2"/>
          <w:sz w:val="32"/>
          <w:szCs w:val="32"/>
          <w:lang w:val="en-US" w:eastAsia="zh-CN" w:bidi="ar-SA"/>
        </w:rPr>
        <w:t>%，决算数等于预算数。</w:t>
      </w:r>
    </w:p>
    <w:p>
      <w:pPr>
        <w:spacing w:line="600" w:lineRule="exact"/>
        <w:ind w:firstLine="640" w:firstLineChars="200"/>
        <w:jc w:val="left"/>
        <w:rPr>
          <w:rFonts w:hint="default"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住房公积金2210201：支出决算为</w:t>
      </w:r>
      <w:r>
        <w:rPr>
          <w:rFonts w:hint="eastAsia" w:ascii="仿宋_GB2312" w:eastAsia="仿宋_GB2312" w:cs="Times New Roman"/>
          <w:kern w:val="2"/>
          <w:sz w:val="32"/>
          <w:szCs w:val="32"/>
          <w:lang w:val="en-US" w:eastAsia="zh-CN" w:bidi="ar-SA"/>
        </w:rPr>
        <w:t>10.22</w:t>
      </w:r>
      <w:r>
        <w:rPr>
          <w:rFonts w:hint="eastAsia" w:ascii="仿宋_GB2312" w:hAnsi="Times New Roman" w:eastAsia="仿宋_GB2312" w:cs="Times New Roman"/>
          <w:kern w:val="2"/>
          <w:sz w:val="32"/>
          <w:szCs w:val="32"/>
          <w:lang w:val="en-US" w:eastAsia="zh-CN" w:bidi="ar-SA"/>
        </w:rPr>
        <w:t>万元，完成预算100%，决算数等于预算数。</w:t>
      </w:r>
    </w:p>
    <w:p>
      <w:pPr>
        <w:tabs>
          <w:tab w:val="right" w:pos="8306"/>
        </w:tabs>
        <w:spacing w:line="600" w:lineRule="exact"/>
        <w:ind w:firstLine="640"/>
        <w:outlineLvl w:val="1"/>
        <w:rPr>
          <w:rStyle w:val="30"/>
        </w:rPr>
      </w:pPr>
      <w:bookmarkStart w:id="60" w:name="_Toc15377214"/>
      <w:bookmarkStart w:id="61" w:name="_Toc8504"/>
      <w:bookmarkStart w:id="62" w:name="_Toc24285"/>
      <w:bookmarkStart w:id="63" w:name="_Toc15396608"/>
      <w:r>
        <w:rPr>
          <w:rFonts w:hint="eastAsia" w:ascii="黑体" w:eastAsia="黑体"/>
          <w:sz w:val="32"/>
          <w:szCs w:val="32"/>
        </w:rPr>
        <w:t>六</w:t>
      </w:r>
      <w:r>
        <w:rPr>
          <w:rFonts w:hint="eastAsia" w:ascii="黑体" w:eastAsia="黑体"/>
          <w:b/>
          <w:sz w:val="32"/>
          <w:szCs w:val="32"/>
        </w:rPr>
        <w:t>、</w:t>
      </w:r>
      <w:r>
        <w:rPr>
          <w:rFonts w:hint="eastAsia" w:ascii="黑体" w:hAnsi="黑体" w:eastAsia="黑体"/>
          <w:b/>
          <w:sz w:val="32"/>
          <w:szCs w:val="32"/>
        </w:rPr>
        <w:t>一</w:t>
      </w:r>
      <w:r>
        <w:rPr>
          <w:rStyle w:val="30"/>
          <w:rFonts w:hint="eastAsia" w:ascii="黑体" w:hAnsi="黑体" w:eastAsia="黑体"/>
          <w:b w:val="0"/>
        </w:rPr>
        <w:t>般公共预算财政拨款基本支出决算情况说明</w:t>
      </w:r>
      <w:bookmarkEnd w:id="60"/>
      <w:bookmarkEnd w:id="61"/>
      <w:bookmarkEnd w:id="62"/>
      <w:bookmarkEnd w:id="63"/>
      <w:r>
        <w:rPr>
          <w:rStyle w:val="30"/>
          <w:rFonts w:ascii="黑体" w:hAnsi="黑体" w:eastAsia="黑体"/>
          <w:b w:val="0"/>
        </w:rPr>
        <w:tab/>
      </w: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202</w:t>
      </w:r>
      <w:r>
        <w:rPr>
          <w:rFonts w:hint="eastAsia" w:ascii="仿宋_GB2312"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年度一般公共预算财政拨款基本支出</w:t>
      </w:r>
      <w:r>
        <w:rPr>
          <w:rFonts w:hint="eastAsia" w:ascii="仿宋_GB2312" w:eastAsia="仿宋_GB2312" w:cs="Times New Roman"/>
          <w:kern w:val="2"/>
          <w:sz w:val="32"/>
          <w:szCs w:val="32"/>
          <w:lang w:val="en-US" w:eastAsia="zh-CN" w:bidi="ar-SA"/>
        </w:rPr>
        <w:t>153.31</w:t>
      </w:r>
      <w:r>
        <w:rPr>
          <w:rFonts w:hint="eastAsia" w:ascii="仿宋_GB2312" w:hAnsi="Times New Roman" w:eastAsia="仿宋_GB2312" w:cs="Times New Roman"/>
          <w:kern w:val="2"/>
          <w:sz w:val="32"/>
          <w:szCs w:val="32"/>
          <w:lang w:val="en-US" w:eastAsia="zh-CN" w:bidi="ar-SA"/>
        </w:rPr>
        <w:t>万元，其中：</w:t>
      </w:r>
    </w:p>
    <w:p>
      <w:pPr>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人员经费</w:t>
      </w:r>
      <w:r>
        <w:rPr>
          <w:rFonts w:hint="eastAsia" w:ascii="仿宋_GB2312" w:eastAsia="仿宋_GB2312" w:cs="Times New Roman"/>
          <w:kern w:val="2"/>
          <w:sz w:val="32"/>
          <w:szCs w:val="32"/>
          <w:lang w:val="en-US" w:eastAsia="zh-CN" w:bidi="ar-SA"/>
        </w:rPr>
        <w:t>143.25</w:t>
      </w:r>
      <w:r>
        <w:rPr>
          <w:rFonts w:hint="eastAsia" w:ascii="仿宋_GB2312" w:hAnsi="Times New Roman" w:eastAsia="仿宋_GB2312" w:cs="Times New Roman"/>
          <w:kern w:val="2"/>
          <w:sz w:val="32"/>
          <w:szCs w:val="32"/>
          <w:lang w:val="en-US" w:eastAsia="zh-CN" w:bidi="ar-SA"/>
        </w:rPr>
        <w:t>万元，主要包括：基本工资</w:t>
      </w:r>
      <w:r>
        <w:rPr>
          <w:rFonts w:hint="eastAsia" w:ascii="仿宋_GB2312" w:eastAsia="仿宋_GB2312" w:cs="Times New Roman"/>
          <w:kern w:val="2"/>
          <w:sz w:val="32"/>
          <w:szCs w:val="32"/>
          <w:lang w:val="en-US" w:eastAsia="zh-CN" w:bidi="ar-SA"/>
        </w:rPr>
        <w:t>27.49</w:t>
      </w:r>
      <w:r>
        <w:rPr>
          <w:rFonts w:hint="eastAsia" w:ascii="仿宋_GB2312" w:hAnsi="Times New Roman" w:eastAsia="仿宋_GB2312" w:cs="Times New Roman"/>
          <w:kern w:val="2"/>
          <w:sz w:val="32"/>
          <w:szCs w:val="32"/>
          <w:lang w:val="en-US" w:eastAsia="zh-CN" w:bidi="ar-SA"/>
        </w:rPr>
        <w:t>万元、津贴补贴</w:t>
      </w:r>
      <w:r>
        <w:rPr>
          <w:rFonts w:hint="eastAsia" w:ascii="仿宋_GB2312" w:eastAsia="仿宋_GB2312" w:cs="Times New Roman"/>
          <w:kern w:val="2"/>
          <w:sz w:val="32"/>
          <w:szCs w:val="32"/>
          <w:lang w:val="en-US" w:eastAsia="zh-CN" w:bidi="ar-SA"/>
        </w:rPr>
        <w:t>35.28</w:t>
      </w:r>
      <w:r>
        <w:rPr>
          <w:rFonts w:hint="eastAsia" w:ascii="仿宋_GB2312" w:hAnsi="Times New Roman" w:eastAsia="仿宋_GB2312" w:cs="Times New Roman"/>
          <w:kern w:val="2"/>
          <w:sz w:val="32"/>
          <w:szCs w:val="32"/>
          <w:lang w:val="en-US" w:eastAsia="zh-CN" w:bidi="ar-SA"/>
        </w:rPr>
        <w:t>万元、奖金</w:t>
      </w:r>
      <w:r>
        <w:rPr>
          <w:rFonts w:hint="eastAsia" w:ascii="仿宋_GB2312" w:eastAsia="仿宋_GB2312" w:cs="Times New Roman"/>
          <w:kern w:val="2"/>
          <w:sz w:val="32"/>
          <w:szCs w:val="32"/>
          <w:lang w:val="en-US" w:eastAsia="zh-CN" w:bidi="ar-SA"/>
        </w:rPr>
        <w:t>28.2</w:t>
      </w:r>
      <w:r>
        <w:rPr>
          <w:rFonts w:hint="eastAsia" w:ascii="仿宋_GB2312" w:hAnsi="Times New Roman" w:eastAsia="仿宋_GB2312" w:cs="Times New Roman"/>
          <w:kern w:val="2"/>
          <w:sz w:val="32"/>
          <w:szCs w:val="32"/>
          <w:lang w:val="en-US" w:eastAsia="zh-CN" w:bidi="ar-SA"/>
        </w:rPr>
        <w:t>万元、伙食补助费0万元、绩效工资0万元、机关事业单位基本养老保险缴费</w:t>
      </w:r>
      <w:r>
        <w:rPr>
          <w:rFonts w:hint="eastAsia" w:ascii="仿宋_GB2312" w:eastAsia="仿宋_GB2312" w:cs="Times New Roman"/>
          <w:kern w:val="2"/>
          <w:sz w:val="32"/>
          <w:szCs w:val="32"/>
          <w:lang w:val="en-US" w:eastAsia="zh-CN" w:bidi="ar-SA"/>
        </w:rPr>
        <w:t>13.19</w:t>
      </w:r>
      <w:r>
        <w:rPr>
          <w:rFonts w:hint="eastAsia" w:ascii="仿宋_GB2312" w:hAnsi="Times New Roman" w:eastAsia="仿宋_GB2312" w:cs="Times New Roman"/>
          <w:kern w:val="2"/>
          <w:sz w:val="32"/>
          <w:szCs w:val="32"/>
          <w:lang w:val="en-US" w:eastAsia="zh-CN" w:bidi="ar-SA"/>
        </w:rPr>
        <w:t>万元、职业年金缴费</w:t>
      </w:r>
      <w:r>
        <w:rPr>
          <w:rFonts w:hint="eastAsia" w:ascii="仿宋_GB2312" w:eastAsia="仿宋_GB2312" w:cs="Times New Roman"/>
          <w:kern w:val="2"/>
          <w:sz w:val="32"/>
          <w:szCs w:val="32"/>
          <w:lang w:val="en-US" w:eastAsia="zh-CN" w:bidi="ar-SA"/>
        </w:rPr>
        <w:t>6.59</w:t>
      </w:r>
      <w:r>
        <w:rPr>
          <w:rFonts w:hint="eastAsia" w:ascii="仿宋_GB2312" w:hAnsi="Times New Roman" w:eastAsia="仿宋_GB2312" w:cs="Times New Roman"/>
          <w:kern w:val="2"/>
          <w:sz w:val="32"/>
          <w:szCs w:val="32"/>
          <w:lang w:val="en-US" w:eastAsia="zh-CN" w:bidi="ar-SA"/>
        </w:rPr>
        <w:t>万元、</w:t>
      </w:r>
      <w:r>
        <w:rPr>
          <w:rFonts w:hint="eastAsia" w:ascii="仿宋_GB2312" w:eastAsia="仿宋_GB2312" w:cs="Times New Roman"/>
          <w:kern w:val="2"/>
          <w:sz w:val="32"/>
          <w:szCs w:val="32"/>
          <w:lang w:val="en-US" w:eastAsia="zh-CN" w:bidi="ar-SA"/>
        </w:rPr>
        <w:t>职工医疗保险缴费5.92万元、公务员医疗保险1.2万元、</w:t>
      </w:r>
      <w:r>
        <w:rPr>
          <w:rFonts w:hint="eastAsia" w:ascii="仿宋_GB2312" w:hAnsi="Times New Roman" w:eastAsia="仿宋_GB2312" w:cs="Times New Roman"/>
          <w:kern w:val="2"/>
          <w:sz w:val="32"/>
          <w:szCs w:val="32"/>
          <w:lang w:val="en-US" w:eastAsia="zh-CN" w:bidi="ar-SA"/>
        </w:rPr>
        <w:t>其他社会保障缴费</w:t>
      </w:r>
      <w:r>
        <w:rPr>
          <w:rFonts w:hint="eastAsia" w:ascii="仿宋_GB2312" w:eastAsia="仿宋_GB2312" w:cs="Times New Roman"/>
          <w:kern w:val="2"/>
          <w:sz w:val="32"/>
          <w:szCs w:val="32"/>
          <w:lang w:val="en-US" w:eastAsia="zh-CN" w:bidi="ar-SA"/>
        </w:rPr>
        <w:t>0.16</w:t>
      </w:r>
      <w:r>
        <w:rPr>
          <w:rFonts w:hint="eastAsia" w:ascii="仿宋_GB2312" w:hAnsi="Times New Roman" w:eastAsia="仿宋_GB2312" w:cs="Times New Roman"/>
          <w:kern w:val="2"/>
          <w:sz w:val="32"/>
          <w:szCs w:val="32"/>
          <w:lang w:val="en-US" w:eastAsia="zh-CN" w:bidi="ar-SA"/>
        </w:rPr>
        <w:t>万元、</w:t>
      </w:r>
      <w:r>
        <w:rPr>
          <w:rFonts w:hint="eastAsia" w:ascii="仿宋_GB2312" w:eastAsia="仿宋_GB2312" w:cs="Times New Roman"/>
          <w:kern w:val="2"/>
          <w:sz w:val="32"/>
          <w:szCs w:val="32"/>
          <w:lang w:val="en-US" w:eastAsia="zh-CN" w:bidi="ar-SA"/>
        </w:rPr>
        <w:t>医疗费0.8万元、</w:t>
      </w:r>
      <w:r>
        <w:rPr>
          <w:rFonts w:hint="eastAsia" w:ascii="仿宋_GB2312" w:hAnsi="Times New Roman" w:eastAsia="仿宋_GB2312" w:cs="Times New Roman"/>
          <w:kern w:val="2"/>
          <w:sz w:val="32"/>
          <w:szCs w:val="32"/>
          <w:lang w:val="en-US" w:eastAsia="zh-CN" w:bidi="ar-SA"/>
        </w:rPr>
        <w:t>其他工资福利支出0万元、离休费0万元、退休费0万元、抚恤金0万元、生活补助</w:t>
      </w:r>
      <w:r>
        <w:rPr>
          <w:rFonts w:hint="eastAsia" w:ascii="仿宋_GB2312" w:eastAsia="仿宋_GB2312" w:cs="Times New Roman"/>
          <w:kern w:val="2"/>
          <w:sz w:val="32"/>
          <w:szCs w:val="32"/>
          <w:lang w:val="en-US" w:eastAsia="zh-CN" w:bidi="ar-SA"/>
        </w:rPr>
        <w:t>14.05</w:t>
      </w:r>
      <w:r>
        <w:rPr>
          <w:rFonts w:hint="eastAsia" w:ascii="仿宋_GB2312" w:hAnsi="Times New Roman" w:eastAsia="仿宋_GB2312" w:cs="Times New Roman"/>
          <w:kern w:val="2"/>
          <w:sz w:val="32"/>
          <w:szCs w:val="32"/>
          <w:lang w:val="en-US" w:eastAsia="zh-CN" w:bidi="ar-SA"/>
        </w:rPr>
        <w:t>万元、医疗费补助</w:t>
      </w:r>
      <w:r>
        <w:rPr>
          <w:rFonts w:hint="eastAsia" w:ascii="仿宋_GB2312" w:eastAsia="仿宋_GB2312" w:cs="Times New Roman"/>
          <w:kern w:val="2"/>
          <w:sz w:val="32"/>
          <w:szCs w:val="32"/>
          <w:lang w:val="en-US" w:eastAsia="zh-CN" w:bidi="ar-SA"/>
        </w:rPr>
        <w:t>0.16</w:t>
      </w:r>
      <w:r>
        <w:rPr>
          <w:rFonts w:hint="eastAsia" w:ascii="仿宋_GB2312" w:hAnsi="Times New Roman" w:eastAsia="仿宋_GB2312" w:cs="Times New Roman"/>
          <w:kern w:val="2"/>
          <w:sz w:val="32"/>
          <w:szCs w:val="32"/>
          <w:lang w:val="en-US" w:eastAsia="zh-CN" w:bidi="ar-SA"/>
        </w:rPr>
        <w:t>万元、奖励金0</w:t>
      </w:r>
      <w:r>
        <w:rPr>
          <w:rFonts w:hint="eastAsia" w:ascii="仿宋_GB2312" w:eastAsia="仿宋_GB2312" w:cs="Times New Roman"/>
          <w:kern w:val="2"/>
          <w:sz w:val="32"/>
          <w:szCs w:val="32"/>
          <w:lang w:val="en-US" w:eastAsia="zh-CN" w:bidi="ar-SA"/>
        </w:rPr>
        <w:t>.75</w:t>
      </w:r>
      <w:r>
        <w:rPr>
          <w:rFonts w:hint="eastAsia" w:ascii="仿宋_GB2312" w:hAnsi="Times New Roman" w:eastAsia="仿宋_GB2312" w:cs="Times New Roman"/>
          <w:kern w:val="2"/>
          <w:sz w:val="32"/>
          <w:szCs w:val="32"/>
          <w:lang w:val="en-US" w:eastAsia="zh-CN" w:bidi="ar-SA"/>
        </w:rPr>
        <w:t>万元、住房公积金</w:t>
      </w:r>
      <w:r>
        <w:rPr>
          <w:rFonts w:hint="eastAsia" w:ascii="仿宋_GB2312" w:eastAsia="仿宋_GB2312" w:cs="Times New Roman"/>
          <w:kern w:val="2"/>
          <w:sz w:val="32"/>
          <w:szCs w:val="32"/>
          <w:lang w:val="en-US" w:eastAsia="zh-CN" w:bidi="ar-SA"/>
        </w:rPr>
        <w:t>10.22</w:t>
      </w:r>
      <w:r>
        <w:rPr>
          <w:rFonts w:hint="eastAsia" w:ascii="仿宋_GB2312" w:hAnsi="Times New Roman" w:eastAsia="仿宋_GB2312" w:cs="Times New Roman"/>
          <w:kern w:val="2"/>
          <w:sz w:val="32"/>
          <w:szCs w:val="32"/>
          <w:lang w:val="en-US" w:eastAsia="zh-CN" w:bidi="ar-SA"/>
        </w:rPr>
        <w:t>万元、其他对个人和家庭的补助支出</w:t>
      </w:r>
      <w:r>
        <w:rPr>
          <w:rFonts w:hint="eastAsia" w:ascii="仿宋_GB2312" w:eastAsia="仿宋_GB2312" w:cs="Times New Roman"/>
          <w:kern w:val="2"/>
          <w:sz w:val="32"/>
          <w:szCs w:val="32"/>
          <w:lang w:val="en-US" w:eastAsia="zh-CN" w:bidi="ar-SA"/>
        </w:rPr>
        <w:t>3.17万元</w:t>
      </w:r>
      <w:r>
        <w:rPr>
          <w:rFonts w:hint="eastAsia" w:ascii="仿宋_GB2312" w:hAnsi="Times New Roman" w:eastAsia="仿宋_GB2312" w:cs="Times New Roman"/>
          <w:kern w:val="2"/>
          <w:sz w:val="32"/>
          <w:szCs w:val="32"/>
          <w:lang w:val="en-US" w:eastAsia="zh-CN" w:bidi="ar-SA"/>
        </w:rPr>
        <w:t>等。</w:t>
      </w:r>
      <w:r>
        <w:rPr>
          <w:rFonts w:hint="eastAsia" w:ascii="仿宋_GB2312" w:hAnsi="Times New Roman" w:eastAsia="仿宋_GB2312" w:cs="Times New Roman"/>
          <w:kern w:val="2"/>
          <w:sz w:val="32"/>
          <w:szCs w:val="32"/>
          <w:lang w:val="en-US" w:eastAsia="zh-CN" w:bidi="ar-SA"/>
        </w:rPr>
        <w:br w:type="textWrapping"/>
      </w:r>
      <w:r>
        <w:rPr>
          <w:rFonts w:hint="eastAsia" w:ascii="仿宋_GB2312" w:hAnsi="Times New Roman" w:eastAsia="仿宋_GB2312" w:cs="Times New Roman"/>
          <w:kern w:val="2"/>
          <w:sz w:val="32"/>
          <w:szCs w:val="32"/>
          <w:lang w:val="en-US" w:eastAsia="zh-CN" w:bidi="ar-SA"/>
        </w:rPr>
        <w:t>　　公用经费</w:t>
      </w:r>
      <w:r>
        <w:rPr>
          <w:rFonts w:hint="eastAsia" w:ascii="仿宋_GB2312" w:eastAsia="仿宋_GB2312" w:cs="Times New Roman"/>
          <w:kern w:val="2"/>
          <w:sz w:val="32"/>
          <w:szCs w:val="32"/>
          <w:lang w:val="en-US" w:eastAsia="zh-CN" w:bidi="ar-SA"/>
        </w:rPr>
        <w:t>10.06</w:t>
      </w:r>
      <w:r>
        <w:rPr>
          <w:rFonts w:hint="eastAsia" w:ascii="仿宋_GB2312" w:hAnsi="Times New Roman" w:eastAsia="仿宋_GB2312" w:cs="Times New Roman"/>
          <w:kern w:val="2"/>
          <w:sz w:val="32"/>
          <w:szCs w:val="32"/>
          <w:lang w:val="en-US" w:eastAsia="zh-CN" w:bidi="ar-SA"/>
        </w:rPr>
        <w:t>万元，主要包括：办公费</w:t>
      </w:r>
      <w:r>
        <w:rPr>
          <w:rFonts w:hint="eastAsia" w:ascii="仿宋_GB2312" w:eastAsia="仿宋_GB2312" w:cs="Times New Roman"/>
          <w:kern w:val="2"/>
          <w:sz w:val="32"/>
          <w:szCs w:val="32"/>
          <w:lang w:val="en-US" w:eastAsia="zh-CN" w:bidi="ar-SA"/>
        </w:rPr>
        <w:t>19.5</w:t>
      </w:r>
      <w:r>
        <w:rPr>
          <w:rFonts w:hint="eastAsia" w:ascii="仿宋_GB2312" w:hAnsi="Times New Roman" w:eastAsia="仿宋_GB2312" w:cs="Times New Roman"/>
          <w:kern w:val="2"/>
          <w:sz w:val="32"/>
          <w:szCs w:val="32"/>
          <w:lang w:val="en-US" w:eastAsia="zh-CN" w:bidi="ar-SA"/>
        </w:rPr>
        <w:t>万元、印刷费</w:t>
      </w:r>
      <w:r>
        <w:rPr>
          <w:rFonts w:hint="eastAsia" w:ascii="仿宋_GB2312" w:eastAsia="仿宋_GB2312" w:cs="Times New Roman"/>
          <w:kern w:val="2"/>
          <w:sz w:val="32"/>
          <w:szCs w:val="32"/>
          <w:lang w:val="en-US" w:eastAsia="zh-CN" w:bidi="ar-SA"/>
        </w:rPr>
        <w:t>9.47</w:t>
      </w:r>
      <w:r>
        <w:rPr>
          <w:rFonts w:hint="eastAsia" w:ascii="仿宋_GB2312" w:hAnsi="Times New Roman" w:eastAsia="仿宋_GB2312" w:cs="Times New Roman"/>
          <w:kern w:val="2"/>
          <w:sz w:val="32"/>
          <w:szCs w:val="32"/>
          <w:lang w:val="en-US" w:eastAsia="zh-CN" w:bidi="ar-SA"/>
        </w:rPr>
        <w:t>万元、咨询费0万元、手续费0.15万元、水费0万元、电费0万元、邮电费</w:t>
      </w:r>
      <w:r>
        <w:rPr>
          <w:rFonts w:hint="eastAsia" w:ascii="仿宋_GB2312" w:eastAsia="仿宋_GB2312" w:cs="Times New Roman"/>
          <w:kern w:val="2"/>
          <w:sz w:val="32"/>
          <w:szCs w:val="32"/>
          <w:lang w:val="en-US" w:eastAsia="zh-CN" w:bidi="ar-SA"/>
        </w:rPr>
        <w:t>0.87</w:t>
      </w:r>
      <w:r>
        <w:rPr>
          <w:rFonts w:hint="eastAsia" w:ascii="仿宋_GB2312" w:hAnsi="Times New Roman" w:eastAsia="仿宋_GB2312" w:cs="Times New Roman"/>
          <w:kern w:val="2"/>
          <w:sz w:val="32"/>
          <w:szCs w:val="32"/>
          <w:lang w:val="en-US" w:eastAsia="zh-CN" w:bidi="ar-SA"/>
        </w:rPr>
        <w:t>万元、取暖费0万元、物业管理费0万元、差旅费</w:t>
      </w:r>
      <w:r>
        <w:rPr>
          <w:rFonts w:hint="eastAsia" w:ascii="仿宋_GB2312" w:eastAsia="仿宋_GB2312" w:cs="Times New Roman"/>
          <w:kern w:val="2"/>
          <w:sz w:val="32"/>
          <w:szCs w:val="32"/>
          <w:lang w:val="en-US" w:eastAsia="zh-CN" w:bidi="ar-SA"/>
        </w:rPr>
        <w:t>3.8</w:t>
      </w:r>
      <w:r>
        <w:rPr>
          <w:rFonts w:hint="eastAsia" w:ascii="仿宋_GB2312" w:hAnsi="Times New Roman" w:eastAsia="仿宋_GB2312" w:cs="Times New Roman"/>
          <w:kern w:val="2"/>
          <w:sz w:val="32"/>
          <w:szCs w:val="32"/>
          <w:lang w:val="en-US" w:eastAsia="zh-CN" w:bidi="ar-SA"/>
        </w:rPr>
        <w:t>万元、因公出国（境）费用0万元、维修（护）费</w:t>
      </w:r>
      <w:r>
        <w:rPr>
          <w:rFonts w:hint="eastAsia" w:ascii="仿宋_GB2312" w:eastAsia="仿宋_GB2312" w:cs="Times New Roman"/>
          <w:kern w:val="2"/>
          <w:sz w:val="32"/>
          <w:szCs w:val="32"/>
          <w:lang w:val="en-US" w:eastAsia="zh-CN" w:bidi="ar-SA"/>
        </w:rPr>
        <w:t>13.47</w:t>
      </w:r>
      <w:r>
        <w:rPr>
          <w:rFonts w:hint="eastAsia" w:ascii="仿宋_GB2312" w:hAnsi="Times New Roman" w:eastAsia="仿宋_GB2312" w:cs="Times New Roman"/>
          <w:kern w:val="2"/>
          <w:sz w:val="32"/>
          <w:szCs w:val="32"/>
          <w:lang w:val="en-US" w:eastAsia="zh-CN" w:bidi="ar-SA"/>
        </w:rPr>
        <w:t>万元、租赁费</w:t>
      </w:r>
      <w:r>
        <w:rPr>
          <w:rFonts w:hint="eastAsia" w:ascii="仿宋_GB2312" w:eastAsia="仿宋_GB2312" w:cs="Times New Roman"/>
          <w:kern w:val="2"/>
          <w:sz w:val="32"/>
          <w:szCs w:val="32"/>
          <w:lang w:val="en-US" w:eastAsia="zh-CN" w:bidi="ar-SA"/>
        </w:rPr>
        <w:t>4.6</w:t>
      </w:r>
      <w:r>
        <w:rPr>
          <w:rFonts w:hint="eastAsia" w:ascii="仿宋_GB2312" w:hAnsi="Times New Roman" w:eastAsia="仿宋_GB2312" w:cs="Times New Roman"/>
          <w:kern w:val="2"/>
          <w:sz w:val="32"/>
          <w:szCs w:val="32"/>
          <w:lang w:val="en-US" w:eastAsia="zh-CN" w:bidi="ar-SA"/>
        </w:rPr>
        <w:t>万元、会议费</w:t>
      </w:r>
      <w:r>
        <w:rPr>
          <w:rFonts w:hint="eastAsia" w:ascii="仿宋_GB2312" w:eastAsia="仿宋_GB2312" w:cs="Times New Roman"/>
          <w:kern w:val="2"/>
          <w:sz w:val="32"/>
          <w:szCs w:val="32"/>
          <w:lang w:val="en-US" w:eastAsia="zh-CN" w:bidi="ar-SA"/>
        </w:rPr>
        <w:t>1.88</w:t>
      </w:r>
      <w:r>
        <w:rPr>
          <w:rFonts w:hint="eastAsia" w:ascii="仿宋_GB2312" w:hAnsi="Times New Roman" w:eastAsia="仿宋_GB2312" w:cs="Times New Roman"/>
          <w:kern w:val="2"/>
          <w:sz w:val="32"/>
          <w:szCs w:val="32"/>
          <w:lang w:val="en-US" w:eastAsia="zh-CN" w:bidi="ar-SA"/>
        </w:rPr>
        <w:t>万元、培训费</w:t>
      </w:r>
      <w:r>
        <w:rPr>
          <w:rFonts w:hint="eastAsia" w:ascii="仿宋_GB2312" w:eastAsia="仿宋_GB2312" w:cs="Times New Roman"/>
          <w:kern w:val="2"/>
          <w:sz w:val="32"/>
          <w:szCs w:val="32"/>
          <w:lang w:val="en-US" w:eastAsia="zh-CN" w:bidi="ar-SA"/>
        </w:rPr>
        <w:t>22.54</w:t>
      </w:r>
      <w:r>
        <w:rPr>
          <w:rFonts w:hint="eastAsia" w:ascii="仿宋_GB2312" w:hAnsi="Times New Roman" w:eastAsia="仿宋_GB2312" w:cs="Times New Roman"/>
          <w:kern w:val="2"/>
          <w:sz w:val="32"/>
          <w:szCs w:val="32"/>
          <w:lang w:val="en-US" w:eastAsia="zh-CN" w:bidi="ar-SA"/>
        </w:rPr>
        <w:t>万元、公务接待费0万元、劳务费</w:t>
      </w:r>
      <w:r>
        <w:rPr>
          <w:rFonts w:hint="eastAsia" w:ascii="仿宋_GB2312" w:eastAsia="仿宋_GB2312" w:cs="Times New Roman"/>
          <w:kern w:val="2"/>
          <w:sz w:val="32"/>
          <w:szCs w:val="32"/>
          <w:lang w:val="en-US" w:eastAsia="zh-CN" w:bidi="ar-SA"/>
        </w:rPr>
        <w:t>0.15</w:t>
      </w:r>
      <w:r>
        <w:rPr>
          <w:rFonts w:hint="eastAsia" w:ascii="仿宋_GB2312" w:hAnsi="Times New Roman" w:eastAsia="仿宋_GB2312" w:cs="Times New Roman"/>
          <w:kern w:val="2"/>
          <w:sz w:val="32"/>
          <w:szCs w:val="32"/>
          <w:lang w:val="en-US" w:eastAsia="zh-CN" w:bidi="ar-SA"/>
        </w:rPr>
        <w:t>万元、委托业务费</w:t>
      </w:r>
      <w:r>
        <w:rPr>
          <w:rFonts w:hint="eastAsia" w:ascii="仿宋_GB2312" w:eastAsia="仿宋_GB2312" w:cs="Times New Roman"/>
          <w:kern w:val="2"/>
          <w:sz w:val="32"/>
          <w:szCs w:val="32"/>
          <w:lang w:val="en-US" w:eastAsia="zh-CN" w:bidi="ar-SA"/>
        </w:rPr>
        <w:t>5.85</w:t>
      </w:r>
      <w:r>
        <w:rPr>
          <w:rFonts w:hint="eastAsia" w:ascii="仿宋_GB2312" w:hAnsi="Times New Roman" w:eastAsia="仿宋_GB2312" w:cs="Times New Roman"/>
          <w:kern w:val="2"/>
          <w:sz w:val="32"/>
          <w:szCs w:val="32"/>
          <w:lang w:val="en-US" w:eastAsia="zh-CN" w:bidi="ar-SA"/>
        </w:rPr>
        <w:t>万元、工会经费</w:t>
      </w:r>
      <w:r>
        <w:rPr>
          <w:rFonts w:hint="eastAsia" w:ascii="仿宋_GB2312" w:eastAsia="仿宋_GB2312" w:cs="Times New Roman"/>
          <w:kern w:val="2"/>
          <w:sz w:val="32"/>
          <w:szCs w:val="32"/>
          <w:lang w:val="en-US" w:eastAsia="zh-CN" w:bidi="ar-SA"/>
        </w:rPr>
        <w:t>1</w:t>
      </w:r>
      <w:r>
        <w:rPr>
          <w:rFonts w:hint="eastAsia" w:ascii="仿宋_GB2312" w:hAnsi="Times New Roman" w:eastAsia="仿宋_GB2312" w:cs="Times New Roman"/>
          <w:kern w:val="2"/>
          <w:sz w:val="32"/>
          <w:szCs w:val="32"/>
          <w:lang w:val="en-US" w:eastAsia="zh-CN" w:bidi="ar-SA"/>
        </w:rPr>
        <w:t>万元、福利费</w:t>
      </w:r>
      <w:r>
        <w:rPr>
          <w:rFonts w:hint="eastAsia" w:ascii="仿宋_GB2312" w:eastAsia="仿宋_GB2312" w:cs="Times New Roman"/>
          <w:kern w:val="2"/>
          <w:sz w:val="32"/>
          <w:szCs w:val="32"/>
          <w:lang w:val="en-US" w:eastAsia="zh-CN" w:bidi="ar-SA"/>
        </w:rPr>
        <w:t>0.25</w:t>
      </w:r>
      <w:r>
        <w:rPr>
          <w:rFonts w:hint="eastAsia" w:ascii="仿宋_GB2312" w:hAnsi="Times New Roman" w:eastAsia="仿宋_GB2312" w:cs="Times New Roman"/>
          <w:kern w:val="2"/>
          <w:sz w:val="32"/>
          <w:szCs w:val="32"/>
          <w:lang w:val="en-US" w:eastAsia="zh-CN" w:bidi="ar-SA"/>
        </w:rPr>
        <w:t>万元、公务用车运行维护费</w:t>
      </w:r>
      <w:r>
        <w:rPr>
          <w:rFonts w:hint="eastAsia" w:ascii="仿宋_GB2312" w:eastAsia="仿宋_GB2312" w:cs="Times New Roman"/>
          <w:kern w:val="2"/>
          <w:sz w:val="32"/>
          <w:szCs w:val="32"/>
          <w:lang w:val="en-US" w:eastAsia="zh-CN" w:bidi="ar-SA"/>
        </w:rPr>
        <w:t>1.77</w:t>
      </w:r>
      <w:r>
        <w:rPr>
          <w:rFonts w:hint="eastAsia" w:ascii="仿宋_GB2312" w:hAnsi="Times New Roman" w:eastAsia="仿宋_GB2312" w:cs="Times New Roman"/>
          <w:kern w:val="2"/>
          <w:sz w:val="32"/>
          <w:szCs w:val="32"/>
          <w:lang w:val="en-US" w:eastAsia="zh-CN" w:bidi="ar-SA"/>
        </w:rPr>
        <w:t>万元、其他交通费</w:t>
      </w:r>
      <w:r>
        <w:rPr>
          <w:rFonts w:hint="eastAsia" w:ascii="仿宋_GB2312" w:eastAsia="仿宋_GB2312" w:cs="Times New Roman"/>
          <w:kern w:val="2"/>
          <w:sz w:val="32"/>
          <w:szCs w:val="32"/>
          <w:lang w:val="en-US" w:eastAsia="zh-CN" w:bidi="ar-SA"/>
        </w:rPr>
        <w:t>1</w:t>
      </w:r>
      <w:r>
        <w:rPr>
          <w:rFonts w:hint="eastAsia" w:ascii="仿宋_GB2312" w:hAnsi="Times New Roman" w:eastAsia="仿宋_GB2312" w:cs="Times New Roman"/>
          <w:kern w:val="2"/>
          <w:sz w:val="32"/>
          <w:szCs w:val="32"/>
          <w:lang w:val="en-US" w:eastAsia="zh-CN" w:bidi="ar-SA"/>
        </w:rPr>
        <w:t>万元、税金及附加费用0万元、其他商品和服务支出</w:t>
      </w:r>
      <w:r>
        <w:rPr>
          <w:rFonts w:hint="eastAsia" w:ascii="仿宋_GB2312" w:eastAsia="仿宋_GB2312" w:cs="Times New Roman"/>
          <w:kern w:val="2"/>
          <w:sz w:val="32"/>
          <w:szCs w:val="32"/>
          <w:lang w:val="en-US" w:eastAsia="zh-CN" w:bidi="ar-SA"/>
        </w:rPr>
        <w:t>20.36</w:t>
      </w:r>
      <w:r>
        <w:rPr>
          <w:rFonts w:hint="eastAsia" w:ascii="仿宋_GB2312" w:hAnsi="Times New Roman" w:eastAsia="仿宋_GB2312" w:cs="Times New Roman"/>
          <w:kern w:val="2"/>
          <w:sz w:val="32"/>
          <w:szCs w:val="32"/>
          <w:lang w:val="en-US" w:eastAsia="zh-CN" w:bidi="ar-SA"/>
        </w:rPr>
        <w:t>万元、办公设备购置0万元、专用设备购置0万元、信息网络及软件购置更新0万元、其他资本性支出等。</w:t>
      </w:r>
    </w:p>
    <w:p>
      <w:pPr>
        <w:spacing w:line="600" w:lineRule="exact"/>
        <w:ind w:firstLine="640"/>
        <w:outlineLvl w:val="1"/>
        <w:rPr>
          <w:rStyle w:val="30"/>
          <w:rFonts w:ascii="黑体" w:hAnsi="黑体" w:eastAsia="黑体"/>
          <w:b w:val="0"/>
        </w:rPr>
      </w:pPr>
      <w:bookmarkStart w:id="64" w:name="_Toc15377215"/>
      <w:bookmarkStart w:id="65" w:name="_Toc4273"/>
      <w:bookmarkStart w:id="66" w:name="_Toc15396609"/>
      <w:bookmarkStart w:id="67" w:name="_Toc16767"/>
      <w:r>
        <w:rPr>
          <w:rFonts w:hint="eastAsia" w:ascii="黑体" w:eastAsia="黑体"/>
          <w:sz w:val="32"/>
          <w:szCs w:val="32"/>
        </w:rPr>
        <w:t>七、</w:t>
      </w:r>
      <w:r>
        <w:rPr>
          <w:rStyle w:val="30"/>
          <w:rFonts w:hint="eastAsia" w:ascii="黑体" w:hAnsi="黑体" w:eastAsia="黑体"/>
          <w:b w:val="0"/>
        </w:rPr>
        <w:t>财政拨款</w:t>
      </w:r>
      <w:r>
        <w:rPr>
          <w:rStyle w:val="30"/>
          <w:rFonts w:hint="eastAsia" w:ascii="黑体" w:hAnsi="黑体" w:eastAsia="黑体"/>
        </w:rPr>
        <w:t>“</w:t>
      </w:r>
      <w:r>
        <w:rPr>
          <w:rStyle w:val="30"/>
          <w:rFonts w:hint="eastAsia" w:ascii="黑体" w:hAnsi="黑体" w:eastAsia="黑体"/>
          <w:b w:val="0"/>
        </w:rPr>
        <w:t>三公”经费支出决算情况说明</w:t>
      </w:r>
      <w:bookmarkEnd w:id="64"/>
      <w:bookmarkEnd w:id="65"/>
      <w:bookmarkEnd w:id="66"/>
      <w:bookmarkEnd w:id="67"/>
    </w:p>
    <w:p>
      <w:pPr>
        <w:spacing w:line="600" w:lineRule="exact"/>
        <w:ind w:firstLine="640"/>
        <w:outlineLvl w:val="2"/>
        <w:rPr>
          <w:rFonts w:ascii="仿宋" w:hAnsi="仿宋" w:eastAsia="仿宋"/>
          <w:b/>
          <w:sz w:val="32"/>
          <w:szCs w:val="32"/>
        </w:rPr>
      </w:pPr>
      <w:bookmarkStart w:id="68" w:name="_Toc17495"/>
      <w:bookmarkStart w:id="69" w:name="_Toc15377216"/>
      <w:r>
        <w:rPr>
          <w:rFonts w:hint="eastAsia" w:ascii="仿宋" w:hAnsi="仿宋" w:eastAsia="仿宋"/>
          <w:b/>
          <w:sz w:val="32"/>
          <w:szCs w:val="32"/>
        </w:rPr>
        <w:t>（一）“三公”经费财政拨款支出决算总体情况说明</w:t>
      </w:r>
      <w:bookmarkEnd w:id="68"/>
      <w:bookmarkEnd w:id="69"/>
    </w:p>
    <w:p>
      <w:pPr>
        <w:spacing w:line="600" w:lineRule="exact"/>
        <w:ind w:firstLine="640"/>
        <w:outlineLvl w:val="2"/>
        <w:rPr>
          <w:rFonts w:ascii="仿宋" w:hAnsi="仿宋" w:eastAsia="仿宋"/>
          <w:sz w:val="32"/>
          <w:szCs w:val="32"/>
        </w:rPr>
      </w:pPr>
      <w:bookmarkStart w:id="70" w:name="_Toc21893"/>
      <w:r>
        <w:rPr>
          <w:rFonts w:hint="eastAsia" w:ascii="仿宋" w:hAnsi="仿宋" w:eastAsia="仿宋"/>
          <w:sz w:val="32"/>
          <w:szCs w:val="32"/>
        </w:rPr>
        <w:t>20</w:t>
      </w:r>
      <w:r>
        <w:rPr>
          <w:rFonts w:hint="eastAsia" w:ascii="仿宋" w:hAnsi="仿宋" w:eastAsia="仿宋"/>
          <w:sz w:val="32"/>
          <w:szCs w:val="32"/>
          <w:highlight w:val="none"/>
        </w:rPr>
        <w:t>2</w:t>
      </w:r>
      <w:r>
        <w:rPr>
          <w:rFonts w:hint="eastAsia" w:ascii="仿宋" w:hAnsi="仿宋" w:eastAsia="仿宋"/>
          <w:sz w:val="32"/>
          <w:szCs w:val="32"/>
          <w:highlight w:val="none"/>
          <w:lang w:val="en-US" w:eastAsia="zh-CN"/>
        </w:rPr>
        <w:t>5</w:t>
      </w:r>
      <w:r>
        <w:rPr>
          <w:rFonts w:hint="eastAsia" w:ascii="仿宋" w:hAnsi="仿宋" w:eastAsia="仿宋"/>
          <w:sz w:val="32"/>
          <w:szCs w:val="32"/>
          <w:highlight w:val="none"/>
        </w:rPr>
        <w:t>年度“三公”经费财</w:t>
      </w:r>
      <w:r>
        <w:rPr>
          <w:rFonts w:hint="eastAsia" w:ascii="仿宋" w:hAnsi="仿宋" w:eastAsia="仿宋"/>
          <w:sz w:val="32"/>
          <w:szCs w:val="32"/>
        </w:rPr>
        <w:t>政拨款支出决算为</w:t>
      </w:r>
      <w:r>
        <w:rPr>
          <w:rFonts w:hint="eastAsia" w:eastAsia="仿宋"/>
          <w:sz w:val="32"/>
          <w:szCs w:val="32"/>
          <w:lang w:val="en-US" w:eastAsia="zh-CN"/>
        </w:rPr>
        <w:t>1.77</w:t>
      </w:r>
      <w:r>
        <w:rPr>
          <w:rFonts w:hint="eastAsia" w:ascii="仿宋" w:hAnsi="仿宋" w:eastAsia="仿宋"/>
          <w:sz w:val="32"/>
          <w:szCs w:val="32"/>
        </w:rPr>
        <w:t>万元，完成</w:t>
      </w:r>
      <w:r>
        <w:rPr>
          <w:rFonts w:hint="eastAsia" w:ascii="仿宋" w:hAnsi="仿宋" w:eastAsia="仿宋"/>
          <w:sz w:val="32"/>
          <w:szCs w:val="32"/>
          <w:highlight w:val="none"/>
        </w:rPr>
        <w:t>预算</w:t>
      </w:r>
      <w:r>
        <w:rPr>
          <w:rFonts w:hint="eastAsia" w:eastAsia="仿宋"/>
          <w:sz w:val="32"/>
          <w:szCs w:val="32"/>
          <w:highlight w:val="none"/>
          <w:lang w:val="en-US" w:eastAsia="zh-CN"/>
        </w:rPr>
        <w:t>67.56</w:t>
      </w:r>
      <w:r>
        <w:rPr>
          <w:rFonts w:ascii="仿宋" w:hAnsi="仿宋" w:eastAsia="仿宋"/>
          <w:sz w:val="32"/>
          <w:szCs w:val="32"/>
          <w:highlight w:val="none"/>
        </w:rPr>
        <w:t>%</w:t>
      </w:r>
      <w:r>
        <w:rPr>
          <w:rFonts w:hint="eastAsia" w:ascii="仿宋" w:hAnsi="仿宋" w:eastAsia="仿宋"/>
          <w:sz w:val="32"/>
          <w:szCs w:val="32"/>
          <w:highlight w:val="none"/>
        </w:rPr>
        <w:t>，</w:t>
      </w:r>
      <w:r>
        <w:rPr>
          <w:rFonts w:hint="eastAsia" w:ascii="仿宋" w:hAnsi="仿宋" w:eastAsia="仿宋"/>
          <w:sz w:val="32"/>
          <w:szCs w:val="32"/>
        </w:rPr>
        <w:t>较上年度增</w:t>
      </w:r>
      <w:r>
        <w:rPr>
          <w:rFonts w:hint="eastAsia" w:ascii="仿宋" w:hAnsi="仿宋" w:eastAsia="仿宋"/>
          <w:sz w:val="32"/>
          <w:szCs w:val="32"/>
          <w:lang w:val="en-US" w:eastAsia="zh-CN"/>
        </w:rPr>
        <w:t>减-0.7</w:t>
      </w:r>
      <w:r>
        <w:rPr>
          <w:rFonts w:hint="eastAsia" w:ascii="仿宋" w:hAnsi="仿宋" w:eastAsia="仿宋"/>
          <w:sz w:val="32"/>
          <w:szCs w:val="32"/>
        </w:rPr>
        <w:t>万元，</w:t>
      </w:r>
      <w:r>
        <w:rPr>
          <w:rFonts w:hint="eastAsia" w:ascii="仿宋" w:hAnsi="仿宋" w:eastAsia="仿宋"/>
          <w:sz w:val="32"/>
          <w:szCs w:val="32"/>
          <w:lang w:val="en-US" w:eastAsia="zh-CN"/>
        </w:rPr>
        <w:t>增减变动率-28.22</w:t>
      </w:r>
      <w:r>
        <w:rPr>
          <w:rFonts w:hint="eastAsia" w:ascii="仿宋" w:hAnsi="仿宋" w:eastAsia="仿宋"/>
          <w:sz w:val="32"/>
          <w:szCs w:val="32"/>
        </w:rPr>
        <w:t>%。决算数小于预算数</w:t>
      </w:r>
      <w:r>
        <w:rPr>
          <w:rFonts w:hint="eastAsia" w:ascii="仿宋" w:hAnsi="仿宋" w:eastAsia="仿宋"/>
          <w:sz w:val="32"/>
          <w:szCs w:val="32"/>
          <w:lang w:val="en-US" w:eastAsia="zh-CN"/>
        </w:rPr>
        <w:t>主要原因是厉行节约减少不必要的支出</w:t>
      </w:r>
      <w:r>
        <w:rPr>
          <w:rFonts w:hint="eastAsia" w:ascii="仿宋" w:hAnsi="仿宋" w:eastAsia="仿宋"/>
          <w:sz w:val="32"/>
          <w:szCs w:val="32"/>
        </w:rPr>
        <w:t>。</w:t>
      </w:r>
      <w:bookmarkEnd w:id="70"/>
    </w:p>
    <w:p>
      <w:pPr>
        <w:spacing w:line="600" w:lineRule="exact"/>
        <w:ind w:firstLine="640"/>
        <w:outlineLvl w:val="2"/>
        <w:rPr>
          <w:rFonts w:ascii="仿宋" w:hAnsi="仿宋" w:eastAsia="仿宋"/>
          <w:b/>
          <w:sz w:val="32"/>
          <w:szCs w:val="32"/>
        </w:rPr>
      </w:pPr>
      <w:bookmarkStart w:id="71" w:name="_Toc15377217"/>
      <w:bookmarkStart w:id="72" w:name="_Toc18185"/>
      <w:r>
        <w:rPr>
          <w:rFonts w:hint="eastAsia" w:ascii="仿宋" w:hAnsi="仿宋" w:eastAsia="仿宋"/>
          <w:b/>
          <w:sz w:val="32"/>
          <w:szCs w:val="32"/>
        </w:rPr>
        <w:t>（二）“三公”经费财政拨款支出决算具体情况说明</w:t>
      </w:r>
      <w:bookmarkEnd w:id="71"/>
      <w:bookmarkEnd w:id="72"/>
    </w:p>
    <w:p>
      <w:pPr>
        <w:spacing w:line="600" w:lineRule="exact"/>
        <w:ind w:firstLine="640"/>
        <w:outlineLvl w:val="2"/>
        <w:rPr>
          <w:rFonts w:hint="eastAsia" w:ascii="仿宋" w:hAnsi="仿宋" w:eastAsia="仿宋"/>
          <w:sz w:val="32"/>
          <w:szCs w:val="32"/>
        </w:rPr>
      </w:pPr>
      <w:bookmarkStart w:id="73" w:name="_Toc27850"/>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年度“三公”经费财政拨款支出决算中，因公出国（境）费支出决算0万元，占0%；公务用车购置及运行维护费支出决算</w:t>
      </w:r>
      <w:r>
        <w:rPr>
          <w:rFonts w:hint="eastAsia" w:ascii="仿宋" w:hAnsi="仿宋" w:eastAsia="仿宋"/>
          <w:sz w:val="32"/>
          <w:szCs w:val="32"/>
          <w:lang w:val="en-US" w:eastAsia="zh-CN"/>
        </w:rPr>
        <w:t>1.77</w:t>
      </w:r>
      <w:r>
        <w:rPr>
          <w:rFonts w:hint="eastAsia" w:ascii="仿宋" w:hAnsi="仿宋" w:eastAsia="仿宋"/>
          <w:sz w:val="32"/>
          <w:szCs w:val="32"/>
        </w:rPr>
        <w:t>万元，占100%；公务接待费支出决算0万元，占0%。具体情况如下：</w:t>
      </w:r>
      <w:bookmarkEnd w:id="73"/>
    </w:p>
    <w:p>
      <w:pPr>
        <w:spacing w:line="600" w:lineRule="exact"/>
        <w:ind w:firstLine="640"/>
        <w:rPr>
          <w:rFonts w:hint="eastAsia" w:ascii="仿宋" w:hAnsi="仿宋" w:eastAsia="仿宋"/>
          <w:sz w:val="32"/>
          <w:szCs w:val="32"/>
        </w:rPr>
      </w:pPr>
      <w:r>
        <w:rPr>
          <w:rFonts w:hint="eastAsia" w:ascii="仿宋" w:hAnsi="仿宋" w:eastAsia="仿宋"/>
          <w:sz w:val="32"/>
          <w:szCs w:val="32"/>
        </w:rPr>
        <w:t>（图7：“三公”经费财政拨款支出结构）（饼状图）</w:t>
      </w:r>
    </w:p>
    <w:p>
      <w:pPr>
        <w:pStyle w:val="20"/>
        <w:outlineLvl w:val="9"/>
        <w:rPr>
          <w:rFonts w:hint="eastAsia" w:eastAsia="仿宋"/>
          <w:lang w:eastAsia="zh-CN"/>
        </w:rPr>
      </w:pPr>
      <w:r>
        <w:rPr>
          <w:rFonts w:hint="eastAsia" w:eastAsia="仿宋"/>
          <w:lang w:eastAsia="zh-CN"/>
        </w:rPr>
        <w:drawing>
          <wp:inline distT="0" distB="0" distL="114300" distR="114300">
            <wp:extent cx="2831465" cy="2709545"/>
            <wp:effectExtent l="4445" t="4445" r="21590" b="1016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600" w:lineRule="exact"/>
        <w:ind w:firstLine="640"/>
        <w:rPr>
          <w:rFonts w:hint="eastAsia" w:ascii="仿宋_GB2312" w:eastAsia="仿宋_GB2312"/>
          <w:sz w:val="32"/>
          <w:szCs w:val="32"/>
        </w:rPr>
      </w:pPr>
    </w:p>
    <w:p>
      <w:pPr>
        <w:spacing w:line="600" w:lineRule="exact"/>
        <w:ind w:firstLine="640"/>
        <w:rPr>
          <w:rFonts w:hint="eastAsia" w:ascii="仿宋_GB2312" w:eastAsia="仿宋_GB2312"/>
          <w:sz w:val="32"/>
          <w:szCs w:val="32"/>
        </w:rPr>
      </w:pPr>
      <w:r>
        <w:rPr>
          <w:rFonts w:hint="eastAsia" w:ascii="仿宋_GB2312" w:eastAsia="仿宋_GB2312"/>
          <w:sz w:val="32"/>
          <w:szCs w:val="32"/>
        </w:rPr>
        <w:t>1.因公出国（境）经费支出0万元，完成预算0%。全年安排因公出国（境）团组0次，出国（境）0人。因公出国（境）支出决算比202</w:t>
      </w:r>
      <w:r>
        <w:rPr>
          <w:rFonts w:hint="eastAsia" w:ascii="仿宋_GB2312" w:eastAsia="仿宋_GB2312"/>
          <w:sz w:val="32"/>
          <w:szCs w:val="32"/>
          <w:lang w:val="en-US" w:eastAsia="zh-CN"/>
        </w:rPr>
        <w:t>4</w:t>
      </w:r>
      <w:r>
        <w:rPr>
          <w:rFonts w:hint="eastAsia" w:ascii="仿宋_GB2312" w:eastAsia="仿宋_GB2312"/>
          <w:sz w:val="32"/>
          <w:szCs w:val="32"/>
        </w:rPr>
        <w:t>年增加/减少</w:t>
      </w:r>
      <w:r>
        <w:rPr>
          <w:rFonts w:hint="eastAsia" w:ascii="仿宋_GB2312" w:eastAsia="仿宋_GB2312"/>
          <w:sz w:val="32"/>
          <w:szCs w:val="32"/>
          <w:lang w:val="en-US" w:eastAsia="zh-CN"/>
        </w:rPr>
        <w:t>0</w:t>
      </w:r>
      <w:r>
        <w:rPr>
          <w:rFonts w:hint="eastAsia" w:ascii="仿宋_GB2312" w:eastAsia="仿宋_GB2312"/>
          <w:sz w:val="32"/>
          <w:szCs w:val="32"/>
        </w:rPr>
        <w:t>万元，增长/下降</w:t>
      </w:r>
      <w:r>
        <w:rPr>
          <w:rFonts w:hint="eastAsia" w:ascii="仿宋_GB2312" w:eastAsia="仿宋_GB2312"/>
          <w:sz w:val="32"/>
          <w:szCs w:val="32"/>
          <w:lang w:val="en-US" w:eastAsia="zh-CN"/>
        </w:rPr>
        <w:t>0</w:t>
      </w:r>
      <w:r>
        <w:rPr>
          <w:rFonts w:hint="eastAsia" w:ascii="仿宋_GB2312" w:eastAsia="仿宋_GB2312"/>
          <w:sz w:val="32"/>
          <w:szCs w:val="32"/>
        </w:rPr>
        <w:t>%。</w:t>
      </w:r>
    </w:p>
    <w:p>
      <w:pPr>
        <w:spacing w:line="600" w:lineRule="exact"/>
        <w:ind w:firstLine="640"/>
        <w:rPr>
          <w:rFonts w:hint="eastAsia" w:ascii="仿宋_GB2312" w:eastAsia="仿宋_GB2312"/>
          <w:sz w:val="32"/>
          <w:szCs w:val="32"/>
        </w:rPr>
      </w:pPr>
      <w:r>
        <w:rPr>
          <w:rFonts w:hint="eastAsia" w:ascii="仿宋_GB2312" w:eastAsia="仿宋_GB2312"/>
          <w:sz w:val="32"/>
          <w:szCs w:val="32"/>
        </w:rPr>
        <w:t>2.公务用车购置及运行维护费支出</w:t>
      </w:r>
      <w:r>
        <w:rPr>
          <w:rFonts w:hint="eastAsia" w:ascii="仿宋_GB2312" w:eastAsia="仿宋_GB2312"/>
          <w:sz w:val="32"/>
          <w:szCs w:val="32"/>
          <w:lang w:val="en-US" w:eastAsia="zh-CN"/>
        </w:rPr>
        <w:t>1.77</w:t>
      </w:r>
      <w:r>
        <w:rPr>
          <w:rFonts w:hint="eastAsia" w:ascii="仿宋_GB2312" w:eastAsia="仿宋_GB2312"/>
          <w:sz w:val="32"/>
          <w:szCs w:val="32"/>
        </w:rPr>
        <w:t>万元,完成预算</w:t>
      </w:r>
      <w:r>
        <w:rPr>
          <w:rFonts w:hint="eastAsia" w:ascii="仿宋_GB2312" w:eastAsia="仿宋_GB2312"/>
          <w:sz w:val="32"/>
          <w:szCs w:val="32"/>
          <w:highlight w:val="none"/>
          <w:lang w:val="en-US" w:eastAsia="zh-CN"/>
        </w:rPr>
        <w:t>67.56</w:t>
      </w:r>
      <w:r>
        <w:rPr>
          <w:rFonts w:hint="eastAsia" w:ascii="仿宋_GB2312" w:eastAsia="仿宋_GB2312"/>
          <w:sz w:val="32"/>
          <w:szCs w:val="32"/>
          <w:highlight w:val="none"/>
        </w:rPr>
        <w:t>%</w:t>
      </w:r>
      <w:r>
        <w:rPr>
          <w:rFonts w:hint="eastAsia" w:ascii="仿宋_GB2312" w:eastAsia="仿宋_GB2312"/>
          <w:sz w:val="32"/>
          <w:szCs w:val="32"/>
        </w:rPr>
        <w:t>。公务用车购置及运行维护费支出决算比202</w:t>
      </w:r>
      <w:r>
        <w:rPr>
          <w:rFonts w:hint="eastAsia" w:ascii="仿宋_GB2312" w:eastAsia="仿宋_GB2312"/>
          <w:sz w:val="32"/>
          <w:szCs w:val="32"/>
          <w:lang w:val="en-US" w:eastAsia="zh-CN"/>
        </w:rPr>
        <w:t>4</w:t>
      </w:r>
      <w:r>
        <w:rPr>
          <w:rFonts w:hint="eastAsia" w:ascii="仿宋_GB2312" w:eastAsia="仿宋_GB2312"/>
          <w:sz w:val="32"/>
          <w:szCs w:val="32"/>
        </w:rPr>
        <w:t>年度增</w:t>
      </w:r>
      <w:r>
        <w:rPr>
          <w:rFonts w:hint="eastAsia" w:ascii="仿宋_GB2312" w:eastAsia="仿宋_GB2312"/>
          <w:sz w:val="32"/>
          <w:szCs w:val="32"/>
          <w:lang w:val="en-US" w:eastAsia="zh-CN"/>
        </w:rPr>
        <w:t>减-0.7</w:t>
      </w:r>
      <w:r>
        <w:rPr>
          <w:rFonts w:hint="eastAsia" w:ascii="仿宋_GB2312" w:eastAsia="仿宋_GB2312"/>
          <w:sz w:val="32"/>
          <w:szCs w:val="32"/>
        </w:rPr>
        <w:t>万元，</w:t>
      </w:r>
      <w:r>
        <w:rPr>
          <w:rFonts w:hint="eastAsia" w:ascii="仿宋_GB2312" w:eastAsia="仿宋_GB2312"/>
          <w:sz w:val="32"/>
          <w:szCs w:val="32"/>
          <w:lang w:val="en-US" w:eastAsia="zh-CN"/>
        </w:rPr>
        <w:t>增减变动率-28.22</w:t>
      </w:r>
      <w:r>
        <w:rPr>
          <w:rFonts w:hint="eastAsia" w:ascii="仿宋_GB2312" w:eastAsia="仿宋_GB2312"/>
          <w:sz w:val="32"/>
          <w:szCs w:val="32"/>
        </w:rPr>
        <w:t>%。主要</w:t>
      </w:r>
      <w:r>
        <w:rPr>
          <w:rFonts w:hint="eastAsia" w:ascii="仿宋_GB2312" w:eastAsia="仿宋_GB2312"/>
          <w:sz w:val="32"/>
          <w:szCs w:val="32"/>
          <w:lang w:val="en-US" w:eastAsia="zh-CN"/>
        </w:rPr>
        <w:t>用于车燃料费、维修费、保险餐费等支出</w:t>
      </w:r>
      <w:r>
        <w:rPr>
          <w:rFonts w:hint="eastAsia" w:ascii="仿宋_GB2312" w:eastAsia="仿宋_GB2312"/>
          <w:sz w:val="32"/>
          <w:szCs w:val="32"/>
        </w:rPr>
        <w:t>等所需的公务用车燃料费、维修费、过路过桥费、保险费等支出。</w:t>
      </w:r>
    </w:p>
    <w:p>
      <w:pPr>
        <w:spacing w:line="600" w:lineRule="exact"/>
        <w:ind w:firstLine="640"/>
        <w:rPr>
          <w:rFonts w:hint="eastAsia" w:ascii="仿宋_GB2312" w:eastAsia="仿宋_GB2312"/>
          <w:sz w:val="32"/>
          <w:szCs w:val="32"/>
        </w:rPr>
      </w:pPr>
      <w:r>
        <w:rPr>
          <w:rFonts w:hint="eastAsia" w:ascii="仿宋_GB2312" w:eastAsia="仿宋_GB2312"/>
          <w:sz w:val="32"/>
          <w:szCs w:val="32"/>
        </w:rPr>
        <w:t>其中：公务用车购置支出0万元。全年按规定更新购置公务用车</w:t>
      </w:r>
      <w:r>
        <w:rPr>
          <w:rFonts w:hint="eastAsia" w:ascii="仿宋_GB2312" w:eastAsia="仿宋_GB2312"/>
          <w:sz w:val="32"/>
          <w:szCs w:val="32"/>
          <w:lang w:val="en-US" w:eastAsia="zh-CN"/>
        </w:rPr>
        <w:t>0</w:t>
      </w:r>
      <w:r>
        <w:rPr>
          <w:rFonts w:hint="eastAsia" w:ascii="仿宋_GB2312" w:eastAsia="仿宋_GB2312"/>
          <w:sz w:val="32"/>
          <w:szCs w:val="32"/>
        </w:rPr>
        <w:t>辆，其中：轿车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万元，越野车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万元，载客汽车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万元。截至202</w:t>
      </w:r>
      <w:r>
        <w:rPr>
          <w:rFonts w:hint="eastAsia" w:ascii="仿宋_GB2312" w:eastAsia="仿宋_GB2312"/>
          <w:sz w:val="32"/>
          <w:szCs w:val="32"/>
          <w:lang w:val="en-US" w:eastAsia="zh-CN"/>
        </w:rPr>
        <w:t>6</w:t>
      </w:r>
      <w:r>
        <w:rPr>
          <w:rFonts w:hint="eastAsia" w:ascii="仿宋_GB2312" w:eastAsia="仿宋_GB2312"/>
          <w:sz w:val="32"/>
          <w:szCs w:val="32"/>
        </w:rPr>
        <w:t>年12月31日，单位共有公务用车</w:t>
      </w:r>
      <w:r>
        <w:rPr>
          <w:rFonts w:hint="eastAsia" w:ascii="仿宋_GB2312" w:eastAsia="仿宋_GB2312"/>
          <w:sz w:val="32"/>
          <w:szCs w:val="32"/>
          <w:lang w:val="en-US" w:eastAsia="zh-CN"/>
        </w:rPr>
        <w:t>1</w:t>
      </w:r>
      <w:r>
        <w:rPr>
          <w:rFonts w:hint="eastAsia" w:ascii="仿宋_GB2312" w:eastAsia="仿宋_GB2312"/>
          <w:sz w:val="32"/>
          <w:szCs w:val="32"/>
        </w:rPr>
        <w:t>辆，其中：轿车</w:t>
      </w:r>
      <w:r>
        <w:rPr>
          <w:rFonts w:hint="eastAsia" w:ascii="仿宋_GB2312" w:eastAsia="仿宋_GB2312"/>
          <w:sz w:val="32"/>
          <w:szCs w:val="32"/>
          <w:lang w:val="en-US" w:eastAsia="zh-CN"/>
        </w:rPr>
        <w:t>1</w:t>
      </w:r>
      <w:r>
        <w:rPr>
          <w:rFonts w:hint="eastAsia" w:ascii="仿宋_GB2312" w:eastAsia="仿宋_GB2312"/>
          <w:sz w:val="32"/>
          <w:szCs w:val="32"/>
        </w:rPr>
        <w:t>辆、越野车</w:t>
      </w:r>
      <w:r>
        <w:rPr>
          <w:rFonts w:hint="eastAsia" w:ascii="仿宋_GB2312" w:eastAsia="仿宋_GB2312"/>
          <w:sz w:val="32"/>
          <w:szCs w:val="32"/>
          <w:lang w:val="en-US" w:eastAsia="zh-CN"/>
        </w:rPr>
        <w:t>0</w:t>
      </w:r>
      <w:r>
        <w:rPr>
          <w:rFonts w:hint="eastAsia" w:ascii="仿宋_GB2312" w:eastAsia="仿宋_GB2312"/>
          <w:sz w:val="32"/>
          <w:szCs w:val="32"/>
        </w:rPr>
        <w:t>辆、载客汽车</w:t>
      </w:r>
      <w:r>
        <w:rPr>
          <w:rFonts w:hint="eastAsia" w:ascii="仿宋_GB2312" w:eastAsia="仿宋_GB2312"/>
          <w:sz w:val="32"/>
          <w:szCs w:val="32"/>
          <w:lang w:val="en-US" w:eastAsia="zh-CN"/>
        </w:rPr>
        <w:t>0</w:t>
      </w:r>
      <w:r>
        <w:rPr>
          <w:rFonts w:hint="eastAsia" w:ascii="仿宋_GB2312" w:eastAsia="仿宋_GB2312"/>
          <w:sz w:val="32"/>
          <w:szCs w:val="32"/>
        </w:rPr>
        <w:t>辆。</w:t>
      </w:r>
    </w:p>
    <w:p>
      <w:pPr>
        <w:spacing w:line="600" w:lineRule="exact"/>
        <w:ind w:firstLine="640"/>
        <w:rPr>
          <w:rFonts w:hint="eastAsia" w:ascii="仿宋_GB2312" w:eastAsia="仿宋_GB2312"/>
          <w:sz w:val="32"/>
          <w:szCs w:val="32"/>
        </w:rPr>
      </w:pPr>
      <w:r>
        <w:rPr>
          <w:rFonts w:hint="eastAsia" w:ascii="仿宋_GB2312" w:eastAsia="仿宋_GB2312"/>
          <w:sz w:val="32"/>
          <w:szCs w:val="32"/>
        </w:rPr>
        <w:t>公务用车运行维护费支出</w:t>
      </w:r>
      <w:r>
        <w:rPr>
          <w:rFonts w:hint="eastAsia" w:ascii="仿宋_GB2312" w:eastAsia="仿宋_GB2312"/>
          <w:sz w:val="32"/>
          <w:szCs w:val="32"/>
          <w:lang w:val="en-US" w:eastAsia="zh-CN"/>
        </w:rPr>
        <w:t>1.77</w:t>
      </w:r>
      <w:r>
        <w:rPr>
          <w:rFonts w:hint="eastAsia" w:ascii="仿宋_GB2312" w:eastAsia="仿宋_GB2312"/>
          <w:sz w:val="32"/>
          <w:szCs w:val="32"/>
        </w:rPr>
        <w:t>万元。主要用于</w:t>
      </w:r>
      <w:r>
        <w:rPr>
          <w:rFonts w:hint="eastAsia" w:ascii="仿宋_GB2312" w:eastAsia="仿宋_GB2312"/>
          <w:sz w:val="32"/>
          <w:szCs w:val="32"/>
          <w:lang w:val="en-US" w:eastAsia="zh-CN"/>
        </w:rPr>
        <w:t>车燃料费、维修费、保险餐费等支出</w:t>
      </w:r>
      <w:r>
        <w:rPr>
          <w:rFonts w:hint="eastAsia" w:ascii="仿宋_GB2312" w:eastAsia="仿宋_GB2312"/>
          <w:sz w:val="32"/>
          <w:szCs w:val="32"/>
        </w:rPr>
        <w:t>等所需的公务用车燃料费、维修费、过路过桥费、保险费等支出。</w:t>
      </w:r>
    </w:p>
    <w:p>
      <w:pPr>
        <w:spacing w:line="600" w:lineRule="exact"/>
        <w:ind w:firstLine="640"/>
        <w:rPr>
          <w:rFonts w:hint="eastAsia" w:ascii="仿宋_GB2312" w:eastAsia="仿宋_GB2312"/>
          <w:sz w:val="32"/>
          <w:szCs w:val="32"/>
        </w:rPr>
      </w:pPr>
      <w:r>
        <w:rPr>
          <w:rFonts w:hint="eastAsia" w:ascii="仿宋_GB2312" w:eastAsia="仿宋_GB2312"/>
          <w:sz w:val="32"/>
          <w:szCs w:val="32"/>
        </w:rPr>
        <w:t>公务接待费支出0万元，完成预算0%。公务接待费支出决算比202</w:t>
      </w:r>
      <w:r>
        <w:rPr>
          <w:rFonts w:hint="eastAsia" w:ascii="仿宋_GB2312" w:eastAsia="仿宋_GB2312"/>
          <w:sz w:val="32"/>
          <w:szCs w:val="32"/>
          <w:lang w:val="en-US" w:eastAsia="zh-CN"/>
        </w:rPr>
        <w:t>4</w:t>
      </w:r>
      <w:r>
        <w:rPr>
          <w:rFonts w:hint="eastAsia" w:ascii="仿宋_GB2312" w:eastAsia="仿宋_GB2312"/>
          <w:sz w:val="32"/>
          <w:szCs w:val="32"/>
        </w:rPr>
        <w:t>年度增加/减少</w:t>
      </w:r>
      <w:r>
        <w:rPr>
          <w:rFonts w:hint="eastAsia" w:ascii="仿宋_GB2312" w:eastAsia="仿宋_GB2312"/>
          <w:sz w:val="32"/>
          <w:szCs w:val="32"/>
          <w:lang w:val="en-US" w:eastAsia="zh-CN"/>
        </w:rPr>
        <w:t>0</w:t>
      </w:r>
      <w:r>
        <w:rPr>
          <w:rFonts w:hint="eastAsia" w:ascii="仿宋_GB2312" w:eastAsia="仿宋_GB2312"/>
          <w:sz w:val="32"/>
          <w:szCs w:val="32"/>
        </w:rPr>
        <w:t>万元，增长/下降</w:t>
      </w:r>
      <w:r>
        <w:rPr>
          <w:rFonts w:hint="eastAsia" w:ascii="仿宋_GB2312" w:eastAsia="仿宋_GB2312"/>
          <w:sz w:val="32"/>
          <w:szCs w:val="32"/>
          <w:lang w:val="en-US" w:eastAsia="zh-CN"/>
        </w:rPr>
        <w:t>0</w:t>
      </w:r>
      <w:r>
        <w:rPr>
          <w:rFonts w:hint="eastAsia" w:ascii="仿宋_GB2312" w:eastAsia="仿宋_GB2312"/>
          <w:sz w:val="32"/>
          <w:szCs w:val="32"/>
        </w:rPr>
        <w:t>%</w:t>
      </w:r>
    </w:p>
    <w:p>
      <w:pPr>
        <w:spacing w:line="600" w:lineRule="exact"/>
        <w:ind w:firstLine="640"/>
        <w:rPr>
          <w:rFonts w:hint="eastAsia" w:ascii="仿宋_GB2312" w:eastAsia="仿宋_GB2312"/>
          <w:sz w:val="32"/>
          <w:szCs w:val="32"/>
          <w:lang w:val="en-US" w:eastAsia="zh-CN"/>
        </w:rPr>
      </w:pPr>
      <w:r>
        <w:rPr>
          <w:rFonts w:hint="eastAsia" w:ascii="仿宋_GB2312" w:eastAsia="仿宋_GB2312"/>
          <w:sz w:val="32"/>
          <w:szCs w:val="32"/>
          <w:lang w:val="en-US" w:eastAsia="zh-CN"/>
        </w:rPr>
        <w:t>其中：国内公务接待支出0万元，国内公务接待0批次，0人次（不包括陪同人员），共计支出0万元。</w:t>
      </w:r>
    </w:p>
    <w:p>
      <w:pPr>
        <w:spacing w:line="600" w:lineRule="exact"/>
        <w:ind w:firstLine="640"/>
        <w:rPr>
          <w:rFonts w:hint="eastAsia" w:ascii="仿宋_GB2312" w:eastAsia="仿宋_GB2312"/>
          <w:sz w:val="32"/>
          <w:szCs w:val="32"/>
          <w:lang w:val="en-US" w:eastAsia="zh-CN"/>
        </w:rPr>
      </w:pPr>
      <w:r>
        <w:rPr>
          <w:rFonts w:hint="eastAsia" w:ascii="仿宋_GB2312" w:eastAsia="仿宋_GB2312"/>
          <w:sz w:val="32"/>
          <w:szCs w:val="32"/>
          <w:lang w:val="en-US" w:eastAsia="zh-CN"/>
        </w:rPr>
        <w:t>外事接待支出0元，外事接待0批次，0人次（不包括陪同人员），共计支出0万元。</w:t>
      </w:r>
      <w:bookmarkStart w:id="74" w:name="_Toc15377218"/>
      <w:bookmarkStart w:id="75" w:name="_Toc15396610"/>
    </w:p>
    <w:p>
      <w:pPr>
        <w:spacing w:line="600" w:lineRule="exact"/>
        <w:ind w:firstLine="640"/>
        <w:outlineLvl w:val="1"/>
        <w:rPr>
          <w:rStyle w:val="30"/>
          <w:rFonts w:ascii="黑体" w:hAnsi="黑体" w:eastAsia="黑体"/>
        </w:rPr>
      </w:pPr>
      <w:bookmarkStart w:id="76" w:name="_Toc6518"/>
      <w:bookmarkStart w:id="77" w:name="_Toc4175"/>
      <w:r>
        <w:rPr>
          <w:rFonts w:hint="eastAsia" w:ascii="黑体" w:eastAsia="黑体"/>
          <w:sz w:val="32"/>
          <w:szCs w:val="32"/>
        </w:rPr>
        <w:t>八、</w:t>
      </w:r>
      <w:r>
        <w:rPr>
          <w:rStyle w:val="30"/>
          <w:rFonts w:hint="eastAsia" w:ascii="黑体" w:hAnsi="黑体" w:eastAsia="黑体"/>
          <w:b w:val="0"/>
        </w:rPr>
        <w:t>政府性基金预算支出决算情况说明</w:t>
      </w:r>
      <w:bookmarkEnd w:id="74"/>
      <w:bookmarkEnd w:id="75"/>
      <w:bookmarkEnd w:id="76"/>
      <w:bookmarkEnd w:id="77"/>
    </w:p>
    <w:p>
      <w:pPr>
        <w:spacing w:line="600" w:lineRule="exact"/>
        <w:ind w:firstLine="64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w:t>
      </w:r>
      <w:r>
        <w:rPr>
          <w:rFonts w:hint="eastAsia" w:ascii="仿宋_GB2312" w:eastAsia="仿宋_GB2312"/>
          <w:color w:val="000000"/>
          <w:sz w:val="32"/>
          <w:szCs w:val="32"/>
          <w:lang w:val="en-US" w:eastAsia="zh-CN"/>
        </w:rPr>
        <w:t>年初无</w:t>
      </w:r>
      <w:r>
        <w:rPr>
          <w:rFonts w:hint="eastAsia" w:ascii="仿宋_GB2312" w:eastAsia="仿宋_GB2312"/>
          <w:sz w:val="32"/>
          <w:szCs w:val="32"/>
        </w:rPr>
        <w:t>政府性基金预算财政拨款支出。</w:t>
      </w:r>
    </w:p>
    <w:p>
      <w:pPr>
        <w:numPr>
          <w:ilvl w:val="0"/>
          <w:numId w:val="3"/>
        </w:numPr>
        <w:spacing w:line="600" w:lineRule="exact"/>
        <w:ind w:firstLine="640"/>
        <w:outlineLvl w:val="1"/>
        <w:rPr>
          <w:rStyle w:val="30"/>
          <w:rFonts w:ascii="黑体" w:hAnsi="黑体" w:eastAsia="黑体"/>
          <w:b w:val="0"/>
        </w:rPr>
      </w:pPr>
      <w:bookmarkStart w:id="78" w:name="_Toc15396611"/>
      <w:bookmarkStart w:id="79" w:name="_Toc32135"/>
      <w:bookmarkStart w:id="80" w:name="_Toc15377219"/>
      <w:bookmarkStart w:id="81" w:name="_Toc7255"/>
      <w:r>
        <w:rPr>
          <w:rStyle w:val="30"/>
          <w:rFonts w:hint="eastAsia" w:ascii="黑体" w:hAnsi="黑体" w:eastAsia="黑体"/>
          <w:b w:val="0"/>
        </w:rPr>
        <w:t>国有资本经营预算支出决算情况说明</w:t>
      </w:r>
      <w:bookmarkEnd w:id="78"/>
      <w:bookmarkEnd w:id="79"/>
      <w:bookmarkEnd w:id="80"/>
      <w:bookmarkEnd w:id="81"/>
    </w:p>
    <w:p>
      <w:pPr>
        <w:spacing w:line="600" w:lineRule="exact"/>
        <w:ind w:firstLine="64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2025年年初无国有资本经营预算财政拨款支出。</w:t>
      </w:r>
    </w:p>
    <w:p>
      <w:pPr>
        <w:numPr>
          <w:ilvl w:val="0"/>
          <w:numId w:val="3"/>
        </w:numPr>
        <w:spacing w:line="600" w:lineRule="exact"/>
        <w:ind w:firstLine="640"/>
        <w:outlineLvl w:val="1"/>
        <w:rPr>
          <w:rStyle w:val="30"/>
          <w:rFonts w:ascii="黑体" w:hAnsi="黑体" w:eastAsia="黑体"/>
          <w:b w:val="0"/>
        </w:rPr>
      </w:pPr>
      <w:bookmarkStart w:id="82" w:name="_Toc15396612"/>
      <w:bookmarkStart w:id="83" w:name="_Toc15377221"/>
      <w:bookmarkStart w:id="84" w:name="_Toc2661"/>
      <w:bookmarkStart w:id="85" w:name="_Toc13738"/>
      <w:r>
        <w:rPr>
          <w:rStyle w:val="30"/>
          <w:rFonts w:hint="eastAsia" w:ascii="黑体" w:hAnsi="黑体" w:eastAsia="黑体"/>
          <w:b w:val="0"/>
        </w:rPr>
        <w:t>其他重要事项的情况说明</w:t>
      </w:r>
      <w:bookmarkEnd w:id="82"/>
      <w:bookmarkEnd w:id="83"/>
      <w:bookmarkEnd w:id="84"/>
      <w:bookmarkEnd w:id="85"/>
    </w:p>
    <w:p>
      <w:pPr>
        <w:spacing w:line="600" w:lineRule="exact"/>
        <w:ind w:firstLine="643" w:firstLineChars="200"/>
        <w:outlineLvl w:val="2"/>
        <w:rPr>
          <w:rFonts w:ascii="仿宋" w:hAnsi="仿宋" w:eastAsia="仿宋"/>
          <w:sz w:val="32"/>
          <w:szCs w:val="32"/>
        </w:rPr>
      </w:pPr>
      <w:bookmarkStart w:id="86" w:name="_Toc15377222"/>
      <w:bookmarkStart w:id="87" w:name="_Toc3547"/>
      <w:r>
        <w:rPr>
          <w:rFonts w:hint="eastAsia" w:ascii="仿宋" w:hAnsi="仿宋" w:eastAsia="仿宋"/>
          <w:b/>
          <w:sz w:val="32"/>
          <w:szCs w:val="32"/>
        </w:rPr>
        <w:t>（一）机关运行经费支出情况</w:t>
      </w:r>
      <w:bookmarkEnd w:id="86"/>
      <w:bookmarkEnd w:id="87"/>
    </w:p>
    <w:p>
      <w:pPr>
        <w:spacing w:line="600" w:lineRule="exact"/>
        <w:ind w:firstLine="64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2025年度，红原县妇女联合会机关运行经费支出10.06万元，比2024年度增减1.22万元，增减变动率13.78%。主要原因是日常公用经费增加。</w:t>
      </w:r>
    </w:p>
    <w:p>
      <w:pPr>
        <w:autoSpaceDE w:val="0"/>
        <w:autoSpaceDN w:val="0"/>
        <w:adjustRightInd w:val="0"/>
        <w:spacing w:line="600" w:lineRule="exact"/>
        <w:ind w:firstLine="643" w:firstLineChars="200"/>
        <w:jc w:val="left"/>
        <w:outlineLvl w:val="2"/>
        <w:rPr>
          <w:rFonts w:ascii="仿宋" w:hAnsi="仿宋" w:eastAsia="仿宋"/>
          <w:b/>
          <w:sz w:val="32"/>
          <w:szCs w:val="32"/>
        </w:rPr>
      </w:pPr>
      <w:bookmarkStart w:id="88" w:name="_Toc17272"/>
      <w:bookmarkStart w:id="89" w:name="_Toc15377223"/>
      <w:r>
        <w:rPr>
          <w:rFonts w:hint="eastAsia" w:ascii="仿宋" w:hAnsi="仿宋" w:eastAsia="仿宋"/>
          <w:b/>
          <w:sz w:val="32"/>
          <w:szCs w:val="32"/>
        </w:rPr>
        <w:t>（二）政府采购支出情况</w:t>
      </w:r>
      <w:bookmarkEnd w:id="88"/>
      <w:bookmarkEnd w:id="89"/>
    </w:p>
    <w:p>
      <w:pPr>
        <w:spacing w:line="600" w:lineRule="exact"/>
        <w:ind w:firstLine="640" w:firstLineChars="200"/>
        <w:rPr>
          <w:rFonts w:ascii="仿宋_GB2312" w:eastAsia="仿宋_GB2312"/>
          <w:sz w:val="32"/>
          <w:szCs w:val="32"/>
        </w:rPr>
      </w:pPr>
      <w:r>
        <w:rPr>
          <w:rFonts w:hint="eastAsia" w:ascii="仿宋_GB2312" w:eastAsia="仿宋_GB2312"/>
          <w:color w:val="000000"/>
          <w:sz w:val="32"/>
          <w:szCs w:val="32"/>
          <w:lang w:val="en-US" w:eastAsia="zh-CN"/>
        </w:rPr>
        <w:t>2025年度，红原县妇女联合会政府采购支出总额0万元，其中：政府采购货物支出0万元、政府采购工程支出0万元、政府采购服务支出0万元。授予中小企业合同金额0万元，占政府采购支出总额的0%，其中：授予小微企业合同金额0万元，占政府采购支出总额的0%。</w:t>
      </w:r>
    </w:p>
    <w:p>
      <w:pPr>
        <w:autoSpaceDE w:val="0"/>
        <w:autoSpaceDN w:val="0"/>
        <w:adjustRightInd w:val="0"/>
        <w:spacing w:line="600" w:lineRule="exact"/>
        <w:ind w:firstLine="643" w:firstLineChars="200"/>
        <w:jc w:val="left"/>
        <w:outlineLvl w:val="2"/>
        <w:rPr>
          <w:rFonts w:ascii="仿宋" w:hAnsi="仿宋" w:eastAsia="仿宋"/>
          <w:b/>
          <w:sz w:val="32"/>
          <w:szCs w:val="32"/>
        </w:rPr>
      </w:pPr>
      <w:bookmarkStart w:id="90" w:name="_Toc10245"/>
      <w:bookmarkStart w:id="91" w:name="_Toc15377224"/>
      <w:r>
        <w:rPr>
          <w:rFonts w:hint="eastAsia" w:ascii="仿宋" w:hAnsi="仿宋" w:eastAsia="仿宋"/>
          <w:b/>
          <w:sz w:val="32"/>
          <w:szCs w:val="32"/>
        </w:rPr>
        <w:t>（三）国有资产占有使用情况</w:t>
      </w:r>
      <w:bookmarkEnd w:id="90"/>
      <w:bookmarkEnd w:id="91"/>
    </w:p>
    <w:p>
      <w:pPr>
        <w:autoSpaceDE w:val="0"/>
        <w:autoSpaceDN w:val="0"/>
        <w:adjustRightInd w:val="0"/>
        <w:spacing w:line="600" w:lineRule="exact"/>
        <w:ind w:firstLine="640" w:firstLineChars="200"/>
        <w:jc w:val="left"/>
        <w:rPr>
          <w:rFonts w:ascii="仿宋_GB2312" w:eastAsia="仿宋_GB2312"/>
          <w:sz w:val="32"/>
          <w:szCs w:val="32"/>
        </w:rPr>
      </w:pPr>
      <w:r>
        <w:rPr>
          <w:rFonts w:hint="eastAsia" w:ascii="仿宋_GB2312" w:eastAsia="仿宋_GB2312"/>
          <w:sz w:val="32"/>
          <w:szCs w:val="32"/>
        </w:rPr>
        <w:t>截至202</w:t>
      </w:r>
      <w:r>
        <w:rPr>
          <w:rFonts w:hint="eastAsia" w:ascii="仿宋_GB2312" w:eastAsia="仿宋_GB2312"/>
          <w:sz w:val="32"/>
          <w:szCs w:val="32"/>
          <w:lang w:val="en-US" w:eastAsia="zh-CN"/>
        </w:rPr>
        <w:t>5</w:t>
      </w:r>
      <w:r>
        <w:rPr>
          <w:rFonts w:hint="eastAsia" w:ascii="仿宋_GB2312" w:eastAsia="仿宋_GB2312"/>
          <w:sz w:val="32"/>
          <w:szCs w:val="32"/>
        </w:rPr>
        <w:t>年12月31日，红原县妇女联合会共有车辆1辆，其中：主要领导干部用车</w:t>
      </w:r>
      <w:r>
        <w:rPr>
          <w:rFonts w:hint="eastAsia" w:ascii="仿宋_GB2312" w:eastAsia="仿宋_GB2312"/>
          <w:sz w:val="32"/>
          <w:szCs w:val="32"/>
          <w:lang w:val="en-US" w:eastAsia="zh-CN"/>
        </w:rPr>
        <w:t>0</w:t>
      </w:r>
      <w:r>
        <w:rPr>
          <w:rFonts w:hint="eastAsia" w:ascii="仿宋_GB2312" w:eastAsia="仿宋_GB2312"/>
          <w:sz w:val="32"/>
          <w:szCs w:val="32"/>
        </w:rPr>
        <w:t>辆、机要通信用车</w:t>
      </w:r>
      <w:r>
        <w:rPr>
          <w:rFonts w:hint="eastAsia" w:ascii="仿宋_GB2312" w:eastAsia="仿宋_GB2312"/>
          <w:sz w:val="32"/>
          <w:szCs w:val="32"/>
          <w:lang w:val="en-US" w:eastAsia="zh-CN"/>
        </w:rPr>
        <w:t>0</w:t>
      </w:r>
      <w:r>
        <w:rPr>
          <w:rFonts w:hint="eastAsia" w:ascii="仿宋_GB2312" w:eastAsia="仿宋_GB2312"/>
          <w:sz w:val="32"/>
          <w:szCs w:val="32"/>
        </w:rPr>
        <w:t>辆、应急保障用车</w:t>
      </w:r>
      <w:r>
        <w:rPr>
          <w:rFonts w:hint="eastAsia" w:ascii="仿宋_GB2312" w:eastAsia="仿宋_GB2312"/>
          <w:sz w:val="32"/>
          <w:szCs w:val="32"/>
          <w:lang w:val="en-US" w:eastAsia="zh-CN"/>
        </w:rPr>
        <w:t>1</w:t>
      </w:r>
      <w:r>
        <w:rPr>
          <w:rFonts w:hint="eastAsia" w:ascii="仿宋_GB2312" w:eastAsia="仿宋_GB2312"/>
          <w:sz w:val="32"/>
          <w:szCs w:val="32"/>
        </w:rPr>
        <w:t>辆、其他用车</w:t>
      </w:r>
      <w:r>
        <w:rPr>
          <w:rFonts w:hint="eastAsia" w:ascii="仿宋_GB2312" w:eastAsia="仿宋_GB2312"/>
          <w:sz w:val="32"/>
          <w:szCs w:val="32"/>
          <w:lang w:val="en-US" w:eastAsia="zh-CN"/>
        </w:rPr>
        <w:t>0</w:t>
      </w:r>
      <w:r>
        <w:rPr>
          <w:rFonts w:hint="eastAsia" w:ascii="仿宋_GB2312" w:eastAsia="仿宋_GB2312"/>
          <w:sz w:val="32"/>
          <w:szCs w:val="32"/>
        </w:rPr>
        <w:t>辆，其他用车主要是用于</w:t>
      </w:r>
      <w:r>
        <w:rPr>
          <w:rFonts w:hint="eastAsia" w:ascii="仿宋_GB2312" w:eastAsia="仿宋_GB2312"/>
          <w:sz w:val="32"/>
          <w:szCs w:val="32"/>
          <w:lang w:val="en-US" w:eastAsia="zh-CN"/>
        </w:rPr>
        <w:t>应急保障用车</w:t>
      </w:r>
      <w:r>
        <w:rPr>
          <w:rFonts w:hint="eastAsia" w:ascii="仿宋_GB2312" w:eastAsia="仿宋_GB2312"/>
          <w:sz w:val="32"/>
          <w:szCs w:val="32"/>
        </w:rPr>
        <w:t>。</w:t>
      </w:r>
    </w:p>
    <w:p>
      <w:pPr>
        <w:autoSpaceDE w:val="0"/>
        <w:autoSpaceDN w:val="0"/>
        <w:adjustRightInd w:val="0"/>
        <w:spacing w:line="600" w:lineRule="exact"/>
        <w:ind w:firstLine="643" w:firstLineChars="200"/>
        <w:jc w:val="left"/>
        <w:outlineLvl w:val="2"/>
        <w:rPr>
          <w:rFonts w:ascii="仿宋" w:hAnsi="仿宋" w:eastAsia="仿宋"/>
          <w:b/>
          <w:sz w:val="32"/>
          <w:szCs w:val="32"/>
        </w:rPr>
      </w:pPr>
      <w:bookmarkStart w:id="92" w:name="_Toc27239"/>
      <w:r>
        <w:rPr>
          <w:rFonts w:hint="eastAsia" w:ascii="仿宋" w:hAnsi="仿宋" w:eastAsia="仿宋"/>
          <w:b/>
          <w:sz w:val="32"/>
          <w:szCs w:val="32"/>
        </w:rPr>
        <w:t>（四）预算绩效管理情况</w:t>
      </w:r>
      <w:bookmarkEnd w:id="92"/>
    </w:p>
    <w:p>
      <w:pPr>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 w:eastAsia="仿宋_GB2312"/>
          <w:sz w:val="32"/>
          <w:szCs w:val="32"/>
          <w:highlight w:val="none"/>
        </w:rPr>
      </w:pPr>
      <w:r>
        <w:rPr>
          <w:rFonts w:hint="eastAsia" w:ascii="仿宋_GB2312" w:eastAsia="仿宋_GB2312"/>
          <w:sz w:val="32"/>
          <w:szCs w:val="32"/>
        </w:rPr>
        <w:t>根据预算绩效管理要求，本部门在202</w:t>
      </w:r>
      <w:r>
        <w:rPr>
          <w:rFonts w:hint="eastAsia" w:ascii="仿宋_GB2312" w:eastAsia="仿宋_GB2312"/>
          <w:sz w:val="32"/>
          <w:szCs w:val="32"/>
          <w:lang w:val="en-US" w:eastAsia="zh-CN"/>
        </w:rPr>
        <w:t>5</w:t>
      </w:r>
      <w:r>
        <w:rPr>
          <w:rFonts w:hint="eastAsia" w:ascii="仿宋_GB2312" w:eastAsia="仿宋_GB2312"/>
          <w:sz w:val="32"/>
          <w:szCs w:val="32"/>
        </w:rPr>
        <w:t>年度预算编制阶段，</w:t>
      </w:r>
      <w:r>
        <w:rPr>
          <w:rFonts w:hint="eastAsia" w:ascii="仿宋_GB2312" w:hAnsi="仿宋" w:eastAsia="仿宋_GB2312"/>
          <w:sz w:val="32"/>
          <w:szCs w:val="32"/>
        </w:rPr>
        <w:t>组织对“关爱草原阿妈姐妹宣讲团宣讲经费”、</w:t>
      </w:r>
      <w:r>
        <w:rPr>
          <w:rFonts w:hint="eastAsia" w:ascii="仿宋_GB2312" w:hAnsi="仿宋" w:eastAsia="仿宋_GB2312" w:cs="Times New Roman"/>
          <w:sz w:val="32"/>
          <w:szCs w:val="32"/>
        </w:rPr>
        <w:t>“妇女儿童及妇儿工委办办公经费”、“乡镇妇联分管领导、妇联执委、姐妹宣讲团成员赴浙江考察学习项目”等</w:t>
      </w:r>
      <w:r>
        <w:rPr>
          <w:rFonts w:hint="eastAsia" w:ascii="仿宋_GB2312" w:hAnsi="仿宋" w:eastAsia="仿宋_GB2312" w:cs="Times New Roman"/>
          <w:sz w:val="32"/>
          <w:szCs w:val="32"/>
          <w:lang w:val="en-US" w:eastAsia="zh-CN"/>
        </w:rPr>
        <w:t>10</w:t>
      </w:r>
      <w:r>
        <w:rPr>
          <w:rFonts w:hint="eastAsia" w:ascii="仿宋_GB2312" w:hAnsi="仿宋" w:eastAsia="仿宋_GB2312" w:cs="Times New Roman"/>
          <w:sz w:val="32"/>
          <w:szCs w:val="32"/>
        </w:rPr>
        <w:t>个项目开展了预算事前绩效</w:t>
      </w:r>
      <w:r>
        <w:rPr>
          <w:rFonts w:hint="eastAsia" w:ascii="仿宋_GB2312" w:hAnsi="仿宋" w:eastAsia="仿宋_GB2312"/>
          <w:sz w:val="32"/>
          <w:szCs w:val="32"/>
        </w:rPr>
        <w:t>评估，</w:t>
      </w:r>
      <w:r>
        <w:rPr>
          <w:rFonts w:hint="eastAsia" w:ascii="仿宋_GB2312" w:hAnsi="仿宋" w:eastAsia="仿宋_GB2312"/>
          <w:sz w:val="32"/>
          <w:szCs w:val="32"/>
          <w:highlight w:val="none"/>
        </w:rPr>
        <w:t>对</w:t>
      </w:r>
      <w:r>
        <w:rPr>
          <w:rFonts w:hint="eastAsia" w:ascii="仿宋_GB2312" w:hAnsi="仿宋" w:eastAsia="仿宋_GB2312"/>
          <w:sz w:val="32"/>
          <w:szCs w:val="32"/>
          <w:highlight w:val="none"/>
          <w:lang w:val="en-US" w:eastAsia="zh-CN"/>
        </w:rPr>
        <w:t>10</w:t>
      </w:r>
      <w:r>
        <w:rPr>
          <w:rFonts w:hint="eastAsia" w:ascii="仿宋_GB2312" w:hAnsi="仿宋" w:eastAsia="仿宋_GB2312"/>
          <w:sz w:val="32"/>
          <w:szCs w:val="32"/>
          <w:highlight w:val="none"/>
        </w:rPr>
        <w:t>个项目编制了绩效目标，预算执行过程中，选取</w:t>
      </w:r>
      <w:r>
        <w:rPr>
          <w:rFonts w:hint="eastAsia" w:ascii="仿宋_GB2312" w:hAnsi="仿宋" w:eastAsia="仿宋_GB2312"/>
          <w:sz w:val="32"/>
          <w:szCs w:val="32"/>
          <w:highlight w:val="none"/>
          <w:lang w:val="en-US" w:eastAsia="zh-CN"/>
        </w:rPr>
        <w:t>10</w:t>
      </w:r>
      <w:r>
        <w:rPr>
          <w:rFonts w:hint="eastAsia" w:ascii="仿宋_GB2312" w:hAnsi="仿宋" w:eastAsia="仿宋_GB2312"/>
          <w:sz w:val="32"/>
          <w:szCs w:val="32"/>
          <w:highlight w:val="none"/>
        </w:rPr>
        <w:t xml:space="preserve">个项目开展绩效监控。 </w:t>
      </w:r>
    </w:p>
    <w:p>
      <w:pPr>
        <w:autoSpaceDE w:val="0"/>
        <w:autoSpaceDN w:val="0"/>
        <w:adjustRightInd w:val="0"/>
        <w:spacing w:line="600" w:lineRule="exact"/>
        <w:ind w:firstLine="640" w:firstLineChars="200"/>
        <w:jc w:val="left"/>
        <w:rPr>
          <w:rFonts w:hint="eastAsia" w:ascii="仿宋_GB2312" w:eastAsia="仿宋_GB2312"/>
          <w:sz w:val="32"/>
          <w:szCs w:val="32"/>
        </w:rPr>
      </w:pPr>
      <w:r>
        <w:rPr>
          <w:rFonts w:hint="eastAsia" w:ascii="仿宋_GB2312" w:eastAsia="仿宋_GB2312"/>
          <w:sz w:val="32"/>
          <w:szCs w:val="32"/>
        </w:rPr>
        <w:t>组织对202</w:t>
      </w:r>
      <w:r>
        <w:rPr>
          <w:rFonts w:hint="eastAsia" w:ascii="仿宋_GB2312" w:eastAsia="仿宋_GB2312"/>
          <w:sz w:val="32"/>
          <w:szCs w:val="32"/>
          <w:lang w:val="en-US" w:eastAsia="zh-CN"/>
        </w:rPr>
        <w:t>5</w:t>
      </w:r>
      <w:r>
        <w:rPr>
          <w:rFonts w:hint="eastAsia" w:ascii="仿宋_GB2312" w:eastAsia="仿宋_GB2312"/>
          <w:sz w:val="32"/>
          <w:szCs w:val="32"/>
        </w:rPr>
        <w:t>年度一般公共预算、政府性基金预算、国有资本经营预算、社会保险基金预算以及资本资产、债券资金等全面开展绩效自评，形成</w:t>
      </w:r>
      <w:r>
        <w:rPr>
          <w:rFonts w:hint="eastAsia" w:ascii="仿宋_GB2312" w:eastAsia="仿宋_GB2312"/>
          <w:sz w:val="32"/>
          <w:szCs w:val="32"/>
          <w:lang w:val="en-US" w:eastAsia="zh-CN"/>
        </w:rPr>
        <w:t>红原县妇女联合会</w:t>
      </w:r>
      <w:r>
        <w:rPr>
          <w:rFonts w:hint="eastAsia" w:ascii="仿宋_GB2312" w:eastAsia="仿宋_GB2312"/>
          <w:sz w:val="32"/>
          <w:szCs w:val="32"/>
        </w:rPr>
        <w:t>部门整体（含部门预算项目）绩效自评报告</w:t>
      </w:r>
      <w:r>
        <w:rPr>
          <w:rFonts w:hint="eastAsia" w:ascii="仿宋_GB2312" w:eastAsia="仿宋_GB2312"/>
          <w:sz w:val="32"/>
          <w:szCs w:val="32"/>
          <w:lang w:eastAsia="zh-CN"/>
        </w:rPr>
        <w:t>。</w:t>
      </w:r>
      <w:r>
        <w:rPr>
          <w:rFonts w:hint="eastAsia" w:ascii="仿宋_GB2312" w:eastAsia="仿宋_GB2312"/>
          <w:sz w:val="32"/>
          <w:szCs w:val="32"/>
          <w:lang w:val="en-US" w:eastAsia="zh-CN"/>
        </w:rPr>
        <w:t>红原县妇女联合会</w:t>
      </w:r>
      <w:r>
        <w:rPr>
          <w:rFonts w:hint="eastAsia" w:ascii="仿宋_GB2312" w:eastAsia="仿宋_GB2312"/>
          <w:sz w:val="32"/>
          <w:szCs w:val="32"/>
        </w:rPr>
        <w:t>部门整体（含部门预算项目）绩效自评得分为</w:t>
      </w:r>
      <w:r>
        <w:rPr>
          <w:rFonts w:hint="eastAsia" w:ascii="仿宋_GB2312" w:eastAsia="仿宋_GB2312"/>
          <w:sz w:val="32"/>
          <w:szCs w:val="32"/>
          <w:lang w:val="en-US" w:eastAsia="zh-CN"/>
        </w:rPr>
        <w:t>95</w:t>
      </w:r>
      <w:r>
        <w:rPr>
          <w:rFonts w:hint="eastAsia" w:ascii="仿宋_GB2312" w:eastAsia="仿宋_GB2312"/>
          <w:sz w:val="32"/>
          <w:szCs w:val="32"/>
        </w:rPr>
        <w:t>分，评价情况总体绩效目标明确，决策依据充分，资金分配科学合理，部门总体情况良好，预算编制质量较好，预算信息公开符合要求；预算执行进度良好，财务制度健全，会计核算总体规范、准确；项目在实施过程中严格执行有关制度规定，基本达到了预期效果，存在的问题：一是部门特性目标待完善，二是是机制待完善。下一步改进措施：一是加强学习进一步规范，二是完善各项目机制。</w:t>
      </w:r>
    </w:p>
    <w:p>
      <w:pPr>
        <w:pStyle w:val="4"/>
        <w:jc w:val="center"/>
      </w:pPr>
      <w:bookmarkStart w:id="93" w:name="_Toc4756"/>
      <w:bookmarkStart w:id="94" w:name="_Toc23558"/>
      <w:r>
        <w:rPr>
          <w:rFonts w:hint="eastAsia"/>
        </w:rPr>
        <w:t>第三部分 名词解释</w:t>
      </w:r>
      <w:bookmarkEnd w:id="93"/>
      <w:bookmarkEnd w:id="94"/>
    </w:p>
    <w:p/>
    <w:p>
      <w:pPr>
        <w:ind w:firstLine="640" w:firstLineChars="200"/>
        <w:rPr>
          <w:rFonts w:hint="eastAsia" w:ascii="仿宋_GB2312" w:eastAsia="仿宋_GB2312"/>
          <w:sz w:val="32"/>
          <w:szCs w:val="32"/>
        </w:rPr>
      </w:pPr>
      <w:r>
        <w:rPr>
          <w:rFonts w:hint="eastAsia" w:ascii="仿宋_GB2312" w:eastAsia="仿宋_GB2312"/>
          <w:sz w:val="32"/>
          <w:szCs w:val="32"/>
        </w:rPr>
        <w:t>1.财政拨款收入：指单位从同级财政部门取得的财政预算资金。</w:t>
      </w:r>
    </w:p>
    <w:p>
      <w:pPr>
        <w:ind w:firstLine="640" w:firstLineChars="200"/>
        <w:rPr>
          <w:rFonts w:hint="eastAsia" w:ascii="仿宋_GB2312" w:eastAsia="仿宋_GB2312"/>
          <w:sz w:val="32"/>
          <w:szCs w:val="32"/>
        </w:rPr>
      </w:pPr>
      <w:r>
        <w:rPr>
          <w:rFonts w:hint="eastAsia" w:ascii="仿宋_GB2312" w:eastAsia="仿宋_GB2312"/>
          <w:sz w:val="32"/>
          <w:szCs w:val="32"/>
        </w:rPr>
        <w:t>2.事业收入：指事业单位开展专业业务活动及辅助活动取得的收入。</w:t>
      </w:r>
    </w:p>
    <w:p>
      <w:pPr>
        <w:ind w:firstLine="640" w:firstLineChars="200"/>
        <w:rPr>
          <w:rFonts w:hint="eastAsia" w:ascii="仿宋_GB2312" w:eastAsia="仿宋_GB2312"/>
          <w:sz w:val="32"/>
          <w:szCs w:val="32"/>
        </w:rPr>
      </w:pPr>
      <w:r>
        <w:rPr>
          <w:rFonts w:hint="eastAsia" w:ascii="仿宋_GB2312" w:eastAsia="仿宋_GB2312"/>
          <w:sz w:val="32"/>
          <w:szCs w:val="32"/>
        </w:rPr>
        <w:t>3.经营收入：指事业单位在专业业务活动及其辅助活动之外开展非独立核算经营活动取得的收入。</w:t>
      </w:r>
    </w:p>
    <w:p>
      <w:pPr>
        <w:ind w:firstLine="640" w:firstLineChars="200"/>
        <w:rPr>
          <w:rFonts w:hint="eastAsia" w:ascii="仿宋_GB2312" w:eastAsia="仿宋_GB2312"/>
          <w:sz w:val="32"/>
          <w:szCs w:val="32"/>
        </w:rPr>
      </w:pPr>
      <w:r>
        <w:rPr>
          <w:rFonts w:hint="eastAsia" w:ascii="仿宋_GB2312" w:eastAsia="仿宋_GB2312"/>
          <w:sz w:val="32"/>
          <w:szCs w:val="32"/>
        </w:rPr>
        <w:t xml:space="preserve">4.其他收入：指单位取得的除上述收入以外的各项收入。 </w:t>
      </w:r>
    </w:p>
    <w:p>
      <w:pPr>
        <w:ind w:firstLine="640" w:firstLineChars="200"/>
        <w:rPr>
          <w:rFonts w:hint="eastAsia" w:ascii="仿宋_GB2312" w:eastAsia="仿宋_GB2312"/>
          <w:sz w:val="32"/>
          <w:szCs w:val="32"/>
        </w:rPr>
      </w:pPr>
      <w:r>
        <w:rPr>
          <w:rFonts w:hint="eastAsia" w:ascii="仿宋_GB2312" w:eastAsia="仿宋_GB2312"/>
          <w:sz w:val="32"/>
          <w:szCs w:val="32"/>
        </w:rPr>
        <w:t xml:space="preserve">5.使用非财政拨款结余（含专用结余）：指事业单位使用以前年度积累的非财政拨款结余弥补当年收支差额的金额。 </w:t>
      </w:r>
    </w:p>
    <w:p>
      <w:pPr>
        <w:ind w:firstLine="640" w:firstLineChars="200"/>
        <w:rPr>
          <w:rFonts w:hint="eastAsia" w:ascii="仿宋_GB2312" w:eastAsia="仿宋_GB2312"/>
          <w:sz w:val="32"/>
          <w:szCs w:val="32"/>
        </w:rPr>
      </w:pPr>
      <w:r>
        <w:rPr>
          <w:rFonts w:hint="eastAsia" w:ascii="仿宋_GB2312" w:eastAsia="仿宋_GB2312"/>
          <w:sz w:val="32"/>
          <w:szCs w:val="32"/>
        </w:rPr>
        <w:t xml:space="preserve">6.年初结转和结余：指以前年度尚未完成、结转到本年按有关规定继续使用的资金。 </w:t>
      </w:r>
    </w:p>
    <w:p>
      <w:pPr>
        <w:ind w:firstLine="640" w:firstLineChars="200"/>
        <w:rPr>
          <w:rFonts w:hint="eastAsia" w:ascii="仿宋_GB2312" w:eastAsia="仿宋_GB2312"/>
          <w:sz w:val="32"/>
          <w:szCs w:val="32"/>
        </w:rPr>
      </w:pPr>
      <w:r>
        <w:rPr>
          <w:rFonts w:hint="eastAsia" w:ascii="仿宋_GB2312" w:eastAsia="仿宋_GB2312"/>
          <w:sz w:val="32"/>
          <w:szCs w:val="32"/>
        </w:rPr>
        <w:t>7.结余分配：指事业单位按照会计制度规定缴纳的所得税、提取的专用结余以及转入非财政拨款结余的金额等。</w:t>
      </w:r>
    </w:p>
    <w:p>
      <w:pPr>
        <w:ind w:firstLine="640" w:firstLineChars="200"/>
        <w:rPr>
          <w:rFonts w:hint="eastAsia" w:ascii="仿宋_GB2312" w:eastAsia="仿宋_GB2312"/>
          <w:sz w:val="32"/>
          <w:szCs w:val="32"/>
        </w:rPr>
      </w:pPr>
      <w:r>
        <w:rPr>
          <w:rFonts w:hint="eastAsia" w:ascii="仿宋_GB2312" w:eastAsia="仿宋_GB2312"/>
          <w:sz w:val="32"/>
          <w:szCs w:val="32"/>
        </w:rPr>
        <w:t>8.年末结转和结余：指单位按有关规定结转到下年或以后年度继续使用的资金。</w:t>
      </w:r>
    </w:p>
    <w:p>
      <w:pPr>
        <w:ind w:firstLine="640" w:firstLineChars="200"/>
        <w:rPr>
          <w:rFonts w:hint="eastAsia" w:ascii="仿宋_GB2312" w:eastAsia="仿宋_GB2312"/>
          <w:sz w:val="32"/>
          <w:szCs w:val="32"/>
        </w:rPr>
      </w:pPr>
      <w:r>
        <w:rPr>
          <w:rFonts w:hint="eastAsia" w:ascii="仿宋_GB2312" w:eastAsia="仿宋_GB2312"/>
          <w:sz w:val="32"/>
          <w:szCs w:val="32"/>
        </w:rPr>
        <w:t>9.一般公共服务</w:t>
      </w:r>
      <w:r>
        <w:rPr>
          <w:rFonts w:hint="eastAsia" w:ascii="仿宋_GB2312" w:hAnsi="仿宋_GB2312" w:eastAsia="仿宋_GB2312" w:cs="仿宋_GB2312"/>
          <w:color w:val="000000"/>
          <w:sz w:val="32"/>
          <w:szCs w:val="32"/>
        </w:rPr>
        <w:t>2012901-行政运行支出该支出主要用于支付职工工资、退休费以及公务运行费</w:t>
      </w:r>
    </w:p>
    <w:p>
      <w:pPr>
        <w:pStyle w:val="15"/>
        <w:widowControl/>
        <w:spacing w:before="0" w:beforeAutospacing="0" w:after="0" w:afterAutospacing="0" w:line="528" w:lineRule="atLeast"/>
        <w:ind w:firstLine="640" w:firstLineChars="200"/>
        <w:rPr>
          <w:rFonts w:ascii="仿宋_GB2312" w:eastAsia="仿宋_GB2312"/>
          <w:color w:val="000000"/>
          <w:sz w:val="32"/>
          <w:szCs w:val="32"/>
        </w:rPr>
      </w:pPr>
      <w:r>
        <w:rPr>
          <w:rFonts w:hint="eastAsia" w:ascii="仿宋_GB2312" w:eastAsia="仿宋_GB2312"/>
          <w:sz w:val="32"/>
          <w:szCs w:val="32"/>
          <w:lang w:val="en-US" w:eastAsia="zh-CN"/>
        </w:rPr>
        <w:t>10</w:t>
      </w:r>
      <w:r>
        <w:rPr>
          <w:rFonts w:hint="eastAsia" w:ascii="仿宋_GB2312" w:eastAsia="仿宋_GB2312"/>
          <w:sz w:val="32"/>
          <w:szCs w:val="32"/>
        </w:rPr>
        <w:t>.社会保障和就业</w:t>
      </w:r>
      <w:r>
        <w:rPr>
          <w:rFonts w:hint="eastAsia" w:ascii="仿宋_GB2312" w:hAnsi="仿宋_GB2312" w:eastAsia="仿宋_GB2312" w:cs="仿宋_GB2312"/>
          <w:color w:val="000000"/>
          <w:kern w:val="2"/>
          <w:sz w:val="32"/>
          <w:szCs w:val="32"/>
        </w:rPr>
        <w:t>2080505-机关事业单位基本养老保险缴费该支出主要用于支付职工养老保险金；2080506-机关事业单位职业年金缴费，该支出主要用于支付职工职业年金</w:t>
      </w:r>
      <w:r>
        <w:rPr>
          <w:rFonts w:hint="eastAsia" w:ascii="仿宋_GB2312" w:eastAsia="仿宋_GB2312"/>
          <w:color w:val="000000"/>
          <w:sz w:val="32"/>
          <w:szCs w:val="32"/>
        </w:rPr>
        <w:t>：</w:t>
      </w:r>
    </w:p>
    <w:p>
      <w:pPr>
        <w:pStyle w:val="15"/>
        <w:widowControl/>
        <w:spacing w:before="0" w:beforeAutospacing="0" w:after="0" w:afterAutospacing="0" w:line="528" w:lineRule="atLeast"/>
        <w:ind w:firstLine="640" w:firstLineChars="200"/>
        <w:rPr>
          <w:rFonts w:hint="default" w:ascii="仿宋_GB2312" w:eastAsia="仿宋_GB2312"/>
          <w:sz w:val="32"/>
          <w:szCs w:val="32"/>
          <w:lang w:val="en-US" w:eastAsia="zh-CN"/>
        </w:rPr>
      </w:pPr>
      <w:r>
        <w:rPr>
          <w:rFonts w:hint="eastAsia" w:ascii="仿宋_GB2312" w:eastAsia="仿宋_GB2312"/>
          <w:sz w:val="32"/>
          <w:szCs w:val="32"/>
        </w:rPr>
        <w:t>16.卫生健康</w:t>
      </w:r>
      <w:r>
        <w:rPr>
          <w:rFonts w:hint="eastAsia" w:ascii="仿宋_GB2312" w:eastAsia="仿宋_GB2312"/>
          <w:sz w:val="32"/>
          <w:szCs w:val="32"/>
          <w:lang w:val="en-US" w:eastAsia="zh-CN"/>
        </w:rPr>
        <w:t>2101101-行政单位医疗支出主要用于</w:t>
      </w:r>
      <w:r>
        <w:rPr>
          <w:rFonts w:hint="eastAsia" w:ascii="仿宋_GB2312" w:hAnsi="仿宋_GB2312" w:eastAsia="仿宋_GB2312" w:cs="仿宋_GB2312"/>
          <w:color w:val="000000"/>
          <w:kern w:val="2"/>
          <w:sz w:val="32"/>
          <w:szCs w:val="32"/>
        </w:rPr>
        <w:t>支付职工医疗保险金</w:t>
      </w:r>
      <w:r>
        <w:rPr>
          <w:rFonts w:hint="eastAsia" w:ascii="仿宋_GB2312" w:eastAsia="仿宋_GB2312"/>
          <w:sz w:val="32"/>
          <w:szCs w:val="32"/>
          <w:lang w:val="en-US" w:eastAsia="zh-CN"/>
        </w:rPr>
        <w:t xml:space="preserve"> ；2101103-公务员医疗补助主要用于</w:t>
      </w:r>
    </w:p>
    <w:p>
      <w:pPr>
        <w:ind w:firstLine="640" w:firstLineChars="200"/>
        <w:rPr>
          <w:rFonts w:hint="eastAsia" w:ascii="仿宋_GB2312" w:eastAsia="仿宋_GB2312"/>
          <w:sz w:val="32"/>
          <w:szCs w:val="32"/>
        </w:rPr>
      </w:pPr>
      <w:r>
        <w:rPr>
          <w:rFonts w:hint="eastAsia" w:ascii="仿宋_GB2312" w:eastAsia="仿宋_GB2312"/>
          <w:sz w:val="32"/>
          <w:szCs w:val="32"/>
        </w:rPr>
        <w:t>25.住房保障</w:t>
      </w:r>
      <w:r>
        <w:rPr>
          <w:rFonts w:hint="eastAsia" w:ascii="仿宋_GB2312" w:hAnsi="仿宋_GB2312" w:eastAsia="仿宋_GB2312" w:cs="仿宋_GB2312"/>
          <w:color w:val="000000"/>
          <w:sz w:val="32"/>
          <w:szCs w:val="32"/>
        </w:rPr>
        <w:t>2210201-住房公积金支出，该支出主要用于支付职工住房公积金。</w:t>
      </w:r>
    </w:p>
    <w:p>
      <w:pPr>
        <w:ind w:firstLine="640" w:firstLineChars="200"/>
        <w:rPr>
          <w:rFonts w:ascii="仿宋_GB2312" w:eastAsia="仿宋_GB2312"/>
          <w:sz w:val="32"/>
          <w:szCs w:val="32"/>
        </w:rPr>
      </w:pPr>
      <w:r>
        <w:rPr>
          <w:rFonts w:hint="eastAsia" w:ascii="仿宋_GB2312" w:eastAsia="仿宋_GB2312"/>
          <w:sz w:val="32"/>
          <w:szCs w:val="32"/>
        </w:rPr>
        <w:t>27.基本支出：指为保障机构正常运转、完成日常工作任务而发生的人员支出和公用支出。</w:t>
      </w:r>
    </w:p>
    <w:p>
      <w:pPr>
        <w:ind w:firstLine="640" w:firstLineChars="200"/>
        <w:rPr>
          <w:rFonts w:ascii="仿宋_GB2312" w:eastAsia="仿宋_GB2312"/>
          <w:sz w:val="32"/>
          <w:szCs w:val="32"/>
        </w:rPr>
      </w:pPr>
      <w:r>
        <w:rPr>
          <w:rFonts w:hint="eastAsia" w:ascii="仿宋_GB2312" w:eastAsia="仿宋_GB2312"/>
          <w:sz w:val="32"/>
          <w:szCs w:val="32"/>
        </w:rPr>
        <w:t xml:space="preserve">28.项目支出：指在基本支出之外为完成特定行政任务和事业发展目标所发生的支出。 </w:t>
      </w:r>
    </w:p>
    <w:p>
      <w:pPr>
        <w:ind w:firstLine="640" w:firstLineChars="200"/>
        <w:rPr>
          <w:rFonts w:ascii="仿宋_GB2312" w:eastAsia="仿宋_GB2312"/>
          <w:sz w:val="32"/>
          <w:szCs w:val="32"/>
        </w:rPr>
      </w:pPr>
      <w:r>
        <w:rPr>
          <w:rFonts w:hint="eastAsia" w:ascii="仿宋_GB2312" w:eastAsia="仿宋_GB2312"/>
          <w:sz w:val="32"/>
          <w:szCs w:val="32"/>
        </w:rPr>
        <w:t>29.经营支出：指事业单位在专业业务活动及其辅助活动之外开展非独立核算经营活动发生的支出。</w:t>
      </w:r>
    </w:p>
    <w:p>
      <w:pPr>
        <w:ind w:firstLine="640" w:firstLineChars="200"/>
        <w:rPr>
          <w:rFonts w:ascii="仿宋_GB2312" w:eastAsia="仿宋_GB2312"/>
          <w:sz w:val="32"/>
          <w:szCs w:val="32"/>
        </w:rPr>
      </w:pPr>
      <w:r>
        <w:rPr>
          <w:rFonts w:hint="eastAsia" w:ascii="仿宋_GB2312" w:eastAsia="仿宋_GB2312"/>
          <w:sz w:val="32"/>
          <w:szCs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ind w:firstLine="640" w:firstLineChars="200"/>
      </w:pPr>
      <w:r>
        <w:rPr>
          <w:rFonts w:hint="eastAsia" w:ascii="仿宋_GB2312" w:eastAsia="仿宋_GB2312"/>
          <w:sz w:val="32"/>
          <w:szCs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643" w:firstLineChars="200"/>
        <w:rPr>
          <w:rFonts w:ascii="仿宋" w:hAnsi="仿宋" w:eastAsia="仿宋"/>
          <w:b/>
          <w:sz w:val="32"/>
          <w:szCs w:val="32"/>
        </w:rPr>
      </w:pPr>
      <w:r>
        <w:rPr>
          <w:rFonts w:ascii="仿宋" w:hAnsi="仿宋" w:eastAsia="仿宋"/>
          <w:b/>
          <w:sz w:val="32"/>
          <w:szCs w:val="32"/>
        </w:rPr>
        <w:br w:type="page"/>
      </w:r>
    </w:p>
    <w:p>
      <w:pPr>
        <w:pStyle w:val="4"/>
        <w:jc w:val="center"/>
        <w:rPr>
          <w:rFonts w:ascii="黑体" w:hAnsi="黑体" w:eastAsia="黑体"/>
          <w:b w:val="0"/>
        </w:rPr>
      </w:pPr>
      <w:bookmarkStart w:id="95" w:name="_Toc19903"/>
      <w:bookmarkStart w:id="96" w:name="_Toc21542"/>
      <w:r>
        <w:rPr>
          <w:rFonts w:hint="eastAsia" w:ascii="黑体" w:hAnsi="黑体" w:eastAsia="黑体"/>
          <w:b w:val="0"/>
        </w:rPr>
        <w:t>第四部分 附件</w:t>
      </w:r>
      <w:bookmarkEnd w:id="95"/>
      <w:bookmarkEnd w:id="96"/>
    </w:p>
    <w:p/>
    <w:p>
      <w:pPr>
        <w:rPr>
          <w:rFonts w:ascii="黑体" w:hAnsi="黑体" w:eastAsia="黑体"/>
          <w:sz w:val="32"/>
          <w:szCs w:val="32"/>
        </w:rPr>
      </w:pPr>
      <w:r>
        <w:rPr>
          <w:rFonts w:hint="eastAsia" w:ascii="黑体" w:hAnsi="黑体" w:eastAsia="黑体"/>
          <w:sz w:val="32"/>
          <w:szCs w:val="32"/>
        </w:rPr>
        <w:t>附件1</w:t>
      </w:r>
    </w:p>
    <w:p>
      <w:pPr>
        <w:jc w:val="center"/>
        <w:rPr>
          <w:rFonts w:ascii="方正小标宋简体" w:hAnsi="方正小标宋简体" w:eastAsia="方正小标宋简体"/>
          <w:sz w:val="44"/>
          <w:szCs w:val="44"/>
        </w:rPr>
      </w:pPr>
      <w:r>
        <w:rPr>
          <w:rFonts w:hint="eastAsia" w:ascii="方正小标宋简体" w:hAnsi="方正小标宋简体" w:eastAsia="方正小标宋简体"/>
          <w:sz w:val="44"/>
          <w:szCs w:val="44"/>
        </w:rPr>
        <w:t>部门预算绩效评价报告</w:t>
      </w:r>
    </w:p>
    <w:p/>
    <w:p>
      <w:pPr>
        <w:rPr>
          <w:rFonts w:ascii="黑体" w:hAnsi="黑体" w:eastAsia="黑体"/>
          <w:sz w:val="32"/>
          <w:szCs w:val="32"/>
        </w:rPr>
      </w:pPr>
      <w:r>
        <w:rPr>
          <w:rFonts w:hint="eastAsia" w:ascii="黑体" w:hAnsi="黑体" w:eastAsia="黑体"/>
          <w:sz w:val="32"/>
          <w:szCs w:val="32"/>
        </w:rPr>
        <w:t>一、部门（单位）基本情况</w:t>
      </w:r>
    </w:p>
    <w:p>
      <w:pPr>
        <w:pStyle w:val="7"/>
        <w:keepNext w:val="0"/>
        <w:keepLines w:val="0"/>
        <w:pageBreakBefore w:val="0"/>
        <w:widowControl w:val="0"/>
        <w:kinsoku/>
        <w:wordWrap/>
        <w:overflowPunct/>
        <w:topLinePunct w:val="0"/>
        <w:autoSpaceDE w:val="0"/>
        <w:autoSpaceDN/>
        <w:bidi w:val="0"/>
        <w:adjustRightInd w:val="0"/>
        <w:snapToGrid w:val="0"/>
        <w:spacing w:after="0" w:line="530" w:lineRule="exact"/>
        <w:ind w:firstLine="643" w:firstLineChars="200"/>
        <w:textAlignment w:val="auto"/>
        <w:rPr>
          <w:rFonts w:hint="eastAsia" w:ascii="楷体_GB2312" w:eastAsia="楷体_GB2312"/>
          <w:b/>
          <w:sz w:val="32"/>
          <w:szCs w:val="32"/>
        </w:rPr>
      </w:pPr>
      <w:r>
        <w:rPr>
          <w:rFonts w:hint="eastAsia" w:ascii="楷体_GB2312" w:eastAsia="楷体_GB2312"/>
          <w:b/>
          <w:sz w:val="32"/>
          <w:szCs w:val="32"/>
        </w:rPr>
        <w:t>（一）机构组成。</w:t>
      </w:r>
    </w:p>
    <w:p>
      <w:pPr>
        <w:pStyle w:val="7"/>
        <w:keepNext w:val="0"/>
        <w:keepLines w:val="0"/>
        <w:pageBreakBefore w:val="0"/>
        <w:widowControl w:val="0"/>
        <w:kinsoku/>
        <w:wordWrap/>
        <w:overflowPunct/>
        <w:topLinePunct w:val="0"/>
        <w:autoSpaceDE w:val="0"/>
        <w:autoSpaceDN/>
        <w:bidi w:val="0"/>
        <w:adjustRightInd w:val="0"/>
        <w:snapToGrid w:val="0"/>
        <w:spacing w:after="0" w:line="530" w:lineRule="exact"/>
        <w:ind w:firstLine="640" w:firstLineChars="200"/>
        <w:textAlignment w:val="auto"/>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红原县工商联下设单位（股室）1个，其中行政单位1个，参照公务员法管理的事业单位0个，其他事业单位0个。属一级预算行政单位，执行的是政府会计制度。</w:t>
      </w:r>
    </w:p>
    <w:p>
      <w:pPr>
        <w:ind w:firstLine="640" w:firstLineChars="200"/>
        <w:rPr>
          <w:rFonts w:hint="eastAsia" w:ascii="仿宋_GB2312" w:eastAsia="仿宋_GB2312" w:cs="仿宋_GB2312"/>
          <w:b w:val="0"/>
          <w:bCs w:val="0"/>
          <w:sz w:val="32"/>
          <w:szCs w:val="32"/>
        </w:rPr>
      </w:pPr>
      <w:r>
        <w:rPr>
          <w:rFonts w:hint="eastAsia" w:ascii="仿宋_GB2312" w:hAnsi="Times New Roman" w:eastAsia="仿宋_GB2312" w:cs="Times New Roman"/>
          <w:kern w:val="2"/>
          <w:sz w:val="32"/>
          <w:szCs w:val="32"/>
          <w:lang w:val="en-US" w:eastAsia="zh-CN" w:bidi="ar-SA"/>
        </w:rPr>
        <w:t>本单位是独立核算的机构，是独立编报预算的单位。</w:t>
      </w:r>
    </w:p>
    <w:p>
      <w:pPr>
        <w:pStyle w:val="15"/>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106" w:beforeAutospacing="0" w:after="106" w:afterAutospacing="0" w:line="20" w:lineRule="atLeast"/>
        <w:ind w:right="0" w:firstLine="643" w:firstLineChars="200"/>
        <w:rPr>
          <w:rFonts w:hint="eastAsia" w:ascii="楷体_GB2312" w:eastAsia="楷体_GB2312"/>
          <w:b/>
          <w:sz w:val="32"/>
          <w:szCs w:val="32"/>
        </w:rPr>
      </w:pPr>
      <w:r>
        <w:rPr>
          <w:rFonts w:hint="eastAsia" w:ascii="楷体_GB2312" w:eastAsia="楷体_GB2312"/>
          <w:b/>
          <w:sz w:val="32"/>
          <w:szCs w:val="32"/>
        </w:rPr>
        <w:t>机构职能。</w:t>
      </w:r>
    </w:p>
    <w:p>
      <w:pPr>
        <w:pStyle w:val="7"/>
        <w:keepNext w:val="0"/>
        <w:keepLines w:val="0"/>
        <w:pageBreakBefore w:val="0"/>
        <w:widowControl w:val="0"/>
        <w:kinsoku/>
        <w:wordWrap/>
        <w:overflowPunct/>
        <w:topLinePunct w:val="0"/>
        <w:autoSpaceDE w:val="0"/>
        <w:autoSpaceDN/>
        <w:bidi w:val="0"/>
        <w:adjustRightInd w:val="0"/>
        <w:snapToGrid w:val="0"/>
        <w:spacing w:after="0" w:line="530" w:lineRule="exact"/>
        <w:ind w:firstLine="640" w:firstLineChars="200"/>
        <w:textAlignment w:val="auto"/>
        <w:rPr>
          <w:rFonts w:hint="eastAsia" w:ascii="仿宋_GB2312" w:hAnsi="Times New Roman" w:eastAsia="仿宋_GB2312" w:cs="Times New Roman"/>
          <w:kern w:val="2"/>
          <w:sz w:val="32"/>
          <w:szCs w:val="32"/>
          <w:lang w:val="en-US" w:eastAsia="zh-CN" w:bidi="ar-SA"/>
        </w:rPr>
      </w:pPr>
      <w:r>
        <w:rPr>
          <w:rFonts w:hint="eastAsia" w:cs="Times New Roman"/>
          <w:kern w:val="2"/>
          <w:sz w:val="32"/>
          <w:szCs w:val="32"/>
          <w:lang w:val="en-US" w:eastAsia="zh-CN" w:bidi="ar-SA"/>
        </w:rPr>
        <w:t>（1）</w:t>
      </w:r>
      <w:r>
        <w:rPr>
          <w:rFonts w:hint="eastAsia" w:ascii="仿宋_GB2312" w:hAnsi="Times New Roman" w:eastAsia="仿宋_GB2312" w:cs="Times New Roman"/>
          <w:kern w:val="2"/>
          <w:sz w:val="32"/>
          <w:szCs w:val="32"/>
          <w:lang w:val="en-US" w:eastAsia="zh-CN" w:bidi="ar-SA"/>
        </w:rPr>
        <w:t>紧紧围绕党和政府的中心任务开展工作，团结、动员、组织妇女群众投身改革开放和社会主义物质文明、精神文明的建设，积极促进经济发展和社会进步，为维护改革发展稳定的大局服务。</w:t>
      </w:r>
    </w:p>
    <w:p>
      <w:pPr>
        <w:pStyle w:val="7"/>
        <w:keepNext w:val="0"/>
        <w:keepLines w:val="0"/>
        <w:pageBreakBefore w:val="0"/>
        <w:widowControl w:val="0"/>
        <w:kinsoku/>
        <w:wordWrap/>
        <w:overflowPunct/>
        <w:topLinePunct w:val="0"/>
        <w:autoSpaceDE w:val="0"/>
        <w:autoSpaceDN/>
        <w:bidi w:val="0"/>
        <w:adjustRightInd w:val="0"/>
        <w:snapToGrid w:val="0"/>
        <w:spacing w:after="0" w:line="530" w:lineRule="exact"/>
        <w:ind w:firstLine="640" w:firstLineChars="200"/>
        <w:textAlignment w:val="auto"/>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（2）教育、引导妇女群众树立正确的世界观、人生观、价值观、弘扬“自尊、自信、自立、自强”的精神，积极推动和开展对妇女的科技文化及生产劳动技能教育，全面提高妇女素质。</w:t>
      </w:r>
    </w:p>
    <w:p>
      <w:pPr>
        <w:pStyle w:val="7"/>
        <w:keepNext w:val="0"/>
        <w:keepLines w:val="0"/>
        <w:pageBreakBefore w:val="0"/>
        <w:widowControl w:val="0"/>
        <w:kinsoku/>
        <w:wordWrap/>
        <w:overflowPunct/>
        <w:topLinePunct w:val="0"/>
        <w:autoSpaceDE w:val="0"/>
        <w:autoSpaceDN/>
        <w:bidi w:val="0"/>
        <w:adjustRightInd w:val="0"/>
        <w:snapToGrid w:val="0"/>
        <w:spacing w:after="0" w:line="530" w:lineRule="exact"/>
        <w:ind w:firstLine="640" w:firstLineChars="200"/>
        <w:textAlignment w:val="auto"/>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（3）代表妇女参加国家和社会事务的民主管理和民主监督；关注并加强研究妇女切身利益的热点、难点问题。</w:t>
      </w:r>
    </w:p>
    <w:p>
      <w:pPr>
        <w:pStyle w:val="7"/>
        <w:keepNext w:val="0"/>
        <w:keepLines w:val="0"/>
        <w:pageBreakBefore w:val="0"/>
        <w:widowControl w:val="0"/>
        <w:kinsoku/>
        <w:wordWrap/>
        <w:overflowPunct/>
        <w:topLinePunct w:val="0"/>
        <w:autoSpaceDE w:val="0"/>
        <w:autoSpaceDN/>
        <w:bidi w:val="0"/>
        <w:adjustRightInd w:val="0"/>
        <w:snapToGrid w:val="0"/>
        <w:spacing w:after="0" w:line="530" w:lineRule="exact"/>
        <w:ind w:firstLine="640" w:firstLineChars="200"/>
        <w:textAlignment w:val="auto"/>
        <w:rPr>
          <w:rFonts w:ascii="楷体_GB2312" w:eastAsia="楷体_GB2312"/>
          <w:b/>
          <w:sz w:val="32"/>
          <w:szCs w:val="32"/>
        </w:rPr>
      </w:pPr>
      <w:r>
        <w:rPr>
          <w:rFonts w:hint="eastAsia" w:ascii="仿宋_GB2312" w:hAnsi="Times New Roman" w:eastAsia="仿宋_GB2312" w:cs="Times New Roman"/>
          <w:kern w:val="2"/>
          <w:sz w:val="32"/>
          <w:szCs w:val="32"/>
          <w:lang w:val="en-US" w:eastAsia="zh-CN" w:bidi="ar-SA"/>
        </w:rPr>
        <w:t>（4）坚持为妇女儿童服务、为基层服务，加强与社会各界的联系、协调推动全社会为妇女儿童办实事，办好事。</w:t>
      </w:r>
    </w:p>
    <w:p>
      <w:pPr>
        <w:ind w:firstLine="643" w:firstLineChars="200"/>
        <w:rPr>
          <w:rFonts w:hint="eastAsia" w:ascii="楷体_GB2312" w:eastAsia="楷体_GB2312"/>
          <w:b/>
          <w:sz w:val="32"/>
          <w:szCs w:val="32"/>
        </w:rPr>
      </w:pPr>
      <w:r>
        <w:rPr>
          <w:rFonts w:hint="eastAsia" w:ascii="楷体_GB2312" w:eastAsia="楷体_GB2312"/>
          <w:b/>
          <w:sz w:val="32"/>
          <w:szCs w:val="32"/>
        </w:rPr>
        <w:t>（三）人员概况。</w:t>
      </w:r>
    </w:p>
    <w:p>
      <w:pPr>
        <w:ind w:firstLine="640" w:firstLineChars="200"/>
        <w:rPr>
          <w:rFonts w:ascii="仿宋_GB2312" w:eastAsia="仿宋_GB2312"/>
          <w:sz w:val="32"/>
          <w:szCs w:val="32"/>
          <w:u w:val="none"/>
        </w:rPr>
      </w:pPr>
      <w:r>
        <w:rPr>
          <w:rFonts w:hint="eastAsia" w:ascii="仿宋_GB2312" w:hAnsi="Times New Roman" w:eastAsia="仿宋_GB2312" w:cs="Times New Roman"/>
          <w:kern w:val="2"/>
          <w:sz w:val="32"/>
          <w:szCs w:val="32"/>
          <w:lang w:val="en-US" w:eastAsia="zh-CN" w:bidi="ar-SA"/>
        </w:rPr>
        <w:t>截至</w:t>
      </w:r>
      <w:r>
        <w:rPr>
          <w:rFonts w:hint="eastAsia" w:ascii="仿宋_GB2312" w:hAnsi="Times New Roman" w:eastAsia="仿宋_GB2312" w:cs="Times New Roman"/>
          <w:kern w:val="2"/>
          <w:sz w:val="32"/>
          <w:szCs w:val="32"/>
          <w:highlight w:val="none"/>
          <w:u w:val="none"/>
          <w:lang w:val="en-US" w:eastAsia="zh-CN" w:bidi="ar-SA"/>
        </w:rPr>
        <w:t>202</w:t>
      </w:r>
      <w:r>
        <w:rPr>
          <w:rFonts w:hint="eastAsia" w:ascii="仿宋_GB2312" w:eastAsia="仿宋_GB2312" w:cs="Times New Roman"/>
          <w:kern w:val="2"/>
          <w:sz w:val="32"/>
          <w:szCs w:val="32"/>
          <w:highlight w:val="none"/>
          <w:u w:val="none"/>
          <w:lang w:val="en-US" w:eastAsia="zh-CN" w:bidi="ar-SA"/>
        </w:rPr>
        <w:t>5</w:t>
      </w:r>
      <w:r>
        <w:rPr>
          <w:rFonts w:hint="eastAsia" w:ascii="仿宋_GB2312" w:hAnsi="Times New Roman" w:eastAsia="仿宋_GB2312" w:cs="Times New Roman"/>
          <w:kern w:val="2"/>
          <w:sz w:val="32"/>
          <w:szCs w:val="32"/>
          <w:highlight w:val="none"/>
          <w:u w:val="none"/>
          <w:lang w:val="en-US" w:eastAsia="zh-CN" w:bidi="ar-SA"/>
        </w:rPr>
        <w:t>年末，我单位共有编制5人，下属二级预算单位0个，年末公务员</w:t>
      </w:r>
      <w:r>
        <w:rPr>
          <w:rFonts w:hint="eastAsia" w:ascii="仿宋_GB2312" w:eastAsia="仿宋_GB2312" w:cs="Times New Roman"/>
          <w:kern w:val="2"/>
          <w:sz w:val="32"/>
          <w:szCs w:val="32"/>
          <w:highlight w:val="none"/>
          <w:u w:val="none"/>
          <w:lang w:val="en-US" w:eastAsia="zh-CN" w:bidi="ar-SA"/>
        </w:rPr>
        <w:t>2</w:t>
      </w:r>
      <w:r>
        <w:rPr>
          <w:rFonts w:hint="eastAsia" w:ascii="仿宋_GB2312" w:hAnsi="Times New Roman" w:eastAsia="仿宋_GB2312" w:cs="Times New Roman"/>
          <w:kern w:val="2"/>
          <w:sz w:val="32"/>
          <w:szCs w:val="32"/>
          <w:highlight w:val="none"/>
          <w:u w:val="none"/>
          <w:lang w:val="en-US" w:eastAsia="zh-CN" w:bidi="ar-SA"/>
        </w:rPr>
        <w:t>人，参照公务员法管理人员3人</w:t>
      </w:r>
      <w:r>
        <w:rPr>
          <w:rFonts w:hint="eastAsia" w:ascii="仿宋_GB2312" w:hAnsi="Times New Roman" w:eastAsia="仿宋_GB2312" w:cs="Times New Roman"/>
          <w:kern w:val="2"/>
          <w:sz w:val="32"/>
          <w:szCs w:val="32"/>
          <w:u w:val="none"/>
          <w:lang w:val="en-US" w:eastAsia="zh-CN" w:bidi="ar-SA"/>
        </w:rPr>
        <w:t>。</w:t>
      </w:r>
    </w:p>
    <w:p>
      <w:pPr>
        <w:rPr>
          <w:rFonts w:ascii="黑体" w:hAnsi="黑体" w:eastAsia="黑体"/>
          <w:sz w:val="32"/>
          <w:szCs w:val="32"/>
        </w:rPr>
      </w:pPr>
      <w:r>
        <w:rPr>
          <w:rFonts w:hint="eastAsia" w:ascii="黑体" w:hAnsi="黑体" w:eastAsia="黑体"/>
          <w:sz w:val="32"/>
          <w:szCs w:val="32"/>
        </w:rPr>
        <w:t>二、部门资金收支情况</w:t>
      </w:r>
    </w:p>
    <w:p>
      <w:pPr>
        <w:ind w:firstLine="643" w:firstLineChars="200"/>
        <w:rPr>
          <w:rFonts w:hint="eastAsia" w:ascii="楷体_GB2312" w:eastAsia="楷体_GB2312"/>
          <w:b/>
          <w:sz w:val="32"/>
          <w:szCs w:val="32"/>
        </w:rPr>
      </w:pPr>
      <w:r>
        <w:rPr>
          <w:rFonts w:hint="eastAsia" w:ascii="楷体_GB2312" w:eastAsia="楷体_GB2312"/>
          <w:b/>
          <w:sz w:val="32"/>
          <w:szCs w:val="32"/>
        </w:rPr>
        <w:t>（一）收入情况。</w:t>
      </w:r>
    </w:p>
    <w:p>
      <w:pPr>
        <w:ind w:firstLine="640" w:firstLineChars="200"/>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本单位本年度总收入为</w:t>
      </w:r>
      <w:r>
        <w:rPr>
          <w:rFonts w:hint="eastAsia" w:ascii="仿宋_GB2312" w:eastAsia="仿宋_GB2312" w:cs="Times New Roman"/>
          <w:kern w:val="2"/>
          <w:sz w:val="32"/>
          <w:szCs w:val="32"/>
          <w:lang w:val="en-US" w:eastAsia="zh-CN" w:bidi="ar-SA"/>
        </w:rPr>
        <w:t>285.14</w:t>
      </w:r>
      <w:r>
        <w:rPr>
          <w:rFonts w:hint="eastAsia" w:ascii="仿宋_GB2312" w:hAnsi="Times New Roman" w:eastAsia="仿宋_GB2312" w:cs="Times New Roman"/>
          <w:kern w:val="2"/>
          <w:sz w:val="32"/>
          <w:szCs w:val="32"/>
          <w:lang w:val="en-US" w:eastAsia="zh-CN" w:bidi="ar-SA"/>
        </w:rPr>
        <w:t>万元,其中：一般公共预算财政拨款收入为</w:t>
      </w:r>
      <w:r>
        <w:rPr>
          <w:rFonts w:hint="eastAsia" w:ascii="仿宋_GB2312" w:eastAsia="仿宋_GB2312" w:cs="Times New Roman"/>
          <w:kern w:val="2"/>
          <w:sz w:val="32"/>
          <w:szCs w:val="32"/>
          <w:lang w:val="en-US" w:eastAsia="zh-CN" w:bidi="ar-SA"/>
        </w:rPr>
        <w:t>285.14</w:t>
      </w:r>
      <w:r>
        <w:rPr>
          <w:rFonts w:hint="eastAsia" w:ascii="仿宋_GB2312" w:hAnsi="Times New Roman" w:eastAsia="仿宋_GB2312" w:cs="Times New Roman"/>
          <w:kern w:val="2"/>
          <w:sz w:val="32"/>
          <w:szCs w:val="32"/>
          <w:lang w:val="en-US" w:eastAsia="zh-CN" w:bidi="ar-SA"/>
        </w:rPr>
        <w:t>万元，占比100.00%。较上年收入</w:t>
      </w:r>
      <w:r>
        <w:rPr>
          <w:rFonts w:hint="eastAsia" w:ascii="仿宋_GB2312" w:eastAsia="仿宋_GB2312" w:cs="Times New Roman"/>
          <w:kern w:val="2"/>
          <w:sz w:val="32"/>
          <w:szCs w:val="32"/>
          <w:lang w:val="en-US" w:eastAsia="zh-CN" w:bidi="ar-SA"/>
        </w:rPr>
        <w:t>增加130.87</w:t>
      </w:r>
      <w:r>
        <w:rPr>
          <w:rFonts w:hint="eastAsia" w:ascii="仿宋_GB2312" w:hAnsi="Times New Roman" w:eastAsia="仿宋_GB2312" w:cs="Times New Roman"/>
          <w:kern w:val="2"/>
          <w:sz w:val="32"/>
          <w:szCs w:val="32"/>
          <w:lang w:val="en-US" w:eastAsia="zh-CN" w:bidi="ar-SA"/>
        </w:rPr>
        <w:t>万元。</w:t>
      </w:r>
    </w:p>
    <w:p>
      <w:pPr>
        <w:keepNext w:val="0"/>
        <w:keepLines w:val="0"/>
        <w:pageBreakBefore w:val="0"/>
        <w:widowControl w:val="0"/>
        <w:numPr>
          <w:ilvl w:val="0"/>
          <w:numId w:val="4"/>
        </w:numPr>
        <w:kinsoku/>
        <w:wordWrap/>
        <w:overflowPunct/>
        <w:topLinePunct w:val="0"/>
        <w:autoSpaceDE/>
        <w:autoSpaceDN/>
        <w:bidi w:val="0"/>
        <w:adjustRightInd/>
        <w:snapToGrid w:val="0"/>
        <w:spacing w:line="560" w:lineRule="exact"/>
        <w:ind w:left="0" w:leftChars="0" w:firstLine="643" w:firstLineChars="200"/>
        <w:textAlignment w:val="auto"/>
        <w:rPr>
          <w:rFonts w:hint="eastAsia" w:ascii="楷体_GB2312" w:eastAsia="楷体_GB2312"/>
          <w:b/>
          <w:sz w:val="32"/>
          <w:szCs w:val="32"/>
        </w:rPr>
      </w:pPr>
      <w:r>
        <w:rPr>
          <w:rFonts w:hint="eastAsia" w:ascii="楷体_GB2312" w:eastAsia="楷体_GB2312"/>
          <w:b/>
          <w:sz w:val="32"/>
          <w:szCs w:val="32"/>
        </w:rPr>
        <w:t>支出情况。</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hAnsi="Times New Roman" w:eastAsia="仿宋_GB2312" w:cs="Times New Roman"/>
          <w:kern w:val="2"/>
          <w:sz w:val="32"/>
          <w:szCs w:val="32"/>
          <w:lang w:val="en-US" w:eastAsia="zh-CN" w:bidi="ar-SA"/>
        </w:rPr>
        <w:t>本年度总支出为</w:t>
      </w:r>
      <w:r>
        <w:rPr>
          <w:rFonts w:hint="eastAsia" w:ascii="仿宋_GB2312" w:eastAsia="仿宋_GB2312" w:cs="Times New Roman"/>
          <w:kern w:val="2"/>
          <w:sz w:val="32"/>
          <w:szCs w:val="32"/>
          <w:lang w:val="en-US" w:eastAsia="zh-CN" w:bidi="ar-SA"/>
        </w:rPr>
        <w:t>285.14</w:t>
      </w:r>
      <w:r>
        <w:rPr>
          <w:rFonts w:hint="eastAsia" w:ascii="仿宋_GB2312" w:hAnsi="Times New Roman" w:eastAsia="仿宋_GB2312" w:cs="Times New Roman"/>
          <w:kern w:val="2"/>
          <w:sz w:val="32"/>
          <w:szCs w:val="32"/>
          <w:lang w:val="en-US" w:eastAsia="zh-CN" w:bidi="ar-SA"/>
        </w:rPr>
        <w:t>万元。其中：一般公共服务支出为</w:t>
      </w:r>
      <w:r>
        <w:rPr>
          <w:rFonts w:hint="eastAsia" w:ascii="仿宋_GB2312" w:eastAsia="仿宋_GB2312" w:cs="Times New Roman"/>
          <w:kern w:val="2"/>
          <w:sz w:val="32"/>
          <w:szCs w:val="32"/>
          <w:lang w:val="en-US" w:eastAsia="zh-CN" w:bidi="ar-SA"/>
        </w:rPr>
        <w:t>248.01</w:t>
      </w:r>
      <w:r>
        <w:rPr>
          <w:rFonts w:hint="eastAsia" w:ascii="仿宋_GB2312" w:hAnsi="Times New Roman" w:eastAsia="仿宋_GB2312" w:cs="Times New Roman"/>
          <w:kern w:val="2"/>
          <w:sz w:val="32"/>
          <w:szCs w:val="32"/>
          <w:lang w:val="en-US" w:eastAsia="zh-CN" w:bidi="ar-SA"/>
        </w:rPr>
        <w:t>万元，占比</w:t>
      </w:r>
      <w:r>
        <w:rPr>
          <w:rFonts w:hint="eastAsia" w:ascii="仿宋_GB2312" w:eastAsia="仿宋_GB2312" w:cs="Times New Roman"/>
          <w:kern w:val="2"/>
          <w:sz w:val="32"/>
          <w:szCs w:val="32"/>
          <w:lang w:val="en-US" w:eastAsia="zh-CN" w:bidi="ar-SA"/>
        </w:rPr>
        <w:t>86.98</w:t>
      </w:r>
      <w:r>
        <w:rPr>
          <w:rFonts w:hint="eastAsia" w:ascii="仿宋_GB2312" w:hAnsi="Times New Roman" w:eastAsia="仿宋_GB2312" w:cs="Times New Roman"/>
          <w:kern w:val="2"/>
          <w:sz w:val="32"/>
          <w:szCs w:val="32"/>
          <w:lang w:val="en-US" w:eastAsia="zh-CN" w:bidi="ar-SA"/>
        </w:rPr>
        <w:t>%；社会保障和就业支出为</w:t>
      </w:r>
      <w:r>
        <w:rPr>
          <w:rFonts w:hint="eastAsia" w:ascii="仿宋_GB2312" w:eastAsia="仿宋_GB2312" w:cs="Times New Roman"/>
          <w:kern w:val="2"/>
          <w:sz w:val="32"/>
          <w:szCs w:val="32"/>
          <w:lang w:val="en-US" w:eastAsia="zh-CN" w:bidi="ar-SA"/>
        </w:rPr>
        <w:t>19.78</w:t>
      </w:r>
      <w:r>
        <w:rPr>
          <w:rFonts w:hint="eastAsia" w:ascii="仿宋_GB2312" w:hAnsi="Times New Roman" w:eastAsia="仿宋_GB2312" w:cs="Times New Roman"/>
          <w:kern w:val="2"/>
          <w:sz w:val="32"/>
          <w:szCs w:val="32"/>
          <w:lang w:val="en-US" w:eastAsia="zh-CN" w:bidi="ar-SA"/>
        </w:rPr>
        <w:t>万元，占比</w:t>
      </w:r>
      <w:r>
        <w:rPr>
          <w:rFonts w:hint="eastAsia" w:ascii="仿宋_GB2312" w:eastAsia="仿宋_GB2312" w:cs="Times New Roman"/>
          <w:kern w:val="2"/>
          <w:sz w:val="32"/>
          <w:szCs w:val="32"/>
          <w:lang w:val="en-US" w:eastAsia="zh-CN" w:bidi="ar-SA"/>
        </w:rPr>
        <w:t>6.9</w:t>
      </w:r>
      <w:r>
        <w:rPr>
          <w:rFonts w:hint="eastAsia" w:ascii="仿宋_GB2312" w:hAnsi="Times New Roman" w:eastAsia="仿宋_GB2312" w:cs="Times New Roman"/>
          <w:kern w:val="2"/>
          <w:sz w:val="32"/>
          <w:szCs w:val="32"/>
          <w:lang w:val="en-US" w:eastAsia="zh-CN" w:bidi="ar-SA"/>
        </w:rPr>
        <w:t>%；卫生健康支出为</w:t>
      </w:r>
      <w:r>
        <w:rPr>
          <w:rFonts w:hint="eastAsia" w:ascii="仿宋_GB2312" w:eastAsia="仿宋_GB2312" w:cs="Times New Roman"/>
          <w:kern w:val="2"/>
          <w:sz w:val="32"/>
          <w:szCs w:val="32"/>
          <w:lang w:val="en-US" w:eastAsia="zh-CN" w:bidi="ar-SA"/>
        </w:rPr>
        <w:t>7.13</w:t>
      </w:r>
      <w:r>
        <w:rPr>
          <w:rFonts w:hint="eastAsia" w:ascii="仿宋_GB2312" w:hAnsi="Times New Roman" w:eastAsia="仿宋_GB2312" w:cs="Times New Roman"/>
          <w:kern w:val="2"/>
          <w:sz w:val="32"/>
          <w:szCs w:val="32"/>
          <w:lang w:val="en-US" w:eastAsia="zh-CN" w:bidi="ar-SA"/>
        </w:rPr>
        <w:t>万元，占比</w:t>
      </w:r>
      <w:r>
        <w:rPr>
          <w:rFonts w:hint="eastAsia" w:ascii="仿宋_GB2312" w:eastAsia="仿宋_GB2312" w:cs="Times New Roman"/>
          <w:kern w:val="2"/>
          <w:sz w:val="32"/>
          <w:szCs w:val="32"/>
          <w:lang w:val="en-US" w:eastAsia="zh-CN" w:bidi="ar-SA"/>
        </w:rPr>
        <w:t>2.5</w:t>
      </w:r>
      <w:r>
        <w:rPr>
          <w:rFonts w:hint="eastAsia" w:ascii="仿宋_GB2312" w:hAnsi="Times New Roman" w:eastAsia="仿宋_GB2312" w:cs="Times New Roman"/>
          <w:kern w:val="2"/>
          <w:sz w:val="32"/>
          <w:szCs w:val="32"/>
          <w:lang w:val="en-US" w:eastAsia="zh-CN" w:bidi="ar-SA"/>
        </w:rPr>
        <w:t>%；住房保障支出为</w:t>
      </w:r>
      <w:r>
        <w:rPr>
          <w:rFonts w:hint="eastAsia" w:ascii="仿宋_GB2312" w:eastAsia="仿宋_GB2312" w:cs="Times New Roman"/>
          <w:kern w:val="2"/>
          <w:sz w:val="32"/>
          <w:szCs w:val="32"/>
          <w:lang w:val="en-US" w:eastAsia="zh-CN" w:bidi="ar-SA"/>
        </w:rPr>
        <w:t>10.22</w:t>
      </w:r>
      <w:r>
        <w:rPr>
          <w:rFonts w:hint="eastAsia" w:ascii="仿宋_GB2312" w:hAnsi="Times New Roman" w:eastAsia="仿宋_GB2312" w:cs="Times New Roman"/>
          <w:kern w:val="2"/>
          <w:sz w:val="32"/>
          <w:szCs w:val="32"/>
          <w:lang w:val="en-US" w:eastAsia="zh-CN" w:bidi="ar-SA"/>
        </w:rPr>
        <w:t>万元，占比</w:t>
      </w:r>
      <w:r>
        <w:rPr>
          <w:rFonts w:hint="eastAsia" w:ascii="仿宋_GB2312" w:eastAsia="仿宋_GB2312" w:cs="Times New Roman"/>
          <w:kern w:val="2"/>
          <w:sz w:val="32"/>
          <w:szCs w:val="32"/>
          <w:lang w:val="en-US" w:eastAsia="zh-CN" w:bidi="ar-SA"/>
        </w:rPr>
        <w:t>3.58</w:t>
      </w:r>
      <w:r>
        <w:rPr>
          <w:rFonts w:hint="eastAsia" w:ascii="仿宋_GB2312" w:hAnsi="Times New Roman" w:eastAsia="仿宋_GB2312" w:cs="Times New Roman"/>
          <w:kern w:val="2"/>
          <w:sz w:val="32"/>
          <w:szCs w:val="32"/>
          <w:lang w:val="en-US" w:eastAsia="zh-CN" w:bidi="ar-SA"/>
        </w:rPr>
        <w:t>%；较上年支出</w:t>
      </w:r>
      <w:r>
        <w:rPr>
          <w:rFonts w:hint="eastAsia" w:ascii="仿宋_GB2312" w:eastAsia="仿宋_GB2312" w:cs="Times New Roman"/>
          <w:kern w:val="2"/>
          <w:sz w:val="32"/>
          <w:szCs w:val="32"/>
          <w:lang w:val="en-US" w:eastAsia="zh-CN" w:bidi="ar-SA"/>
        </w:rPr>
        <w:t>154.27</w:t>
      </w:r>
      <w:r>
        <w:rPr>
          <w:rFonts w:hint="eastAsia" w:ascii="仿宋_GB2312" w:hAnsi="Times New Roman" w:eastAsia="仿宋_GB2312" w:cs="Times New Roman"/>
          <w:kern w:val="2"/>
          <w:sz w:val="32"/>
          <w:szCs w:val="32"/>
          <w:lang w:val="en-US" w:eastAsia="zh-CN" w:bidi="ar-SA"/>
        </w:rPr>
        <w:t>万元增加</w:t>
      </w:r>
      <w:r>
        <w:rPr>
          <w:rFonts w:hint="eastAsia" w:ascii="仿宋_GB2312" w:eastAsia="仿宋_GB2312" w:cs="Times New Roman"/>
          <w:kern w:val="2"/>
          <w:sz w:val="32"/>
          <w:szCs w:val="32"/>
          <w:lang w:val="en-US" w:eastAsia="zh-CN" w:bidi="ar-SA"/>
        </w:rPr>
        <w:t>130.87</w:t>
      </w:r>
      <w:r>
        <w:rPr>
          <w:rFonts w:hint="eastAsia" w:ascii="仿宋_GB2312" w:hAnsi="Times New Roman" w:eastAsia="仿宋_GB2312" w:cs="Times New Roman"/>
          <w:kern w:val="2"/>
          <w:sz w:val="32"/>
          <w:szCs w:val="32"/>
          <w:lang w:val="en-US" w:eastAsia="zh-CN" w:bidi="ar-SA"/>
        </w:rPr>
        <w:t>万元。</w:t>
      </w:r>
    </w:p>
    <w:p>
      <w:pPr>
        <w:numPr>
          <w:ilvl w:val="0"/>
          <w:numId w:val="4"/>
        </w:numPr>
        <w:ind w:left="0" w:leftChars="0" w:firstLine="643" w:firstLineChars="200"/>
        <w:rPr>
          <w:rFonts w:hint="eastAsia" w:ascii="楷体_GB2312" w:eastAsia="楷体_GB2312"/>
          <w:b/>
          <w:sz w:val="32"/>
          <w:szCs w:val="32"/>
        </w:rPr>
      </w:pPr>
      <w:r>
        <w:rPr>
          <w:rFonts w:hint="eastAsia" w:ascii="楷体_GB2312" w:eastAsia="楷体_GB2312"/>
          <w:b/>
          <w:sz w:val="32"/>
          <w:szCs w:val="32"/>
        </w:rPr>
        <w:t>结余分配和结转结余情况。</w:t>
      </w:r>
    </w:p>
    <w:p>
      <w:pPr>
        <w:ind w:firstLine="640" w:firstLineChars="200"/>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我单位202</w:t>
      </w:r>
      <w:r>
        <w:rPr>
          <w:rFonts w:hint="eastAsia" w:ascii="仿宋_GB2312"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年决算报表无结转结余情况。</w:t>
      </w:r>
    </w:p>
    <w:p>
      <w:pPr>
        <w:rPr>
          <w:rFonts w:ascii="黑体" w:hAnsi="黑体" w:eastAsia="黑体"/>
          <w:sz w:val="32"/>
          <w:szCs w:val="32"/>
        </w:rPr>
      </w:pPr>
      <w:r>
        <w:rPr>
          <w:rFonts w:hint="eastAsia" w:ascii="黑体" w:hAnsi="黑体" w:eastAsia="黑体"/>
          <w:sz w:val="32"/>
          <w:szCs w:val="32"/>
        </w:rPr>
        <w:t>三、部门预算绩效分析</w:t>
      </w:r>
    </w:p>
    <w:p>
      <w:pPr>
        <w:rPr>
          <w:rFonts w:hint="eastAsia" w:ascii="仿宋_GB2312" w:hAnsi="Times New Roman" w:eastAsia="仿宋_GB2312" w:cs="Times New Roman"/>
          <w:kern w:val="2"/>
          <w:sz w:val="32"/>
          <w:szCs w:val="32"/>
          <w:lang w:val="en-US" w:eastAsia="zh-CN" w:bidi="ar-SA"/>
        </w:rPr>
      </w:pPr>
      <w:r>
        <w:rPr>
          <w:rFonts w:hint="eastAsia" w:ascii="楷体_GB2312" w:eastAsia="楷体_GB2312"/>
          <w:b/>
          <w:sz w:val="32"/>
          <w:szCs w:val="32"/>
        </w:rPr>
        <w:t>（一）部门预算总体绩效分析。</w:t>
      </w:r>
      <w:r>
        <w:rPr>
          <w:rFonts w:hint="eastAsia" w:ascii="仿宋_GB2312" w:hAnsi="Times New Roman" w:eastAsia="仿宋_GB2312" w:cs="Times New Roman"/>
          <w:kern w:val="2"/>
          <w:sz w:val="32"/>
          <w:szCs w:val="32"/>
          <w:lang w:val="en-US" w:eastAsia="zh-CN" w:bidi="ar-SA"/>
        </w:rPr>
        <w:t>根据部门预算绩效评价指标体系“总体绩效”涉及二、三级指标进行逐项绩效分析并评分，依次包括履职效能、预算管理、财务管理、资产管理、采购管理等情况。</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hAnsi="Times New Roman" w:eastAsia="仿宋_GB2312" w:cs="Times New Roman"/>
          <w:kern w:val="2"/>
          <w:sz w:val="32"/>
          <w:szCs w:val="32"/>
          <w:lang w:val="en-US" w:eastAsia="zh-CN" w:bidi="ar-SA"/>
        </w:rPr>
        <w:t>1.</w:t>
      </w:r>
      <w:r>
        <w:rPr>
          <w:rFonts w:hint="eastAsia" w:ascii="仿宋_GB2312" w:hAnsi="Times New Roman" w:eastAsia="仿宋_GB2312" w:cs="Times New Roman"/>
          <w:kern w:val="2"/>
          <w:sz w:val="32"/>
          <w:szCs w:val="32"/>
          <w:lang w:val="zh-CN" w:eastAsia="zh-CN" w:bidi="ar-SA"/>
        </w:rPr>
        <w:t>履职</w:t>
      </w:r>
      <w:r>
        <w:rPr>
          <w:rFonts w:hint="eastAsia" w:ascii="仿宋_GB2312" w:hAnsi="Times New Roman" w:eastAsia="仿宋_GB2312" w:cs="Times New Roman"/>
          <w:kern w:val="2"/>
          <w:sz w:val="32"/>
          <w:szCs w:val="32"/>
          <w:lang w:val="en-US" w:eastAsia="zh-CN" w:bidi="ar-SA"/>
        </w:rPr>
        <w:t>效能</w:t>
      </w:r>
      <w:r>
        <w:rPr>
          <w:rFonts w:hint="eastAsia" w:ascii="仿宋_GB2312" w:hAnsi="Times New Roman" w:eastAsia="仿宋_GB2312" w:cs="Times New Roman"/>
          <w:kern w:val="2"/>
          <w:sz w:val="32"/>
          <w:szCs w:val="32"/>
          <w:lang w:val="zh-CN" w:eastAsia="zh-CN" w:bidi="ar-SA"/>
        </w:rPr>
        <w:t>。</w:t>
      </w:r>
    </w:p>
    <w:p>
      <w:pPr>
        <w:ind w:firstLine="640" w:firstLineChars="200"/>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产出指标：数量指标，开展培训活动，大于等于2场次，全年完成值100%。</w:t>
      </w:r>
    </w:p>
    <w:p>
      <w:pPr>
        <w:ind w:firstLine="640" w:firstLineChars="200"/>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产出指标：数量指标，开展慰问活动，大于等于3场次，全年完成值100%。</w:t>
      </w:r>
    </w:p>
    <w:p>
      <w:pPr>
        <w:ind w:firstLine="640" w:firstLineChars="200"/>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产出指标：数量指标，开展宣传活动，大于等于4场次，全年完成值100%。</w:t>
      </w:r>
    </w:p>
    <w:p>
      <w:pPr>
        <w:ind w:firstLine="640" w:firstLineChars="200"/>
        <w:rPr>
          <w:rFonts w:hint="default"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效益指标：社会效益指标，维护妇女儿童合法权益，促进社会稳定，进一步提高，全年完成值进一步提高。</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hAnsi="Times New Roman" w:eastAsia="仿宋_GB2312" w:cs="Times New Roman"/>
          <w:kern w:val="2"/>
          <w:sz w:val="32"/>
          <w:szCs w:val="32"/>
          <w:lang w:val="en-US" w:eastAsia="zh-CN" w:bidi="ar-SA"/>
        </w:rPr>
        <w:t>满意度指标：服务对象满意度指标，妇女儿童满意度，定性指标，进一步提高，全年完成值进一步提高。</w:t>
      </w:r>
    </w:p>
    <w:p>
      <w:pPr>
        <w:numPr>
          <w:ilvl w:val="0"/>
          <w:numId w:val="0"/>
        </w:num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eastAsia="仿宋_GB2312" w:cs="Times New Roman"/>
          <w:kern w:val="2"/>
          <w:sz w:val="32"/>
          <w:szCs w:val="32"/>
          <w:lang w:val="en-US" w:eastAsia="zh-CN" w:bidi="ar-SA"/>
        </w:rPr>
        <w:t>2.</w:t>
      </w:r>
      <w:r>
        <w:rPr>
          <w:rFonts w:hint="eastAsia" w:ascii="仿宋_GB2312" w:hAnsi="Times New Roman" w:eastAsia="仿宋_GB2312" w:cs="Times New Roman"/>
          <w:kern w:val="2"/>
          <w:sz w:val="32"/>
          <w:szCs w:val="32"/>
          <w:lang w:val="zh-CN" w:eastAsia="zh-CN" w:bidi="ar-SA"/>
        </w:rPr>
        <w:t>预算管理。</w:t>
      </w:r>
    </w:p>
    <w:p>
      <w:pPr>
        <w:numPr>
          <w:ilvl w:val="0"/>
          <w:numId w:val="0"/>
        </w:numPr>
        <w:ind w:firstLine="640" w:firstLineChars="200"/>
        <w:rPr>
          <w:rFonts w:hint="default"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zh-CN" w:eastAsia="zh-CN" w:bidi="ar-SA"/>
        </w:rPr>
        <w:t>实际收入与预算收入无差异，实际支出与预算支出无差异。所有应纳入预算的项目被涵盖</w:t>
      </w:r>
      <w:r>
        <w:rPr>
          <w:rFonts w:hint="eastAsia" w:ascii="仿宋_GB2312" w:hAnsi="Times New Roman" w:eastAsia="仿宋_GB2312" w:cs="Times New Roman"/>
          <w:kern w:val="2"/>
          <w:sz w:val="32"/>
          <w:szCs w:val="32"/>
          <w:lang w:val="en-US" w:eastAsia="zh-CN" w:bidi="ar-SA"/>
        </w:rPr>
        <w:t>100%，预算分配与单位的年度总体目标相匹配。预算编制符合法律法规和内部政策制度。</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hAnsi="Times New Roman" w:eastAsia="仿宋_GB2312" w:cs="Times New Roman"/>
          <w:kern w:val="2"/>
          <w:sz w:val="32"/>
          <w:szCs w:val="32"/>
          <w:lang w:val="zh-CN" w:eastAsia="zh-CN" w:bidi="ar-SA"/>
        </w:rPr>
        <w:t>单位收入统筹：</w:t>
      </w:r>
      <w:r>
        <w:rPr>
          <w:rFonts w:hint="eastAsia" w:ascii="仿宋_GB2312" w:hAnsi="Times New Roman" w:eastAsia="仿宋_GB2312" w:cs="Times New Roman"/>
          <w:kern w:val="2"/>
          <w:sz w:val="32"/>
          <w:szCs w:val="32"/>
          <w:lang w:val="en-US" w:eastAsia="zh-CN" w:bidi="ar-SA"/>
        </w:rPr>
        <w:t>本单位202</w:t>
      </w:r>
      <w:r>
        <w:rPr>
          <w:rFonts w:hint="eastAsia" w:ascii="仿宋_GB2312"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年收入全年预算数为</w:t>
      </w:r>
      <w:r>
        <w:rPr>
          <w:rFonts w:hint="eastAsia" w:ascii="仿宋_GB2312" w:eastAsia="仿宋_GB2312" w:cs="Times New Roman"/>
          <w:kern w:val="2"/>
          <w:sz w:val="32"/>
          <w:szCs w:val="32"/>
          <w:lang w:val="en-US" w:eastAsia="zh-CN" w:bidi="ar-SA"/>
        </w:rPr>
        <w:t>289.92</w:t>
      </w:r>
      <w:r>
        <w:rPr>
          <w:rFonts w:hint="eastAsia" w:ascii="仿宋_GB2312" w:hAnsi="Times New Roman" w:eastAsia="仿宋_GB2312" w:cs="Times New Roman"/>
          <w:kern w:val="2"/>
          <w:sz w:val="32"/>
          <w:szCs w:val="32"/>
          <w:lang w:val="en-US" w:eastAsia="zh-CN" w:bidi="ar-SA"/>
        </w:rPr>
        <w:t>万元，收入决算数为</w:t>
      </w:r>
      <w:r>
        <w:rPr>
          <w:rFonts w:hint="eastAsia" w:ascii="仿宋_GB2312" w:eastAsia="仿宋_GB2312" w:cs="Times New Roman"/>
          <w:kern w:val="2"/>
          <w:sz w:val="32"/>
          <w:szCs w:val="32"/>
          <w:lang w:val="en-US" w:eastAsia="zh-CN" w:bidi="ar-SA"/>
        </w:rPr>
        <w:t>285.14</w:t>
      </w:r>
      <w:r>
        <w:rPr>
          <w:rFonts w:hint="eastAsia" w:ascii="仿宋_GB2312" w:hAnsi="Times New Roman" w:eastAsia="仿宋_GB2312" w:cs="Times New Roman"/>
          <w:kern w:val="2"/>
          <w:sz w:val="32"/>
          <w:szCs w:val="32"/>
          <w:lang w:val="en-US" w:eastAsia="zh-CN" w:bidi="ar-SA"/>
        </w:rPr>
        <w:t>万元，预算完成度为</w:t>
      </w:r>
      <w:r>
        <w:rPr>
          <w:rFonts w:hint="eastAsia" w:ascii="仿宋_GB2312" w:eastAsia="仿宋_GB2312" w:cs="Times New Roman"/>
          <w:kern w:val="2"/>
          <w:sz w:val="32"/>
          <w:szCs w:val="32"/>
          <w:lang w:val="en-US" w:eastAsia="zh-CN" w:bidi="ar-SA"/>
        </w:rPr>
        <w:t>98.35</w:t>
      </w:r>
      <w:r>
        <w:rPr>
          <w:rFonts w:hint="eastAsia" w:ascii="仿宋_GB2312" w:hAnsi="Times New Roman" w:eastAsia="仿宋_GB2312" w:cs="Times New Roman"/>
          <w:kern w:val="2"/>
          <w:sz w:val="32"/>
          <w:szCs w:val="32"/>
          <w:lang w:val="en-US" w:eastAsia="zh-CN" w:bidi="ar-SA"/>
        </w:rPr>
        <w:t>%。</w:t>
      </w:r>
      <w:r>
        <w:rPr>
          <w:rFonts w:hint="eastAsia" w:ascii="仿宋_GB2312" w:hAnsi="Times New Roman" w:eastAsia="仿宋_GB2312" w:cs="Times New Roman"/>
          <w:kern w:val="2"/>
          <w:sz w:val="32"/>
          <w:szCs w:val="32"/>
          <w:lang w:val="zh-CN" w:eastAsia="zh-CN" w:bidi="ar-SA"/>
        </w:rPr>
        <w:t>20</w:t>
      </w:r>
      <w:r>
        <w:rPr>
          <w:rFonts w:hint="eastAsia" w:ascii="仿宋_GB2312" w:hAnsi="Times New Roman" w:eastAsia="仿宋_GB2312" w:cs="Times New Roman"/>
          <w:kern w:val="2"/>
          <w:sz w:val="32"/>
          <w:szCs w:val="32"/>
          <w:lang w:val="en-US" w:eastAsia="zh-CN" w:bidi="ar-SA"/>
        </w:rPr>
        <w:t>2</w:t>
      </w:r>
      <w:r>
        <w:rPr>
          <w:rFonts w:hint="eastAsia" w:ascii="仿宋_GB2312"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zh-CN" w:eastAsia="zh-CN" w:bidi="ar-SA"/>
        </w:rPr>
        <w:t>年度总收入</w:t>
      </w:r>
      <w:r>
        <w:rPr>
          <w:rFonts w:hint="eastAsia" w:ascii="仿宋_GB2312" w:eastAsia="仿宋_GB2312" w:cs="Times New Roman"/>
          <w:kern w:val="2"/>
          <w:sz w:val="32"/>
          <w:szCs w:val="32"/>
          <w:lang w:val="en-US" w:eastAsia="zh-CN" w:bidi="ar-SA"/>
        </w:rPr>
        <w:t>285.14</w:t>
      </w:r>
      <w:r>
        <w:rPr>
          <w:rFonts w:hint="eastAsia" w:ascii="仿宋_GB2312" w:hAnsi="Times New Roman" w:eastAsia="仿宋_GB2312" w:cs="Times New Roman"/>
          <w:kern w:val="2"/>
          <w:sz w:val="32"/>
          <w:szCs w:val="32"/>
          <w:lang w:val="zh-CN" w:eastAsia="zh-CN" w:bidi="ar-SA"/>
        </w:rPr>
        <w:t>万元，其中：财政拨款收入</w:t>
      </w:r>
      <w:r>
        <w:rPr>
          <w:rFonts w:hint="eastAsia" w:ascii="仿宋_GB2312" w:eastAsia="仿宋_GB2312" w:cs="Times New Roman"/>
          <w:kern w:val="2"/>
          <w:sz w:val="32"/>
          <w:szCs w:val="32"/>
          <w:lang w:val="en-US" w:eastAsia="zh-CN" w:bidi="ar-SA"/>
        </w:rPr>
        <w:t>285.14</w:t>
      </w:r>
      <w:r>
        <w:rPr>
          <w:rFonts w:hint="eastAsia" w:ascii="仿宋_GB2312" w:hAnsi="Times New Roman" w:eastAsia="仿宋_GB2312" w:cs="Times New Roman"/>
          <w:kern w:val="2"/>
          <w:sz w:val="32"/>
          <w:szCs w:val="32"/>
          <w:lang w:val="zh-CN" w:eastAsia="zh-CN" w:bidi="ar-SA"/>
        </w:rPr>
        <w:t>万元，占</w:t>
      </w:r>
      <w:r>
        <w:rPr>
          <w:rFonts w:hint="eastAsia" w:ascii="仿宋_GB2312" w:hAnsi="Times New Roman" w:eastAsia="仿宋_GB2312" w:cs="Times New Roman"/>
          <w:kern w:val="2"/>
          <w:sz w:val="32"/>
          <w:szCs w:val="32"/>
          <w:lang w:val="en-US" w:eastAsia="zh-CN" w:bidi="ar-SA"/>
        </w:rPr>
        <w:t>100</w:t>
      </w:r>
      <w:r>
        <w:rPr>
          <w:rFonts w:hint="eastAsia" w:ascii="仿宋_GB2312" w:hAnsi="Times New Roman" w:eastAsia="仿宋_GB2312" w:cs="Times New Roman"/>
          <w:kern w:val="2"/>
          <w:sz w:val="32"/>
          <w:szCs w:val="32"/>
          <w:lang w:val="zh-CN" w:eastAsia="zh-CN" w:bidi="ar-SA"/>
        </w:rPr>
        <w:t>%；政府性基金预算财政拨款</w:t>
      </w:r>
      <w:r>
        <w:rPr>
          <w:rFonts w:hint="eastAsia" w:ascii="仿宋_GB2312" w:hAnsi="Times New Roman" w:eastAsia="仿宋_GB2312" w:cs="Times New Roman"/>
          <w:kern w:val="2"/>
          <w:sz w:val="32"/>
          <w:szCs w:val="32"/>
          <w:lang w:val="en-US" w:eastAsia="zh-CN" w:bidi="ar-SA"/>
        </w:rPr>
        <w:t>0</w:t>
      </w:r>
      <w:r>
        <w:rPr>
          <w:rFonts w:hint="eastAsia" w:ascii="仿宋_GB2312" w:hAnsi="Times New Roman" w:eastAsia="仿宋_GB2312" w:cs="Times New Roman"/>
          <w:kern w:val="2"/>
          <w:sz w:val="32"/>
          <w:szCs w:val="32"/>
          <w:lang w:val="zh-CN" w:eastAsia="zh-CN" w:bidi="ar-SA"/>
        </w:rPr>
        <w:t>万元，占</w:t>
      </w:r>
      <w:r>
        <w:rPr>
          <w:rFonts w:hint="eastAsia" w:ascii="仿宋_GB2312" w:hAnsi="Times New Roman" w:eastAsia="仿宋_GB2312" w:cs="Times New Roman"/>
          <w:kern w:val="2"/>
          <w:sz w:val="32"/>
          <w:szCs w:val="32"/>
          <w:lang w:val="en-US" w:eastAsia="zh-CN" w:bidi="ar-SA"/>
        </w:rPr>
        <w:t>0</w:t>
      </w:r>
      <w:r>
        <w:rPr>
          <w:rFonts w:hint="eastAsia" w:ascii="仿宋_GB2312" w:hAnsi="Times New Roman" w:eastAsia="仿宋_GB2312" w:cs="Times New Roman"/>
          <w:kern w:val="2"/>
          <w:sz w:val="32"/>
          <w:szCs w:val="32"/>
          <w:lang w:val="zh-CN" w:eastAsia="zh-CN" w:bidi="ar-SA"/>
        </w:rPr>
        <w:t>%；其他收入</w:t>
      </w:r>
      <w:r>
        <w:rPr>
          <w:rFonts w:hint="eastAsia" w:ascii="仿宋_GB2312" w:hAnsi="Times New Roman" w:eastAsia="仿宋_GB2312" w:cs="Times New Roman"/>
          <w:kern w:val="2"/>
          <w:sz w:val="32"/>
          <w:szCs w:val="32"/>
          <w:lang w:val="en-US" w:eastAsia="zh-CN" w:bidi="ar-SA"/>
        </w:rPr>
        <w:t>0</w:t>
      </w:r>
      <w:r>
        <w:rPr>
          <w:rFonts w:hint="eastAsia" w:ascii="仿宋_GB2312" w:hAnsi="Times New Roman" w:eastAsia="仿宋_GB2312" w:cs="Times New Roman"/>
          <w:kern w:val="2"/>
          <w:sz w:val="32"/>
          <w:szCs w:val="32"/>
          <w:lang w:val="zh-CN" w:eastAsia="zh-CN" w:bidi="ar-SA"/>
        </w:rPr>
        <w:t>万元，占</w:t>
      </w:r>
      <w:r>
        <w:rPr>
          <w:rFonts w:hint="eastAsia" w:ascii="仿宋_GB2312" w:hAnsi="Times New Roman" w:eastAsia="仿宋_GB2312" w:cs="Times New Roman"/>
          <w:kern w:val="2"/>
          <w:sz w:val="32"/>
          <w:szCs w:val="32"/>
          <w:lang w:val="en-US" w:eastAsia="zh-CN" w:bidi="ar-SA"/>
        </w:rPr>
        <w:t>0</w:t>
      </w:r>
      <w:r>
        <w:rPr>
          <w:rFonts w:hint="eastAsia" w:ascii="仿宋_GB2312" w:hAnsi="Times New Roman" w:eastAsia="仿宋_GB2312" w:cs="Times New Roman"/>
          <w:kern w:val="2"/>
          <w:sz w:val="32"/>
          <w:szCs w:val="32"/>
          <w:lang w:val="zh-CN" w:eastAsia="zh-CN" w:bidi="ar-SA"/>
        </w:rPr>
        <w:t>%；上级补助收入0万元，占0%；事业收入0万元，占0%；经营收入0万元，占0%；附属单位上缴收入0万元，占0%；上年项目支出结转和结余</w:t>
      </w:r>
      <w:r>
        <w:rPr>
          <w:rFonts w:hint="eastAsia" w:ascii="仿宋_GB2312" w:hAnsi="Times New Roman" w:eastAsia="仿宋_GB2312" w:cs="Times New Roman"/>
          <w:kern w:val="2"/>
          <w:sz w:val="32"/>
          <w:szCs w:val="32"/>
          <w:lang w:val="en-US" w:eastAsia="zh-CN" w:bidi="ar-SA"/>
        </w:rPr>
        <w:t>0</w:t>
      </w:r>
      <w:r>
        <w:rPr>
          <w:rFonts w:hint="eastAsia" w:ascii="仿宋_GB2312" w:hAnsi="Times New Roman" w:eastAsia="仿宋_GB2312" w:cs="Times New Roman"/>
          <w:kern w:val="2"/>
          <w:sz w:val="32"/>
          <w:szCs w:val="32"/>
          <w:lang w:val="zh-CN" w:eastAsia="zh-CN" w:bidi="ar-SA"/>
        </w:rPr>
        <w:t>万元，占</w:t>
      </w:r>
      <w:r>
        <w:rPr>
          <w:rFonts w:hint="eastAsia" w:ascii="仿宋_GB2312" w:hAnsi="Times New Roman" w:eastAsia="仿宋_GB2312" w:cs="Times New Roman"/>
          <w:kern w:val="2"/>
          <w:sz w:val="32"/>
          <w:szCs w:val="32"/>
          <w:lang w:val="en-US" w:eastAsia="zh-CN" w:bidi="ar-SA"/>
        </w:rPr>
        <w:t>0</w:t>
      </w:r>
      <w:r>
        <w:rPr>
          <w:rFonts w:hint="eastAsia" w:ascii="仿宋_GB2312" w:hAnsi="Times New Roman" w:eastAsia="仿宋_GB2312" w:cs="Times New Roman"/>
          <w:kern w:val="2"/>
          <w:sz w:val="32"/>
          <w:szCs w:val="32"/>
          <w:lang w:val="zh-CN" w:eastAsia="zh-CN" w:bidi="ar-SA"/>
        </w:rPr>
        <w:t>%。</w:t>
      </w:r>
    </w:p>
    <w:p>
      <w:pPr>
        <w:ind w:firstLine="640" w:firstLineChars="200"/>
        <w:rPr>
          <w:rFonts w:hint="default"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zh-CN" w:eastAsia="zh-CN" w:bidi="ar-SA"/>
        </w:rPr>
        <w:t>支出执行进度：</w:t>
      </w:r>
      <w:r>
        <w:rPr>
          <w:rFonts w:hint="eastAsia" w:ascii="仿宋_GB2312" w:hAnsi="Times New Roman" w:eastAsia="仿宋_GB2312" w:cs="Times New Roman"/>
          <w:kern w:val="2"/>
          <w:sz w:val="32"/>
          <w:szCs w:val="32"/>
          <w:lang w:val="en-US" w:eastAsia="zh-CN" w:bidi="ar-SA"/>
        </w:rPr>
        <w:t>202</w:t>
      </w:r>
      <w:r>
        <w:rPr>
          <w:rFonts w:hint="eastAsia" w:ascii="仿宋_GB2312"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en-US" w:eastAsia="zh-CN" w:bidi="ar-SA"/>
        </w:rPr>
        <w:t>年度支出全年预算数为</w:t>
      </w:r>
      <w:r>
        <w:rPr>
          <w:rFonts w:hint="eastAsia" w:ascii="仿宋_GB2312" w:eastAsia="仿宋_GB2312" w:cs="Times New Roman"/>
          <w:kern w:val="2"/>
          <w:sz w:val="32"/>
          <w:szCs w:val="32"/>
          <w:lang w:val="en-US" w:eastAsia="zh-CN" w:bidi="ar-SA"/>
        </w:rPr>
        <w:t>289.92</w:t>
      </w:r>
      <w:r>
        <w:rPr>
          <w:rFonts w:hint="eastAsia" w:ascii="仿宋_GB2312" w:hAnsi="Times New Roman" w:eastAsia="仿宋_GB2312" w:cs="Times New Roman"/>
          <w:kern w:val="2"/>
          <w:sz w:val="32"/>
          <w:szCs w:val="32"/>
          <w:lang w:val="en-US" w:eastAsia="zh-CN" w:bidi="ar-SA"/>
        </w:rPr>
        <w:t>万元，支出决算数为</w:t>
      </w:r>
      <w:r>
        <w:rPr>
          <w:rFonts w:hint="eastAsia" w:ascii="仿宋_GB2312" w:eastAsia="仿宋_GB2312" w:cs="Times New Roman"/>
          <w:kern w:val="2"/>
          <w:sz w:val="32"/>
          <w:szCs w:val="32"/>
          <w:lang w:val="en-US" w:eastAsia="zh-CN" w:bidi="ar-SA"/>
        </w:rPr>
        <w:t>285.14</w:t>
      </w:r>
      <w:r>
        <w:rPr>
          <w:rFonts w:hint="eastAsia" w:ascii="仿宋_GB2312" w:hAnsi="Times New Roman" w:eastAsia="仿宋_GB2312" w:cs="Times New Roman"/>
          <w:kern w:val="2"/>
          <w:sz w:val="32"/>
          <w:szCs w:val="32"/>
          <w:lang w:val="en-US" w:eastAsia="zh-CN" w:bidi="ar-SA"/>
        </w:rPr>
        <w:t>万元，预算完成度为</w:t>
      </w:r>
      <w:r>
        <w:rPr>
          <w:rFonts w:hint="eastAsia" w:ascii="仿宋_GB2312" w:eastAsia="仿宋_GB2312" w:cs="Times New Roman"/>
          <w:kern w:val="2"/>
          <w:sz w:val="32"/>
          <w:szCs w:val="32"/>
          <w:lang w:val="en-US" w:eastAsia="zh-CN" w:bidi="ar-SA"/>
        </w:rPr>
        <w:t>98.35</w:t>
      </w:r>
      <w:r>
        <w:rPr>
          <w:rFonts w:hint="eastAsia" w:ascii="仿宋_GB2312" w:hAnsi="Times New Roman" w:eastAsia="仿宋_GB2312" w:cs="Times New Roman"/>
          <w:kern w:val="2"/>
          <w:sz w:val="32"/>
          <w:szCs w:val="32"/>
          <w:lang w:val="en-US" w:eastAsia="zh-CN" w:bidi="ar-SA"/>
        </w:rPr>
        <w:t>%，执行进度</w:t>
      </w:r>
      <w:r>
        <w:rPr>
          <w:rFonts w:hint="eastAsia" w:ascii="仿宋_GB2312" w:eastAsia="仿宋_GB2312" w:cs="Times New Roman"/>
          <w:kern w:val="2"/>
          <w:sz w:val="32"/>
          <w:szCs w:val="32"/>
          <w:lang w:val="en-US" w:eastAsia="zh-CN" w:bidi="ar-SA"/>
        </w:rPr>
        <w:t>98.35</w:t>
      </w:r>
      <w:r>
        <w:rPr>
          <w:rFonts w:hint="eastAsia" w:ascii="仿宋_GB2312" w:hAnsi="Times New Roman" w:eastAsia="仿宋_GB2312" w:cs="Times New Roman"/>
          <w:kern w:val="2"/>
          <w:sz w:val="32"/>
          <w:szCs w:val="32"/>
          <w:lang w:val="en-US" w:eastAsia="zh-CN" w:bidi="ar-SA"/>
        </w:rPr>
        <w:t>%。</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hAnsi="Times New Roman" w:eastAsia="仿宋_GB2312" w:cs="Times New Roman"/>
          <w:kern w:val="2"/>
          <w:sz w:val="32"/>
          <w:szCs w:val="32"/>
          <w:lang w:val="zh-CN" w:eastAsia="zh-CN" w:bidi="ar-SA"/>
        </w:rPr>
        <w:t>预算年终结余：无。</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eastAsia="仿宋_GB2312" w:cs="Times New Roman"/>
          <w:kern w:val="2"/>
          <w:sz w:val="32"/>
          <w:szCs w:val="32"/>
          <w:lang w:val="en-US" w:eastAsia="zh-CN" w:bidi="ar-SA"/>
        </w:rPr>
        <w:t>3.</w:t>
      </w:r>
      <w:r>
        <w:rPr>
          <w:rFonts w:hint="eastAsia" w:ascii="仿宋_GB2312" w:hAnsi="Times New Roman" w:eastAsia="仿宋_GB2312" w:cs="Times New Roman"/>
          <w:kern w:val="2"/>
          <w:sz w:val="32"/>
          <w:szCs w:val="32"/>
          <w:lang w:val="zh-CN" w:eastAsia="zh-CN" w:bidi="ar-SA"/>
        </w:rPr>
        <w:t>财务管理。围绕财务管理制度、财务岗位设置、资金使用规范进行绩效分析。</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hAnsi="Times New Roman" w:eastAsia="仿宋_GB2312" w:cs="Times New Roman"/>
          <w:kern w:val="2"/>
          <w:sz w:val="32"/>
          <w:szCs w:val="32"/>
          <w:lang w:val="zh-CN" w:eastAsia="zh-CN" w:bidi="ar-SA"/>
        </w:rPr>
        <w:t>执行国家有关财务法律法规的同时，建立健全内部财务管理制度，按照党风廉政建设的要求，全体干部职工廉洁奉公、忠于职守。禁止利用职权和职务上的便利谋取不正当的利益。制定了相关规章制度，加强了项目资金的管理和监督，杜绝违规违法事件的发生。本着勤俭节约原则，管理好用好每笔资金。财务活动接受审计、财政、纪检监察等部门的监督检查，无存在违规进行资产购置，擅自处置财产、对外投资，财政票据管理、使用不规范等问题，按照规定保管会计档案，并建立完善的内部控制制度和监督制度。</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hAnsi="Times New Roman" w:eastAsia="仿宋_GB2312" w:cs="Times New Roman"/>
          <w:kern w:val="2"/>
          <w:sz w:val="32"/>
          <w:szCs w:val="32"/>
          <w:lang w:val="zh-CN" w:eastAsia="zh-CN" w:bidi="ar-SA"/>
        </w:rPr>
        <w:t>根据本单位工作实际，在建立并实施内部监督和控制制度过程中，建立和完善各项制度的同时，相关人员在工作过程中严格遵守这些规章制度，有效地实施了内部监督和控制，保证了会计工作的真实性、完整性以及单位财产的安全，加强了对本单位财产物资的监督和管理，杜绝了各种漏洞的发生，达到了以下四点要求：</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hAnsi="Times New Roman" w:eastAsia="仿宋_GB2312" w:cs="Times New Roman"/>
          <w:kern w:val="2"/>
          <w:sz w:val="32"/>
          <w:szCs w:val="32"/>
          <w:lang w:val="en-US" w:eastAsia="zh-CN" w:bidi="ar-SA"/>
        </w:rPr>
        <w:t>A</w:t>
      </w:r>
      <w:r>
        <w:rPr>
          <w:rFonts w:hint="eastAsia" w:ascii="仿宋_GB2312" w:hAnsi="Times New Roman" w:eastAsia="仿宋_GB2312" w:cs="Times New Roman"/>
          <w:kern w:val="2"/>
          <w:sz w:val="32"/>
          <w:szCs w:val="32"/>
          <w:lang w:val="zh-CN" w:eastAsia="zh-CN" w:bidi="ar-SA"/>
        </w:rPr>
        <w:t>、明确了记账人员与审批人员、经办人员的职责权限，使其相互分离、相互制约，以明确责任，防止舞弊，各项业务事项得以有序进行。</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hAnsi="Times New Roman" w:eastAsia="仿宋_GB2312" w:cs="Times New Roman"/>
          <w:kern w:val="2"/>
          <w:sz w:val="32"/>
          <w:szCs w:val="32"/>
          <w:lang w:val="en-US" w:eastAsia="zh-CN" w:bidi="ar-SA"/>
        </w:rPr>
        <w:t>B</w:t>
      </w:r>
      <w:r>
        <w:rPr>
          <w:rFonts w:hint="eastAsia" w:ascii="仿宋_GB2312" w:hAnsi="Times New Roman" w:eastAsia="仿宋_GB2312" w:cs="Times New Roman"/>
          <w:kern w:val="2"/>
          <w:sz w:val="32"/>
          <w:szCs w:val="32"/>
          <w:lang w:val="zh-CN" w:eastAsia="zh-CN" w:bidi="ar-SA"/>
        </w:rPr>
        <w:t>、明确了财务收支审批程序和审批人的权限和责任，规范了各项资金的使用，提高了资金使用效益。</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hAnsi="Times New Roman" w:eastAsia="仿宋_GB2312" w:cs="Times New Roman"/>
          <w:kern w:val="2"/>
          <w:sz w:val="32"/>
          <w:szCs w:val="32"/>
          <w:lang w:val="en-US" w:eastAsia="zh-CN" w:bidi="ar-SA"/>
        </w:rPr>
        <w:t>C</w:t>
      </w:r>
      <w:r>
        <w:rPr>
          <w:rFonts w:hint="eastAsia" w:ascii="仿宋_GB2312" w:hAnsi="Times New Roman" w:eastAsia="仿宋_GB2312" w:cs="Times New Roman"/>
          <w:kern w:val="2"/>
          <w:sz w:val="32"/>
          <w:szCs w:val="32"/>
          <w:lang w:val="zh-CN" w:eastAsia="zh-CN" w:bidi="ar-SA"/>
        </w:rPr>
        <w:t>、明确经费支出的范围和开支标准，采取各种有效措施控制经费开支，杜绝了浪费现象的发生。</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hAnsi="Times New Roman" w:eastAsia="仿宋_GB2312" w:cs="Times New Roman"/>
          <w:kern w:val="2"/>
          <w:sz w:val="32"/>
          <w:szCs w:val="32"/>
          <w:lang w:val="en-US" w:eastAsia="zh-CN" w:bidi="ar-SA"/>
        </w:rPr>
        <w:t>D</w:t>
      </w:r>
      <w:r>
        <w:rPr>
          <w:rFonts w:hint="eastAsia" w:ascii="仿宋_GB2312" w:hAnsi="Times New Roman" w:eastAsia="仿宋_GB2312" w:cs="Times New Roman"/>
          <w:kern w:val="2"/>
          <w:sz w:val="32"/>
          <w:szCs w:val="32"/>
          <w:lang w:val="zh-CN" w:eastAsia="zh-CN" w:bidi="ar-SA"/>
        </w:rPr>
        <w:t>、明确账务处理程序，根据机关事业单位会计制度的规定，确定单位会计科目和明细科目的设置和使用范围；确定本单位会计凭证格式、填制要求、审核要求、传递程序、保管要求等；确定本单位的总账、明细账、银行存款日记账、各种辅助账等的设置、格式、登记、对账、结算、改错等要求，确保会计核算准确无误。</w:t>
      </w:r>
    </w:p>
    <w:p>
      <w:pPr>
        <w:ind w:firstLine="640" w:firstLineChars="200"/>
        <w:rPr>
          <w:rFonts w:hint="eastAsia" w:ascii="仿宋_GB2312" w:hAnsi="Times New Roman" w:eastAsia="仿宋_GB2312" w:cs="Times New Roman"/>
          <w:kern w:val="2"/>
          <w:sz w:val="32"/>
          <w:szCs w:val="32"/>
          <w:lang w:val="en-US" w:eastAsia="zh-CN" w:bidi="ar-SA"/>
        </w:rPr>
      </w:pPr>
      <w:r>
        <w:rPr>
          <w:rFonts w:hint="eastAsia" w:ascii="仿宋_GB2312" w:eastAsia="仿宋_GB2312" w:cs="Times New Roman"/>
          <w:kern w:val="2"/>
          <w:sz w:val="32"/>
          <w:szCs w:val="32"/>
          <w:lang w:val="en-US" w:eastAsia="zh-CN" w:bidi="ar-SA"/>
        </w:rPr>
        <w:t>4.</w:t>
      </w:r>
      <w:r>
        <w:rPr>
          <w:rFonts w:hint="eastAsia" w:ascii="仿宋_GB2312" w:hAnsi="Times New Roman" w:eastAsia="仿宋_GB2312" w:cs="Times New Roman"/>
          <w:kern w:val="2"/>
          <w:sz w:val="32"/>
          <w:szCs w:val="32"/>
          <w:lang w:val="zh-CN" w:eastAsia="zh-CN" w:bidi="ar-SA"/>
        </w:rPr>
        <w:t>资产管理。围绕人均资产变化率、资产利用率、资产盘活率进行绩效分析。</w:t>
      </w:r>
      <w:r>
        <w:rPr>
          <w:rFonts w:hint="eastAsia" w:ascii="仿宋_GB2312" w:hAnsi="Times New Roman" w:eastAsia="仿宋_GB2312" w:cs="Times New Roman"/>
          <w:kern w:val="2"/>
          <w:sz w:val="32"/>
          <w:szCs w:val="32"/>
          <w:lang w:val="en-US" w:eastAsia="zh-CN" w:bidi="ar-SA"/>
        </w:rPr>
        <w:t xml:space="preserve">  </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hAnsi="Times New Roman" w:eastAsia="仿宋_GB2312" w:cs="Times New Roman"/>
          <w:kern w:val="2"/>
          <w:sz w:val="32"/>
          <w:szCs w:val="32"/>
          <w:lang w:val="zh-CN" w:eastAsia="zh-CN" w:bidi="ar-SA"/>
        </w:rPr>
        <w:t>人均资产变化率：无变化。</w:t>
      </w:r>
    </w:p>
    <w:p>
      <w:pPr>
        <w:ind w:firstLine="640" w:firstLineChars="200"/>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zh-CN" w:eastAsia="zh-CN" w:bidi="ar-SA"/>
        </w:rPr>
        <w:t>资产利用率：</w:t>
      </w:r>
      <w:r>
        <w:rPr>
          <w:rFonts w:hint="eastAsia" w:ascii="仿宋_GB2312" w:hAnsi="Times New Roman" w:eastAsia="仿宋_GB2312" w:cs="Times New Roman"/>
          <w:kern w:val="2"/>
          <w:sz w:val="32"/>
          <w:szCs w:val="32"/>
          <w:lang w:val="en-US" w:eastAsia="zh-CN" w:bidi="ar-SA"/>
        </w:rPr>
        <w:t>100%。</w:t>
      </w:r>
    </w:p>
    <w:p>
      <w:pPr>
        <w:ind w:firstLine="640" w:firstLineChars="200"/>
        <w:rPr>
          <w:rFonts w:hint="default"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zh-CN" w:eastAsia="zh-CN" w:bidi="ar-SA"/>
        </w:rPr>
        <w:t>资产盘活率：</w:t>
      </w:r>
      <w:r>
        <w:rPr>
          <w:rFonts w:hint="eastAsia" w:ascii="仿宋_GB2312" w:hAnsi="Times New Roman" w:eastAsia="仿宋_GB2312" w:cs="Times New Roman"/>
          <w:kern w:val="2"/>
          <w:sz w:val="32"/>
          <w:szCs w:val="32"/>
          <w:lang w:val="en-US" w:eastAsia="zh-CN" w:bidi="ar-SA"/>
        </w:rPr>
        <w:t>90%。</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hAnsi="Times New Roman" w:eastAsia="仿宋_GB2312" w:cs="Times New Roman"/>
          <w:kern w:val="2"/>
          <w:sz w:val="32"/>
          <w:szCs w:val="32"/>
          <w:lang w:val="zh-CN" w:eastAsia="zh-CN" w:bidi="ar-SA"/>
        </w:rPr>
        <w:t>单位资产管理由办公室总负责，使用人具体负责管理，对不能继续使用的资产由使用人交回办公室并提出申请，由办公室提供材料交给财务室按照相关程序统一购置。财政所每年对单位资产进行一次集中清理，对不能使用的资产及时报相关部门进行报废处理。</w:t>
      </w:r>
    </w:p>
    <w:p>
      <w:pPr>
        <w:ind w:firstLine="640" w:firstLineChars="200"/>
        <w:rPr>
          <w:rFonts w:hint="eastAsia" w:ascii="仿宋_GB2312" w:hAnsi="Times New Roman" w:eastAsia="仿宋_GB2312" w:cs="Times New Roman"/>
          <w:kern w:val="2"/>
          <w:sz w:val="32"/>
          <w:szCs w:val="32"/>
          <w:lang w:val="zh-CN" w:eastAsia="zh-CN" w:bidi="ar-SA"/>
        </w:rPr>
      </w:pPr>
      <w:r>
        <w:rPr>
          <w:rFonts w:hint="eastAsia" w:ascii="仿宋_GB2312" w:eastAsia="仿宋_GB2312" w:cs="Times New Roman"/>
          <w:kern w:val="2"/>
          <w:sz w:val="32"/>
          <w:szCs w:val="32"/>
          <w:lang w:val="en-US" w:eastAsia="zh-CN" w:bidi="ar-SA"/>
        </w:rPr>
        <w:t>5.</w:t>
      </w:r>
      <w:r>
        <w:rPr>
          <w:rFonts w:hint="eastAsia" w:ascii="仿宋_GB2312" w:hAnsi="Times New Roman" w:eastAsia="仿宋_GB2312" w:cs="Times New Roman"/>
          <w:kern w:val="2"/>
          <w:sz w:val="32"/>
          <w:szCs w:val="32"/>
          <w:lang w:val="zh-CN" w:eastAsia="zh-CN" w:bidi="ar-SA"/>
        </w:rPr>
        <w:t>采购管理。围绕支持中小企业发展、采购执行率进行绩效分析。</w:t>
      </w:r>
    </w:p>
    <w:p>
      <w:pPr>
        <w:rPr>
          <w:rFonts w:hint="default"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 xml:space="preserve">   本单位无采购。</w:t>
      </w:r>
    </w:p>
    <w:p>
      <w:pPr>
        <w:ind w:firstLine="643" w:firstLineChars="200"/>
        <w:rPr>
          <w:rFonts w:eastAsia="仿宋_GB2312"/>
          <w:sz w:val="32"/>
          <w:szCs w:val="32"/>
          <w:highlight w:val="none"/>
          <w:lang w:val="zh-CN"/>
        </w:rPr>
      </w:pPr>
      <w:r>
        <w:rPr>
          <w:rFonts w:hint="eastAsia" w:ascii="楷体_GB2312" w:eastAsia="楷体_GB2312"/>
          <w:b/>
          <w:sz w:val="32"/>
          <w:szCs w:val="32"/>
        </w:rPr>
        <w:t>（二）部门预算项目绩效分析。</w:t>
      </w:r>
      <w:r>
        <w:rPr>
          <w:rFonts w:hint="eastAsia" w:eastAsia="仿宋_GB2312"/>
          <w:sz w:val="32"/>
          <w:szCs w:val="32"/>
          <w:lang w:val="zh-CN"/>
        </w:rPr>
        <w:t>填报以下数据，并根据部门预算绩效评价指标体系“项目绩效”涉及二、三级指标进行逐项绩效分析并评分，依次包括项目决策、项目执行、目标</w:t>
      </w:r>
      <w:r>
        <w:rPr>
          <w:rFonts w:hint="eastAsia" w:eastAsia="仿宋_GB2312"/>
          <w:sz w:val="32"/>
          <w:szCs w:val="32"/>
          <w:highlight w:val="none"/>
          <w:lang w:val="zh-CN"/>
        </w:rPr>
        <w:t>实现等情况。</w:t>
      </w:r>
    </w:p>
    <w:p>
      <w:pPr>
        <w:ind w:firstLine="640" w:firstLineChars="200"/>
        <w:rPr>
          <w:rFonts w:hint="eastAsia" w:ascii="Times New Roman" w:hAnsi="Times New Roman" w:eastAsia="仿宋_GB2312" w:cs="Times New Roman"/>
          <w:sz w:val="32"/>
          <w:szCs w:val="32"/>
          <w:highlight w:val="none"/>
          <w:lang w:val="zh-CN" w:eastAsia="zh-CN"/>
        </w:rPr>
      </w:pPr>
      <w:r>
        <w:rPr>
          <w:rFonts w:hint="eastAsia" w:ascii="Times New Roman" w:hAnsi="Times New Roman" w:eastAsia="仿宋_GB2312" w:cs="Times New Roman"/>
          <w:sz w:val="32"/>
          <w:szCs w:val="32"/>
          <w:highlight w:val="none"/>
          <w:lang w:val="en-US" w:eastAsia="zh-CN"/>
        </w:rPr>
        <w:t>常年项目绩效分析。</w:t>
      </w:r>
      <w:r>
        <w:rPr>
          <w:rFonts w:hint="eastAsia" w:ascii="Times New Roman" w:hAnsi="Times New Roman" w:eastAsia="仿宋_GB2312" w:cs="Times New Roman"/>
          <w:sz w:val="32"/>
          <w:szCs w:val="32"/>
          <w:highlight w:val="none"/>
          <w:lang w:val="zh-CN" w:eastAsia="zh-CN"/>
        </w:rPr>
        <w:t>该类项目总数</w:t>
      </w:r>
      <w:r>
        <w:rPr>
          <w:rFonts w:hint="eastAsia" w:eastAsia="仿宋_GB2312" w:cs="Times New Roman"/>
          <w:sz w:val="32"/>
          <w:szCs w:val="32"/>
          <w:highlight w:val="none"/>
          <w:lang w:val="en-US" w:eastAsia="zh-CN"/>
        </w:rPr>
        <w:t>2</w:t>
      </w:r>
      <w:r>
        <w:rPr>
          <w:rFonts w:hint="eastAsia" w:ascii="Times New Roman" w:hAnsi="Times New Roman" w:eastAsia="仿宋_GB2312" w:cs="Times New Roman"/>
          <w:sz w:val="32"/>
          <w:szCs w:val="32"/>
          <w:highlight w:val="none"/>
          <w:lang w:val="zh-CN" w:eastAsia="zh-CN"/>
        </w:rPr>
        <w:t>个，涉及预算总金额</w:t>
      </w:r>
      <w:r>
        <w:rPr>
          <w:rFonts w:hint="eastAsia" w:eastAsia="仿宋_GB2312" w:cs="Times New Roman"/>
          <w:sz w:val="32"/>
          <w:szCs w:val="32"/>
          <w:highlight w:val="none"/>
          <w:lang w:val="en-US" w:eastAsia="zh-CN"/>
        </w:rPr>
        <w:t>25.02</w:t>
      </w:r>
      <w:r>
        <w:rPr>
          <w:rFonts w:hint="eastAsia" w:ascii="Times New Roman" w:hAnsi="Times New Roman" w:eastAsia="仿宋_GB2312" w:cs="Times New Roman"/>
          <w:sz w:val="32"/>
          <w:szCs w:val="32"/>
          <w:highlight w:val="none"/>
          <w:lang w:val="zh-CN" w:eastAsia="zh-CN"/>
        </w:rPr>
        <w:t>万元，1—1</w:t>
      </w:r>
      <w:r>
        <w:rPr>
          <w:rFonts w:hint="eastAsia" w:ascii="Times New Roman" w:hAnsi="Times New Roman" w:eastAsia="仿宋_GB2312" w:cs="Times New Roman"/>
          <w:sz w:val="32"/>
          <w:szCs w:val="32"/>
          <w:highlight w:val="none"/>
          <w:lang w:val="en-US" w:eastAsia="zh-CN"/>
        </w:rPr>
        <w:t>2</w:t>
      </w:r>
      <w:r>
        <w:rPr>
          <w:rFonts w:hint="eastAsia" w:ascii="Times New Roman" w:hAnsi="Times New Roman" w:eastAsia="仿宋_GB2312" w:cs="Times New Roman"/>
          <w:sz w:val="32"/>
          <w:szCs w:val="32"/>
          <w:highlight w:val="none"/>
          <w:lang w:val="zh-CN" w:eastAsia="zh-CN"/>
        </w:rPr>
        <w:t>月预算执行总体进度为</w:t>
      </w:r>
      <w:r>
        <w:rPr>
          <w:rFonts w:hint="eastAsia" w:eastAsia="仿宋_GB2312" w:cs="Times New Roman"/>
          <w:sz w:val="32"/>
          <w:szCs w:val="32"/>
          <w:highlight w:val="none"/>
          <w:lang w:val="en-US" w:eastAsia="zh-CN"/>
        </w:rPr>
        <w:t>94..87</w:t>
      </w:r>
      <w:r>
        <w:rPr>
          <w:rFonts w:hint="eastAsia" w:ascii="Times New Roman" w:hAnsi="Times New Roman" w:eastAsia="仿宋_GB2312" w:cs="Times New Roman"/>
          <w:sz w:val="32"/>
          <w:szCs w:val="32"/>
          <w:highlight w:val="none"/>
          <w:lang w:val="zh-CN" w:eastAsia="zh-CN"/>
        </w:rPr>
        <w:t>%，其中：预算结余率大于</w:t>
      </w:r>
      <w:r>
        <w:rPr>
          <w:rFonts w:hint="eastAsia" w:ascii="Times New Roman" w:hAnsi="Times New Roman" w:eastAsia="仿宋_GB2312" w:cs="Times New Roman"/>
          <w:sz w:val="32"/>
          <w:szCs w:val="32"/>
          <w:highlight w:val="none"/>
          <w:lang w:val="en-US" w:eastAsia="zh-CN"/>
        </w:rPr>
        <w:t>10%</w:t>
      </w:r>
      <w:r>
        <w:rPr>
          <w:rFonts w:hint="eastAsia" w:ascii="Times New Roman" w:hAnsi="Times New Roman" w:eastAsia="仿宋_GB2312" w:cs="Times New Roman"/>
          <w:sz w:val="32"/>
          <w:szCs w:val="32"/>
          <w:highlight w:val="none"/>
          <w:lang w:val="zh-CN" w:eastAsia="zh-CN"/>
        </w:rPr>
        <w:t>的项目共计</w:t>
      </w:r>
      <w:r>
        <w:rPr>
          <w:rFonts w:hint="eastAsia" w:eastAsia="仿宋_GB2312" w:cs="Times New Roman"/>
          <w:sz w:val="32"/>
          <w:szCs w:val="32"/>
          <w:highlight w:val="none"/>
          <w:lang w:val="en-US" w:eastAsia="zh-CN"/>
        </w:rPr>
        <w:t>1</w:t>
      </w:r>
      <w:r>
        <w:rPr>
          <w:rFonts w:hint="eastAsia" w:ascii="Times New Roman" w:hAnsi="Times New Roman" w:eastAsia="仿宋_GB2312" w:cs="Times New Roman"/>
          <w:sz w:val="32"/>
          <w:szCs w:val="32"/>
          <w:highlight w:val="none"/>
          <w:lang w:val="zh-CN" w:eastAsia="zh-CN"/>
        </w:rPr>
        <w:t>个。</w:t>
      </w:r>
    </w:p>
    <w:p>
      <w:pPr>
        <w:ind w:firstLine="640" w:firstLineChars="20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highlight w:val="none"/>
          <w:lang w:val="en-US" w:eastAsia="zh-CN"/>
        </w:rPr>
        <w:t>阶段（一次性）项目绩效分析。</w:t>
      </w:r>
      <w:r>
        <w:rPr>
          <w:rFonts w:hint="eastAsia" w:ascii="Times New Roman" w:hAnsi="Times New Roman" w:eastAsia="仿宋_GB2312" w:cs="Times New Roman"/>
          <w:sz w:val="32"/>
          <w:szCs w:val="32"/>
          <w:highlight w:val="none"/>
          <w:lang w:val="zh-CN" w:eastAsia="zh-CN"/>
        </w:rPr>
        <w:t>该类项目总数</w:t>
      </w:r>
      <w:r>
        <w:rPr>
          <w:rFonts w:hint="eastAsia" w:eastAsia="仿宋_GB2312" w:cs="Times New Roman"/>
          <w:sz w:val="32"/>
          <w:szCs w:val="32"/>
          <w:highlight w:val="none"/>
          <w:lang w:val="en-US" w:eastAsia="zh-CN"/>
        </w:rPr>
        <w:t>3</w:t>
      </w:r>
      <w:r>
        <w:rPr>
          <w:rFonts w:hint="eastAsia" w:ascii="Times New Roman" w:hAnsi="Times New Roman" w:eastAsia="仿宋_GB2312" w:cs="Times New Roman"/>
          <w:sz w:val="32"/>
          <w:szCs w:val="32"/>
          <w:highlight w:val="none"/>
          <w:lang w:val="zh-CN" w:eastAsia="zh-CN"/>
        </w:rPr>
        <w:t>个，涉及预算总金额</w:t>
      </w:r>
      <w:r>
        <w:rPr>
          <w:rFonts w:hint="eastAsia" w:eastAsia="仿宋_GB2312" w:cs="Times New Roman"/>
          <w:sz w:val="32"/>
          <w:szCs w:val="32"/>
          <w:highlight w:val="none"/>
          <w:lang w:val="en-US" w:eastAsia="zh-CN"/>
        </w:rPr>
        <w:t>69.39</w:t>
      </w:r>
      <w:r>
        <w:rPr>
          <w:rFonts w:hint="eastAsia" w:ascii="Times New Roman" w:hAnsi="Times New Roman" w:eastAsia="仿宋_GB2312" w:cs="Times New Roman"/>
          <w:sz w:val="32"/>
          <w:szCs w:val="32"/>
          <w:highlight w:val="none"/>
          <w:lang w:val="zh-CN" w:eastAsia="zh-CN"/>
        </w:rPr>
        <w:t>万元，1—1</w:t>
      </w:r>
      <w:r>
        <w:rPr>
          <w:rFonts w:hint="eastAsia" w:ascii="Times New Roman" w:hAnsi="Times New Roman" w:eastAsia="仿宋_GB2312" w:cs="Times New Roman"/>
          <w:sz w:val="32"/>
          <w:szCs w:val="32"/>
          <w:highlight w:val="none"/>
          <w:lang w:val="en-US" w:eastAsia="zh-CN"/>
        </w:rPr>
        <w:t>2</w:t>
      </w:r>
      <w:r>
        <w:rPr>
          <w:rFonts w:hint="eastAsia" w:ascii="Times New Roman" w:hAnsi="Times New Roman" w:eastAsia="仿宋_GB2312" w:cs="Times New Roman"/>
          <w:sz w:val="32"/>
          <w:szCs w:val="32"/>
          <w:lang w:val="zh-CN" w:eastAsia="zh-CN"/>
        </w:rPr>
        <w:t>月预算执行总体进度为</w:t>
      </w:r>
      <w:r>
        <w:rPr>
          <w:rFonts w:hint="eastAsia" w:eastAsia="仿宋_GB2312" w:cs="Times New Roman"/>
          <w:sz w:val="32"/>
          <w:szCs w:val="32"/>
          <w:lang w:val="en-US" w:eastAsia="zh-CN"/>
        </w:rPr>
        <w:t>10</w:t>
      </w:r>
      <w:r>
        <w:rPr>
          <w:rFonts w:hint="eastAsia" w:ascii="Times New Roman" w:hAnsi="Times New Roman" w:eastAsia="仿宋_GB2312" w:cs="Times New Roman"/>
          <w:sz w:val="32"/>
          <w:szCs w:val="32"/>
          <w:lang w:val="en-US" w:eastAsia="zh-CN"/>
        </w:rPr>
        <w:t>0</w:t>
      </w:r>
      <w:r>
        <w:rPr>
          <w:rFonts w:hint="eastAsia" w:ascii="Times New Roman" w:hAnsi="Times New Roman" w:eastAsia="仿宋_GB2312" w:cs="Times New Roman"/>
          <w:sz w:val="32"/>
          <w:szCs w:val="32"/>
          <w:lang w:val="zh-CN" w:eastAsia="zh-CN"/>
        </w:rPr>
        <w:t>%，其中：预算结余率大于</w:t>
      </w:r>
      <w:r>
        <w:rPr>
          <w:rFonts w:hint="eastAsia" w:ascii="Times New Roman" w:hAnsi="Times New Roman" w:eastAsia="仿宋_GB2312" w:cs="Times New Roman"/>
          <w:sz w:val="32"/>
          <w:szCs w:val="32"/>
          <w:lang w:val="en-US" w:eastAsia="zh-CN"/>
        </w:rPr>
        <w:t>10%</w:t>
      </w:r>
      <w:r>
        <w:rPr>
          <w:rFonts w:hint="eastAsia" w:ascii="Times New Roman" w:hAnsi="Times New Roman" w:eastAsia="仿宋_GB2312" w:cs="Times New Roman"/>
          <w:sz w:val="32"/>
          <w:szCs w:val="32"/>
          <w:lang w:val="zh-CN" w:eastAsia="zh-CN"/>
        </w:rPr>
        <w:t>的项目共计</w:t>
      </w:r>
      <w:r>
        <w:rPr>
          <w:rFonts w:hint="eastAsia" w:eastAsia="仿宋_GB2312" w:cs="Times New Roman"/>
          <w:sz w:val="32"/>
          <w:szCs w:val="32"/>
          <w:lang w:val="en-US" w:eastAsia="zh-CN"/>
        </w:rPr>
        <w:t>0</w:t>
      </w:r>
      <w:r>
        <w:rPr>
          <w:rFonts w:hint="eastAsia" w:ascii="Times New Roman" w:hAnsi="Times New Roman" w:eastAsia="仿宋_GB2312" w:cs="Times New Roman"/>
          <w:sz w:val="32"/>
          <w:szCs w:val="32"/>
          <w:lang w:val="zh-CN" w:eastAsia="zh-CN"/>
        </w:rPr>
        <w:t>个。</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楷体_GB2312" w:hAnsi="楷体_GB2312" w:eastAsia="楷体_GB2312" w:cs="楷体_GB2312"/>
          <w:color w:val="000000"/>
          <w:kern w:val="0"/>
          <w:sz w:val="32"/>
          <w:szCs w:val="32"/>
          <w:shd w:val="clear" w:color="auto" w:fill="FFFFFF"/>
        </w:rPr>
      </w:pPr>
      <w:r>
        <w:rPr>
          <w:rFonts w:hint="eastAsia" w:ascii="楷体_GB2312" w:hAnsi="楷体_GB2312" w:eastAsia="楷体_GB2312" w:cs="楷体_GB2312"/>
          <w:color w:val="000000"/>
          <w:kern w:val="0"/>
          <w:sz w:val="32"/>
          <w:szCs w:val="32"/>
          <w:shd w:val="clear" w:color="auto" w:fill="FFFFFF"/>
          <w:lang w:val="en-US" w:eastAsia="zh-CN"/>
        </w:rPr>
        <w:t>1.</w:t>
      </w:r>
      <w:r>
        <w:rPr>
          <w:rFonts w:hint="eastAsia" w:ascii="楷体_GB2312" w:hAnsi="楷体_GB2312" w:eastAsia="楷体_GB2312" w:cs="楷体_GB2312"/>
          <w:color w:val="000000"/>
          <w:kern w:val="0"/>
          <w:sz w:val="32"/>
          <w:szCs w:val="32"/>
          <w:shd w:val="clear" w:color="auto" w:fill="FFFFFF"/>
        </w:rPr>
        <w:t>项目决策。</w:t>
      </w:r>
    </w:p>
    <w:p>
      <w:pPr>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eastAsia="zh-CN"/>
        </w:rPr>
        <w:t>决策程序：</w:t>
      </w:r>
      <w:r>
        <w:rPr>
          <w:rFonts w:hint="eastAsia" w:ascii="Times New Roman" w:hAnsi="Times New Roman" w:eastAsia="仿宋_GB2312" w:cs="Times New Roman"/>
          <w:sz w:val="32"/>
          <w:szCs w:val="32"/>
          <w:lang w:val="en-US" w:eastAsia="zh-CN"/>
        </w:rPr>
        <w:t>加强对领导机关、领导干部特别是各级领导班子主要负责人的监督。认真检查党的路线、方针、政策和决议的执行情况，监督民主集中制及领导班子议事规则落实情况，反属重大决策、重要干部任免、重大项目安排和大额度资金的使用，必须由领导班子集体作出决定。</w:t>
      </w:r>
    </w:p>
    <w:p>
      <w:pPr>
        <w:ind w:firstLine="640" w:firstLineChars="20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目标设置：有序推进全县妇联工作的协调、督查和综合服务工作；组织参与对妇女工作发展中新情况、新问题及广大妇女群众利益密切相关的政策问题的调查研究，提出相应的对策和建议，参与有关维护妇女儿童合法权益工作；协调和督促乡镇妇联及机关各部门落实县妇联工作部署与要求；指导妇联系统的基层组织建设和干部培训工作；制定、实施妇联系统干部教育培训工作；宣传普及家庭教育科学知识，牵头组织和指导全县“三八节”和“六一节”活动；开展困境妇女和儿童救助活动，为维护改革发展稳定大局服务。</w:t>
      </w:r>
    </w:p>
    <w:p>
      <w:pPr>
        <w:ind w:firstLine="640" w:firstLineChars="200"/>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项目入库：</w:t>
      </w:r>
      <w:r>
        <w:rPr>
          <w:rFonts w:hint="eastAsia" w:ascii="Times New Roman" w:hAnsi="Times New Roman" w:eastAsia="仿宋_GB2312" w:cs="Times New Roman"/>
          <w:sz w:val="32"/>
          <w:szCs w:val="32"/>
          <w:lang w:val="en-US" w:eastAsia="zh-CN"/>
        </w:rPr>
        <w:t>严格</w:t>
      </w:r>
      <w:r>
        <w:rPr>
          <w:rFonts w:hint="eastAsia" w:ascii="Times New Roman" w:hAnsi="Times New Roman" w:eastAsia="仿宋_GB2312" w:cs="Times New Roman"/>
          <w:sz w:val="32"/>
          <w:szCs w:val="32"/>
          <w:lang w:val="zh-CN"/>
        </w:rPr>
        <w:t>按照程序以及要求，项目在资金使用前必须进行项目入库。</w:t>
      </w:r>
    </w:p>
    <w:p>
      <w:pPr>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eastAsia="zh-CN"/>
        </w:rPr>
        <w:t>2.项目执行。</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年预算决算总收入</w:t>
      </w:r>
      <w:r>
        <w:rPr>
          <w:rFonts w:hint="eastAsia" w:eastAsia="仿宋_GB2312" w:cs="Times New Roman"/>
          <w:sz w:val="32"/>
          <w:szCs w:val="32"/>
          <w:lang w:val="en-US" w:eastAsia="zh-CN"/>
        </w:rPr>
        <w:t>285.14</w:t>
      </w:r>
      <w:r>
        <w:rPr>
          <w:rFonts w:hint="eastAsia" w:ascii="Times New Roman" w:hAnsi="Times New Roman" w:eastAsia="仿宋_GB2312" w:cs="Times New Roman"/>
          <w:sz w:val="32"/>
          <w:szCs w:val="32"/>
          <w:lang w:val="zh-CN" w:eastAsia="zh-CN"/>
        </w:rPr>
        <w:t>万元，</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年支出合计</w:t>
      </w:r>
      <w:r>
        <w:rPr>
          <w:rFonts w:hint="eastAsia" w:eastAsia="仿宋_GB2312" w:cs="Times New Roman"/>
          <w:sz w:val="32"/>
          <w:szCs w:val="32"/>
          <w:lang w:val="en-US" w:eastAsia="zh-CN"/>
        </w:rPr>
        <w:t>285.14</w:t>
      </w:r>
      <w:r>
        <w:rPr>
          <w:rFonts w:hint="eastAsia" w:ascii="Times New Roman" w:hAnsi="Times New Roman" w:eastAsia="仿宋_GB2312" w:cs="Times New Roman"/>
          <w:sz w:val="32"/>
          <w:szCs w:val="32"/>
          <w:lang w:val="zh-CN" w:eastAsia="zh-CN"/>
        </w:rPr>
        <w:t>万元，</w:t>
      </w:r>
      <w:r>
        <w:rPr>
          <w:rFonts w:hint="eastAsia" w:ascii="Times New Roman" w:hAnsi="Times New Roman" w:eastAsia="仿宋_GB2312" w:cs="Times New Roman"/>
          <w:sz w:val="32"/>
          <w:szCs w:val="32"/>
          <w:lang w:val="en-US" w:eastAsia="zh-CN"/>
        </w:rPr>
        <w:t>资金使用率</w:t>
      </w:r>
      <w:r>
        <w:rPr>
          <w:rFonts w:hint="eastAsia" w:ascii="Times New Roman" w:hAnsi="Times New Roman" w:eastAsia="仿宋_GB2312" w:cs="Times New Roman"/>
          <w:sz w:val="32"/>
          <w:szCs w:val="32"/>
          <w:lang w:val="zh-CN" w:eastAsia="zh-CN"/>
        </w:rPr>
        <w:t>100%。其中：一般公共服务支出</w:t>
      </w:r>
      <w:r>
        <w:rPr>
          <w:rFonts w:hint="eastAsia" w:eastAsia="仿宋_GB2312" w:cs="Times New Roman"/>
          <w:sz w:val="32"/>
          <w:szCs w:val="32"/>
          <w:lang w:val="en-US" w:eastAsia="zh-CN"/>
        </w:rPr>
        <w:t>248.01</w:t>
      </w:r>
      <w:r>
        <w:rPr>
          <w:rFonts w:hint="eastAsia" w:ascii="Times New Roman" w:hAnsi="Times New Roman" w:eastAsia="仿宋_GB2312" w:cs="Times New Roman"/>
          <w:sz w:val="32"/>
          <w:szCs w:val="32"/>
          <w:lang w:val="zh-CN" w:eastAsia="zh-CN"/>
        </w:rPr>
        <w:t>万元，占</w:t>
      </w:r>
      <w:r>
        <w:rPr>
          <w:rFonts w:hint="eastAsia" w:eastAsia="仿宋_GB2312" w:cs="Times New Roman"/>
          <w:sz w:val="32"/>
          <w:szCs w:val="32"/>
          <w:lang w:val="en-US" w:eastAsia="zh-CN"/>
        </w:rPr>
        <w:t>86.98</w:t>
      </w:r>
      <w:r>
        <w:rPr>
          <w:rFonts w:hint="eastAsia" w:ascii="Times New Roman" w:hAnsi="Times New Roman" w:eastAsia="仿宋_GB2312" w:cs="Times New Roman"/>
          <w:sz w:val="32"/>
          <w:szCs w:val="32"/>
          <w:lang w:val="zh-CN" w:eastAsia="zh-CN"/>
        </w:rPr>
        <w:t>%；社会保障和就业支出</w:t>
      </w:r>
      <w:r>
        <w:rPr>
          <w:rFonts w:hint="eastAsia" w:eastAsia="仿宋_GB2312" w:cs="Times New Roman"/>
          <w:sz w:val="32"/>
          <w:szCs w:val="32"/>
          <w:lang w:val="en-US" w:eastAsia="zh-CN"/>
        </w:rPr>
        <w:t>19.78</w:t>
      </w:r>
      <w:r>
        <w:rPr>
          <w:rFonts w:hint="eastAsia" w:ascii="Times New Roman" w:hAnsi="Times New Roman" w:eastAsia="仿宋_GB2312" w:cs="Times New Roman"/>
          <w:sz w:val="32"/>
          <w:szCs w:val="32"/>
          <w:lang w:val="zh-CN" w:eastAsia="zh-CN"/>
        </w:rPr>
        <w:t>万元，</w:t>
      </w:r>
      <w:r>
        <w:rPr>
          <w:rFonts w:hint="eastAsia" w:ascii="Times New Roman" w:hAnsi="Times New Roman" w:eastAsia="仿宋_GB2312" w:cs="Times New Roman"/>
          <w:sz w:val="32"/>
          <w:szCs w:val="32"/>
          <w:lang w:val="en-US" w:eastAsia="zh-CN"/>
        </w:rPr>
        <w:t>占</w:t>
      </w:r>
      <w:r>
        <w:rPr>
          <w:rFonts w:hint="eastAsia" w:eastAsia="仿宋_GB2312" w:cs="Times New Roman"/>
          <w:sz w:val="32"/>
          <w:szCs w:val="32"/>
          <w:lang w:val="en-US" w:eastAsia="zh-CN"/>
        </w:rPr>
        <w:t>6.94</w:t>
      </w:r>
      <w:r>
        <w:rPr>
          <w:rFonts w:hint="eastAsia" w:ascii="Times New Roman" w:hAnsi="Times New Roman" w:eastAsia="仿宋_GB2312" w:cs="Times New Roman"/>
          <w:sz w:val="32"/>
          <w:szCs w:val="32"/>
          <w:lang w:val="zh-CN" w:eastAsia="zh-CN"/>
        </w:rPr>
        <w:t>%；卫生健康支出</w:t>
      </w:r>
      <w:r>
        <w:rPr>
          <w:rFonts w:hint="eastAsia" w:eastAsia="仿宋_GB2312" w:cs="Times New Roman"/>
          <w:sz w:val="32"/>
          <w:szCs w:val="32"/>
          <w:lang w:val="en-US" w:eastAsia="zh-CN"/>
        </w:rPr>
        <w:t>7.13</w:t>
      </w:r>
      <w:r>
        <w:rPr>
          <w:rFonts w:hint="eastAsia" w:ascii="Times New Roman" w:hAnsi="Times New Roman" w:eastAsia="仿宋_GB2312" w:cs="Times New Roman"/>
          <w:sz w:val="32"/>
          <w:szCs w:val="32"/>
          <w:lang w:val="zh-CN" w:eastAsia="zh-CN"/>
        </w:rPr>
        <w:t>万元，占</w:t>
      </w:r>
      <w:r>
        <w:rPr>
          <w:rFonts w:hint="eastAsia" w:eastAsia="仿宋_GB2312" w:cs="Times New Roman"/>
          <w:sz w:val="32"/>
          <w:szCs w:val="32"/>
          <w:lang w:val="en-US" w:eastAsia="zh-CN"/>
        </w:rPr>
        <w:t>2.5</w:t>
      </w:r>
      <w:r>
        <w:rPr>
          <w:rFonts w:hint="eastAsia" w:ascii="Times New Roman" w:hAnsi="Times New Roman" w:eastAsia="仿宋_GB2312" w:cs="Times New Roman"/>
          <w:sz w:val="32"/>
          <w:szCs w:val="32"/>
          <w:lang w:val="zh-CN" w:eastAsia="zh-CN"/>
        </w:rPr>
        <w:t>%；住房保障支出</w:t>
      </w:r>
      <w:r>
        <w:rPr>
          <w:rFonts w:hint="eastAsia" w:eastAsia="仿宋_GB2312" w:cs="Times New Roman"/>
          <w:sz w:val="32"/>
          <w:szCs w:val="32"/>
          <w:lang w:val="en-US" w:eastAsia="zh-CN"/>
        </w:rPr>
        <w:t>10.22</w:t>
      </w:r>
      <w:r>
        <w:rPr>
          <w:rFonts w:hint="eastAsia" w:ascii="Times New Roman" w:hAnsi="Times New Roman" w:eastAsia="仿宋_GB2312" w:cs="Times New Roman"/>
          <w:sz w:val="32"/>
          <w:szCs w:val="32"/>
          <w:lang w:val="zh-CN" w:eastAsia="zh-CN"/>
        </w:rPr>
        <w:t>万元，占</w:t>
      </w:r>
      <w:r>
        <w:rPr>
          <w:rFonts w:hint="eastAsia" w:eastAsia="仿宋_GB2312" w:cs="Times New Roman"/>
          <w:sz w:val="32"/>
          <w:szCs w:val="32"/>
          <w:lang w:val="en-US" w:eastAsia="zh-CN"/>
        </w:rPr>
        <w:t>3.58</w:t>
      </w:r>
      <w:r>
        <w:rPr>
          <w:rFonts w:hint="eastAsia" w:ascii="Times New Roman" w:hAnsi="Times New Roman" w:eastAsia="仿宋_GB2312" w:cs="Times New Roman"/>
          <w:sz w:val="32"/>
          <w:szCs w:val="32"/>
          <w:lang w:val="zh-CN" w:eastAsia="zh-CN"/>
        </w:rPr>
        <w:t>%</w:t>
      </w:r>
      <w:r>
        <w:rPr>
          <w:rFonts w:hint="eastAsia" w:ascii="Times New Roman" w:hAnsi="Times New Roman" w:eastAsia="仿宋_GB2312" w:cs="Times New Roman"/>
          <w:sz w:val="32"/>
          <w:szCs w:val="32"/>
          <w:lang w:val="en-US" w:eastAsia="zh-CN"/>
        </w:rPr>
        <w:t>。</w:t>
      </w:r>
    </w:p>
    <w:p>
      <w:pPr>
        <w:ind w:firstLine="640" w:firstLineChars="20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3.目标实现。围绕目标完成、目标偏离、实现效果进行绩效分析。</w:t>
      </w:r>
    </w:p>
    <w:p>
      <w:pPr>
        <w:ind w:firstLine="640" w:firstLineChars="200"/>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w:t>
      </w:r>
      <w:r>
        <w:rPr>
          <w:rFonts w:hint="eastAsia" w:ascii="Times New Roman" w:hAnsi="Times New Roman" w:eastAsia="仿宋_GB2312" w:cs="Times New Roman"/>
          <w:sz w:val="32"/>
          <w:szCs w:val="32"/>
          <w:lang w:val="zh-CN"/>
        </w:rPr>
        <w:t>我</w:t>
      </w:r>
      <w:r>
        <w:rPr>
          <w:rFonts w:hint="eastAsia" w:ascii="Times New Roman" w:hAnsi="Times New Roman" w:eastAsia="仿宋_GB2312" w:cs="Times New Roman"/>
          <w:sz w:val="32"/>
          <w:szCs w:val="32"/>
          <w:lang w:val="en-US" w:eastAsia="zh-CN"/>
        </w:rPr>
        <w:t>单位目标完成100%，未偏离目标。</w:t>
      </w:r>
      <w:r>
        <w:rPr>
          <w:rFonts w:hint="eastAsia" w:ascii="Times New Roman" w:hAnsi="Times New Roman" w:eastAsia="仿宋_GB2312" w:cs="Times New Roman"/>
          <w:sz w:val="32"/>
          <w:szCs w:val="32"/>
          <w:lang w:val="zh-CN"/>
        </w:rPr>
        <w:t>有序推进全县妇联工作的协调、督查和综合服务工作；组织参与对妇女工作发展中新情况、新问题及广大妇女群众利益密切相关的政策问题的调查研究，提出相应的对策和建议，参与有关维护妇女儿童合法权益工作；协调和督促乡镇妇联及机关各部门落实县妇联工作部署与要求；指导妇联系统的基层组织建设和干部培训工作；制定、实施妇联系统干部教育培训工作；宣传普及家庭教育科学知识，牵头组织和指导全县“三八节”和“六一节”活动；开展困境妇女和儿童救助活动，为维护改革发展稳定大局服务。</w:t>
      </w:r>
    </w:p>
    <w:p>
      <w:pPr>
        <w:numPr>
          <w:ilvl w:val="0"/>
          <w:numId w:val="5"/>
        </w:numPr>
        <w:ind w:firstLine="643" w:firstLineChars="200"/>
        <w:rPr>
          <w:rFonts w:hint="eastAsia" w:ascii="楷体_GB2312" w:eastAsia="楷体_GB2312"/>
          <w:b/>
          <w:sz w:val="32"/>
          <w:szCs w:val="32"/>
        </w:rPr>
      </w:pPr>
      <w:r>
        <w:rPr>
          <w:rFonts w:hint="eastAsia" w:ascii="楷体_GB2312" w:eastAsia="楷体_GB2312"/>
          <w:b/>
          <w:sz w:val="32"/>
          <w:szCs w:val="32"/>
        </w:rPr>
        <w:t>重点领域绩效分析。</w:t>
      </w:r>
    </w:p>
    <w:p>
      <w:pPr>
        <w:pStyle w:val="9"/>
        <w:rPr>
          <w:rFonts w:hint="default" w:eastAsia="楷体_GB2312"/>
          <w:sz w:val="22"/>
          <w:szCs w:val="22"/>
          <w:lang w:val="en-US" w:eastAsia="zh-CN"/>
        </w:rPr>
      </w:pPr>
      <w:r>
        <w:rPr>
          <w:rFonts w:hint="eastAsia" w:ascii="楷体_GB2312" w:eastAsia="楷体_GB2312"/>
          <w:b/>
          <w:sz w:val="32"/>
          <w:szCs w:val="32"/>
          <w:lang w:val="en-US" w:eastAsia="zh-CN"/>
        </w:rPr>
        <w:t xml:space="preserve">  </w:t>
      </w:r>
      <w:r>
        <w:rPr>
          <w:rFonts w:hint="eastAsia" w:ascii="Times New Roman" w:hAnsi="Times New Roman" w:eastAsia="仿宋_GB2312" w:cs="Times New Roman"/>
          <w:kern w:val="2"/>
          <w:sz w:val="32"/>
          <w:szCs w:val="32"/>
          <w:lang w:val="en-US" w:eastAsia="zh-CN" w:bidi="ar-SA"/>
        </w:rPr>
        <w:t xml:space="preserve">  我单位2025年未涉及重点领域事项。</w:t>
      </w:r>
    </w:p>
    <w:p>
      <w:pPr>
        <w:numPr>
          <w:ilvl w:val="0"/>
          <w:numId w:val="5"/>
        </w:numPr>
        <w:ind w:left="0" w:leftChars="0" w:firstLine="643" w:firstLineChars="200"/>
        <w:rPr>
          <w:rFonts w:hint="eastAsia" w:ascii="楷体_GB2312" w:eastAsia="楷体_GB2312"/>
          <w:b/>
          <w:sz w:val="32"/>
          <w:szCs w:val="32"/>
        </w:rPr>
      </w:pPr>
      <w:r>
        <w:rPr>
          <w:rFonts w:hint="eastAsia" w:ascii="楷体_GB2312" w:eastAsia="楷体_GB2312"/>
          <w:b/>
          <w:sz w:val="32"/>
          <w:szCs w:val="32"/>
        </w:rPr>
        <w:t>绩效结果应用情况。</w:t>
      </w:r>
    </w:p>
    <w:p>
      <w:pPr>
        <w:spacing w:line="560" w:lineRule="exact"/>
        <w:ind w:firstLine="640" w:firstLineChars="200"/>
        <w:rPr>
          <w:rFonts w:hint="default" w:eastAsia="宋体"/>
          <w:lang w:val="en-US" w:eastAsia="zh-CN"/>
        </w:rPr>
      </w:pPr>
      <w:r>
        <w:rPr>
          <w:rFonts w:hint="eastAsia" w:ascii="Times New Roman" w:hAnsi="Times New Roman" w:eastAsia="仿宋_GB2312" w:cs="Times New Roman"/>
          <w:sz w:val="32"/>
          <w:szCs w:val="32"/>
          <w:lang w:val="zh-CN"/>
        </w:rPr>
        <w:t>我</w:t>
      </w:r>
      <w:r>
        <w:rPr>
          <w:rFonts w:hint="eastAsia" w:ascii="Times New Roman" w:hAnsi="Times New Roman" w:eastAsia="仿宋_GB2312" w:cs="Times New Roman"/>
          <w:sz w:val="32"/>
          <w:szCs w:val="32"/>
          <w:lang w:val="en-US" w:eastAsia="zh-CN"/>
        </w:rPr>
        <w:t>单位</w:t>
      </w:r>
      <w:r>
        <w:rPr>
          <w:rFonts w:hint="eastAsia" w:ascii="Times New Roman" w:hAnsi="Times New Roman" w:eastAsia="仿宋_GB2312" w:cs="Times New Roman"/>
          <w:sz w:val="32"/>
          <w:szCs w:val="32"/>
          <w:lang w:val="zh-CN"/>
        </w:rPr>
        <w:t>部门绩效结果应用到了下一年的绩效目标设定与调整。根据支出预决算，为下一年度的预算提供了基础预算数据。优化了</w:t>
      </w:r>
      <w:r>
        <w:rPr>
          <w:rFonts w:hint="eastAsia" w:ascii="Times New Roman" w:hAnsi="Times New Roman" w:eastAsia="仿宋_GB2312" w:cs="Times New Roman"/>
          <w:sz w:val="32"/>
          <w:szCs w:val="32"/>
          <w:lang w:val="en-US" w:eastAsia="zh-CN"/>
        </w:rPr>
        <w:t>单位</w:t>
      </w:r>
      <w:r>
        <w:rPr>
          <w:rFonts w:hint="eastAsia" w:ascii="Times New Roman" w:hAnsi="Times New Roman" w:eastAsia="仿宋_GB2312" w:cs="Times New Roman"/>
          <w:sz w:val="32"/>
          <w:szCs w:val="32"/>
          <w:lang w:val="zh-CN"/>
        </w:rPr>
        <w:t>资金的使用率。保障了机关日常正常运转，专项资金保障了</w:t>
      </w:r>
      <w:r>
        <w:rPr>
          <w:rFonts w:hint="eastAsia" w:ascii="Times New Roman" w:hAnsi="Times New Roman" w:eastAsia="仿宋_GB2312" w:cs="Times New Roman"/>
          <w:sz w:val="32"/>
          <w:szCs w:val="32"/>
          <w:lang w:val="en-US" w:eastAsia="zh-CN"/>
        </w:rPr>
        <w:t>妇女儿童合法权益</w:t>
      </w:r>
      <w:r>
        <w:rPr>
          <w:rFonts w:hint="eastAsia" w:ascii="Times New Roman" w:hAnsi="Times New Roman" w:eastAsia="仿宋_GB2312" w:cs="Times New Roman"/>
          <w:sz w:val="32"/>
          <w:szCs w:val="32"/>
          <w:lang w:val="zh-CN"/>
        </w:rPr>
        <w:t>，同时在维护少数名族地区的社会稳定，提高人民生活水平，改善人民生活质量等方面有着极其重要的意义，有力促进了社会和谐发展，为全县及乡镇的经济发展作出了应有的贡献，</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年预算及决算已在政府信息公开网站进行了公开。</w:t>
      </w:r>
    </w:p>
    <w:p>
      <w:pPr>
        <w:ind w:firstLine="640" w:firstLineChars="200"/>
        <w:rPr>
          <w:rFonts w:ascii="黑体" w:hAnsi="黑体" w:eastAsia="黑体"/>
          <w:sz w:val="32"/>
          <w:szCs w:val="32"/>
        </w:rPr>
      </w:pPr>
      <w:r>
        <w:rPr>
          <w:rFonts w:hint="eastAsia" w:ascii="黑体" w:hAnsi="黑体" w:eastAsia="黑体"/>
          <w:sz w:val="32"/>
          <w:szCs w:val="32"/>
        </w:rPr>
        <w:t>四、评价结论及建议</w:t>
      </w:r>
    </w:p>
    <w:p>
      <w:pPr>
        <w:ind w:firstLine="643" w:firstLineChars="200"/>
        <w:rPr>
          <w:rFonts w:hint="eastAsia" w:ascii="楷体_GB2312" w:eastAsia="楷体_GB2312"/>
          <w:b/>
          <w:sz w:val="32"/>
          <w:szCs w:val="32"/>
        </w:rPr>
      </w:pPr>
      <w:r>
        <w:rPr>
          <w:rFonts w:hint="eastAsia" w:ascii="楷体_GB2312" w:eastAsia="楷体_GB2312"/>
          <w:b/>
          <w:sz w:val="32"/>
          <w:szCs w:val="32"/>
        </w:rPr>
        <w:t>（一）评价结论。</w:t>
      </w:r>
    </w:p>
    <w:p>
      <w:pPr>
        <w:pStyle w:val="9"/>
        <w:ind w:firstLine="640" w:firstLineChars="200"/>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zh-CN" w:eastAsia="zh-CN" w:bidi="ar-SA"/>
        </w:rPr>
        <w:t>我</w:t>
      </w:r>
      <w:r>
        <w:rPr>
          <w:rFonts w:hint="eastAsia" w:ascii="Times New Roman" w:hAnsi="Times New Roman" w:eastAsia="仿宋_GB2312" w:cs="Times New Roman"/>
          <w:kern w:val="2"/>
          <w:sz w:val="32"/>
          <w:szCs w:val="32"/>
          <w:lang w:val="en-US" w:eastAsia="zh-CN" w:bidi="ar-SA"/>
        </w:rPr>
        <w:t>单位</w:t>
      </w:r>
      <w:r>
        <w:rPr>
          <w:rFonts w:hint="eastAsia" w:ascii="Times New Roman" w:hAnsi="Times New Roman" w:eastAsia="仿宋_GB2312" w:cs="Times New Roman"/>
          <w:kern w:val="2"/>
          <w:sz w:val="32"/>
          <w:szCs w:val="32"/>
          <w:lang w:val="zh-CN" w:eastAsia="zh-CN" w:bidi="ar-SA"/>
        </w:rPr>
        <w:t>部门支出预算，保障了机关日常正常运转，专项资金保障了</w:t>
      </w:r>
      <w:r>
        <w:rPr>
          <w:rFonts w:hint="eastAsia" w:ascii="Times New Roman" w:hAnsi="Times New Roman" w:eastAsia="仿宋_GB2312" w:cs="Times New Roman"/>
          <w:kern w:val="2"/>
          <w:sz w:val="32"/>
          <w:szCs w:val="32"/>
          <w:lang w:val="en-US" w:eastAsia="zh-CN" w:bidi="ar-SA"/>
        </w:rPr>
        <w:t>妇女儿童合法权益</w:t>
      </w:r>
      <w:r>
        <w:rPr>
          <w:rFonts w:hint="eastAsia" w:ascii="Times New Roman" w:hAnsi="Times New Roman" w:eastAsia="仿宋_GB2312" w:cs="Times New Roman"/>
          <w:kern w:val="2"/>
          <w:sz w:val="32"/>
          <w:szCs w:val="32"/>
          <w:lang w:val="zh-CN" w:eastAsia="zh-CN" w:bidi="ar-SA"/>
        </w:rPr>
        <w:t>，同时在维护少数名族地区的社会稳定，提高人民生活水平，改善人民生活质量等方面有着极其重要的意义，有力促进了社会和谐发展，为全县及乡镇的经济发展作出了应有的贡献，部门整体支出绩效自评等级为优秀。</w:t>
      </w:r>
    </w:p>
    <w:p>
      <w:pPr>
        <w:numPr>
          <w:ilvl w:val="0"/>
          <w:numId w:val="6"/>
        </w:numPr>
        <w:ind w:firstLine="643" w:firstLineChars="200"/>
        <w:rPr>
          <w:rFonts w:hint="eastAsia" w:ascii="楷体_GB2312" w:eastAsia="楷体_GB2312"/>
          <w:b/>
          <w:sz w:val="32"/>
          <w:szCs w:val="32"/>
        </w:rPr>
      </w:pPr>
      <w:r>
        <w:rPr>
          <w:rFonts w:hint="eastAsia" w:ascii="楷体_GB2312" w:eastAsia="楷体_GB2312"/>
          <w:b/>
          <w:sz w:val="32"/>
          <w:szCs w:val="32"/>
        </w:rPr>
        <w:t>存在问题。</w:t>
      </w:r>
    </w:p>
    <w:p>
      <w:pPr>
        <w:keepNext w:val="0"/>
        <w:keepLines w:val="0"/>
        <w:pageBreakBefore w:val="0"/>
        <w:widowControl w:val="0"/>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right="0" w:rightChars="0" w:firstLine="640" w:firstLineChars="200"/>
        <w:jc w:val="left"/>
        <w:textAlignment w:val="auto"/>
        <w:rPr>
          <w:rFonts w:hint="default" w:eastAsia="楷体_GB2312"/>
          <w:lang w:val="en-US" w:eastAsia="zh-CN"/>
        </w:rPr>
      </w:pPr>
      <w:r>
        <w:rPr>
          <w:rFonts w:hint="eastAsia" w:ascii="Times New Roman" w:hAnsi="Times New Roman" w:eastAsia="仿宋_GB2312" w:cs="Times New Roman"/>
          <w:kern w:val="2"/>
          <w:sz w:val="32"/>
          <w:szCs w:val="32"/>
          <w:lang w:val="en-US" w:eastAsia="zh-CN" w:bidi="ar-SA"/>
        </w:rPr>
        <w:t>由于财政支出的多样性和复杂性，绩效评价指标体系设置难度大，即使可以量化，但实际操作中很多项目间缺乏可比性且指标本身也在逐步变化，需要逐步完善。</w:t>
      </w:r>
      <w:r>
        <w:rPr>
          <w:rFonts w:hint="eastAsia" w:ascii="Times New Roman" w:hAnsi="Times New Roman" w:eastAsia="仿宋_GB2312" w:cs="Times New Roman"/>
          <w:kern w:val="2"/>
          <w:sz w:val="32"/>
          <w:szCs w:val="32"/>
          <w:lang w:val="en-US" w:eastAsia="zh-CN" w:bidi="ar-SA"/>
        </w:rPr>
        <w:br w:type="textWrapping"/>
      </w:r>
      <w:r>
        <w:rPr>
          <w:rFonts w:hint="eastAsia" w:ascii="Times New Roman" w:hAnsi="Times New Roman" w:eastAsia="仿宋_GB2312" w:cs="Times New Roman"/>
          <w:kern w:val="2"/>
          <w:sz w:val="32"/>
          <w:szCs w:val="32"/>
          <w:lang w:val="en-US" w:eastAsia="zh-CN" w:bidi="ar-SA"/>
        </w:rPr>
        <w:t xml:space="preserve">    在平时工作推进过程中，缺乏技术人员进行专业指导及培训，工作推进存在一定困难，预算编制还需更加精准</w:t>
      </w:r>
      <w:r>
        <w:rPr>
          <w:rFonts w:hint="eastAsia" w:ascii="仿宋_GB2312" w:hAnsi="仿宋" w:eastAsia="仿宋_GB2312" w:cs="仿宋_GB2312"/>
          <w:color w:val="000000"/>
          <w:kern w:val="0"/>
          <w:sz w:val="32"/>
          <w:szCs w:val="32"/>
          <w:lang w:val="en-US" w:eastAsia="zh-CN" w:bidi="ar"/>
        </w:rPr>
        <w:t>。</w:t>
      </w:r>
    </w:p>
    <w:p>
      <w:pPr>
        <w:keepNext w:val="0"/>
        <w:keepLines w:val="0"/>
        <w:pageBreakBefore w:val="0"/>
        <w:widowControl w:val="0"/>
        <w:numPr>
          <w:ilvl w:val="0"/>
          <w:numId w:val="6"/>
        </w:numPr>
        <w:suppressLineNumbers w:val="0"/>
        <w:kinsoku/>
        <w:wordWrap/>
        <w:overflowPunct/>
        <w:topLinePunct w:val="0"/>
        <w:autoSpaceDE w:val="0"/>
        <w:autoSpaceDN/>
        <w:bidi w:val="0"/>
        <w:adjustRightInd/>
        <w:snapToGrid/>
        <w:spacing w:before="0" w:beforeAutospacing="0" w:after="0" w:afterAutospacing="0" w:line="560" w:lineRule="exact"/>
        <w:ind w:left="0" w:leftChars="0" w:right="0" w:rightChars="0" w:firstLine="643" w:firstLineChars="200"/>
        <w:jc w:val="left"/>
        <w:textAlignment w:val="auto"/>
        <w:rPr>
          <w:rFonts w:hint="eastAsia" w:ascii="楷体_GB2312" w:eastAsia="楷体_GB2312"/>
          <w:b/>
          <w:sz w:val="32"/>
          <w:szCs w:val="32"/>
        </w:rPr>
      </w:pPr>
      <w:r>
        <w:rPr>
          <w:rFonts w:hint="eastAsia" w:ascii="楷体_GB2312" w:eastAsia="楷体_GB2312"/>
          <w:b/>
          <w:sz w:val="32"/>
          <w:szCs w:val="32"/>
        </w:rPr>
        <w:t>改进建议。</w:t>
      </w:r>
    </w:p>
    <w:p>
      <w:pPr>
        <w:keepNext w:val="0"/>
        <w:keepLines w:val="0"/>
        <w:pageBreakBefore w:val="0"/>
        <w:widowControl w:val="0"/>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right="0" w:rightChars="0" w:firstLine="640" w:firstLineChars="200"/>
        <w:jc w:val="left"/>
        <w:textAlignment w:val="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1.通过各种途径加强绩效管理学习，科学合理编制预算，严格执行预算。</w:t>
      </w:r>
    </w:p>
    <w:p>
      <w:pPr>
        <w:keepNext w:val="0"/>
        <w:keepLines w:val="0"/>
        <w:pageBreakBefore w:val="0"/>
        <w:widowControl w:val="0"/>
        <w:numPr>
          <w:ilvl w:val="0"/>
          <w:numId w:val="0"/>
        </w:numPr>
        <w:suppressLineNumbers w:val="0"/>
        <w:kinsoku/>
        <w:wordWrap/>
        <w:overflowPunct/>
        <w:topLinePunct w:val="0"/>
        <w:autoSpaceDE w:val="0"/>
        <w:autoSpaceDN/>
        <w:bidi w:val="0"/>
        <w:adjustRightInd/>
        <w:snapToGrid/>
        <w:spacing w:before="0" w:beforeAutospacing="0" w:after="0" w:afterAutospacing="0" w:line="560" w:lineRule="exact"/>
        <w:ind w:right="0" w:rightChars="0" w:firstLine="640" w:firstLineChars="200"/>
        <w:jc w:val="left"/>
        <w:textAlignment w:val="auto"/>
        <w:rPr>
          <w:rFonts w:hint="eastAsia" w:ascii="Times New Roman" w:hAnsi="Times New Roman" w:eastAsia="仿宋_GB2312" w:cs="Times New Roman"/>
          <w:kern w:val="2"/>
          <w:sz w:val="32"/>
          <w:szCs w:val="32"/>
          <w:lang w:val="zh-CN" w:eastAsia="zh-CN" w:bidi="ar-SA"/>
        </w:rPr>
      </w:pPr>
      <w:r>
        <w:rPr>
          <w:rFonts w:hint="eastAsia" w:ascii="Times New Roman" w:hAnsi="Times New Roman" w:eastAsia="仿宋_GB2312" w:cs="Times New Roman"/>
          <w:kern w:val="2"/>
          <w:sz w:val="32"/>
          <w:szCs w:val="32"/>
          <w:lang w:val="en-US" w:eastAsia="zh-CN" w:bidi="ar-SA"/>
        </w:rPr>
        <w:t>2.规范账务处理，提高财务信息质量。</w:t>
      </w:r>
    </w:p>
    <w:p>
      <w:pPr>
        <w:numPr>
          <w:ilvl w:val="0"/>
          <w:numId w:val="0"/>
        </w:numPr>
        <w:rPr>
          <w:rFonts w:eastAsia="仿宋_GB2312"/>
          <w:sz w:val="32"/>
          <w:szCs w:val="32"/>
          <w:lang w:val="zh-CN"/>
        </w:rPr>
      </w:pPr>
    </w:p>
    <w:p>
      <w:pPr>
        <w:ind w:firstLine="640" w:firstLineChars="200"/>
        <w:rPr>
          <w:rFonts w:eastAsia="仿宋_GB2312"/>
          <w:sz w:val="32"/>
          <w:szCs w:val="32"/>
          <w:lang w:val="zh-CN"/>
        </w:rPr>
      </w:pPr>
    </w:p>
    <w:p>
      <w:pPr>
        <w:pStyle w:val="9"/>
        <w:rPr>
          <w:rFonts w:eastAsia="仿宋_GB2312"/>
          <w:sz w:val="32"/>
          <w:szCs w:val="32"/>
          <w:lang w:val="zh-CN"/>
        </w:rPr>
      </w:pPr>
    </w:p>
    <w:p>
      <w:pPr>
        <w:pStyle w:val="9"/>
        <w:rPr>
          <w:rFonts w:eastAsia="仿宋_GB2312"/>
          <w:sz w:val="32"/>
          <w:szCs w:val="32"/>
          <w:lang w:val="zh-CN"/>
        </w:rPr>
      </w:pPr>
    </w:p>
    <w:p>
      <w:pPr>
        <w:pStyle w:val="9"/>
        <w:rPr>
          <w:rFonts w:eastAsia="仿宋_GB2312"/>
          <w:sz w:val="32"/>
          <w:szCs w:val="32"/>
          <w:lang w:val="zh-CN"/>
        </w:rPr>
      </w:pPr>
    </w:p>
    <w:p>
      <w:pPr>
        <w:pStyle w:val="9"/>
        <w:rPr>
          <w:rFonts w:eastAsia="仿宋_GB2312"/>
          <w:sz w:val="32"/>
          <w:szCs w:val="32"/>
          <w:lang w:val="zh-CN"/>
        </w:rPr>
      </w:pPr>
    </w:p>
    <w:p>
      <w:pPr>
        <w:pStyle w:val="9"/>
        <w:rPr>
          <w:rFonts w:eastAsia="仿宋_GB2312"/>
          <w:sz w:val="32"/>
          <w:szCs w:val="32"/>
          <w:lang w:val="zh-CN"/>
        </w:rPr>
      </w:pPr>
    </w:p>
    <w:p>
      <w:pPr>
        <w:pStyle w:val="9"/>
        <w:rPr>
          <w:rFonts w:eastAsia="仿宋_GB2312"/>
          <w:sz w:val="32"/>
          <w:szCs w:val="32"/>
          <w:lang w:val="zh-CN"/>
        </w:rPr>
      </w:pPr>
    </w:p>
    <w:p>
      <w:pPr>
        <w:pStyle w:val="9"/>
        <w:rPr>
          <w:rFonts w:eastAsia="仿宋_GB2312"/>
          <w:sz w:val="32"/>
          <w:szCs w:val="32"/>
          <w:lang w:val="zh-CN"/>
        </w:rPr>
      </w:pPr>
    </w:p>
    <w:p>
      <w:pPr>
        <w:pStyle w:val="9"/>
        <w:rPr>
          <w:rFonts w:eastAsia="仿宋_GB2312"/>
          <w:sz w:val="32"/>
          <w:szCs w:val="32"/>
          <w:lang w:val="zh-CN"/>
        </w:rPr>
      </w:pPr>
    </w:p>
    <w:p>
      <w:pPr>
        <w:pStyle w:val="9"/>
        <w:rPr>
          <w:rFonts w:eastAsia="仿宋_GB2312"/>
          <w:sz w:val="32"/>
          <w:szCs w:val="32"/>
          <w:lang w:val="zh-CN"/>
        </w:rPr>
      </w:pPr>
    </w:p>
    <w:p>
      <w:pPr>
        <w:pStyle w:val="9"/>
        <w:rPr>
          <w:rFonts w:eastAsia="仿宋_GB2312"/>
          <w:sz w:val="32"/>
          <w:szCs w:val="32"/>
          <w:lang w:val="zh-CN"/>
        </w:rPr>
      </w:pPr>
    </w:p>
    <w:p>
      <w:pPr>
        <w:ind w:firstLine="640" w:firstLineChars="200"/>
        <w:rPr>
          <w:rFonts w:asciiTheme="minorEastAsia" w:hAnsiTheme="minorEastAsia" w:eastAsiaTheme="minorEastAsia"/>
          <w:sz w:val="32"/>
          <w:szCs w:val="32"/>
          <w:lang w:val="zh-CN"/>
        </w:rPr>
      </w:pPr>
      <w:r>
        <w:rPr>
          <w:rFonts w:hint="eastAsia" w:asciiTheme="minorEastAsia" w:hAnsiTheme="minorEastAsia" w:eastAsiaTheme="minorEastAsia"/>
          <w:sz w:val="32"/>
          <w:szCs w:val="32"/>
          <w:lang w:val="zh-CN"/>
        </w:rPr>
        <w:t>附表：</w:t>
      </w:r>
      <w:r>
        <w:rPr>
          <w:rFonts w:hint="eastAsia" w:asciiTheme="minorEastAsia" w:hAnsiTheme="minorEastAsia" w:eastAsiaTheme="minorEastAsia"/>
          <w:sz w:val="32"/>
          <w:szCs w:val="32"/>
        </w:rPr>
        <w:t>部门</w:t>
      </w:r>
      <w:r>
        <w:rPr>
          <w:rFonts w:hint="eastAsia" w:asciiTheme="minorEastAsia" w:hAnsiTheme="minorEastAsia" w:eastAsiaTheme="minorEastAsia"/>
          <w:sz w:val="32"/>
          <w:szCs w:val="32"/>
          <w:lang w:val="zh-CN"/>
        </w:rPr>
        <w:t>预算项目支出绩效自评表（202</w:t>
      </w:r>
      <w:r>
        <w:rPr>
          <w:rFonts w:hint="eastAsia" w:asciiTheme="minorEastAsia" w:hAnsiTheme="minorEastAsia" w:eastAsiaTheme="minorEastAsia"/>
          <w:sz w:val="32"/>
          <w:szCs w:val="32"/>
          <w:lang w:val="en-US" w:eastAsia="zh-CN"/>
        </w:rPr>
        <w:t>5</w:t>
      </w:r>
      <w:r>
        <w:rPr>
          <w:rFonts w:hint="eastAsia" w:asciiTheme="minorEastAsia" w:hAnsiTheme="minorEastAsia" w:eastAsiaTheme="minorEastAsia"/>
          <w:sz w:val="32"/>
          <w:szCs w:val="32"/>
          <w:lang w:val="zh-CN"/>
        </w:rPr>
        <w:t>年度）</w:t>
      </w:r>
    </w:p>
    <w:p>
      <w:pPr>
        <w:pStyle w:val="7"/>
        <w:rPr>
          <w:lang w:val="zh-CN"/>
        </w:rPr>
      </w:pPr>
    </w:p>
    <w:p>
      <w:pPr>
        <w:rPr>
          <w:lang w:val="zh-CN"/>
        </w:rPr>
      </w:pPr>
    </w:p>
    <w:p>
      <w:pPr>
        <w:pStyle w:val="9"/>
        <w:rPr>
          <w:lang w:val="zh-CN"/>
        </w:rPr>
      </w:pPr>
    </w:p>
    <w:p>
      <w:pPr>
        <w:pStyle w:val="9"/>
        <w:rPr>
          <w:lang w:val="zh-CN"/>
        </w:rPr>
      </w:pPr>
    </w:p>
    <w:p>
      <w:pPr>
        <w:pStyle w:val="9"/>
        <w:rPr>
          <w:lang w:val="zh-CN"/>
        </w:rPr>
      </w:pPr>
    </w:p>
    <w:p>
      <w:pPr>
        <w:pStyle w:val="9"/>
        <w:rPr>
          <w:lang w:val="zh-CN"/>
        </w:rPr>
      </w:pPr>
    </w:p>
    <w:p>
      <w:pPr>
        <w:pStyle w:val="9"/>
        <w:rPr>
          <w:lang w:val="zh-CN"/>
        </w:rPr>
      </w:pPr>
    </w:p>
    <w:p>
      <w:pPr>
        <w:pStyle w:val="9"/>
        <w:rPr>
          <w:lang w:val="zh-CN"/>
        </w:rPr>
      </w:pPr>
      <w:r>
        <w:drawing>
          <wp:inline distT="0" distB="0" distL="114300" distR="114300">
            <wp:extent cx="5266690" cy="4169410"/>
            <wp:effectExtent l="0" t="0" r="1016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5266690" cy="4169410"/>
                    </a:xfrm>
                    <a:prstGeom prst="rect">
                      <a:avLst/>
                    </a:prstGeom>
                    <a:noFill/>
                    <a:ln>
                      <a:noFill/>
                    </a:ln>
                  </pic:spPr>
                </pic:pic>
              </a:graphicData>
            </a:graphic>
          </wp:inline>
        </w:drawing>
      </w:r>
      <w:r>
        <w:drawing>
          <wp:inline distT="0" distB="0" distL="114300" distR="114300">
            <wp:extent cx="5271135" cy="4181475"/>
            <wp:effectExtent l="0" t="0" r="5715" b="952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4"/>
                    <a:stretch>
                      <a:fillRect/>
                    </a:stretch>
                  </pic:blipFill>
                  <pic:spPr>
                    <a:xfrm>
                      <a:off x="0" y="0"/>
                      <a:ext cx="5271135" cy="4181475"/>
                    </a:xfrm>
                    <a:prstGeom prst="rect">
                      <a:avLst/>
                    </a:prstGeom>
                    <a:noFill/>
                    <a:ln>
                      <a:noFill/>
                    </a:ln>
                  </pic:spPr>
                </pic:pic>
              </a:graphicData>
            </a:graphic>
          </wp:inline>
        </w:drawing>
      </w:r>
      <w:r>
        <w:drawing>
          <wp:inline distT="0" distB="0" distL="114300" distR="114300">
            <wp:extent cx="5273040" cy="3584575"/>
            <wp:effectExtent l="0" t="0" r="3810" b="1587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5"/>
                    <a:stretch>
                      <a:fillRect/>
                    </a:stretch>
                  </pic:blipFill>
                  <pic:spPr>
                    <a:xfrm>
                      <a:off x="0" y="0"/>
                      <a:ext cx="5273040" cy="3584575"/>
                    </a:xfrm>
                    <a:prstGeom prst="rect">
                      <a:avLst/>
                    </a:prstGeom>
                    <a:noFill/>
                    <a:ln>
                      <a:noFill/>
                    </a:ln>
                  </pic:spPr>
                </pic:pic>
              </a:graphicData>
            </a:graphic>
          </wp:inline>
        </w:drawing>
      </w:r>
      <w:r>
        <w:drawing>
          <wp:inline distT="0" distB="0" distL="114300" distR="114300">
            <wp:extent cx="5271135" cy="4217670"/>
            <wp:effectExtent l="0" t="0" r="5715" b="11430"/>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6"/>
                    <a:stretch>
                      <a:fillRect/>
                    </a:stretch>
                  </pic:blipFill>
                  <pic:spPr>
                    <a:xfrm>
                      <a:off x="0" y="0"/>
                      <a:ext cx="5271135" cy="4217670"/>
                    </a:xfrm>
                    <a:prstGeom prst="rect">
                      <a:avLst/>
                    </a:prstGeom>
                    <a:noFill/>
                    <a:ln>
                      <a:noFill/>
                    </a:ln>
                  </pic:spPr>
                </pic:pic>
              </a:graphicData>
            </a:graphic>
          </wp:inline>
        </w:drawing>
      </w:r>
      <w:r>
        <w:drawing>
          <wp:inline distT="0" distB="0" distL="114300" distR="114300">
            <wp:extent cx="5273040" cy="4029710"/>
            <wp:effectExtent l="0" t="0" r="3810" b="8890"/>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icPr>
                  <pic:blipFill>
                    <a:blip r:embed="rId17"/>
                    <a:stretch>
                      <a:fillRect/>
                    </a:stretch>
                  </pic:blipFill>
                  <pic:spPr>
                    <a:xfrm>
                      <a:off x="0" y="0"/>
                      <a:ext cx="5273040" cy="4029710"/>
                    </a:xfrm>
                    <a:prstGeom prst="rect">
                      <a:avLst/>
                    </a:prstGeom>
                    <a:noFill/>
                    <a:ln>
                      <a:noFill/>
                    </a:ln>
                  </pic:spPr>
                </pic:pic>
              </a:graphicData>
            </a:graphic>
          </wp:inline>
        </w:drawing>
      </w:r>
      <w:r>
        <w:drawing>
          <wp:inline distT="0" distB="0" distL="114300" distR="114300">
            <wp:extent cx="5273040" cy="4255135"/>
            <wp:effectExtent l="0" t="0" r="3810" b="12065"/>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pic:cNvPicPr>
                  </pic:nvPicPr>
                  <pic:blipFill>
                    <a:blip r:embed="rId18"/>
                    <a:stretch>
                      <a:fillRect/>
                    </a:stretch>
                  </pic:blipFill>
                  <pic:spPr>
                    <a:xfrm>
                      <a:off x="0" y="0"/>
                      <a:ext cx="5273040" cy="4255135"/>
                    </a:xfrm>
                    <a:prstGeom prst="rect">
                      <a:avLst/>
                    </a:prstGeom>
                    <a:noFill/>
                    <a:ln>
                      <a:noFill/>
                    </a:ln>
                  </pic:spPr>
                </pic:pic>
              </a:graphicData>
            </a:graphic>
          </wp:inline>
        </w:drawing>
      </w:r>
      <w:r>
        <w:drawing>
          <wp:inline distT="0" distB="0" distL="114300" distR="114300">
            <wp:extent cx="5273040" cy="4145280"/>
            <wp:effectExtent l="0" t="0" r="3810" b="7620"/>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pic:cNvPicPr>
                  </pic:nvPicPr>
                  <pic:blipFill>
                    <a:blip r:embed="rId19"/>
                    <a:stretch>
                      <a:fillRect/>
                    </a:stretch>
                  </pic:blipFill>
                  <pic:spPr>
                    <a:xfrm>
                      <a:off x="0" y="0"/>
                      <a:ext cx="5273040" cy="4145280"/>
                    </a:xfrm>
                    <a:prstGeom prst="rect">
                      <a:avLst/>
                    </a:prstGeom>
                    <a:noFill/>
                    <a:ln>
                      <a:noFill/>
                    </a:ln>
                  </pic:spPr>
                </pic:pic>
              </a:graphicData>
            </a:graphic>
          </wp:inline>
        </w:drawing>
      </w:r>
    </w:p>
    <w:p>
      <w:pPr>
        <w:pStyle w:val="9"/>
        <w:rPr>
          <w:lang w:val="zh-CN"/>
        </w:rPr>
      </w:pPr>
    </w:p>
    <w:p>
      <w:pPr>
        <w:pStyle w:val="4"/>
        <w:jc w:val="center"/>
        <w:rPr>
          <w:rFonts w:ascii="黑体" w:hAnsi="黑体" w:eastAsia="黑体"/>
        </w:rPr>
      </w:pPr>
      <w:bookmarkStart w:id="97" w:name="_Toc25517"/>
      <w:bookmarkStart w:id="98" w:name="_Toc15384"/>
      <w:r>
        <w:rPr>
          <w:rFonts w:hint="eastAsia" w:ascii="黑体" w:hAnsi="黑体" w:eastAsia="黑体"/>
        </w:rPr>
        <w:t>第五部分 附表</w:t>
      </w:r>
      <w:bookmarkEnd w:id="97"/>
      <w:bookmarkEnd w:id="98"/>
    </w:p>
    <w:p>
      <w:pPr>
        <w:rPr>
          <w:rFonts w:ascii="仿宋" w:hAnsi="仿宋" w:eastAsia="仿宋"/>
          <w:sz w:val="32"/>
          <w:szCs w:val="32"/>
        </w:rPr>
      </w:pPr>
      <w:r>
        <w:rPr>
          <w:rFonts w:hint="eastAsia" w:ascii="仿宋" w:hAnsi="仿宋" w:eastAsia="仿宋"/>
          <w:sz w:val="32"/>
          <w:szCs w:val="32"/>
        </w:rPr>
        <w:t>一、收入支出决算总表</w:t>
      </w:r>
    </w:p>
    <w:p>
      <w:pPr>
        <w:rPr>
          <w:rFonts w:ascii="仿宋" w:hAnsi="仿宋" w:eastAsia="仿宋"/>
          <w:sz w:val="32"/>
          <w:szCs w:val="32"/>
        </w:rPr>
      </w:pPr>
      <w:r>
        <w:rPr>
          <w:rFonts w:hint="eastAsia" w:ascii="仿宋" w:hAnsi="仿宋" w:eastAsia="仿宋"/>
          <w:sz w:val="32"/>
          <w:szCs w:val="32"/>
        </w:rPr>
        <w:t>二、收入决算表</w:t>
      </w:r>
    </w:p>
    <w:p>
      <w:pPr>
        <w:rPr>
          <w:rFonts w:ascii="仿宋" w:hAnsi="仿宋" w:eastAsia="仿宋"/>
          <w:sz w:val="32"/>
          <w:szCs w:val="32"/>
        </w:rPr>
      </w:pPr>
      <w:r>
        <w:rPr>
          <w:rFonts w:hint="eastAsia" w:ascii="仿宋" w:hAnsi="仿宋" w:eastAsia="仿宋"/>
          <w:sz w:val="32"/>
          <w:szCs w:val="32"/>
        </w:rPr>
        <w:t>三、支出决算表</w:t>
      </w:r>
    </w:p>
    <w:p>
      <w:pPr>
        <w:rPr>
          <w:rFonts w:ascii="仿宋" w:hAnsi="仿宋" w:eastAsia="仿宋"/>
          <w:sz w:val="32"/>
          <w:szCs w:val="32"/>
        </w:rPr>
      </w:pPr>
      <w:r>
        <w:rPr>
          <w:rFonts w:hint="eastAsia" w:ascii="仿宋" w:hAnsi="仿宋" w:eastAsia="仿宋"/>
          <w:sz w:val="32"/>
          <w:szCs w:val="32"/>
        </w:rPr>
        <w:t>四、财政拨款收入支出决算总表</w:t>
      </w:r>
    </w:p>
    <w:p>
      <w:pPr>
        <w:rPr>
          <w:rFonts w:ascii="仿宋" w:hAnsi="仿宋" w:eastAsia="仿宋"/>
          <w:sz w:val="32"/>
          <w:szCs w:val="32"/>
        </w:rPr>
      </w:pPr>
      <w:r>
        <w:rPr>
          <w:rFonts w:hint="eastAsia" w:ascii="仿宋" w:hAnsi="仿宋" w:eastAsia="仿宋"/>
          <w:sz w:val="32"/>
          <w:szCs w:val="32"/>
        </w:rPr>
        <w:t>五、财政拨款支出决算明细表</w:t>
      </w:r>
    </w:p>
    <w:p>
      <w:pPr>
        <w:rPr>
          <w:rFonts w:ascii="仿宋" w:hAnsi="仿宋" w:eastAsia="仿宋"/>
          <w:sz w:val="32"/>
          <w:szCs w:val="32"/>
        </w:rPr>
      </w:pPr>
      <w:r>
        <w:rPr>
          <w:rFonts w:hint="eastAsia" w:ascii="仿宋" w:hAnsi="仿宋" w:eastAsia="仿宋"/>
          <w:sz w:val="32"/>
          <w:szCs w:val="32"/>
        </w:rPr>
        <w:t>六、一般公共预算财政拨款支出决算表</w:t>
      </w:r>
    </w:p>
    <w:p>
      <w:pPr>
        <w:rPr>
          <w:rFonts w:ascii="仿宋" w:hAnsi="仿宋" w:eastAsia="仿宋"/>
          <w:sz w:val="32"/>
          <w:szCs w:val="32"/>
        </w:rPr>
      </w:pPr>
      <w:r>
        <w:rPr>
          <w:rFonts w:hint="eastAsia" w:ascii="仿宋" w:hAnsi="仿宋" w:eastAsia="仿宋"/>
          <w:sz w:val="32"/>
          <w:szCs w:val="32"/>
        </w:rPr>
        <w:t>七、一般公共预算财政拨款支出决算明细表</w:t>
      </w:r>
    </w:p>
    <w:p>
      <w:pPr>
        <w:rPr>
          <w:rFonts w:ascii="仿宋" w:hAnsi="仿宋" w:eastAsia="仿宋"/>
          <w:sz w:val="32"/>
          <w:szCs w:val="32"/>
        </w:rPr>
      </w:pPr>
      <w:r>
        <w:rPr>
          <w:rFonts w:hint="eastAsia" w:ascii="仿宋" w:hAnsi="仿宋" w:eastAsia="仿宋"/>
          <w:sz w:val="32"/>
          <w:szCs w:val="32"/>
        </w:rPr>
        <w:t>八、一般公共预算财政拨款基本支出决算表</w:t>
      </w:r>
    </w:p>
    <w:p>
      <w:pPr>
        <w:rPr>
          <w:rFonts w:ascii="仿宋" w:hAnsi="仿宋" w:eastAsia="仿宋"/>
          <w:sz w:val="32"/>
          <w:szCs w:val="32"/>
        </w:rPr>
      </w:pPr>
      <w:r>
        <w:rPr>
          <w:rFonts w:hint="eastAsia" w:ascii="仿宋" w:hAnsi="仿宋" w:eastAsia="仿宋"/>
          <w:sz w:val="32"/>
          <w:szCs w:val="32"/>
        </w:rPr>
        <w:t>九、一般公共预算财政拨款项目支出决算表</w:t>
      </w:r>
    </w:p>
    <w:p>
      <w:pPr>
        <w:rPr>
          <w:rFonts w:ascii="仿宋" w:hAnsi="仿宋" w:eastAsia="仿宋"/>
          <w:sz w:val="32"/>
          <w:szCs w:val="32"/>
        </w:rPr>
      </w:pPr>
      <w:r>
        <w:rPr>
          <w:rFonts w:hint="eastAsia" w:ascii="仿宋" w:hAnsi="仿宋" w:eastAsia="仿宋"/>
          <w:sz w:val="32"/>
          <w:szCs w:val="32"/>
        </w:rPr>
        <w:t>十、政府性基金预算财政拨款收入支出决算表</w:t>
      </w:r>
    </w:p>
    <w:p>
      <w:pPr>
        <w:rPr>
          <w:rFonts w:ascii="仿宋" w:hAnsi="仿宋" w:eastAsia="仿宋"/>
          <w:sz w:val="32"/>
          <w:szCs w:val="32"/>
        </w:rPr>
      </w:pPr>
      <w:r>
        <w:rPr>
          <w:rFonts w:hint="eastAsia" w:ascii="仿宋" w:hAnsi="仿宋" w:eastAsia="仿宋"/>
          <w:sz w:val="32"/>
          <w:szCs w:val="32"/>
        </w:rPr>
        <w:t>十一、国有资本经营预算财政拨款收入支出决算表</w:t>
      </w:r>
    </w:p>
    <w:p>
      <w:pPr>
        <w:rPr>
          <w:rFonts w:ascii="仿宋" w:hAnsi="仿宋" w:eastAsia="仿宋"/>
          <w:sz w:val="32"/>
          <w:szCs w:val="32"/>
        </w:rPr>
      </w:pPr>
      <w:r>
        <w:rPr>
          <w:rFonts w:hint="eastAsia" w:ascii="仿宋" w:hAnsi="仿宋" w:eastAsia="仿宋"/>
          <w:sz w:val="32"/>
          <w:szCs w:val="32"/>
        </w:rPr>
        <w:t>十二、国有资本经营预算财政拨款支出决算表</w:t>
      </w:r>
    </w:p>
    <w:p>
      <w:pPr>
        <w:rPr>
          <w:rFonts w:ascii="仿宋" w:hAnsi="仿宋" w:eastAsia="仿宋"/>
          <w:sz w:val="32"/>
          <w:szCs w:val="32"/>
        </w:rPr>
      </w:pPr>
      <w:r>
        <w:rPr>
          <w:rFonts w:hint="eastAsia" w:ascii="仿宋" w:hAnsi="仿宋" w:eastAsia="仿宋"/>
          <w:sz w:val="32"/>
          <w:szCs w:val="32"/>
        </w:rPr>
        <w:t>十三、财政拨款“三公”经费支出决算表</w:t>
      </w: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11"/>
          <w:jc w:val="center"/>
        </w:pPr>
        <w:r>
          <w:fldChar w:fldCharType="begin"/>
        </w:r>
        <w:r>
          <w:instrText xml:space="preserve">PAGE   \* MERGEFORMAT</w:instrText>
        </w:r>
        <w:r>
          <w:fldChar w:fldCharType="separate"/>
        </w:r>
        <w:r>
          <w:rPr>
            <w:lang w:val="zh-CN"/>
          </w:rPr>
          <w:t>23</w:t>
        </w:r>
        <w:r>
          <w:fldChar w:fldCharType="end"/>
        </w:r>
      </w:p>
    </w:sdtContent>
  </w:sdt>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376144"/>
    <w:multiLevelType w:val="singleLevel"/>
    <w:tmpl w:val="88376144"/>
    <w:lvl w:ilvl="0" w:tentative="0">
      <w:start w:val="2"/>
      <w:numFmt w:val="chineseCounting"/>
      <w:suff w:val="nothing"/>
      <w:lvlText w:val="（%1）"/>
      <w:lvlJc w:val="left"/>
      <w:rPr>
        <w:rFonts w:hint="eastAsia"/>
      </w:rPr>
    </w:lvl>
  </w:abstractNum>
  <w:abstractNum w:abstractNumId="1">
    <w:nsid w:val="BBCF212C"/>
    <w:multiLevelType w:val="singleLevel"/>
    <w:tmpl w:val="BBCF212C"/>
    <w:lvl w:ilvl="0" w:tentative="0">
      <w:start w:val="2"/>
      <w:numFmt w:val="chineseCounting"/>
      <w:suff w:val="nothing"/>
      <w:lvlText w:val="（%1）"/>
      <w:lvlJc w:val="left"/>
      <w:rPr>
        <w:rFonts w:hint="eastAsia"/>
      </w:rPr>
    </w:lvl>
  </w:abstractNum>
  <w:abstractNum w:abstractNumId="2">
    <w:nsid w:val="CF652CEC"/>
    <w:multiLevelType w:val="singleLevel"/>
    <w:tmpl w:val="CF652CEC"/>
    <w:lvl w:ilvl="0" w:tentative="0">
      <w:start w:val="9"/>
      <w:numFmt w:val="chineseCounting"/>
      <w:suff w:val="nothing"/>
      <w:lvlText w:val="%1、"/>
      <w:lvlJc w:val="left"/>
      <w:rPr>
        <w:rFonts w:hint="eastAsia"/>
      </w:rPr>
    </w:lvl>
  </w:abstractNum>
  <w:abstractNum w:abstractNumId="3">
    <w:nsid w:val="F006890E"/>
    <w:multiLevelType w:val="singleLevel"/>
    <w:tmpl w:val="F006890E"/>
    <w:lvl w:ilvl="0" w:tentative="0">
      <w:start w:val="1"/>
      <w:numFmt w:val="chineseCounting"/>
      <w:suff w:val="nothing"/>
      <w:lvlText w:val="%1、"/>
      <w:lvlJc w:val="left"/>
      <w:rPr>
        <w:rFonts w:hint="eastAsia"/>
      </w:rPr>
    </w:lvl>
  </w:abstractNum>
  <w:abstractNum w:abstractNumId="4">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5">
    <w:nsid w:val="699854C3"/>
    <w:multiLevelType w:val="singleLevel"/>
    <w:tmpl w:val="699854C3"/>
    <w:lvl w:ilvl="0" w:tentative="0">
      <w:start w:val="3"/>
      <w:numFmt w:val="chineseCounting"/>
      <w:suff w:val="nothing"/>
      <w:lvlText w:val="（%1）"/>
      <w:lvlJc w:val="left"/>
      <w:rPr>
        <w:rFonts w:hint="eastAsia"/>
      </w:r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61C"/>
    <w:rsid w:val="00014A1C"/>
    <w:rsid w:val="000222C6"/>
    <w:rsid w:val="0002549F"/>
    <w:rsid w:val="00035392"/>
    <w:rsid w:val="000468DB"/>
    <w:rsid w:val="0006487A"/>
    <w:rsid w:val="00065F8F"/>
    <w:rsid w:val="00070A43"/>
    <w:rsid w:val="000768F2"/>
    <w:rsid w:val="00082EAC"/>
    <w:rsid w:val="0009184B"/>
    <w:rsid w:val="00094236"/>
    <w:rsid w:val="0009593C"/>
    <w:rsid w:val="00097322"/>
    <w:rsid w:val="00097358"/>
    <w:rsid w:val="000A6A92"/>
    <w:rsid w:val="000B047F"/>
    <w:rsid w:val="000B5923"/>
    <w:rsid w:val="000B5A48"/>
    <w:rsid w:val="000B6FF3"/>
    <w:rsid w:val="000C3467"/>
    <w:rsid w:val="000C3CA6"/>
    <w:rsid w:val="000D1267"/>
    <w:rsid w:val="000D1D50"/>
    <w:rsid w:val="000D5782"/>
    <w:rsid w:val="000E6613"/>
    <w:rsid w:val="000E7119"/>
    <w:rsid w:val="000F449F"/>
    <w:rsid w:val="00114E9B"/>
    <w:rsid w:val="00142216"/>
    <w:rsid w:val="00144D6A"/>
    <w:rsid w:val="0014729F"/>
    <w:rsid w:val="00157BAB"/>
    <w:rsid w:val="001654D1"/>
    <w:rsid w:val="001730E5"/>
    <w:rsid w:val="00174518"/>
    <w:rsid w:val="0018106D"/>
    <w:rsid w:val="001877A7"/>
    <w:rsid w:val="00191536"/>
    <w:rsid w:val="00196687"/>
    <w:rsid w:val="001C0962"/>
    <w:rsid w:val="001C2738"/>
    <w:rsid w:val="001D7531"/>
    <w:rsid w:val="001E737D"/>
    <w:rsid w:val="001F0592"/>
    <w:rsid w:val="001F6419"/>
    <w:rsid w:val="001F7506"/>
    <w:rsid w:val="002006CD"/>
    <w:rsid w:val="00202B36"/>
    <w:rsid w:val="00204B7A"/>
    <w:rsid w:val="00204CDE"/>
    <w:rsid w:val="0021101A"/>
    <w:rsid w:val="00220536"/>
    <w:rsid w:val="00235629"/>
    <w:rsid w:val="00260289"/>
    <w:rsid w:val="00260C38"/>
    <w:rsid w:val="002616C0"/>
    <w:rsid w:val="002643DB"/>
    <w:rsid w:val="00265372"/>
    <w:rsid w:val="002662AA"/>
    <w:rsid w:val="00280496"/>
    <w:rsid w:val="00283D47"/>
    <w:rsid w:val="00294DC9"/>
    <w:rsid w:val="00295495"/>
    <w:rsid w:val="002A31DE"/>
    <w:rsid w:val="002A62F7"/>
    <w:rsid w:val="002B2613"/>
    <w:rsid w:val="002C1468"/>
    <w:rsid w:val="002D6D05"/>
    <w:rsid w:val="002F1818"/>
    <w:rsid w:val="002F5109"/>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2919"/>
    <w:rsid w:val="003D66DA"/>
    <w:rsid w:val="003E1310"/>
    <w:rsid w:val="003E2E6A"/>
    <w:rsid w:val="003E6F55"/>
    <w:rsid w:val="00406254"/>
    <w:rsid w:val="00410559"/>
    <w:rsid w:val="0041585D"/>
    <w:rsid w:val="00420B47"/>
    <w:rsid w:val="004223DE"/>
    <w:rsid w:val="00434489"/>
    <w:rsid w:val="00437085"/>
    <w:rsid w:val="00443880"/>
    <w:rsid w:val="004464F4"/>
    <w:rsid w:val="00447329"/>
    <w:rsid w:val="00471401"/>
    <w:rsid w:val="00473F31"/>
    <w:rsid w:val="0048263A"/>
    <w:rsid w:val="004826A2"/>
    <w:rsid w:val="00487E5D"/>
    <w:rsid w:val="004A711F"/>
    <w:rsid w:val="004B199D"/>
    <w:rsid w:val="004B4690"/>
    <w:rsid w:val="004E0A2D"/>
    <w:rsid w:val="004E206B"/>
    <w:rsid w:val="004E3607"/>
    <w:rsid w:val="004E6DF7"/>
    <w:rsid w:val="004F0FBD"/>
    <w:rsid w:val="00505A47"/>
    <w:rsid w:val="00512FDA"/>
    <w:rsid w:val="00520DA0"/>
    <w:rsid w:val="005664BB"/>
    <w:rsid w:val="00566FFA"/>
    <w:rsid w:val="0057481D"/>
    <w:rsid w:val="0058486E"/>
    <w:rsid w:val="00585B33"/>
    <w:rsid w:val="0059014D"/>
    <w:rsid w:val="005A09FD"/>
    <w:rsid w:val="005B0198"/>
    <w:rsid w:val="005B321C"/>
    <w:rsid w:val="005B5C64"/>
    <w:rsid w:val="005C5337"/>
    <w:rsid w:val="005C6BD0"/>
    <w:rsid w:val="005D1C8B"/>
    <w:rsid w:val="005D468D"/>
    <w:rsid w:val="005D5CED"/>
    <w:rsid w:val="005F1A4C"/>
    <w:rsid w:val="00605688"/>
    <w:rsid w:val="006070AF"/>
    <w:rsid w:val="00607E6C"/>
    <w:rsid w:val="006101B1"/>
    <w:rsid w:val="00614E44"/>
    <w:rsid w:val="00620030"/>
    <w:rsid w:val="0062270A"/>
    <w:rsid w:val="00622830"/>
    <w:rsid w:val="00623DA0"/>
    <w:rsid w:val="00630AEF"/>
    <w:rsid w:val="006325F8"/>
    <w:rsid w:val="00633463"/>
    <w:rsid w:val="00634C9A"/>
    <w:rsid w:val="00640417"/>
    <w:rsid w:val="00641F56"/>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516B"/>
    <w:rsid w:val="00746F48"/>
    <w:rsid w:val="0075404D"/>
    <w:rsid w:val="0076182A"/>
    <w:rsid w:val="00762406"/>
    <w:rsid w:val="0076493D"/>
    <w:rsid w:val="00767B7E"/>
    <w:rsid w:val="007770C3"/>
    <w:rsid w:val="00784D24"/>
    <w:rsid w:val="00785FBA"/>
    <w:rsid w:val="00786E4A"/>
    <w:rsid w:val="007875EB"/>
    <w:rsid w:val="0079426B"/>
    <w:rsid w:val="007D1682"/>
    <w:rsid w:val="007D312A"/>
    <w:rsid w:val="007D3F19"/>
    <w:rsid w:val="007E23B0"/>
    <w:rsid w:val="007E23E5"/>
    <w:rsid w:val="007E6A82"/>
    <w:rsid w:val="007F1991"/>
    <w:rsid w:val="007F2C2F"/>
    <w:rsid w:val="007F55FC"/>
    <w:rsid w:val="007F5665"/>
    <w:rsid w:val="007F7385"/>
    <w:rsid w:val="00800112"/>
    <w:rsid w:val="00813348"/>
    <w:rsid w:val="008253BB"/>
    <w:rsid w:val="0083706E"/>
    <w:rsid w:val="008408F6"/>
    <w:rsid w:val="008423A5"/>
    <w:rsid w:val="00850625"/>
    <w:rsid w:val="00853718"/>
    <w:rsid w:val="00855221"/>
    <w:rsid w:val="00860645"/>
    <w:rsid w:val="00871F71"/>
    <w:rsid w:val="00872FD8"/>
    <w:rsid w:val="00875641"/>
    <w:rsid w:val="00885AF4"/>
    <w:rsid w:val="00887F08"/>
    <w:rsid w:val="008914B9"/>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34F0"/>
    <w:rsid w:val="00935C98"/>
    <w:rsid w:val="00946945"/>
    <w:rsid w:val="00951248"/>
    <w:rsid w:val="0095152F"/>
    <w:rsid w:val="009546E4"/>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E50C8"/>
    <w:rsid w:val="009F1185"/>
    <w:rsid w:val="009F18CD"/>
    <w:rsid w:val="009F2A13"/>
    <w:rsid w:val="009F7527"/>
    <w:rsid w:val="00A04EB0"/>
    <w:rsid w:val="00A13CC1"/>
    <w:rsid w:val="00A16847"/>
    <w:rsid w:val="00A237D8"/>
    <w:rsid w:val="00A25C9F"/>
    <w:rsid w:val="00A268C4"/>
    <w:rsid w:val="00A27C77"/>
    <w:rsid w:val="00A307CD"/>
    <w:rsid w:val="00A331C8"/>
    <w:rsid w:val="00A40A00"/>
    <w:rsid w:val="00A4142F"/>
    <w:rsid w:val="00A422EB"/>
    <w:rsid w:val="00A45BB7"/>
    <w:rsid w:val="00A56DF2"/>
    <w:rsid w:val="00A56E6E"/>
    <w:rsid w:val="00A67AB5"/>
    <w:rsid w:val="00A733B2"/>
    <w:rsid w:val="00A741C2"/>
    <w:rsid w:val="00A74A9E"/>
    <w:rsid w:val="00A91760"/>
    <w:rsid w:val="00A93B00"/>
    <w:rsid w:val="00A93C21"/>
    <w:rsid w:val="00AB64C9"/>
    <w:rsid w:val="00AC2E50"/>
    <w:rsid w:val="00AC3C6A"/>
    <w:rsid w:val="00AD5620"/>
    <w:rsid w:val="00AD656B"/>
    <w:rsid w:val="00AD7C1B"/>
    <w:rsid w:val="00AE16BA"/>
    <w:rsid w:val="00AE1EBE"/>
    <w:rsid w:val="00B03C9D"/>
    <w:rsid w:val="00B060AE"/>
    <w:rsid w:val="00B10517"/>
    <w:rsid w:val="00B12E8B"/>
    <w:rsid w:val="00B14E76"/>
    <w:rsid w:val="00B161B8"/>
    <w:rsid w:val="00B2048C"/>
    <w:rsid w:val="00B310B9"/>
    <w:rsid w:val="00B35F3F"/>
    <w:rsid w:val="00B36CBB"/>
    <w:rsid w:val="00B411A6"/>
    <w:rsid w:val="00B425E0"/>
    <w:rsid w:val="00B440AA"/>
    <w:rsid w:val="00B44B70"/>
    <w:rsid w:val="00B53C56"/>
    <w:rsid w:val="00B57DAF"/>
    <w:rsid w:val="00B76F9D"/>
    <w:rsid w:val="00B77EA6"/>
    <w:rsid w:val="00B81598"/>
    <w:rsid w:val="00B841F1"/>
    <w:rsid w:val="00B944D6"/>
    <w:rsid w:val="00BA579E"/>
    <w:rsid w:val="00BB4DF0"/>
    <w:rsid w:val="00BC289F"/>
    <w:rsid w:val="00BC2D50"/>
    <w:rsid w:val="00BC5361"/>
    <w:rsid w:val="00BC5460"/>
    <w:rsid w:val="00BC6B50"/>
    <w:rsid w:val="00BD0E25"/>
    <w:rsid w:val="00BE0495"/>
    <w:rsid w:val="00BF5BD6"/>
    <w:rsid w:val="00C03E31"/>
    <w:rsid w:val="00C33E72"/>
    <w:rsid w:val="00C354B2"/>
    <w:rsid w:val="00C35554"/>
    <w:rsid w:val="00C42709"/>
    <w:rsid w:val="00C46119"/>
    <w:rsid w:val="00C533CC"/>
    <w:rsid w:val="00C5751C"/>
    <w:rsid w:val="00C61BFC"/>
    <w:rsid w:val="00C62B85"/>
    <w:rsid w:val="00C65438"/>
    <w:rsid w:val="00C860D5"/>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950A1"/>
    <w:rsid w:val="00DA634F"/>
    <w:rsid w:val="00DA65AC"/>
    <w:rsid w:val="00DB1913"/>
    <w:rsid w:val="00DC410D"/>
    <w:rsid w:val="00DC5A81"/>
    <w:rsid w:val="00DC68CA"/>
    <w:rsid w:val="00DC7CBA"/>
    <w:rsid w:val="00DD73B7"/>
    <w:rsid w:val="00DF24DF"/>
    <w:rsid w:val="00DF28BC"/>
    <w:rsid w:val="00DF34B9"/>
    <w:rsid w:val="00E01053"/>
    <w:rsid w:val="00E01B70"/>
    <w:rsid w:val="00E07ACF"/>
    <w:rsid w:val="00E11813"/>
    <w:rsid w:val="00E331A1"/>
    <w:rsid w:val="00E33202"/>
    <w:rsid w:val="00E336A9"/>
    <w:rsid w:val="00E472B1"/>
    <w:rsid w:val="00E50624"/>
    <w:rsid w:val="00E568DF"/>
    <w:rsid w:val="00E64269"/>
    <w:rsid w:val="00E82267"/>
    <w:rsid w:val="00E853CE"/>
    <w:rsid w:val="00E867B6"/>
    <w:rsid w:val="00EA010F"/>
    <w:rsid w:val="00EB0FAE"/>
    <w:rsid w:val="00ED1B63"/>
    <w:rsid w:val="00ED3C1F"/>
    <w:rsid w:val="00ED4085"/>
    <w:rsid w:val="00ED420E"/>
    <w:rsid w:val="00ED6FBE"/>
    <w:rsid w:val="00EE2F57"/>
    <w:rsid w:val="00EF4C34"/>
    <w:rsid w:val="00EF77C6"/>
    <w:rsid w:val="00F03938"/>
    <w:rsid w:val="00F05438"/>
    <w:rsid w:val="00F1361C"/>
    <w:rsid w:val="00F156F0"/>
    <w:rsid w:val="00F160C7"/>
    <w:rsid w:val="00F2408F"/>
    <w:rsid w:val="00F240E9"/>
    <w:rsid w:val="00F36D8F"/>
    <w:rsid w:val="00F417B1"/>
    <w:rsid w:val="00F45853"/>
    <w:rsid w:val="00F5561B"/>
    <w:rsid w:val="00F602DF"/>
    <w:rsid w:val="00F754A1"/>
    <w:rsid w:val="00F81FD9"/>
    <w:rsid w:val="00F841AA"/>
    <w:rsid w:val="00F84A94"/>
    <w:rsid w:val="00F87E96"/>
    <w:rsid w:val="00FA23E8"/>
    <w:rsid w:val="00FA789D"/>
    <w:rsid w:val="00FC7DA4"/>
    <w:rsid w:val="00FD3CC1"/>
    <w:rsid w:val="00FF1E02"/>
    <w:rsid w:val="00FF30B4"/>
    <w:rsid w:val="015975B8"/>
    <w:rsid w:val="016B5A68"/>
    <w:rsid w:val="01F50DD9"/>
    <w:rsid w:val="024D34B1"/>
    <w:rsid w:val="02FEBE30"/>
    <w:rsid w:val="03383E38"/>
    <w:rsid w:val="036B21D4"/>
    <w:rsid w:val="036F8141"/>
    <w:rsid w:val="04F254D5"/>
    <w:rsid w:val="060132CD"/>
    <w:rsid w:val="066E0107"/>
    <w:rsid w:val="06BC2787"/>
    <w:rsid w:val="072B6BEB"/>
    <w:rsid w:val="07996F6E"/>
    <w:rsid w:val="07BE5E2B"/>
    <w:rsid w:val="07BE74F1"/>
    <w:rsid w:val="07DFD8BA"/>
    <w:rsid w:val="083D4407"/>
    <w:rsid w:val="0A2032A3"/>
    <w:rsid w:val="0A7C1C43"/>
    <w:rsid w:val="0AC264C7"/>
    <w:rsid w:val="0D35B1ED"/>
    <w:rsid w:val="0D4923A7"/>
    <w:rsid w:val="0DBD2CEF"/>
    <w:rsid w:val="0E63746C"/>
    <w:rsid w:val="0E7ED1F5"/>
    <w:rsid w:val="0EFA020C"/>
    <w:rsid w:val="0F98263C"/>
    <w:rsid w:val="101860EC"/>
    <w:rsid w:val="10C055FF"/>
    <w:rsid w:val="118107EC"/>
    <w:rsid w:val="11A51709"/>
    <w:rsid w:val="12222551"/>
    <w:rsid w:val="139369FA"/>
    <w:rsid w:val="13D50BC4"/>
    <w:rsid w:val="13F5616D"/>
    <w:rsid w:val="1611629A"/>
    <w:rsid w:val="16BB723D"/>
    <w:rsid w:val="17F9714D"/>
    <w:rsid w:val="187559D3"/>
    <w:rsid w:val="1918F934"/>
    <w:rsid w:val="19473E09"/>
    <w:rsid w:val="194E1064"/>
    <w:rsid w:val="197910BB"/>
    <w:rsid w:val="19D630CF"/>
    <w:rsid w:val="1ABC1C19"/>
    <w:rsid w:val="1AF4020D"/>
    <w:rsid w:val="1BE8440E"/>
    <w:rsid w:val="1C152371"/>
    <w:rsid w:val="1C6B5691"/>
    <w:rsid w:val="1CED4255"/>
    <w:rsid w:val="1D155CEE"/>
    <w:rsid w:val="1D517DEA"/>
    <w:rsid w:val="1D79029A"/>
    <w:rsid w:val="1DF469FE"/>
    <w:rsid w:val="1DFBC4B3"/>
    <w:rsid w:val="1E740ACF"/>
    <w:rsid w:val="1F19C781"/>
    <w:rsid w:val="1F33FCE5"/>
    <w:rsid w:val="1F7F7398"/>
    <w:rsid w:val="1FD2DB6F"/>
    <w:rsid w:val="1FE825FF"/>
    <w:rsid w:val="1FF35744"/>
    <w:rsid w:val="1FF6BC77"/>
    <w:rsid w:val="1FF9236D"/>
    <w:rsid w:val="21081F73"/>
    <w:rsid w:val="2333840E"/>
    <w:rsid w:val="236C61CD"/>
    <w:rsid w:val="238169F6"/>
    <w:rsid w:val="23860B96"/>
    <w:rsid w:val="2403094A"/>
    <w:rsid w:val="240371BF"/>
    <w:rsid w:val="24313464"/>
    <w:rsid w:val="245B4DB2"/>
    <w:rsid w:val="257C638F"/>
    <w:rsid w:val="269D4D79"/>
    <w:rsid w:val="26EF2A64"/>
    <w:rsid w:val="27C92651"/>
    <w:rsid w:val="28CE2495"/>
    <w:rsid w:val="29364EA4"/>
    <w:rsid w:val="29FD04D3"/>
    <w:rsid w:val="2A9D26B8"/>
    <w:rsid w:val="2B325BCE"/>
    <w:rsid w:val="2BFF7BC6"/>
    <w:rsid w:val="2C065524"/>
    <w:rsid w:val="2C1E2D6D"/>
    <w:rsid w:val="2C8A61B5"/>
    <w:rsid w:val="2CD59C95"/>
    <w:rsid w:val="2DF04E50"/>
    <w:rsid w:val="2ECC3C96"/>
    <w:rsid w:val="2EFD05E5"/>
    <w:rsid w:val="2F040D46"/>
    <w:rsid w:val="2F4F95CE"/>
    <w:rsid w:val="2FACAFDD"/>
    <w:rsid w:val="2FAE5751"/>
    <w:rsid w:val="2FB1A395"/>
    <w:rsid w:val="2FCF0B76"/>
    <w:rsid w:val="2FD9A7D8"/>
    <w:rsid w:val="319F7F4E"/>
    <w:rsid w:val="324028AC"/>
    <w:rsid w:val="32EE6B29"/>
    <w:rsid w:val="3304709D"/>
    <w:rsid w:val="33503650"/>
    <w:rsid w:val="342F7AF4"/>
    <w:rsid w:val="35640DDF"/>
    <w:rsid w:val="357B6678"/>
    <w:rsid w:val="36AA5135"/>
    <w:rsid w:val="36BE0DA7"/>
    <w:rsid w:val="3755439E"/>
    <w:rsid w:val="37623CE5"/>
    <w:rsid w:val="376B6AA6"/>
    <w:rsid w:val="376D39B2"/>
    <w:rsid w:val="37E16F03"/>
    <w:rsid w:val="37F53A3B"/>
    <w:rsid w:val="38014ED0"/>
    <w:rsid w:val="38CF269F"/>
    <w:rsid w:val="38D469F0"/>
    <w:rsid w:val="38F78389"/>
    <w:rsid w:val="397BAF1F"/>
    <w:rsid w:val="39A10AB2"/>
    <w:rsid w:val="39A14774"/>
    <w:rsid w:val="39E7B272"/>
    <w:rsid w:val="39F7642F"/>
    <w:rsid w:val="39FF7B37"/>
    <w:rsid w:val="3AB79AF3"/>
    <w:rsid w:val="3AD4165F"/>
    <w:rsid w:val="3AFDCB77"/>
    <w:rsid w:val="3B526360"/>
    <w:rsid w:val="3B7EF35A"/>
    <w:rsid w:val="3B885C29"/>
    <w:rsid w:val="3B9FDB6C"/>
    <w:rsid w:val="3BF5BC2F"/>
    <w:rsid w:val="3BF7C23A"/>
    <w:rsid w:val="3BFF223E"/>
    <w:rsid w:val="3C6EC0A1"/>
    <w:rsid w:val="3CD97365"/>
    <w:rsid w:val="3CDB0824"/>
    <w:rsid w:val="3CEBA265"/>
    <w:rsid w:val="3D6A7F9F"/>
    <w:rsid w:val="3D7E7F4D"/>
    <w:rsid w:val="3D98207C"/>
    <w:rsid w:val="3D9CF30A"/>
    <w:rsid w:val="3DFF5A3E"/>
    <w:rsid w:val="3E78745D"/>
    <w:rsid w:val="3E8F60B4"/>
    <w:rsid w:val="3EEE77E9"/>
    <w:rsid w:val="3F394AF5"/>
    <w:rsid w:val="3FBE5714"/>
    <w:rsid w:val="3FDD8615"/>
    <w:rsid w:val="3FDFB2FF"/>
    <w:rsid w:val="3FF4CAE0"/>
    <w:rsid w:val="3FF75FAF"/>
    <w:rsid w:val="3FF7B227"/>
    <w:rsid w:val="40263B7A"/>
    <w:rsid w:val="40895652"/>
    <w:rsid w:val="40E259E7"/>
    <w:rsid w:val="42FD465A"/>
    <w:rsid w:val="43B7227B"/>
    <w:rsid w:val="44876EBB"/>
    <w:rsid w:val="44E268DA"/>
    <w:rsid w:val="457F4F6B"/>
    <w:rsid w:val="471401B7"/>
    <w:rsid w:val="4737FB58"/>
    <w:rsid w:val="47745D0D"/>
    <w:rsid w:val="47ECCB02"/>
    <w:rsid w:val="47FA6A3F"/>
    <w:rsid w:val="49D7AE48"/>
    <w:rsid w:val="4A3F6C7E"/>
    <w:rsid w:val="4A627F82"/>
    <w:rsid w:val="4B0E749A"/>
    <w:rsid w:val="4B4F25DA"/>
    <w:rsid w:val="4BBB4781"/>
    <w:rsid w:val="4BD709A5"/>
    <w:rsid w:val="4BDD9BFF"/>
    <w:rsid w:val="4BE068DB"/>
    <w:rsid w:val="4C0D7509"/>
    <w:rsid w:val="4C4D5BE6"/>
    <w:rsid w:val="4CAF3DDF"/>
    <w:rsid w:val="4D577224"/>
    <w:rsid w:val="4DBF1CEB"/>
    <w:rsid w:val="4DBF6A6B"/>
    <w:rsid w:val="4DF6A672"/>
    <w:rsid w:val="4EAB630A"/>
    <w:rsid w:val="4ECE2238"/>
    <w:rsid w:val="4F7EA413"/>
    <w:rsid w:val="4F8B4CF0"/>
    <w:rsid w:val="4FAB812F"/>
    <w:rsid w:val="4FE83C37"/>
    <w:rsid w:val="4FE9BD67"/>
    <w:rsid w:val="4FEE4C07"/>
    <w:rsid w:val="4FFB052F"/>
    <w:rsid w:val="4FFD3FC6"/>
    <w:rsid w:val="505A66A9"/>
    <w:rsid w:val="50670BB4"/>
    <w:rsid w:val="50716671"/>
    <w:rsid w:val="50A06B87"/>
    <w:rsid w:val="51AF38FC"/>
    <w:rsid w:val="51BD4648"/>
    <w:rsid w:val="520833EB"/>
    <w:rsid w:val="53547C42"/>
    <w:rsid w:val="536A51A4"/>
    <w:rsid w:val="537E6D0A"/>
    <w:rsid w:val="53887B28"/>
    <w:rsid w:val="53AB6B88"/>
    <w:rsid w:val="53B42DB2"/>
    <w:rsid w:val="53F74C96"/>
    <w:rsid w:val="54D22C78"/>
    <w:rsid w:val="5583522D"/>
    <w:rsid w:val="56774453"/>
    <w:rsid w:val="56D947DF"/>
    <w:rsid w:val="57BD3DD4"/>
    <w:rsid w:val="57F9CD1E"/>
    <w:rsid w:val="57FA2B68"/>
    <w:rsid w:val="583235F1"/>
    <w:rsid w:val="58D22246"/>
    <w:rsid w:val="5A387F7E"/>
    <w:rsid w:val="5AF92295"/>
    <w:rsid w:val="5AF9D8E9"/>
    <w:rsid w:val="5B1444AD"/>
    <w:rsid w:val="5B43741C"/>
    <w:rsid w:val="5B532D42"/>
    <w:rsid w:val="5BB17802"/>
    <w:rsid w:val="5BDD38BD"/>
    <w:rsid w:val="5BDD79E6"/>
    <w:rsid w:val="5BEFC772"/>
    <w:rsid w:val="5BFF5DFC"/>
    <w:rsid w:val="5C043B96"/>
    <w:rsid w:val="5CD71FC4"/>
    <w:rsid w:val="5CE81731"/>
    <w:rsid w:val="5D1F11B5"/>
    <w:rsid w:val="5D3647F9"/>
    <w:rsid w:val="5DA644D4"/>
    <w:rsid w:val="5DAE1B18"/>
    <w:rsid w:val="5DE7D9E5"/>
    <w:rsid w:val="5E731839"/>
    <w:rsid w:val="5ECEC941"/>
    <w:rsid w:val="5EE82404"/>
    <w:rsid w:val="5EFF8FC6"/>
    <w:rsid w:val="5F5BA39A"/>
    <w:rsid w:val="5F7D3B79"/>
    <w:rsid w:val="5F7F4610"/>
    <w:rsid w:val="5FBF9FF3"/>
    <w:rsid w:val="5FCD4E2C"/>
    <w:rsid w:val="5FEF394A"/>
    <w:rsid w:val="5FF67715"/>
    <w:rsid w:val="61CA71D5"/>
    <w:rsid w:val="627EE9EA"/>
    <w:rsid w:val="63977D24"/>
    <w:rsid w:val="63B23AA5"/>
    <w:rsid w:val="63E12221"/>
    <w:rsid w:val="647F5392"/>
    <w:rsid w:val="64E322C4"/>
    <w:rsid w:val="65BC4716"/>
    <w:rsid w:val="65FB93B9"/>
    <w:rsid w:val="6633C463"/>
    <w:rsid w:val="67D55B77"/>
    <w:rsid w:val="67EE7F84"/>
    <w:rsid w:val="68094BBD"/>
    <w:rsid w:val="686F5F53"/>
    <w:rsid w:val="69C62FFE"/>
    <w:rsid w:val="69EE2203"/>
    <w:rsid w:val="6A011250"/>
    <w:rsid w:val="6A4A7D70"/>
    <w:rsid w:val="6AFFCEAF"/>
    <w:rsid w:val="6B96E9E6"/>
    <w:rsid w:val="6B984AE2"/>
    <w:rsid w:val="6BCE57B5"/>
    <w:rsid w:val="6BFEA4DB"/>
    <w:rsid w:val="6BFFB662"/>
    <w:rsid w:val="6C4A05C8"/>
    <w:rsid w:val="6CBD0BDF"/>
    <w:rsid w:val="6CD67FB7"/>
    <w:rsid w:val="6CFF4FB8"/>
    <w:rsid w:val="6D206A5E"/>
    <w:rsid w:val="6D6BD6E0"/>
    <w:rsid w:val="6D77E73C"/>
    <w:rsid w:val="6DBF5E93"/>
    <w:rsid w:val="6DFF077E"/>
    <w:rsid w:val="6E7E3605"/>
    <w:rsid w:val="6E7FDCC7"/>
    <w:rsid w:val="6ED6A62E"/>
    <w:rsid w:val="6EE00B15"/>
    <w:rsid w:val="6EE737B2"/>
    <w:rsid w:val="6EEB2329"/>
    <w:rsid w:val="6EECE67A"/>
    <w:rsid w:val="6F265065"/>
    <w:rsid w:val="6F6F90A8"/>
    <w:rsid w:val="6F6FB3EB"/>
    <w:rsid w:val="6F7F6817"/>
    <w:rsid w:val="6F8731EA"/>
    <w:rsid w:val="6FB207F4"/>
    <w:rsid w:val="6FBC2ADD"/>
    <w:rsid w:val="6FC56A64"/>
    <w:rsid w:val="6FD57C00"/>
    <w:rsid w:val="6FEFFFD8"/>
    <w:rsid w:val="6FF5CC65"/>
    <w:rsid w:val="6FFB47EC"/>
    <w:rsid w:val="6FFF034A"/>
    <w:rsid w:val="70365188"/>
    <w:rsid w:val="7052498A"/>
    <w:rsid w:val="712A28F1"/>
    <w:rsid w:val="715C0E4B"/>
    <w:rsid w:val="71FFD401"/>
    <w:rsid w:val="72233669"/>
    <w:rsid w:val="72734D90"/>
    <w:rsid w:val="72770747"/>
    <w:rsid w:val="7332FE48"/>
    <w:rsid w:val="73694949"/>
    <w:rsid w:val="73AD73D5"/>
    <w:rsid w:val="73B6EB34"/>
    <w:rsid w:val="73F13286"/>
    <w:rsid w:val="73FA497D"/>
    <w:rsid w:val="744731E5"/>
    <w:rsid w:val="74BBD01D"/>
    <w:rsid w:val="74ED5379"/>
    <w:rsid w:val="75247DED"/>
    <w:rsid w:val="757A7946"/>
    <w:rsid w:val="75B86052"/>
    <w:rsid w:val="75DEEEC2"/>
    <w:rsid w:val="75F34773"/>
    <w:rsid w:val="765B1458"/>
    <w:rsid w:val="767F479D"/>
    <w:rsid w:val="76DB7F06"/>
    <w:rsid w:val="76E3355F"/>
    <w:rsid w:val="76F742AF"/>
    <w:rsid w:val="76F7BE7D"/>
    <w:rsid w:val="76FF5125"/>
    <w:rsid w:val="773570D3"/>
    <w:rsid w:val="77597F31"/>
    <w:rsid w:val="776F6FFA"/>
    <w:rsid w:val="7777A522"/>
    <w:rsid w:val="777930C1"/>
    <w:rsid w:val="77858688"/>
    <w:rsid w:val="778769C8"/>
    <w:rsid w:val="77CB741A"/>
    <w:rsid w:val="77D7BE3A"/>
    <w:rsid w:val="77DC22F5"/>
    <w:rsid w:val="791D044C"/>
    <w:rsid w:val="797E3A6C"/>
    <w:rsid w:val="79CF70E2"/>
    <w:rsid w:val="79D7FD79"/>
    <w:rsid w:val="79E75806"/>
    <w:rsid w:val="79EE5BA4"/>
    <w:rsid w:val="79F65AEA"/>
    <w:rsid w:val="7A641148"/>
    <w:rsid w:val="7A6F8BF5"/>
    <w:rsid w:val="7A894339"/>
    <w:rsid w:val="7ACF82B5"/>
    <w:rsid w:val="7AD07861"/>
    <w:rsid w:val="7AD5112F"/>
    <w:rsid w:val="7AFF28C9"/>
    <w:rsid w:val="7AFF72A0"/>
    <w:rsid w:val="7AFF7572"/>
    <w:rsid w:val="7B6C7DFB"/>
    <w:rsid w:val="7B7D76A7"/>
    <w:rsid w:val="7BAE2FE2"/>
    <w:rsid w:val="7BAF6951"/>
    <w:rsid w:val="7BBFBED0"/>
    <w:rsid w:val="7BC3E394"/>
    <w:rsid w:val="7BF3FE4C"/>
    <w:rsid w:val="7BFB5035"/>
    <w:rsid w:val="7BFDE17E"/>
    <w:rsid w:val="7CBF2E72"/>
    <w:rsid w:val="7CBFC87B"/>
    <w:rsid w:val="7CFE0F48"/>
    <w:rsid w:val="7D2A54F8"/>
    <w:rsid w:val="7D3DE31C"/>
    <w:rsid w:val="7D766C2D"/>
    <w:rsid w:val="7D7EC23E"/>
    <w:rsid w:val="7D7F8A13"/>
    <w:rsid w:val="7DBBCB01"/>
    <w:rsid w:val="7DC36E8C"/>
    <w:rsid w:val="7DC765D0"/>
    <w:rsid w:val="7DD56747"/>
    <w:rsid w:val="7DDB0EE0"/>
    <w:rsid w:val="7DFF51D8"/>
    <w:rsid w:val="7E411A2C"/>
    <w:rsid w:val="7E634199"/>
    <w:rsid w:val="7E8ADEBF"/>
    <w:rsid w:val="7EA47862"/>
    <w:rsid w:val="7EEF11D3"/>
    <w:rsid w:val="7EF78C20"/>
    <w:rsid w:val="7F3F679B"/>
    <w:rsid w:val="7F4FC4EF"/>
    <w:rsid w:val="7F5E4D54"/>
    <w:rsid w:val="7F6B75FA"/>
    <w:rsid w:val="7F8013FB"/>
    <w:rsid w:val="7F9F518D"/>
    <w:rsid w:val="7FA30C79"/>
    <w:rsid w:val="7FAF8ABF"/>
    <w:rsid w:val="7FB21852"/>
    <w:rsid w:val="7FB7269E"/>
    <w:rsid w:val="7FBD6753"/>
    <w:rsid w:val="7FBFABB4"/>
    <w:rsid w:val="7FC11198"/>
    <w:rsid w:val="7FC65084"/>
    <w:rsid w:val="7FC96657"/>
    <w:rsid w:val="7FD72595"/>
    <w:rsid w:val="7FDA9588"/>
    <w:rsid w:val="7FDF220F"/>
    <w:rsid w:val="7FDF4542"/>
    <w:rsid w:val="7FDF5405"/>
    <w:rsid w:val="7FEDC251"/>
    <w:rsid w:val="7FEDC5F7"/>
    <w:rsid w:val="7FEDD9DE"/>
    <w:rsid w:val="7FEFCDB9"/>
    <w:rsid w:val="7FF5890D"/>
    <w:rsid w:val="7FF5EB09"/>
    <w:rsid w:val="7FF89B92"/>
    <w:rsid w:val="7FF8F2E7"/>
    <w:rsid w:val="7FF93490"/>
    <w:rsid w:val="7FFA6237"/>
    <w:rsid w:val="7FFB5275"/>
    <w:rsid w:val="7FFD14DE"/>
    <w:rsid w:val="7FFFF783"/>
    <w:rsid w:val="93F70A9E"/>
    <w:rsid w:val="997D060E"/>
    <w:rsid w:val="99FF2014"/>
    <w:rsid w:val="9E59F895"/>
    <w:rsid w:val="9E7DEDC1"/>
    <w:rsid w:val="9EEF2B0D"/>
    <w:rsid w:val="9FF6F2A6"/>
    <w:rsid w:val="9FFE4AD9"/>
    <w:rsid w:val="9FFF61B9"/>
    <w:rsid w:val="A6DD0D7F"/>
    <w:rsid w:val="A7955197"/>
    <w:rsid w:val="A7FE5E0E"/>
    <w:rsid w:val="ADC6F725"/>
    <w:rsid w:val="AF0FFA84"/>
    <w:rsid w:val="AF9F0A5E"/>
    <w:rsid w:val="AFEF7964"/>
    <w:rsid w:val="B27A6F28"/>
    <w:rsid w:val="B35F0D5A"/>
    <w:rsid w:val="B3F7F693"/>
    <w:rsid w:val="B3FBBB6C"/>
    <w:rsid w:val="B5FFE407"/>
    <w:rsid w:val="B7CF06AB"/>
    <w:rsid w:val="B7CFA926"/>
    <w:rsid w:val="B7F8786B"/>
    <w:rsid w:val="B9EF5647"/>
    <w:rsid w:val="BABB6AA1"/>
    <w:rsid w:val="BAFCD398"/>
    <w:rsid w:val="BAFFDA0F"/>
    <w:rsid w:val="BB2F4199"/>
    <w:rsid w:val="BBFBD24E"/>
    <w:rsid w:val="BD079C78"/>
    <w:rsid w:val="BD2DD278"/>
    <w:rsid w:val="BD733540"/>
    <w:rsid w:val="BDF7970E"/>
    <w:rsid w:val="BDFE68BD"/>
    <w:rsid w:val="BE6FC990"/>
    <w:rsid w:val="BEBE9537"/>
    <w:rsid w:val="BEFF0D62"/>
    <w:rsid w:val="BEFF90EF"/>
    <w:rsid w:val="BF3735D5"/>
    <w:rsid w:val="BF7F09AC"/>
    <w:rsid w:val="BFB3380D"/>
    <w:rsid w:val="BFB7E7A2"/>
    <w:rsid w:val="BFC2F103"/>
    <w:rsid w:val="BFD475C3"/>
    <w:rsid w:val="BFDE5EA6"/>
    <w:rsid w:val="BFEF99E9"/>
    <w:rsid w:val="BFF9E564"/>
    <w:rsid w:val="BFFF3A69"/>
    <w:rsid w:val="C7BFEF9C"/>
    <w:rsid w:val="C8BD8F25"/>
    <w:rsid w:val="C94DA72E"/>
    <w:rsid w:val="CBEEAA00"/>
    <w:rsid w:val="CC7E9ECE"/>
    <w:rsid w:val="CDBFF9FF"/>
    <w:rsid w:val="CDF78664"/>
    <w:rsid w:val="CE3FF57E"/>
    <w:rsid w:val="CF3AB4AC"/>
    <w:rsid w:val="CF6FC6F3"/>
    <w:rsid w:val="CFD3D3D7"/>
    <w:rsid w:val="CFDF1009"/>
    <w:rsid w:val="D6B7E4F6"/>
    <w:rsid w:val="D6CB2739"/>
    <w:rsid w:val="D776A8DB"/>
    <w:rsid w:val="D7B6B268"/>
    <w:rsid w:val="D7D7B16A"/>
    <w:rsid w:val="D7EF2E2A"/>
    <w:rsid w:val="D8D6DB89"/>
    <w:rsid w:val="DB6F4CAB"/>
    <w:rsid w:val="DB777682"/>
    <w:rsid w:val="DBDDA52A"/>
    <w:rsid w:val="DCFFC0D1"/>
    <w:rsid w:val="DD1FB521"/>
    <w:rsid w:val="DDCB2E5E"/>
    <w:rsid w:val="DDFE75CA"/>
    <w:rsid w:val="DEFBBE33"/>
    <w:rsid w:val="DEFBFEAE"/>
    <w:rsid w:val="DF1F3B80"/>
    <w:rsid w:val="DF6F9789"/>
    <w:rsid w:val="DF9B8D55"/>
    <w:rsid w:val="DF9D198A"/>
    <w:rsid w:val="DFDF1D8E"/>
    <w:rsid w:val="DFEFC58B"/>
    <w:rsid w:val="DFF5F241"/>
    <w:rsid w:val="DFFFA9E8"/>
    <w:rsid w:val="E37D5D3F"/>
    <w:rsid w:val="E3FFE98D"/>
    <w:rsid w:val="E5F4E9DC"/>
    <w:rsid w:val="E67FF583"/>
    <w:rsid w:val="E70FE695"/>
    <w:rsid w:val="E7676621"/>
    <w:rsid w:val="E76B2B9A"/>
    <w:rsid w:val="E7AB7A34"/>
    <w:rsid w:val="E7DF1E20"/>
    <w:rsid w:val="E7FF6381"/>
    <w:rsid w:val="E9A30291"/>
    <w:rsid w:val="EBBF924C"/>
    <w:rsid w:val="ECFED1BC"/>
    <w:rsid w:val="ED1D69BB"/>
    <w:rsid w:val="ED2C2584"/>
    <w:rsid w:val="ED7FD312"/>
    <w:rsid w:val="EDBE03E0"/>
    <w:rsid w:val="EDD1A84A"/>
    <w:rsid w:val="EDFF8263"/>
    <w:rsid w:val="EE1FA0C7"/>
    <w:rsid w:val="EF53993F"/>
    <w:rsid w:val="EF7B8152"/>
    <w:rsid w:val="EF8E27E2"/>
    <w:rsid w:val="EFBFB2F4"/>
    <w:rsid w:val="EFBFFA21"/>
    <w:rsid w:val="EFDF4337"/>
    <w:rsid w:val="EFF7097E"/>
    <w:rsid w:val="F2BEBCB8"/>
    <w:rsid w:val="F36FB518"/>
    <w:rsid w:val="F3DE1A04"/>
    <w:rsid w:val="F3E244FA"/>
    <w:rsid w:val="F3EFB7CA"/>
    <w:rsid w:val="F3F722E5"/>
    <w:rsid w:val="F699BB1A"/>
    <w:rsid w:val="F6DEABFE"/>
    <w:rsid w:val="F7B650C7"/>
    <w:rsid w:val="F7EF9033"/>
    <w:rsid w:val="F7FDC2B1"/>
    <w:rsid w:val="F8DDDAC6"/>
    <w:rsid w:val="F96B55C8"/>
    <w:rsid w:val="FA2F5BEB"/>
    <w:rsid w:val="FA5F1E70"/>
    <w:rsid w:val="FA5FDB97"/>
    <w:rsid w:val="FB1BB959"/>
    <w:rsid w:val="FB75E3C8"/>
    <w:rsid w:val="FB7F461B"/>
    <w:rsid w:val="FB7F486A"/>
    <w:rsid w:val="FB7F6E28"/>
    <w:rsid w:val="FB8778F4"/>
    <w:rsid w:val="FBB61866"/>
    <w:rsid w:val="FBEE055A"/>
    <w:rsid w:val="FBF91527"/>
    <w:rsid w:val="FBFD1260"/>
    <w:rsid w:val="FBFF5B2E"/>
    <w:rsid w:val="FC833EBB"/>
    <w:rsid w:val="FCFE0B49"/>
    <w:rsid w:val="FD4B388D"/>
    <w:rsid w:val="FD77A83C"/>
    <w:rsid w:val="FD7FFE2B"/>
    <w:rsid w:val="FDADA43D"/>
    <w:rsid w:val="FDBDC432"/>
    <w:rsid w:val="FDEB412A"/>
    <w:rsid w:val="FDEE196B"/>
    <w:rsid w:val="FDEF50BC"/>
    <w:rsid w:val="FDFD5EC3"/>
    <w:rsid w:val="FDFE6575"/>
    <w:rsid w:val="FE9E11AB"/>
    <w:rsid w:val="FEBF38CD"/>
    <w:rsid w:val="FEDFDDC2"/>
    <w:rsid w:val="FEEB4E4D"/>
    <w:rsid w:val="FEED32F6"/>
    <w:rsid w:val="FEF781DD"/>
    <w:rsid w:val="FEF9D8C4"/>
    <w:rsid w:val="FF3F7E3F"/>
    <w:rsid w:val="FF3FF759"/>
    <w:rsid w:val="FF4749A3"/>
    <w:rsid w:val="FF4D3A28"/>
    <w:rsid w:val="FF5913BC"/>
    <w:rsid w:val="FF7F1E7E"/>
    <w:rsid w:val="FF9BAA5C"/>
    <w:rsid w:val="FFA57884"/>
    <w:rsid w:val="FFB513DD"/>
    <w:rsid w:val="FFBA12D7"/>
    <w:rsid w:val="FFBFE8C6"/>
    <w:rsid w:val="FFCF2925"/>
    <w:rsid w:val="FFD33B6C"/>
    <w:rsid w:val="FFDAD824"/>
    <w:rsid w:val="FFDE4064"/>
    <w:rsid w:val="FFDEA9D8"/>
    <w:rsid w:val="FFDF2DEC"/>
    <w:rsid w:val="FFDF624E"/>
    <w:rsid w:val="FFDF6BC0"/>
    <w:rsid w:val="FFDFFAEE"/>
    <w:rsid w:val="FFE3BA41"/>
    <w:rsid w:val="FFE3BED4"/>
    <w:rsid w:val="FFF316C1"/>
    <w:rsid w:val="FFF63ECC"/>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200" w:leftChars="200"/>
    </w:pPr>
    <w:rPr>
      <w:rFonts w:ascii="仿宋_GB2312"/>
      <w:szCs w:val="32"/>
    </w:rPr>
  </w:style>
  <w:style w:type="paragraph" w:styleId="7">
    <w:name w:val="Body Text"/>
    <w:basedOn w:val="1"/>
    <w:next w:val="1"/>
    <w:link w:val="26"/>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Plain Text"/>
    <w:basedOn w:val="1"/>
    <w:unhideWhenUsed/>
    <w:qFormat/>
    <w:uiPriority w:val="0"/>
    <w:rPr>
      <w:rFonts w:ascii="宋体" w:hAnsi="Courier New" w:cs="Courier New"/>
      <w:szCs w:val="21"/>
    </w:rPr>
  </w:style>
  <w:style w:type="paragraph" w:styleId="10">
    <w:name w:val="Balloon Text"/>
    <w:basedOn w:val="1"/>
    <w:link w:val="32"/>
    <w:semiHidden/>
    <w:unhideWhenUsed/>
    <w:qFormat/>
    <w:uiPriority w:val="99"/>
    <w:rPr>
      <w:sz w:val="18"/>
      <w:szCs w:val="18"/>
    </w:rPr>
  </w:style>
  <w:style w:type="paragraph" w:styleId="11">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1">
    <w:name w:val="Header Char"/>
    <w:basedOn w:val="17"/>
    <w:semiHidden/>
    <w:qFormat/>
    <w:uiPriority w:val="99"/>
    <w:rPr>
      <w:rFonts w:ascii="Times New Roman" w:hAnsi="Times New Roman"/>
      <w:sz w:val="18"/>
      <w:szCs w:val="18"/>
    </w:rPr>
  </w:style>
  <w:style w:type="character" w:customStyle="1" w:styleId="22">
    <w:name w:val="页眉 字符"/>
    <w:link w:val="12"/>
    <w:semiHidden/>
    <w:qFormat/>
    <w:locked/>
    <w:uiPriority w:val="99"/>
    <w:rPr>
      <w:sz w:val="18"/>
    </w:rPr>
  </w:style>
  <w:style w:type="character" w:customStyle="1" w:styleId="23">
    <w:name w:val="Footer Char"/>
    <w:basedOn w:val="17"/>
    <w:semiHidden/>
    <w:qFormat/>
    <w:uiPriority w:val="99"/>
    <w:rPr>
      <w:rFonts w:ascii="Times New Roman" w:hAnsi="Times New Roman"/>
      <w:sz w:val="18"/>
      <w:szCs w:val="18"/>
    </w:rPr>
  </w:style>
  <w:style w:type="character" w:customStyle="1" w:styleId="24">
    <w:name w:val="页脚 字符"/>
    <w:link w:val="11"/>
    <w:qFormat/>
    <w:locked/>
    <w:uiPriority w:val="99"/>
    <w:rPr>
      <w:sz w:val="18"/>
    </w:rPr>
  </w:style>
  <w:style w:type="character" w:customStyle="1" w:styleId="25">
    <w:name w:val="Body Text Char"/>
    <w:basedOn w:val="17"/>
    <w:semiHidden/>
    <w:qFormat/>
    <w:uiPriority w:val="99"/>
    <w:rPr>
      <w:rFonts w:ascii="Times New Roman" w:hAnsi="Times New Roman"/>
      <w:szCs w:val="24"/>
    </w:rPr>
  </w:style>
  <w:style w:type="character" w:customStyle="1" w:styleId="26">
    <w:name w:val="正文文本 字符"/>
    <w:link w:val="7"/>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字符"/>
    <w:basedOn w:val="17"/>
    <w:link w:val="4"/>
    <w:qFormat/>
    <w:uiPriority w:val="9"/>
    <w:rPr>
      <w:rFonts w:ascii="Times New Roman" w:hAnsi="Times New Roman"/>
      <w:b/>
      <w:bCs/>
      <w:kern w:val="44"/>
      <w:sz w:val="44"/>
      <w:szCs w:val="44"/>
    </w:rPr>
  </w:style>
  <w:style w:type="character" w:customStyle="1" w:styleId="30">
    <w:name w:val="标题 2 字符"/>
    <w:basedOn w:val="17"/>
    <w:link w:val="5"/>
    <w:qFormat/>
    <w:uiPriority w:val="9"/>
    <w:rPr>
      <w:rFonts w:asciiTheme="majorHAnsi" w:hAnsiTheme="majorHAnsi" w:eastAsiaTheme="majorEastAsia" w:cstheme="majorBidi"/>
      <w:b/>
      <w:bCs/>
      <w:kern w:val="2"/>
      <w:sz w:val="32"/>
      <w:szCs w:val="32"/>
    </w:rPr>
  </w:style>
  <w:style w:type="paragraph" w:customStyle="1" w:styleId="31">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字符"/>
    <w:basedOn w:val="17"/>
    <w:link w:val="10"/>
    <w:semiHidden/>
    <w:qFormat/>
    <w:uiPriority w:val="99"/>
    <w:rPr>
      <w:rFonts w:ascii="Times New Roman" w:hAnsi="Times New Roman"/>
      <w:kern w:val="2"/>
      <w:sz w:val="18"/>
      <w:szCs w:val="18"/>
    </w:rPr>
  </w:style>
  <w:style w:type="character" w:customStyle="1" w:styleId="33">
    <w:name w:val="标题 3 字符"/>
    <w:basedOn w:val="17"/>
    <w:link w:val="6"/>
    <w:qFormat/>
    <w:uiPriority w:val="9"/>
    <w:rPr>
      <w:rFonts w:ascii="Times New Roman" w:hAnsi="Times New Roman"/>
      <w:b/>
      <w:bCs/>
      <w:kern w:val="2"/>
      <w:sz w:val="32"/>
      <w:szCs w:val="32"/>
    </w:rPr>
  </w:style>
  <w:style w:type="paragraph" w:customStyle="1" w:styleId="34">
    <w:name w:val="TOC 标题2"/>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color w:val="000000"/>
      <w:kern w:val="0"/>
      <w:sz w:val="28"/>
      <w:szCs w:val="21"/>
      <w:lang w:val="zh-CN"/>
    </w:rPr>
  </w:style>
  <w:style w:type="paragraph" w:customStyle="1" w:styleId="36">
    <w:name w:val="WPSOffice手动目录 1"/>
    <w:uiPriority w:val="0"/>
    <w:pPr>
      <w:ind w:leftChars="0"/>
    </w:pPr>
    <w:rPr>
      <w:rFonts w:ascii="Times New Roman" w:hAnsi="Times New Roman" w:eastAsia="宋体" w:cs="Times New Roman"/>
      <w:sz w:val="20"/>
      <w:szCs w:val="20"/>
    </w:rPr>
  </w:style>
  <w:style w:type="paragraph" w:customStyle="1" w:styleId="37">
    <w:name w:val="WPSOffice手动目录 2"/>
    <w:qFormat/>
    <w:uiPriority w:val="0"/>
    <w:pPr>
      <w:ind w:leftChars="200"/>
    </w:pPr>
    <w:rPr>
      <w:rFonts w:ascii="Times New Roman" w:hAnsi="Times New Roman" w:eastAsia="宋体" w:cs="Times New Roman"/>
      <w:sz w:val="20"/>
      <w:szCs w:val="20"/>
    </w:rPr>
  </w:style>
  <w:style w:type="paragraph" w:customStyle="1" w:styleId="38">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收、支决算情况</a:t>
            </a:r>
          </a:p>
        </c:rich>
      </c:tx>
      <c:layout>
        <c:manualLayout>
          <c:xMode val="edge"/>
          <c:yMode val="edge"/>
          <c:x val="0.345802398629355"/>
          <c:y val="0.0232722143864598"/>
        </c:manualLayout>
      </c:layout>
      <c:overlay val="0"/>
      <c:spPr>
        <a:noFill/>
        <a:ln>
          <a:noFill/>
        </a:ln>
        <a:effectLst/>
      </c:spPr>
    </c:title>
    <c:autoTitleDeleted val="0"/>
    <c:plotArea>
      <c:layout>
        <c:manualLayout>
          <c:layoutTarget val="inner"/>
          <c:xMode val="edge"/>
          <c:yMode val="edge"/>
          <c:x val="0.0851798972015991"/>
          <c:y val="0.174188998589563"/>
          <c:w val="0.878697886921759"/>
          <c:h val="0.600705218617771"/>
        </c:manualLayout>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Sheet1!$B$2:$B$5</c:f>
              <c:numCache>
                <c:formatCode>General</c:formatCode>
                <c:ptCount val="4"/>
                <c:pt idx="0">
                  <c:v>154.27</c:v>
                </c:pt>
                <c:pt idx="1">
                  <c:v>285.14</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Sheet1!$C$2:$C$5</c:f>
              <c:numCache>
                <c:formatCode>General</c:formatCode>
                <c:ptCount val="4"/>
                <c:pt idx="0">
                  <c:v>154.27</c:v>
                </c:pt>
                <c:pt idx="1">
                  <c:v>285.14</c:v>
                </c:pt>
              </c:numCache>
            </c:numRef>
          </c:val>
        </c:ser>
        <c:ser>
          <c:idx val="2"/>
          <c:order val="2"/>
          <c:tx>
            <c:strRef>
              <c:f>Sheet1!$D$1</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Sheet1!$D$2:$D$5</c:f>
              <c:numCache>
                <c:formatCode>General</c:formatCode>
                <c:ptCount val="4"/>
              </c:numCache>
            </c:numRef>
          </c:val>
        </c:ser>
        <c:dLbls>
          <c:showLegendKey val="0"/>
          <c:showVal val="1"/>
          <c:showCatName val="0"/>
          <c:showSerName val="0"/>
          <c:showPercent val="0"/>
          <c:showBubbleSize val="0"/>
        </c:dLbls>
        <c:gapWidth val="219"/>
        <c:overlap val="-27"/>
        <c:axId val="846312751"/>
        <c:axId val="345616029"/>
      </c:barChart>
      <c:catAx>
        <c:axId val="84631275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45616029"/>
        <c:crosses val="autoZero"/>
        <c:auto val="1"/>
        <c:lblAlgn val="ctr"/>
        <c:lblOffset val="100"/>
        <c:noMultiLvlLbl val="0"/>
      </c:catAx>
      <c:valAx>
        <c:axId val="34561602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4631275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收入决算情况</a:t>
            </a:r>
          </a:p>
        </c:rich>
      </c:tx>
      <c:layout>
        <c:manualLayout>
          <c:xMode val="edge"/>
          <c:yMode val="edge"/>
          <c:x val="0.342972309849281"/>
          <c:y val="0.0249343832020997"/>
        </c:manualLayout>
      </c:layout>
      <c:overlay val="0"/>
      <c:spPr>
        <a:noFill/>
        <a:ln>
          <a:noFill/>
        </a:ln>
        <a:effectLst/>
      </c:spPr>
    </c:title>
    <c:autoTitleDeleted val="0"/>
    <c:plotArea>
      <c:layout/>
      <c:pieChart>
        <c:varyColors val="1"/>
        <c:ser>
          <c:idx val="0"/>
          <c:order val="0"/>
          <c:tx>
            <c:strRef>
              <c:f>Sheet1!$B$1</c:f>
              <c:strCache>
                <c:ptCount val="1"/>
                <c:pt idx="0">
                  <c:v>收入</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一般公共预算财政收入拨款</c:v>
                </c:pt>
              </c:strCache>
            </c:strRef>
          </c:cat>
          <c:val>
            <c:numRef>
              <c:f>Sheet1!$B$2:$B$5</c:f>
              <c:numCache>
                <c:formatCode>General</c:formatCode>
                <c:ptCount val="4"/>
                <c:pt idx="0">
                  <c:v>285.14</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一般公共预算财政收入拨款</c:v>
                </c:pt>
              </c:strCache>
            </c:strRef>
          </c:cat>
          <c:val>
            <c:numRef>
              <c:f>Sheet1!$C$2:$C$5</c:f>
              <c:numCache>
                <c:formatCode>General</c:formatCode>
                <c:ptCount val="4"/>
              </c:numCache>
            </c:numRef>
          </c:val>
        </c:ser>
        <c:ser>
          <c:idx val="2"/>
          <c:order val="2"/>
          <c:tx>
            <c:strRef>
              <c:f>Sheet1!$D$1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一般公共预算财政收入拨款</c:v>
                </c:pt>
              </c:strCache>
            </c:strRef>
          </c:cat>
          <c:val>
            <c:numRef>
              <c:f>Sheet1!$D$2:$D$5</c:f>
              <c:numCache>
                <c:formatCode>General</c:formatCode>
                <c:ptCount val="4"/>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支出决算情况</a:t>
            </a:r>
          </a:p>
        </c:rich>
      </c:tx>
      <c:layout>
        <c:manualLayout>
          <c:xMode val="edge"/>
          <c:yMode val="edge"/>
          <c:x val="0.35707479752263"/>
          <c:y val="0.0342659541024835"/>
        </c:manualLayout>
      </c:layout>
      <c:overlay val="0"/>
      <c:spPr>
        <a:noFill/>
        <a:ln>
          <a:noFill/>
        </a:ln>
        <a:effectLst/>
      </c:spPr>
    </c:title>
    <c:autoTitleDeleted val="0"/>
    <c:plotArea>
      <c:layout/>
      <c:pieChart>
        <c:varyColors val="1"/>
        <c:ser>
          <c:idx val="0"/>
          <c:order val="0"/>
          <c:tx>
            <c:strRef>
              <c:f>Sheet1!$B$1</c:f>
              <c:strCache>
                <c:ptCount val="1"/>
                <c:pt idx="0">
                  <c:v>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strCache>
            </c:strRef>
          </c:cat>
          <c:val>
            <c:numRef>
              <c:f>Sheet1!$B$2:$B$5</c:f>
              <c:numCache>
                <c:formatCode>General</c:formatCode>
                <c:ptCount val="4"/>
                <c:pt idx="0">
                  <c:v>153.31</c:v>
                </c:pt>
                <c:pt idx="1">
                  <c:v>131.82</c:v>
                </c:pt>
              </c:numCache>
            </c:numRef>
          </c:val>
        </c:ser>
        <c:ser>
          <c:idx val="1"/>
          <c:order val="1"/>
          <c:tx>
            <c:strRef>
              <c:f>Sheet1!$C$1</c:f>
              <c:strCache>
                <c:ptCount val="1"/>
                <c:pt idx="0">
                  <c:v>列1</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strCache>
            </c:strRef>
          </c:cat>
          <c:val>
            <c:numRef>
              <c:f>Sheet1!$C$2:$C$5</c:f>
              <c:numCache>
                <c:formatCode>General</c:formatCode>
                <c:ptCount val="4"/>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a:t>
            </a:r>
          </a:p>
        </c:rich>
      </c:tx>
      <c:layout/>
      <c:overlay val="0"/>
      <c:spPr>
        <a:noFill/>
        <a:ln>
          <a:noFill/>
        </a:ln>
        <a:effectLst/>
      </c:spPr>
    </c:title>
    <c:autoTitleDeleted val="0"/>
    <c:plotArea>
      <c:layout>
        <c:manualLayout>
          <c:layoutTarget val="inner"/>
          <c:xMode val="edge"/>
          <c:yMode val="edge"/>
          <c:x val="0.0599601593625498"/>
          <c:y val="0.145459641255605"/>
          <c:w val="0.927963147410359"/>
          <c:h val="0.697982062780269"/>
        </c:manualLayout>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2024</c:v>
                </c:pt>
                <c:pt idx="1">
                  <c:v>2025</c:v>
                </c:pt>
              </c:numCache>
            </c:numRef>
          </c:cat>
          <c:val>
            <c:numRef>
              <c:f>Sheet1!$B$2:$B$5</c:f>
              <c:numCache>
                <c:formatCode>General</c:formatCode>
                <c:ptCount val="4"/>
                <c:pt idx="0">
                  <c:v>154.27</c:v>
                </c:pt>
                <c:pt idx="1">
                  <c:v>285.14</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2024</c:v>
                </c:pt>
                <c:pt idx="1">
                  <c:v>2025</c:v>
                </c:pt>
              </c:numCache>
            </c:numRef>
          </c:cat>
          <c:val>
            <c:numRef>
              <c:f>Sheet1!$C$2:$C$5</c:f>
              <c:numCache>
                <c:formatCode>General</c:formatCode>
                <c:ptCount val="4"/>
                <c:pt idx="0">
                  <c:v>154.27</c:v>
                </c:pt>
                <c:pt idx="1">
                  <c:v>285.14</c:v>
                </c:pt>
              </c:numCache>
            </c:numRef>
          </c:val>
        </c:ser>
        <c:ser>
          <c:idx val="2"/>
          <c:order val="2"/>
          <c:tx>
            <c:strRef>
              <c:f>Sheet1!$D$1</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Sheet1!$A$2:$A$5</c:f>
              <c:numCache>
                <c:formatCode>General</c:formatCode>
                <c:ptCount val="4"/>
                <c:pt idx="0">
                  <c:v>2024</c:v>
                </c:pt>
                <c:pt idx="1">
                  <c:v>2025</c:v>
                </c:pt>
              </c:numCache>
            </c:numRef>
          </c:cat>
          <c:val>
            <c:numRef>
              <c:f>Sheet1!$D$2:$D$5</c:f>
              <c:numCache>
                <c:formatCode>General</c:formatCode>
                <c:ptCount val="4"/>
              </c:numCache>
            </c:numRef>
          </c:val>
        </c:ser>
        <c:dLbls>
          <c:showLegendKey val="0"/>
          <c:showVal val="1"/>
          <c:showCatName val="0"/>
          <c:showSerName val="0"/>
          <c:showPercent val="0"/>
          <c:showBubbleSize val="0"/>
        </c:dLbls>
        <c:gapWidth val="219"/>
        <c:overlap val="-27"/>
        <c:axId val="336545887"/>
        <c:axId val="155375045"/>
      </c:barChart>
      <c:catAx>
        <c:axId val="336545887"/>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5375045"/>
        <c:crosses val="autoZero"/>
        <c:auto val="1"/>
        <c:lblAlgn val="ctr"/>
        <c:lblOffset val="100"/>
        <c:noMultiLvlLbl val="0"/>
      </c:catAx>
      <c:valAx>
        <c:axId val="15537504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365458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p>
        </c:rich>
      </c:tx>
      <c:layout/>
      <c:overlay val="0"/>
      <c:spPr>
        <a:noFill/>
        <a:ln>
          <a:noFill/>
        </a:ln>
        <a:effectLst/>
      </c:spPr>
    </c:title>
    <c:autoTitleDeleted val="0"/>
    <c:plotArea>
      <c:layout>
        <c:manualLayout>
          <c:layoutTarget val="inner"/>
          <c:xMode val="edge"/>
          <c:yMode val="edge"/>
          <c:x val="0.0819636476619543"/>
          <c:y val="0.304557033682423"/>
          <c:w val="0.882150069908342"/>
          <c:h val="0.424115482592697"/>
        </c:manualLayout>
      </c:layout>
      <c:barChart>
        <c:barDir val="col"/>
        <c:grouping val="stacked"/>
        <c:varyColors val="0"/>
        <c:ser>
          <c:idx val="0"/>
          <c:order val="0"/>
          <c:tx>
            <c:strRef>
              <c:f>Sheet1!$B$1</c:f>
              <c:strCache>
                <c:ptCount val="1"/>
                <c:pt idx="0">
                  <c:v>支出</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Sheet1!$B$2:$B$5</c:f>
              <c:numCache>
                <c:formatCode>General</c:formatCode>
                <c:ptCount val="4"/>
                <c:pt idx="0">
                  <c:v>154.27</c:v>
                </c:pt>
                <c:pt idx="1">
                  <c:v>285.14</c:v>
                </c:pt>
              </c:numCache>
            </c:numRef>
          </c:val>
        </c:ser>
        <c:ser>
          <c:idx val="1"/>
          <c:order val="1"/>
          <c:tx>
            <c:strRef>
              <c:f>Sheet1!$C$1</c:f>
              <c:strCache>
                <c:ptCount val="1"/>
                <c:pt idx="0">
                  <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Sheet1!$C$2:$C$5</c:f>
              <c:numCache>
                <c:formatCode>General</c:formatCode>
                <c:ptCount val="4"/>
              </c:numCache>
            </c:numRef>
          </c:val>
        </c:ser>
        <c:ser>
          <c:idx val="2"/>
          <c:order val="2"/>
          <c:tx>
            <c:strRef>
              <c:f>Sheet1!$D$1</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2024年</c:v>
                </c:pt>
                <c:pt idx="1">
                  <c:v>2025年</c:v>
                </c:pt>
              </c:strCache>
            </c:strRef>
          </c:cat>
          <c:val>
            <c:numRef>
              <c:f>Sheet1!$D$2:$D$5</c:f>
              <c:numCache>
                <c:formatCode>General</c:formatCode>
                <c:ptCount val="4"/>
              </c:numCache>
            </c:numRef>
          </c:val>
        </c:ser>
        <c:dLbls>
          <c:showLegendKey val="0"/>
          <c:showVal val="1"/>
          <c:showCatName val="0"/>
          <c:showSerName val="0"/>
          <c:showPercent val="0"/>
          <c:showBubbleSize val="0"/>
        </c:dLbls>
        <c:gapWidth val="150"/>
        <c:overlap val="100"/>
        <c:axId val="174155202"/>
        <c:axId val="898940097"/>
      </c:barChart>
      <c:catAx>
        <c:axId val="17415520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98940097"/>
        <c:crosses val="autoZero"/>
        <c:auto val="1"/>
        <c:lblAlgn val="ctr"/>
        <c:lblOffset val="100"/>
        <c:noMultiLvlLbl val="0"/>
      </c:catAx>
      <c:valAx>
        <c:axId val="89894009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7415520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本年度支出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一般公共服务支出</c:v>
                </c:pt>
                <c:pt idx="1">
                  <c:v>社会保障就业支出</c:v>
                </c:pt>
                <c:pt idx="2">
                  <c:v>卫生健康支出</c:v>
                </c:pt>
                <c:pt idx="3">
                  <c:v>住房保障支出</c:v>
                </c:pt>
              </c:strCache>
            </c:strRef>
          </c:cat>
          <c:val>
            <c:numRef>
              <c:f>Sheet1!$B$2:$B$5</c:f>
              <c:numCache>
                <c:formatCode>General</c:formatCode>
                <c:ptCount val="4"/>
                <c:pt idx="0">
                  <c:v>248.01</c:v>
                </c:pt>
                <c:pt idx="1">
                  <c:v>19.78</c:v>
                </c:pt>
                <c:pt idx="2">
                  <c:v>7.13</c:v>
                </c:pt>
                <c:pt idx="3">
                  <c:v>10.22</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一般公共服务支出</c:v>
                </c:pt>
                <c:pt idx="1">
                  <c:v>社会保障就业支出</c:v>
                </c:pt>
                <c:pt idx="2">
                  <c:v>卫生健康支出</c:v>
                </c:pt>
                <c:pt idx="3">
                  <c:v>住房保障支出</c:v>
                </c:pt>
              </c:strCache>
            </c:strRef>
          </c:cat>
          <c:val>
            <c:numRef>
              <c:f>Sheet1!$C$2:$C$5</c:f>
              <c:numCache>
                <c:formatCode>General</c:formatCode>
                <c:ptCount val="4"/>
              </c:numCache>
            </c:numRef>
          </c:val>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本年度三公经费支出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公务用车运行及维护</c:v>
                </c:pt>
              </c:strCache>
            </c:strRef>
          </c:cat>
          <c:val>
            <c:numRef>
              <c:f>Sheet1!$B$2:$B$5</c:f>
              <c:numCache>
                <c:formatCode>General</c:formatCode>
                <c:ptCount val="4"/>
                <c:pt idx="0">
                  <c:v>1.77</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公务用车运行及维护</c:v>
                </c:pt>
              </c:strCache>
            </c:strRef>
          </c:cat>
          <c:val>
            <c:numRef>
              <c:f>Sheet1!$C$2:$C$5</c:f>
              <c:numCache>
                <c:formatCode>General</c:formatCode>
                <c:ptCount val="4"/>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24</Pages>
  <Words>1535</Words>
  <Characters>8751</Characters>
  <Lines>72</Lines>
  <Paragraphs>20</Paragraphs>
  <TotalTime>39</TotalTime>
  <ScaleCrop>false</ScaleCrop>
  <LinksUpToDate>false</LinksUpToDate>
  <CharactersWithSpaces>10266</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2024-08-05T07:12:00Z</dcterms:created>
  <dc:creator>曹颖</dc:creator>
  <cp:lastModifiedBy>Administrator</cp:lastModifiedBy>
  <cp:lastPrinted>2026-10-16T08:37:00Z</cp:lastPrinted>
  <dcterms:modified xsi:type="dcterms:W3CDTF">2026-10-19T01:02:37Z</dcterms:modified>
  <dc:title>四川省***</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E07E85CF03DE4A74899376C8C4D30074</vt:lpwstr>
  </property>
</Properties>
</file>