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style1.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BA0458">
      <w:pPr>
        <w:rPr>
          <w:rFonts w:asciiTheme="minorEastAsia" w:hAnsiTheme="minorEastAsia" w:eastAsiaTheme="minorEastAsia"/>
          <w:b/>
          <w:sz w:val="72"/>
          <w:szCs w:val="72"/>
        </w:rPr>
      </w:pPr>
      <w:bookmarkStart w:id="0" w:name="_Toc15377425"/>
      <w:bookmarkStart w:id="1" w:name="_Toc15396597"/>
      <w:bookmarkStart w:id="2" w:name="_Toc15396475"/>
      <w:bookmarkStart w:id="3" w:name="_Toc15378441"/>
      <w:bookmarkStart w:id="4" w:name="_Toc15377193"/>
      <w:bookmarkStart w:id="5" w:name="_Toc15306267"/>
    </w:p>
    <w:p w14:paraId="3F107B82">
      <w:pPr>
        <w:pStyle w:val="5"/>
        <w:ind w:firstLine="0"/>
      </w:pPr>
    </w:p>
    <w:p w14:paraId="52826373">
      <w:pPr>
        <w:jc w:val="center"/>
        <w:rPr>
          <w:rFonts w:asciiTheme="minorEastAsia" w:hAnsiTheme="minorEastAsia" w:eastAsiaTheme="minorEastAsia"/>
          <w:b/>
          <w:sz w:val="72"/>
          <w:szCs w:val="72"/>
        </w:rPr>
      </w:pPr>
      <w:r>
        <w:rPr>
          <w:rFonts w:hint="eastAsia" w:asciiTheme="minorEastAsia" w:hAnsiTheme="minorEastAsia" w:eastAsiaTheme="minorEastAsia"/>
          <w:b/>
          <w:sz w:val="72"/>
          <w:szCs w:val="72"/>
        </w:rPr>
        <w:t>202</w:t>
      </w:r>
      <w:r>
        <w:rPr>
          <w:rFonts w:hint="eastAsia" w:asciiTheme="minorEastAsia" w:hAnsiTheme="minorEastAsia" w:eastAsiaTheme="minorEastAsia"/>
          <w:b/>
          <w:sz w:val="72"/>
          <w:szCs w:val="72"/>
          <w:lang w:val="en-US" w:eastAsia="zh-CN"/>
        </w:rPr>
        <w:t>5</w:t>
      </w:r>
      <w:r>
        <w:rPr>
          <w:b/>
          <w:sz w:val="72"/>
          <w:u w:color="auto"/>
        </w:rPr>
        <w:t>年度</w:t>
      </w:r>
      <w:bookmarkEnd w:id="0"/>
      <w:bookmarkEnd w:id="1"/>
      <w:bookmarkEnd w:id="2"/>
      <w:bookmarkEnd w:id="3"/>
      <w:bookmarkEnd w:id="4"/>
    </w:p>
    <w:bookmarkEnd w:id="5"/>
    <w:p w14:paraId="35351E9F">
      <w:pPr>
        <w:jc w:val="center"/>
        <w:rPr>
          <w:rFonts w:asciiTheme="minorEastAsia" w:hAnsiTheme="minorEastAsia" w:eastAsiaTheme="minorEastAsia"/>
          <w:b/>
          <w:sz w:val="72"/>
          <w:szCs w:val="72"/>
        </w:rPr>
      </w:pPr>
      <w:bookmarkStart w:id="6" w:name="_Toc15377426"/>
      <w:bookmarkStart w:id="7" w:name="_Toc15378442"/>
      <w:bookmarkStart w:id="8" w:name="_Toc15306268"/>
      <w:bookmarkStart w:id="9" w:name="_Toc15396476"/>
      <w:bookmarkStart w:id="10" w:name="_Toc15377194"/>
      <w:bookmarkStart w:id="11" w:name="_Toc15396598"/>
      <w:r>
        <w:rPr>
          <w:rFonts w:asciiTheme="minorEastAsia" w:hAnsiTheme="minorEastAsia" w:eastAsiaTheme="minorEastAsia"/>
          <w:b/>
          <w:sz w:val="72"/>
          <w:szCs w:val="72"/>
        </w:rPr>
        <w:t>阿坝州红原县公务服务中心</w:t>
      </w:r>
      <w:r>
        <w:rPr>
          <w:rFonts w:hint="eastAsia" w:asciiTheme="minorEastAsia" w:hAnsiTheme="minorEastAsia" w:eastAsiaTheme="minorEastAsia"/>
          <w:b/>
          <w:sz w:val="72"/>
          <w:szCs w:val="72"/>
        </w:rPr>
        <w:t>部门</w:t>
      </w:r>
      <w:r>
        <w:rPr>
          <w:b/>
          <w:sz w:val="72"/>
          <w:u w:color="auto"/>
        </w:rPr>
        <w:t>决算</w:t>
      </w:r>
      <w:bookmarkEnd w:id="6"/>
      <w:bookmarkEnd w:id="7"/>
      <w:bookmarkEnd w:id="8"/>
      <w:bookmarkEnd w:id="9"/>
      <w:bookmarkEnd w:id="10"/>
      <w:bookmarkEnd w:id="11"/>
    </w:p>
    <w:p w14:paraId="49677FA1">
      <w:pPr>
        <w:pStyle w:val="5"/>
      </w:pPr>
    </w:p>
    <w:p w14:paraId="35FF9302">
      <w:pPr>
        <w:pStyle w:val="5"/>
      </w:pPr>
    </w:p>
    <w:p w14:paraId="42650BCA">
      <w:pPr>
        <w:pStyle w:val="5"/>
      </w:pPr>
    </w:p>
    <w:p w14:paraId="3E69331C">
      <w:pPr>
        <w:pStyle w:val="5"/>
      </w:pPr>
    </w:p>
    <w:p w14:paraId="7084CEF0">
      <w:pPr>
        <w:pStyle w:val="5"/>
      </w:pPr>
    </w:p>
    <w:p w14:paraId="2D753217">
      <w:pPr>
        <w:pStyle w:val="5"/>
      </w:pPr>
    </w:p>
    <w:p w14:paraId="288AC5C7">
      <w:pPr>
        <w:pStyle w:val="5"/>
      </w:pPr>
    </w:p>
    <w:p w14:paraId="4B61FB1C">
      <w:pPr>
        <w:pStyle w:val="5"/>
      </w:pPr>
    </w:p>
    <w:p w14:paraId="71FCB2C0">
      <w:pPr>
        <w:pStyle w:val="5"/>
      </w:pPr>
    </w:p>
    <w:p w14:paraId="68346A2B">
      <w:pPr>
        <w:pStyle w:val="5"/>
        <w:tabs>
          <w:tab w:val="left" w:pos="3600"/>
        </w:tabs>
      </w:pPr>
      <w:r>
        <w:tab/>
      </w:r>
    </w:p>
    <w:p w14:paraId="4D97C736">
      <w:pPr>
        <w:pStyle w:val="5"/>
      </w:pPr>
    </w:p>
    <w:p w14:paraId="07551F3F">
      <w:pPr>
        <w:pStyle w:val="5"/>
      </w:pPr>
    </w:p>
    <w:p w14:paraId="60F571F1">
      <w:pPr>
        <w:pStyle w:val="5"/>
      </w:pPr>
    </w:p>
    <w:p w14:paraId="2C6751BC">
      <w:pPr>
        <w:pStyle w:val="5"/>
      </w:pPr>
    </w:p>
    <w:p w14:paraId="26C95982">
      <w:pPr>
        <w:pStyle w:val="5"/>
      </w:pPr>
    </w:p>
    <w:p w14:paraId="35A06BD1">
      <w:pPr>
        <w:pStyle w:val="5"/>
      </w:pPr>
    </w:p>
    <w:p w14:paraId="7FBFC535">
      <w:pPr>
        <w:pStyle w:val="5"/>
      </w:pPr>
    </w:p>
    <w:p w14:paraId="1FEBD0D8">
      <w:pPr>
        <w:pStyle w:val="5"/>
      </w:pPr>
    </w:p>
    <w:p w14:paraId="3B88D70E">
      <w:pPr>
        <w:pStyle w:val="5"/>
      </w:pPr>
    </w:p>
    <w:p w14:paraId="2CDB68D5">
      <w:pPr>
        <w:autoSpaceDE w:val="0"/>
        <w:autoSpaceDN w:val="0"/>
        <w:adjustRightInd w:val="0"/>
        <w:ind w:left="420" w:leftChars="200"/>
        <w:jc w:val="left"/>
        <w:rPr>
          <w:rFonts w:ascii="宋体" w:hAnsi="宋体"/>
          <w:sz w:val="32"/>
          <w:szCs w:val="32"/>
        </w:rPr>
      </w:pPr>
      <w:r>
        <w:rPr>
          <w:rFonts w:hint="eastAsia" w:ascii="宋体" w:hAnsi="宋体" w:cs="仿宋_GB2312"/>
          <w:sz w:val="32"/>
          <w:szCs w:val="32"/>
        </w:rPr>
        <w:t>保密审查情况：已审查，内容审定</w:t>
      </w:r>
    </w:p>
    <w:p w14:paraId="5110770A">
      <w:pPr>
        <w:autoSpaceDE w:val="0"/>
        <w:autoSpaceDN w:val="0"/>
        <w:adjustRightInd w:val="0"/>
        <w:ind w:left="420" w:leftChars="200"/>
        <w:jc w:val="left"/>
        <w:rPr>
          <w:rFonts w:ascii="宋体" w:hAnsi="宋体"/>
          <w:sz w:val="32"/>
          <w:szCs w:val="32"/>
        </w:rPr>
      </w:pPr>
      <w:r>
        <w:rPr>
          <w:rFonts w:hint="eastAsia" w:ascii="宋体" w:hAnsi="宋体" w:cs="仿宋_GB2312"/>
          <w:sz w:val="32"/>
          <w:szCs w:val="32"/>
        </w:rPr>
        <w:t>部门</w:t>
      </w:r>
      <w:r>
        <w:rPr>
          <w:rFonts w:ascii="宋体" w:hAnsi="宋体" w:cs="宋体"/>
          <w:sz w:val="32"/>
          <w:u w:color="auto"/>
        </w:rPr>
        <w:t>主要负责人审签情况：已审签，同意对外公开</w:t>
      </w:r>
    </w:p>
    <w:p w14:paraId="5DB9B66E">
      <w:pPr>
        <w:widowControl/>
        <w:jc w:val="center"/>
        <w:rPr>
          <w:rFonts w:ascii="黑体" w:hAnsi="黑体" w:eastAsia="黑体"/>
          <w:color w:val="000000"/>
          <w:sz w:val="48"/>
          <w:szCs w:val="48"/>
        </w:rPr>
      </w:pPr>
      <w:r>
        <w:rPr>
          <w:rFonts w:ascii="方正小标宋简体" w:hAnsi="宋体" w:eastAsia="方正小标宋简体"/>
          <w:color w:val="000000"/>
          <w:sz w:val="36"/>
          <w:szCs w:val="36"/>
        </w:rPr>
        <w:br w:type="page"/>
      </w:r>
      <w:r>
        <w:rPr>
          <w:rFonts w:hint="eastAsia" w:ascii="黑体" w:hAnsi="黑体" w:eastAsia="黑体"/>
          <w:color w:val="000000"/>
          <w:sz w:val="48"/>
          <w:szCs w:val="48"/>
        </w:rPr>
        <w:t>目录</w:t>
      </w:r>
      <w:bookmarkStart w:id="12" w:name="_Toc15377196"/>
    </w:p>
    <w:p w14:paraId="41125B1D">
      <w:pPr>
        <w:pStyle w:val="17"/>
        <w:tabs>
          <w:tab w:val="right" w:leader="dot" w:pos="8306"/>
          <w:tab w:val="clear" w:pos="8296"/>
        </w:tabs>
      </w:pPr>
      <w:r>
        <w:rPr>
          <w:smallCaps/>
          <w:sz w:val="20"/>
          <w:szCs w:val="20"/>
        </w:rPr>
        <w:fldChar w:fldCharType="begin"/>
      </w:r>
      <w:r>
        <w:rPr>
          <w:smallCaps/>
          <w:sz w:val="20"/>
          <w:szCs w:val="20"/>
        </w:rPr>
        <w:instrText xml:space="preserve"> TOC \o "1-2" \h \z \u </w:instrText>
      </w:r>
      <w:r>
        <w:rPr>
          <w:smallCaps/>
          <w:sz w:val="20"/>
          <w:szCs w:val="20"/>
        </w:rPr>
        <w:fldChar w:fldCharType="separate"/>
      </w:r>
      <w:r>
        <w:rPr>
          <w:smallCaps/>
          <w:szCs w:val="20"/>
        </w:rPr>
        <w:fldChar w:fldCharType="begin"/>
      </w:r>
      <w:r>
        <w:rPr>
          <w:smallCaps/>
          <w:szCs w:val="20"/>
        </w:rPr>
        <w:instrText xml:space="preserve"> HYPERLINK \l _Toc9016 </w:instrText>
      </w:r>
      <w:r>
        <w:rPr>
          <w:smallCaps/>
          <w:szCs w:val="20"/>
        </w:rPr>
        <w:fldChar w:fldCharType="separate"/>
      </w:r>
      <w:r>
        <w:rPr>
          <w:rFonts w:hint="eastAsia" w:ascii="黑体" w:hAnsi="黑体" w:eastAsia="黑体" w:cs="黑体"/>
        </w:rPr>
        <w:t xml:space="preserve">第一部分 </w:t>
      </w:r>
      <w:r>
        <w:rPr>
          <w:rFonts w:hint="eastAsia" w:ascii="黑体" w:hAnsi="黑体" w:eastAsia="黑体" w:cs="黑体"/>
          <w:bCs w:val="0"/>
        </w:rPr>
        <w:t>部门</w:t>
      </w:r>
      <w:r>
        <w:rPr>
          <w:rFonts w:ascii="黑体" w:hAnsi="黑体" w:eastAsia="黑体" w:cs="黑体"/>
          <w:u w:color="auto"/>
        </w:rPr>
        <w:t>概况</w:t>
      </w:r>
      <w:r>
        <w:tab/>
      </w:r>
      <w:r>
        <w:fldChar w:fldCharType="begin"/>
      </w:r>
      <w:r>
        <w:instrText xml:space="preserve"> PAGEREF _Toc9016 \h </w:instrText>
      </w:r>
      <w:r>
        <w:fldChar w:fldCharType="separate"/>
      </w:r>
      <w:r>
        <w:t>3</w:t>
      </w:r>
      <w:r>
        <w:fldChar w:fldCharType="end"/>
      </w:r>
      <w:r>
        <w:rPr>
          <w:smallCaps/>
          <w:szCs w:val="20"/>
        </w:rPr>
        <w:fldChar w:fldCharType="end"/>
      </w:r>
    </w:p>
    <w:p w14:paraId="7FA075D5">
      <w:pPr>
        <w:pStyle w:val="19"/>
        <w:tabs>
          <w:tab w:val="right" w:leader="dot" w:pos="8306"/>
          <w:tab w:val="clear" w:pos="8296"/>
        </w:tabs>
      </w:pPr>
      <w:r>
        <w:rPr>
          <w:smallCaps/>
          <w:szCs w:val="20"/>
        </w:rPr>
        <w:fldChar w:fldCharType="begin"/>
      </w:r>
      <w:r>
        <w:rPr>
          <w:smallCaps/>
          <w:szCs w:val="20"/>
        </w:rPr>
        <w:instrText xml:space="preserve"> HYPERLINK \l _Toc28564 </w:instrText>
      </w:r>
      <w:r>
        <w:rPr>
          <w:smallCaps/>
          <w:szCs w:val="20"/>
        </w:rPr>
        <w:fldChar w:fldCharType="separate"/>
      </w:r>
      <w:r>
        <w:rPr>
          <w:rFonts w:hint="eastAsia" w:ascii="黑体" w:eastAsia="黑体" w:cs="Times New Roman"/>
          <w:bCs w:val="0"/>
        </w:rPr>
        <w:t>一、基本职能及主要工作</w:t>
      </w:r>
      <w:r>
        <w:tab/>
      </w:r>
      <w:r>
        <w:fldChar w:fldCharType="begin"/>
      </w:r>
      <w:r>
        <w:instrText xml:space="preserve"> PAGEREF _Toc28564 \h </w:instrText>
      </w:r>
      <w:r>
        <w:fldChar w:fldCharType="separate"/>
      </w:r>
      <w:r>
        <w:t>3</w:t>
      </w:r>
      <w:r>
        <w:fldChar w:fldCharType="end"/>
      </w:r>
      <w:r>
        <w:rPr>
          <w:smallCaps/>
          <w:szCs w:val="20"/>
        </w:rPr>
        <w:fldChar w:fldCharType="end"/>
      </w:r>
    </w:p>
    <w:p w14:paraId="6E1898AC">
      <w:pPr>
        <w:pStyle w:val="19"/>
        <w:tabs>
          <w:tab w:val="right" w:leader="dot" w:pos="8306"/>
          <w:tab w:val="clear" w:pos="8296"/>
        </w:tabs>
      </w:pPr>
      <w:r>
        <w:rPr>
          <w:smallCaps/>
          <w:szCs w:val="20"/>
        </w:rPr>
        <w:fldChar w:fldCharType="begin"/>
      </w:r>
      <w:r>
        <w:rPr>
          <w:smallCaps/>
          <w:szCs w:val="20"/>
        </w:rPr>
        <w:instrText xml:space="preserve"> HYPERLINK \l _Toc22056 </w:instrText>
      </w:r>
      <w:r>
        <w:rPr>
          <w:smallCaps/>
          <w:szCs w:val="20"/>
        </w:rPr>
        <w:fldChar w:fldCharType="separate"/>
      </w:r>
      <w:r>
        <w:rPr>
          <w:rFonts w:hint="eastAsia" w:ascii="黑体" w:eastAsia="黑体" w:cs="Times New Roman"/>
          <w:bCs w:val="0"/>
        </w:rPr>
        <w:t>二、机构设置</w:t>
      </w:r>
      <w:r>
        <w:tab/>
      </w:r>
      <w:r>
        <w:fldChar w:fldCharType="begin"/>
      </w:r>
      <w:r>
        <w:instrText xml:space="preserve"> PAGEREF _Toc22056 \h </w:instrText>
      </w:r>
      <w:r>
        <w:fldChar w:fldCharType="separate"/>
      </w:r>
      <w:r>
        <w:t>3</w:t>
      </w:r>
      <w:r>
        <w:fldChar w:fldCharType="end"/>
      </w:r>
      <w:r>
        <w:rPr>
          <w:smallCaps/>
          <w:szCs w:val="20"/>
        </w:rPr>
        <w:fldChar w:fldCharType="end"/>
      </w:r>
    </w:p>
    <w:p w14:paraId="03BF91B3">
      <w:pPr>
        <w:pStyle w:val="17"/>
        <w:tabs>
          <w:tab w:val="right" w:leader="dot" w:pos="8306"/>
          <w:tab w:val="clear" w:pos="8296"/>
        </w:tabs>
      </w:pPr>
      <w:r>
        <w:rPr>
          <w:smallCaps/>
          <w:szCs w:val="20"/>
        </w:rPr>
        <w:fldChar w:fldCharType="begin"/>
      </w:r>
      <w:r>
        <w:rPr>
          <w:smallCaps/>
          <w:szCs w:val="20"/>
        </w:rPr>
        <w:instrText xml:space="preserve"> HYPERLINK \l _Toc9058 </w:instrText>
      </w:r>
      <w:r>
        <w:rPr>
          <w:smallCaps/>
          <w:szCs w:val="20"/>
        </w:rPr>
        <w:fldChar w:fldCharType="separate"/>
      </w:r>
      <w:r>
        <w:rPr>
          <w:rFonts w:hint="eastAsia" w:ascii="黑体" w:hAnsi="黑体" w:eastAsia="黑体" w:cs="黑体"/>
        </w:rPr>
        <w:t>第二部分</w:t>
      </w:r>
      <w:r>
        <w:rPr>
          <w:rFonts w:ascii="黑体" w:hAnsi="黑体" w:eastAsia="黑体" w:cs="黑体"/>
        </w:rPr>
        <w:t xml:space="preserve"> </w:t>
      </w:r>
      <w:r>
        <w:rPr>
          <w:rFonts w:hint="eastAsia" w:ascii="黑体" w:hAnsi="黑体" w:eastAsia="黑体" w:cs="黑体"/>
        </w:rPr>
        <w:t>202</w:t>
      </w:r>
      <w:r>
        <w:rPr>
          <w:rFonts w:hint="eastAsia" w:ascii="黑体" w:hAnsi="黑体" w:eastAsia="黑体" w:cs="黑体"/>
          <w:lang w:val="en-US" w:eastAsia="zh-CN"/>
        </w:rPr>
        <w:t>5</w:t>
      </w:r>
      <w:r>
        <w:rPr>
          <w:rFonts w:ascii="黑体" w:hAnsi="黑体" w:eastAsia="黑体" w:cs="黑体"/>
          <w:u w:color="auto"/>
        </w:rPr>
        <w:t>年度</w:t>
      </w:r>
      <w:r>
        <w:rPr>
          <w:rFonts w:hint="eastAsia" w:ascii="黑体" w:hAnsi="黑体" w:eastAsia="黑体" w:cs="黑体"/>
          <w:lang w:val="en-US" w:eastAsia="zh-CN"/>
        </w:rPr>
        <w:t>部门</w:t>
      </w:r>
      <w:r>
        <w:rPr>
          <w:rFonts w:hint="eastAsia" w:ascii="黑体" w:hAnsi="黑体" w:eastAsia="黑体" w:cs="黑体"/>
        </w:rPr>
        <w:t>决算情况说明</w:t>
      </w:r>
      <w:r>
        <w:tab/>
      </w:r>
      <w:r>
        <w:fldChar w:fldCharType="begin"/>
      </w:r>
      <w:r>
        <w:instrText xml:space="preserve"> PAGEREF _Toc9058 \h </w:instrText>
      </w:r>
      <w:r>
        <w:fldChar w:fldCharType="separate"/>
      </w:r>
      <w:r>
        <w:t>4</w:t>
      </w:r>
      <w:r>
        <w:fldChar w:fldCharType="end"/>
      </w:r>
      <w:r>
        <w:rPr>
          <w:smallCaps/>
          <w:szCs w:val="20"/>
        </w:rPr>
        <w:fldChar w:fldCharType="end"/>
      </w:r>
    </w:p>
    <w:p w14:paraId="032A0273">
      <w:pPr>
        <w:pStyle w:val="19"/>
        <w:tabs>
          <w:tab w:val="right" w:leader="dot" w:pos="8306"/>
          <w:tab w:val="clear" w:pos="8296"/>
        </w:tabs>
      </w:pPr>
      <w:r>
        <w:rPr>
          <w:smallCaps/>
          <w:szCs w:val="20"/>
        </w:rPr>
        <w:fldChar w:fldCharType="begin"/>
      </w:r>
      <w:r>
        <w:rPr>
          <w:smallCaps/>
          <w:szCs w:val="20"/>
        </w:rPr>
        <w:instrText xml:space="preserve"> HYPERLINK \l _Toc19710 </w:instrText>
      </w:r>
      <w:r>
        <w:rPr>
          <w:smallCaps/>
          <w:szCs w:val="20"/>
        </w:rPr>
        <w:fldChar w:fldCharType="separate"/>
      </w:r>
      <w:r>
        <w:rPr>
          <w:rFonts w:hint="eastAsia" w:ascii="黑体" w:eastAsia="黑体" w:cs="Times New Roman"/>
          <w:bCs w:val="0"/>
        </w:rPr>
        <w:t>一、收入支出决算总体情况说明</w:t>
      </w:r>
      <w:r>
        <w:tab/>
      </w:r>
      <w:r>
        <w:fldChar w:fldCharType="begin"/>
      </w:r>
      <w:r>
        <w:instrText xml:space="preserve"> PAGEREF _Toc19710 \h </w:instrText>
      </w:r>
      <w:r>
        <w:fldChar w:fldCharType="separate"/>
      </w:r>
      <w:r>
        <w:t>4</w:t>
      </w:r>
      <w:r>
        <w:fldChar w:fldCharType="end"/>
      </w:r>
      <w:r>
        <w:rPr>
          <w:smallCaps/>
          <w:szCs w:val="20"/>
        </w:rPr>
        <w:fldChar w:fldCharType="end"/>
      </w:r>
    </w:p>
    <w:p w14:paraId="65F4CAFB">
      <w:pPr>
        <w:pStyle w:val="19"/>
        <w:tabs>
          <w:tab w:val="right" w:leader="dot" w:pos="8306"/>
          <w:tab w:val="clear" w:pos="8296"/>
        </w:tabs>
      </w:pPr>
      <w:r>
        <w:rPr>
          <w:smallCaps/>
          <w:szCs w:val="20"/>
        </w:rPr>
        <w:fldChar w:fldCharType="begin"/>
      </w:r>
      <w:r>
        <w:rPr>
          <w:smallCaps/>
          <w:szCs w:val="20"/>
        </w:rPr>
        <w:instrText xml:space="preserve"> HYPERLINK \l _Toc8125 </w:instrText>
      </w:r>
      <w:r>
        <w:rPr>
          <w:smallCaps/>
          <w:szCs w:val="20"/>
        </w:rPr>
        <w:fldChar w:fldCharType="separate"/>
      </w:r>
      <w:r>
        <w:rPr>
          <w:rFonts w:hint="eastAsia" w:ascii="黑体" w:eastAsia="黑体" w:cs="Times New Roman"/>
          <w:bCs w:val="0"/>
        </w:rPr>
        <w:t>二、收入决算情况说明</w:t>
      </w:r>
      <w:r>
        <w:tab/>
      </w:r>
      <w:r>
        <w:fldChar w:fldCharType="begin"/>
      </w:r>
      <w:r>
        <w:instrText xml:space="preserve"> PAGEREF _Toc8125 \h </w:instrText>
      </w:r>
      <w:r>
        <w:fldChar w:fldCharType="separate"/>
      </w:r>
      <w:r>
        <w:t>5</w:t>
      </w:r>
      <w:r>
        <w:fldChar w:fldCharType="end"/>
      </w:r>
      <w:r>
        <w:rPr>
          <w:smallCaps/>
          <w:szCs w:val="20"/>
        </w:rPr>
        <w:fldChar w:fldCharType="end"/>
      </w:r>
    </w:p>
    <w:p w14:paraId="184F286E">
      <w:pPr>
        <w:pStyle w:val="19"/>
        <w:tabs>
          <w:tab w:val="right" w:leader="dot" w:pos="8306"/>
          <w:tab w:val="clear" w:pos="8296"/>
        </w:tabs>
      </w:pPr>
      <w:r>
        <w:rPr>
          <w:smallCaps/>
          <w:szCs w:val="20"/>
        </w:rPr>
        <w:fldChar w:fldCharType="begin"/>
      </w:r>
      <w:r>
        <w:rPr>
          <w:smallCaps/>
          <w:szCs w:val="20"/>
        </w:rPr>
        <w:instrText xml:space="preserve"> HYPERLINK \l _Toc28283 </w:instrText>
      </w:r>
      <w:r>
        <w:rPr>
          <w:smallCaps/>
          <w:szCs w:val="20"/>
        </w:rPr>
        <w:fldChar w:fldCharType="separate"/>
      </w:r>
      <w:r>
        <w:rPr>
          <w:rFonts w:hint="eastAsia" w:ascii="黑体" w:eastAsia="黑体" w:cs="Times New Roman"/>
          <w:bCs w:val="0"/>
        </w:rPr>
        <w:t>三、支出决算情况说明</w:t>
      </w:r>
      <w:r>
        <w:tab/>
      </w:r>
      <w:r>
        <w:fldChar w:fldCharType="begin"/>
      </w:r>
      <w:r>
        <w:instrText xml:space="preserve"> PAGEREF _Toc28283 \h </w:instrText>
      </w:r>
      <w:r>
        <w:fldChar w:fldCharType="separate"/>
      </w:r>
      <w:r>
        <w:t>6</w:t>
      </w:r>
      <w:r>
        <w:fldChar w:fldCharType="end"/>
      </w:r>
      <w:r>
        <w:rPr>
          <w:smallCaps/>
          <w:szCs w:val="20"/>
        </w:rPr>
        <w:fldChar w:fldCharType="end"/>
      </w:r>
    </w:p>
    <w:p w14:paraId="0B6BED35">
      <w:pPr>
        <w:pStyle w:val="19"/>
        <w:tabs>
          <w:tab w:val="right" w:leader="dot" w:pos="8306"/>
          <w:tab w:val="clear" w:pos="8296"/>
        </w:tabs>
      </w:pPr>
      <w:r>
        <w:rPr>
          <w:smallCaps/>
          <w:szCs w:val="20"/>
        </w:rPr>
        <w:fldChar w:fldCharType="begin"/>
      </w:r>
      <w:r>
        <w:rPr>
          <w:smallCaps/>
          <w:szCs w:val="20"/>
        </w:rPr>
        <w:instrText xml:space="preserve"> HYPERLINK \l _Toc19521 </w:instrText>
      </w:r>
      <w:r>
        <w:rPr>
          <w:smallCaps/>
          <w:szCs w:val="20"/>
        </w:rPr>
        <w:fldChar w:fldCharType="separate"/>
      </w:r>
      <w:r>
        <w:rPr>
          <w:rFonts w:hint="eastAsia" w:ascii="黑体" w:eastAsia="黑体" w:cs="Times New Roman"/>
          <w:bCs w:val="0"/>
        </w:rPr>
        <w:t>四、财政拨款收入支出决算总体情况说明</w:t>
      </w:r>
      <w:r>
        <w:tab/>
      </w:r>
      <w:r>
        <w:fldChar w:fldCharType="begin"/>
      </w:r>
      <w:r>
        <w:instrText xml:space="preserve"> PAGEREF _Toc19521 \h </w:instrText>
      </w:r>
      <w:r>
        <w:fldChar w:fldCharType="separate"/>
      </w:r>
      <w:r>
        <w:t>6</w:t>
      </w:r>
      <w:r>
        <w:fldChar w:fldCharType="end"/>
      </w:r>
      <w:r>
        <w:rPr>
          <w:smallCaps/>
          <w:szCs w:val="20"/>
        </w:rPr>
        <w:fldChar w:fldCharType="end"/>
      </w:r>
    </w:p>
    <w:p w14:paraId="048F9966">
      <w:pPr>
        <w:pStyle w:val="19"/>
        <w:tabs>
          <w:tab w:val="right" w:leader="dot" w:pos="8306"/>
          <w:tab w:val="clear" w:pos="8296"/>
        </w:tabs>
      </w:pPr>
      <w:r>
        <w:rPr>
          <w:smallCaps/>
          <w:szCs w:val="20"/>
        </w:rPr>
        <w:fldChar w:fldCharType="begin"/>
      </w:r>
      <w:r>
        <w:rPr>
          <w:smallCaps/>
          <w:szCs w:val="20"/>
        </w:rPr>
        <w:instrText xml:space="preserve"> HYPERLINK \l _Toc14368 </w:instrText>
      </w:r>
      <w:r>
        <w:rPr>
          <w:smallCaps/>
          <w:szCs w:val="20"/>
        </w:rPr>
        <w:fldChar w:fldCharType="separate"/>
      </w:r>
      <w:r>
        <w:rPr>
          <w:rFonts w:hint="eastAsia" w:ascii="黑体" w:eastAsia="黑体" w:cs="Times New Roman"/>
          <w:bCs w:val="0"/>
        </w:rPr>
        <w:t>五、一般公共预算财政拨款支出决算情况说明</w:t>
      </w:r>
      <w:r>
        <w:tab/>
      </w:r>
      <w:r>
        <w:fldChar w:fldCharType="begin"/>
      </w:r>
      <w:r>
        <w:instrText xml:space="preserve"> PAGEREF _Toc14368 \h </w:instrText>
      </w:r>
      <w:r>
        <w:fldChar w:fldCharType="separate"/>
      </w:r>
      <w:r>
        <w:t>7</w:t>
      </w:r>
      <w:r>
        <w:fldChar w:fldCharType="end"/>
      </w:r>
      <w:r>
        <w:rPr>
          <w:smallCaps/>
          <w:szCs w:val="20"/>
        </w:rPr>
        <w:fldChar w:fldCharType="end"/>
      </w:r>
    </w:p>
    <w:p w14:paraId="248E3403">
      <w:pPr>
        <w:pStyle w:val="19"/>
        <w:tabs>
          <w:tab w:val="right" w:leader="dot" w:pos="8306"/>
          <w:tab w:val="clear" w:pos="8296"/>
        </w:tabs>
      </w:pPr>
      <w:r>
        <w:rPr>
          <w:smallCaps/>
          <w:szCs w:val="20"/>
        </w:rPr>
        <w:fldChar w:fldCharType="begin"/>
      </w:r>
      <w:r>
        <w:rPr>
          <w:smallCaps/>
          <w:szCs w:val="20"/>
        </w:rPr>
        <w:instrText xml:space="preserve"> HYPERLINK \l _Toc31578 </w:instrText>
      </w:r>
      <w:r>
        <w:rPr>
          <w:smallCaps/>
          <w:szCs w:val="20"/>
        </w:rPr>
        <w:fldChar w:fldCharType="separate"/>
      </w:r>
      <w:r>
        <w:rPr>
          <w:rFonts w:hint="eastAsia" w:ascii="黑体" w:eastAsia="黑体" w:cs="Times New Roman"/>
          <w:bCs w:val="0"/>
        </w:rPr>
        <w:t>六、一般公共预算财政拨款基本支出决算情况说明</w:t>
      </w:r>
      <w:r>
        <w:tab/>
      </w:r>
      <w:r>
        <w:fldChar w:fldCharType="begin"/>
      </w:r>
      <w:r>
        <w:instrText xml:space="preserve"> PAGEREF _Toc31578 \h </w:instrText>
      </w:r>
      <w:r>
        <w:fldChar w:fldCharType="separate"/>
      </w:r>
      <w:r>
        <w:t>9</w:t>
      </w:r>
      <w:r>
        <w:fldChar w:fldCharType="end"/>
      </w:r>
      <w:r>
        <w:rPr>
          <w:smallCaps/>
          <w:szCs w:val="20"/>
        </w:rPr>
        <w:fldChar w:fldCharType="end"/>
      </w:r>
    </w:p>
    <w:p w14:paraId="199891C8">
      <w:pPr>
        <w:pStyle w:val="19"/>
        <w:tabs>
          <w:tab w:val="right" w:leader="dot" w:pos="8306"/>
          <w:tab w:val="clear" w:pos="8296"/>
        </w:tabs>
      </w:pPr>
      <w:r>
        <w:rPr>
          <w:smallCaps/>
          <w:szCs w:val="20"/>
        </w:rPr>
        <w:fldChar w:fldCharType="begin"/>
      </w:r>
      <w:r>
        <w:rPr>
          <w:smallCaps/>
          <w:szCs w:val="20"/>
        </w:rPr>
        <w:instrText xml:space="preserve"> HYPERLINK \l _Toc6614 </w:instrText>
      </w:r>
      <w:r>
        <w:rPr>
          <w:smallCaps/>
          <w:szCs w:val="20"/>
        </w:rPr>
        <w:fldChar w:fldCharType="separate"/>
      </w:r>
      <w:r>
        <w:rPr>
          <w:rFonts w:hint="eastAsia" w:ascii="黑体" w:eastAsia="黑体" w:cs="Times New Roman"/>
          <w:bCs w:val="0"/>
        </w:rPr>
        <w:t>七、“三公”经费财政拨款支出决算情况说明</w:t>
      </w:r>
      <w:r>
        <w:tab/>
      </w:r>
      <w:r>
        <w:fldChar w:fldCharType="begin"/>
      </w:r>
      <w:r>
        <w:instrText xml:space="preserve"> PAGEREF _Toc6614 \h </w:instrText>
      </w:r>
      <w:r>
        <w:fldChar w:fldCharType="separate"/>
      </w:r>
      <w:r>
        <w:t>9</w:t>
      </w:r>
      <w:r>
        <w:fldChar w:fldCharType="end"/>
      </w:r>
      <w:r>
        <w:rPr>
          <w:smallCaps/>
          <w:szCs w:val="20"/>
        </w:rPr>
        <w:fldChar w:fldCharType="end"/>
      </w:r>
    </w:p>
    <w:p w14:paraId="533C3873">
      <w:pPr>
        <w:pStyle w:val="19"/>
        <w:tabs>
          <w:tab w:val="right" w:leader="dot" w:pos="8306"/>
          <w:tab w:val="clear" w:pos="8296"/>
        </w:tabs>
      </w:pPr>
      <w:r>
        <w:rPr>
          <w:smallCaps/>
          <w:szCs w:val="20"/>
        </w:rPr>
        <w:fldChar w:fldCharType="begin"/>
      </w:r>
      <w:r>
        <w:rPr>
          <w:smallCaps/>
          <w:szCs w:val="20"/>
        </w:rPr>
        <w:instrText xml:space="preserve"> HYPERLINK \l _Toc20439 </w:instrText>
      </w:r>
      <w:r>
        <w:rPr>
          <w:smallCaps/>
          <w:szCs w:val="20"/>
        </w:rPr>
        <w:fldChar w:fldCharType="separate"/>
      </w:r>
      <w:r>
        <w:rPr>
          <w:rFonts w:hint="eastAsia" w:ascii="黑体" w:eastAsia="黑体" w:cs="Times New Roman"/>
          <w:bCs w:val="0"/>
        </w:rPr>
        <w:t>八、政府性基金预算支出决算情况说明</w:t>
      </w:r>
      <w:r>
        <w:tab/>
      </w:r>
      <w:r>
        <w:fldChar w:fldCharType="begin"/>
      </w:r>
      <w:r>
        <w:instrText xml:space="preserve"> PAGEREF _Toc20439 \h </w:instrText>
      </w:r>
      <w:r>
        <w:fldChar w:fldCharType="separate"/>
      </w:r>
      <w:r>
        <w:t>11</w:t>
      </w:r>
      <w:r>
        <w:fldChar w:fldCharType="end"/>
      </w:r>
      <w:r>
        <w:rPr>
          <w:smallCaps/>
          <w:szCs w:val="20"/>
        </w:rPr>
        <w:fldChar w:fldCharType="end"/>
      </w:r>
    </w:p>
    <w:p w14:paraId="70DDD72E">
      <w:pPr>
        <w:pStyle w:val="19"/>
        <w:tabs>
          <w:tab w:val="right" w:leader="dot" w:pos="8306"/>
          <w:tab w:val="clear" w:pos="8296"/>
        </w:tabs>
      </w:pPr>
      <w:r>
        <w:rPr>
          <w:smallCaps/>
          <w:szCs w:val="20"/>
        </w:rPr>
        <w:fldChar w:fldCharType="begin"/>
      </w:r>
      <w:r>
        <w:rPr>
          <w:smallCaps/>
          <w:szCs w:val="20"/>
        </w:rPr>
        <w:instrText xml:space="preserve"> HYPERLINK \l _Toc23467 </w:instrText>
      </w:r>
      <w:r>
        <w:rPr>
          <w:smallCaps/>
          <w:szCs w:val="20"/>
        </w:rPr>
        <w:fldChar w:fldCharType="separate"/>
      </w:r>
      <w:r>
        <w:rPr>
          <w:rFonts w:hint="eastAsia" w:ascii="黑体" w:eastAsia="黑体" w:cs="Times New Roman"/>
          <w:bCs w:val="0"/>
        </w:rPr>
        <w:t>九、国有资本经营预算支出决算情况说明</w:t>
      </w:r>
      <w:r>
        <w:tab/>
      </w:r>
      <w:r>
        <w:fldChar w:fldCharType="begin"/>
      </w:r>
      <w:r>
        <w:instrText xml:space="preserve"> PAGEREF _Toc23467 \h </w:instrText>
      </w:r>
      <w:r>
        <w:fldChar w:fldCharType="separate"/>
      </w:r>
      <w:r>
        <w:t>12</w:t>
      </w:r>
      <w:r>
        <w:fldChar w:fldCharType="end"/>
      </w:r>
      <w:r>
        <w:rPr>
          <w:smallCaps/>
          <w:szCs w:val="20"/>
        </w:rPr>
        <w:fldChar w:fldCharType="end"/>
      </w:r>
    </w:p>
    <w:p w14:paraId="1BBEC582">
      <w:pPr>
        <w:pStyle w:val="19"/>
        <w:tabs>
          <w:tab w:val="right" w:leader="dot" w:pos="8306"/>
          <w:tab w:val="clear" w:pos="8296"/>
        </w:tabs>
      </w:pPr>
      <w:r>
        <w:rPr>
          <w:smallCaps/>
          <w:szCs w:val="20"/>
        </w:rPr>
        <w:fldChar w:fldCharType="begin"/>
      </w:r>
      <w:r>
        <w:rPr>
          <w:smallCaps/>
          <w:szCs w:val="20"/>
        </w:rPr>
        <w:instrText xml:space="preserve"> HYPERLINK \l _Toc18455 </w:instrText>
      </w:r>
      <w:r>
        <w:rPr>
          <w:smallCaps/>
          <w:szCs w:val="20"/>
        </w:rPr>
        <w:fldChar w:fldCharType="separate"/>
      </w:r>
      <w:r>
        <w:rPr>
          <w:rFonts w:hint="eastAsia" w:ascii="黑体" w:eastAsia="黑体" w:cs="Times New Roman"/>
          <w:bCs w:val="0"/>
        </w:rPr>
        <w:t>十、其他重要事项的情况说明</w:t>
      </w:r>
      <w:r>
        <w:tab/>
      </w:r>
      <w:r>
        <w:fldChar w:fldCharType="begin"/>
      </w:r>
      <w:r>
        <w:instrText xml:space="preserve"> PAGEREF _Toc18455 \h </w:instrText>
      </w:r>
      <w:r>
        <w:fldChar w:fldCharType="separate"/>
      </w:r>
      <w:r>
        <w:t>12</w:t>
      </w:r>
      <w:r>
        <w:fldChar w:fldCharType="end"/>
      </w:r>
      <w:r>
        <w:rPr>
          <w:smallCaps/>
          <w:szCs w:val="20"/>
        </w:rPr>
        <w:fldChar w:fldCharType="end"/>
      </w:r>
    </w:p>
    <w:p w14:paraId="5A4D557E">
      <w:pPr>
        <w:pStyle w:val="17"/>
        <w:tabs>
          <w:tab w:val="right" w:leader="dot" w:pos="8306"/>
          <w:tab w:val="clear" w:pos="8296"/>
        </w:tabs>
      </w:pPr>
      <w:r>
        <w:rPr>
          <w:smallCaps/>
          <w:szCs w:val="20"/>
        </w:rPr>
        <w:fldChar w:fldCharType="begin"/>
      </w:r>
      <w:r>
        <w:rPr>
          <w:smallCaps/>
          <w:szCs w:val="20"/>
        </w:rPr>
        <w:instrText xml:space="preserve"> HYPERLINK \l _Toc18122 </w:instrText>
      </w:r>
      <w:r>
        <w:rPr>
          <w:smallCaps/>
          <w:szCs w:val="20"/>
        </w:rPr>
        <w:fldChar w:fldCharType="separate"/>
      </w:r>
      <w:r>
        <w:rPr>
          <w:rFonts w:hint="eastAsia" w:ascii="黑体" w:hAnsi="黑体" w:eastAsia="黑体" w:cs="黑体"/>
        </w:rPr>
        <w:t>第三部分 名词解释</w:t>
      </w:r>
      <w:r>
        <w:tab/>
      </w:r>
      <w:r>
        <w:fldChar w:fldCharType="begin"/>
      </w:r>
      <w:r>
        <w:instrText xml:space="preserve"> PAGEREF _Toc18122 \h </w:instrText>
      </w:r>
      <w:r>
        <w:fldChar w:fldCharType="separate"/>
      </w:r>
      <w:r>
        <w:t>13</w:t>
      </w:r>
      <w:r>
        <w:fldChar w:fldCharType="end"/>
      </w:r>
      <w:r>
        <w:rPr>
          <w:smallCaps/>
          <w:szCs w:val="20"/>
        </w:rPr>
        <w:fldChar w:fldCharType="end"/>
      </w:r>
    </w:p>
    <w:p w14:paraId="6D24F352">
      <w:pPr>
        <w:pStyle w:val="17"/>
        <w:tabs>
          <w:tab w:val="right" w:leader="dot" w:pos="8306"/>
          <w:tab w:val="clear" w:pos="8296"/>
        </w:tabs>
      </w:pPr>
      <w:r>
        <w:rPr>
          <w:smallCaps/>
          <w:szCs w:val="20"/>
        </w:rPr>
        <w:fldChar w:fldCharType="begin"/>
      </w:r>
      <w:r>
        <w:rPr>
          <w:smallCaps/>
          <w:szCs w:val="20"/>
        </w:rPr>
        <w:instrText xml:space="preserve"> HYPERLINK \l _Toc25539 </w:instrText>
      </w:r>
      <w:r>
        <w:rPr>
          <w:smallCaps/>
          <w:szCs w:val="20"/>
        </w:rPr>
        <w:fldChar w:fldCharType="separate"/>
      </w:r>
      <w:r>
        <w:rPr>
          <w:rFonts w:hint="eastAsia" w:ascii="黑体" w:hAnsi="黑体" w:eastAsia="黑体" w:cs="黑体"/>
        </w:rPr>
        <w:t>第四部分 附件</w:t>
      </w:r>
      <w:r>
        <w:tab/>
      </w:r>
      <w:r>
        <w:fldChar w:fldCharType="begin"/>
      </w:r>
      <w:r>
        <w:instrText xml:space="preserve"> PAGEREF _Toc25539 \h </w:instrText>
      </w:r>
      <w:r>
        <w:fldChar w:fldCharType="separate"/>
      </w:r>
      <w:r>
        <w:t>15</w:t>
      </w:r>
      <w:r>
        <w:fldChar w:fldCharType="end"/>
      </w:r>
      <w:r>
        <w:rPr>
          <w:smallCaps/>
          <w:szCs w:val="20"/>
        </w:rPr>
        <w:fldChar w:fldCharType="end"/>
      </w:r>
    </w:p>
    <w:p w14:paraId="31C36374">
      <w:pPr>
        <w:pStyle w:val="17"/>
        <w:tabs>
          <w:tab w:val="right" w:leader="dot" w:pos="8306"/>
          <w:tab w:val="clear" w:pos="8296"/>
        </w:tabs>
      </w:pPr>
      <w:r>
        <w:rPr>
          <w:smallCaps/>
          <w:szCs w:val="20"/>
        </w:rPr>
        <w:fldChar w:fldCharType="begin"/>
      </w:r>
      <w:r>
        <w:rPr>
          <w:smallCaps/>
          <w:szCs w:val="20"/>
        </w:rPr>
        <w:instrText xml:space="preserve"> HYPERLINK \l _Toc21200 </w:instrText>
      </w:r>
      <w:r>
        <w:rPr>
          <w:smallCaps/>
          <w:szCs w:val="20"/>
        </w:rPr>
        <w:fldChar w:fldCharType="separate"/>
      </w:r>
      <w:r>
        <w:rPr>
          <w:rFonts w:hint="eastAsia" w:ascii="黑体" w:hAnsi="黑体" w:eastAsia="黑体" w:cs="黑体"/>
        </w:rPr>
        <w:t>第五部分 附表</w:t>
      </w:r>
      <w:r>
        <w:tab/>
      </w:r>
      <w:r>
        <w:fldChar w:fldCharType="begin"/>
      </w:r>
      <w:r>
        <w:instrText xml:space="preserve"> PAGEREF _Toc21200 \h </w:instrText>
      </w:r>
      <w:r>
        <w:fldChar w:fldCharType="separate"/>
      </w:r>
      <w:r>
        <w:t>15</w:t>
      </w:r>
      <w:r>
        <w:fldChar w:fldCharType="end"/>
      </w:r>
      <w:r>
        <w:rPr>
          <w:smallCaps/>
          <w:szCs w:val="20"/>
        </w:rPr>
        <w:fldChar w:fldCharType="end"/>
      </w:r>
    </w:p>
    <w:p w14:paraId="633AC526">
      <w:pPr>
        <w:pStyle w:val="19"/>
        <w:tabs>
          <w:tab w:val="right" w:leader="dot" w:pos="8306"/>
          <w:tab w:val="clear" w:pos="8296"/>
        </w:tabs>
      </w:pPr>
      <w:r>
        <w:rPr>
          <w:smallCaps/>
          <w:szCs w:val="20"/>
        </w:rPr>
        <w:fldChar w:fldCharType="begin"/>
      </w:r>
      <w:r>
        <w:rPr>
          <w:smallCaps/>
          <w:szCs w:val="20"/>
        </w:rPr>
        <w:instrText xml:space="preserve"> HYPERLINK \l _Toc16431 </w:instrText>
      </w:r>
      <w:r>
        <w:rPr>
          <w:smallCaps/>
          <w:szCs w:val="20"/>
        </w:rPr>
        <w:fldChar w:fldCharType="separate"/>
      </w:r>
      <w:r>
        <w:rPr>
          <w:rFonts w:hint="eastAsia" w:ascii="黑体" w:eastAsia="黑体" w:cs="Times New Roman"/>
          <w:bCs w:val="0"/>
        </w:rPr>
        <w:t>一、收入支出决算总表</w:t>
      </w:r>
      <w:r>
        <w:tab/>
      </w:r>
      <w:r>
        <w:fldChar w:fldCharType="begin"/>
      </w:r>
      <w:r>
        <w:instrText xml:space="preserve"> PAGEREF _Toc16431 \h </w:instrText>
      </w:r>
      <w:r>
        <w:fldChar w:fldCharType="separate"/>
      </w:r>
      <w:r>
        <w:t>15</w:t>
      </w:r>
      <w:r>
        <w:fldChar w:fldCharType="end"/>
      </w:r>
      <w:r>
        <w:rPr>
          <w:smallCaps/>
          <w:szCs w:val="20"/>
        </w:rPr>
        <w:fldChar w:fldCharType="end"/>
      </w:r>
    </w:p>
    <w:p w14:paraId="6D3BAF4D">
      <w:pPr>
        <w:pStyle w:val="19"/>
        <w:tabs>
          <w:tab w:val="right" w:leader="dot" w:pos="8306"/>
          <w:tab w:val="clear" w:pos="8296"/>
        </w:tabs>
      </w:pPr>
      <w:r>
        <w:rPr>
          <w:smallCaps/>
          <w:szCs w:val="20"/>
        </w:rPr>
        <w:fldChar w:fldCharType="begin"/>
      </w:r>
      <w:r>
        <w:rPr>
          <w:smallCaps/>
          <w:szCs w:val="20"/>
        </w:rPr>
        <w:instrText xml:space="preserve"> HYPERLINK \l _Toc25389 </w:instrText>
      </w:r>
      <w:r>
        <w:rPr>
          <w:smallCaps/>
          <w:szCs w:val="20"/>
        </w:rPr>
        <w:fldChar w:fldCharType="separate"/>
      </w:r>
      <w:r>
        <w:rPr>
          <w:rFonts w:hint="eastAsia" w:ascii="黑体" w:eastAsia="黑体" w:cs="Times New Roman"/>
          <w:bCs w:val="0"/>
        </w:rPr>
        <w:t>二、收入决算表</w:t>
      </w:r>
      <w:r>
        <w:tab/>
      </w:r>
      <w:r>
        <w:fldChar w:fldCharType="begin"/>
      </w:r>
      <w:r>
        <w:instrText xml:space="preserve"> PAGEREF _Toc25389 \h </w:instrText>
      </w:r>
      <w:r>
        <w:fldChar w:fldCharType="separate"/>
      </w:r>
      <w:r>
        <w:t>15</w:t>
      </w:r>
      <w:r>
        <w:fldChar w:fldCharType="end"/>
      </w:r>
      <w:r>
        <w:rPr>
          <w:smallCaps/>
          <w:szCs w:val="20"/>
        </w:rPr>
        <w:fldChar w:fldCharType="end"/>
      </w:r>
    </w:p>
    <w:p w14:paraId="77F7C2BC">
      <w:pPr>
        <w:pStyle w:val="19"/>
        <w:tabs>
          <w:tab w:val="right" w:leader="dot" w:pos="8306"/>
          <w:tab w:val="clear" w:pos="8296"/>
        </w:tabs>
      </w:pPr>
      <w:r>
        <w:rPr>
          <w:smallCaps/>
          <w:szCs w:val="20"/>
        </w:rPr>
        <w:fldChar w:fldCharType="begin"/>
      </w:r>
      <w:r>
        <w:rPr>
          <w:smallCaps/>
          <w:szCs w:val="20"/>
        </w:rPr>
        <w:instrText xml:space="preserve"> HYPERLINK \l _Toc10450 </w:instrText>
      </w:r>
      <w:r>
        <w:rPr>
          <w:smallCaps/>
          <w:szCs w:val="20"/>
        </w:rPr>
        <w:fldChar w:fldCharType="separate"/>
      </w:r>
      <w:r>
        <w:rPr>
          <w:rFonts w:hint="eastAsia" w:ascii="黑体" w:eastAsia="黑体" w:cs="Times New Roman"/>
          <w:bCs w:val="0"/>
        </w:rPr>
        <w:t>三、支出决算表</w:t>
      </w:r>
      <w:r>
        <w:tab/>
      </w:r>
      <w:r>
        <w:fldChar w:fldCharType="begin"/>
      </w:r>
      <w:r>
        <w:instrText xml:space="preserve"> PAGEREF _Toc10450 \h </w:instrText>
      </w:r>
      <w:r>
        <w:fldChar w:fldCharType="separate"/>
      </w:r>
      <w:r>
        <w:t>15</w:t>
      </w:r>
      <w:r>
        <w:fldChar w:fldCharType="end"/>
      </w:r>
      <w:r>
        <w:rPr>
          <w:smallCaps/>
          <w:szCs w:val="20"/>
        </w:rPr>
        <w:fldChar w:fldCharType="end"/>
      </w:r>
    </w:p>
    <w:p w14:paraId="518BA8C8">
      <w:pPr>
        <w:pStyle w:val="19"/>
        <w:tabs>
          <w:tab w:val="right" w:leader="dot" w:pos="8306"/>
          <w:tab w:val="clear" w:pos="8296"/>
        </w:tabs>
      </w:pPr>
      <w:r>
        <w:rPr>
          <w:smallCaps/>
          <w:szCs w:val="20"/>
        </w:rPr>
        <w:fldChar w:fldCharType="begin"/>
      </w:r>
      <w:r>
        <w:rPr>
          <w:smallCaps/>
          <w:szCs w:val="20"/>
        </w:rPr>
        <w:instrText xml:space="preserve"> HYPERLINK \l _Toc15415 </w:instrText>
      </w:r>
      <w:r>
        <w:rPr>
          <w:smallCaps/>
          <w:szCs w:val="20"/>
        </w:rPr>
        <w:fldChar w:fldCharType="separate"/>
      </w:r>
      <w:r>
        <w:rPr>
          <w:rFonts w:hint="eastAsia" w:ascii="黑体" w:eastAsia="黑体" w:cs="Times New Roman"/>
          <w:bCs w:val="0"/>
        </w:rPr>
        <w:t>四、财政拨款收入支出决算总表</w:t>
      </w:r>
      <w:r>
        <w:tab/>
      </w:r>
      <w:r>
        <w:fldChar w:fldCharType="begin"/>
      </w:r>
      <w:r>
        <w:instrText xml:space="preserve"> PAGEREF _Toc15415 \h </w:instrText>
      </w:r>
      <w:r>
        <w:fldChar w:fldCharType="separate"/>
      </w:r>
      <w:r>
        <w:t>15</w:t>
      </w:r>
      <w:r>
        <w:fldChar w:fldCharType="end"/>
      </w:r>
      <w:r>
        <w:rPr>
          <w:smallCaps/>
          <w:szCs w:val="20"/>
        </w:rPr>
        <w:fldChar w:fldCharType="end"/>
      </w:r>
    </w:p>
    <w:p w14:paraId="0AFCCA20">
      <w:pPr>
        <w:pStyle w:val="19"/>
        <w:tabs>
          <w:tab w:val="right" w:leader="dot" w:pos="8306"/>
          <w:tab w:val="clear" w:pos="8296"/>
        </w:tabs>
      </w:pPr>
      <w:r>
        <w:rPr>
          <w:smallCaps/>
          <w:szCs w:val="20"/>
        </w:rPr>
        <w:fldChar w:fldCharType="begin"/>
      </w:r>
      <w:r>
        <w:rPr>
          <w:smallCaps/>
          <w:szCs w:val="20"/>
        </w:rPr>
        <w:instrText xml:space="preserve"> HYPERLINK \l _Toc17530 </w:instrText>
      </w:r>
      <w:r>
        <w:rPr>
          <w:smallCaps/>
          <w:szCs w:val="20"/>
        </w:rPr>
        <w:fldChar w:fldCharType="separate"/>
      </w:r>
      <w:r>
        <w:rPr>
          <w:rFonts w:hint="eastAsia" w:ascii="黑体" w:eastAsia="黑体" w:cs="Times New Roman"/>
          <w:bCs w:val="0"/>
        </w:rPr>
        <w:t>五、财政拨款支出决算明细表</w:t>
      </w:r>
      <w:r>
        <w:tab/>
      </w:r>
      <w:r>
        <w:fldChar w:fldCharType="begin"/>
      </w:r>
      <w:r>
        <w:instrText xml:space="preserve"> PAGEREF _Toc17530 \h </w:instrText>
      </w:r>
      <w:r>
        <w:fldChar w:fldCharType="separate"/>
      </w:r>
      <w:r>
        <w:t>15</w:t>
      </w:r>
      <w:r>
        <w:fldChar w:fldCharType="end"/>
      </w:r>
      <w:r>
        <w:rPr>
          <w:smallCaps/>
          <w:szCs w:val="20"/>
        </w:rPr>
        <w:fldChar w:fldCharType="end"/>
      </w:r>
    </w:p>
    <w:p w14:paraId="5B797374">
      <w:pPr>
        <w:pStyle w:val="19"/>
        <w:tabs>
          <w:tab w:val="right" w:leader="dot" w:pos="8306"/>
          <w:tab w:val="clear" w:pos="8296"/>
        </w:tabs>
      </w:pPr>
      <w:r>
        <w:rPr>
          <w:smallCaps/>
          <w:szCs w:val="20"/>
        </w:rPr>
        <w:fldChar w:fldCharType="begin"/>
      </w:r>
      <w:r>
        <w:rPr>
          <w:smallCaps/>
          <w:szCs w:val="20"/>
        </w:rPr>
        <w:instrText xml:space="preserve"> HYPERLINK \l _Toc22032 </w:instrText>
      </w:r>
      <w:r>
        <w:rPr>
          <w:smallCaps/>
          <w:szCs w:val="20"/>
        </w:rPr>
        <w:fldChar w:fldCharType="separate"/>
      </w:r>
      <w:r>
        <w:rPr>
          <w:rFonts w:hint="eastAsia" w:ascii="黑体" w:eastAsia="黑体" w:cs="Times New Roman"/>
          <w:bCs w:val="0"/>
        </w:rPr>
        <w:t>六、一般公共预算财政拨款支出决算表</w:t>
      </w:r>
      <w:r>
        <w:tab/>
      </w:r>
      <w:r>
        <w:fldChar w:fldCharType="begin"/>
      </w:r>
      <w:r>
        <w:instrText xml:space="preserve"> PAGEREF _Toc22032 \h </w:instrText>
      </w:r>
      <w:r>
        <w:fldChar w:fldCharType="separate"/>
      </w:r>
      <w:r>
        <w:t>15</w:t>
      </w:r>
      <w:r>
        <w:fldChar w:fldCharType="end"/>
      </w:r>
      <w:r>
        <w:rPr>
          <w:smallCaps/>
          <w:szCs w:val="20"/>
        </w:rPr>
        <w:fldChar w:fldCharType="end"/>
      </w:r>
    </w:p>
    <w:p w14:paraId="628A21DD">
      <w:pPr>
        <w:pStyle w:val="19"/>
        <w:tabs>
          <w:tab w:val="right" w:leader="dot" w:pos="8306"/>
          <w:tab w:val="clear" w:pos="8296"/>
        </w:tabs>
      </w:pPr>
      <w:r>
        <w:rPr>
          <w:smallCaps/>
          <w:szCs w:val="20"/>
        </w:rPr>
        <w:fldChar w:fldCharType="begin"/>
      </w:r>
      <w:r>
        <w:rPr>
          <w:smallCaps/>
          <w:szCs w:val="20"/>
        </w:rPr>
        <w:instrText xml:space="preserve"> HYPERLINK \l _Toc3364 </w:instrText>
      </w:r>
      <w:r>
        <w:rPr>
          <w:smallCaps/>
          <w:szCs w:val="20"/>
        </w:rPr>
        <w:fldChar w:fldCharType="separate"/>
      </w:r>
      <w:r>
        <w:rPr>
          <w:rFonts w:hint="eastAsia" w:ascii="黑体" w:eastAsia="黑体" w:cs="Times New Roman"/>
          <w:bCs w:val="0"/>
        </w:rPr>
        <w:t>七、一般公共预算财政拨款支出决算明细表</w:t>
      </w:r>
      <w:r>
        <w:tab/>
      </w:r>
      <w:r>
        <w:fldChar w:fldCharType="begin"/>
      </w:r>
      <w:r>
        <w:instrText xml:space="preserve"> PAGEREF _Toc3364 \h </w:instrText>
      </w:r>
      <w:r>
        <w:fldChar w:fldCharType="separate"/>
      </w:r>
      <w:r>
        <w:t>15</w:t>
      </w:r>
      <w:r>
        <w:fldChar w:fldCharType="end"/>
      </w:r>
      <w:r>
        <w:rPr>
          <w:smallCaps/>
          <w:szCs w:val="20"/>
        </w:rPr>
        <w:fldChar w:fldCharType="end"/>
      </w:r>
    </w:p>
    <w:p w14:paraId="1DC9C88B">
      <w:pPr>
        <w:pStyle w:val="19"/>
        <w:tabs>
          <w:tab w:val="right" w:leader="dot" w:pos="8306"/>
          <w:tab w:val="clear" w:pos="8296"/>
        </w:tabs>
      </w:pPr>
      <w:r>
        <w:rPr>
          <w:smallCaps/>
          <w:szCs w:val="20"/>
        </w:rPr>
        <w:fldChar w:fldCharType="begin"/>
      </w:r>
      <w:r>
        <w:rPr>
          <w:smallCaps/>
          <w:szCs w:val="20"/>
        </w:rPr>
        <w:instrText xml:space="preserve"> HYPERLINK \l _Toc9110 </w:instrText>
      </w:r>
      <w:r>
        <w:rPr>
          <w:smallCaps/>
          <w:szCs w:val="20"/>
        </w:rPr>
        <w:fldChar w:fldCharType="separate"/>
      </w:r>
      <w:r>
        <w:rPr>
          <w:rFonts w:hint="eastAsia" w:ascii="黑体" w:eastAsia="黑体" w:cs="Times New Roman"/>
          <w:bCs w:val="0"/>
        </w:rPr>
        <w:t>八、一般公共预算财政拨款基本支出决算表</w:t>
      </w:r>
      <w:r>
        <w:tab/>
      </w:r>
      <w:r>
        <w:fldChar w:fldCharType="begin"/>
      </w:r>
      <w:r>
        <w:instrText xml:space="preserve"> PAGEREF _Toc9110 \h </w:instrText>
      </w:r>
      <w:r>
        <w:fldChar w:fldCharType="separate"/>
      </w:r>
      <w:r>
        <w:t>15</w:t>
      </w:r>
      <w:r>
        <w:fldChar w:fldCharType="end"/>
      </w:r>
      <w:r>
        <w:rPr>
          <w:smallCaps/>
          <w:szCs w:val="20"/>
        </w:rPr>
        <w:fldChar w:fldCharType="end"/>
      </w:r>
    </w:p>
    <w:p w14:paraId="6EA2E85F">
      <w:pPr>
        <w:pStyle w:val="19"/>
        <w:tabs>
          <w:tab w:val="right" w:leader="dot" w:pos="8306"/>
          <w:tab w:val="clear" w:pos="8296"/>
        </w:tabs>
      </w:pPr>
      <w:r>
        <w:rPr>
          <w:smallCaps/>
          <w:szCs w:val="20"/>
        </w:rPr>
        <w:fldChar w:fldCharType="begin"/>
      </w:r>
      <w:r>
        <w:rPr>
          <w:smallCaps/>
          <w:szCs w:val="20"/>
        </w:rPr>
        <w:instrText xml:space="preserve"> HYPERLINK \l _Toc28582 </w:instrText>
      </w:r>
      <w:r>
        <w:rPr>
          <w:smallCaps/>
          <w:szCs w:val="20"/>
        </w:rPr>
        <w:fldChar w:fldCharType="separate"/>
      </w:r>
      <w:r>
        <w:rPr>
          <w:rFonts w:hint="eastAsia" w:ascii="黑体" w:eastAsia="黑体" w:cs="Times New Roman"/>
          <w:bCs w:val="0"/>
        </w:rPr>
        <w:t>九、一般公共预算财政拨款项目支出决算表</w:t>
      </w:r>
      <w:r>
        <w:tab/>
      </w:r>
      <w:r>
        <w:fldChar w:fldCharType="begin"/>
      </w:r>
      <w:r>
        <w:instrText xml:space="preserve"> PAGEREF _Toc28582 \h </w:instrText>
      </w:r>
      <w:r>
        <w:fldChar w:fldCharType="separate"/>
      </w:r>
      <w:r>
        <w:t>15</w:t>
      </w:r>
      <w:r>
        <w:fldChar w:fldCharType="end"/>
      </w:r>
      <w:r>
        <w:rPr>
          <w:smallCaps/>
          <w:szCs w:val="20"/>
        </w:rPr>
        <w:fldChar w:fldCharType="end"/>
      </w:r>
    </w:p>
    <w:p w14:paraId="637EEC9F">
      <w:pPr>
        <w:pStyle w:val="19"/>
        <w:tabs>
          <w:tab w:val="right" w:leader="dot" w:pos="8306"/>
          <w:tab w:val="clear" w:pos="8296"/>
        </w:tabs>
      </w:pPr>
      <w:r>
        <w:rPr>
          <w:smallCaps/>
          <w:szCs w:val="20"/>
        </w:rPr>
        <w:fldChar w:fldCharType="begin"/>
      </w:r>
      <w:r>
        <w:rPr>
          <w:smallCaps/>
          <w:szCs w:val="20"/>
        </w:rPr>
        <w:instrText xml:space="preserve"> HYPERLINK \l _Toc22001 </w:instrText>
      </w:r>
      <w:r>
        <w:rPr>
          <w:smallCaps/>
          <w:szCs w:val="20"/>
        </w:rPr>
        <w:fldChar w:fldCharType="separate"/>
      </w:r>
      <w:r>
        <w:rPr>
          <w:rFonts w:hint="eastAsia" w:ascii="黑体" w:eastAsia="黑体" w:cs="Times New Roman"/>
          <w:bCs w:val="0"/>
        </w:rPr>
        <w:t>十、政府性基金预算财政拨款收入支出决算表</w:t>
      </w:r>
      <w:r>
        <w:tab/>
      </w:r>
      <w:r>
        <w:fldChar w:fldCharType="begin"/>
      </w:r>
      <w:r>
        <w:instrText xml:space="preserve"> PAGEREF _Toc22001 \h </w:instrText>
      </w:r>
      <w:r>
        <w:fldChar w:fldCharType="separate"/>
      </w:r>
      <w:r>
        <w:t>15</w:t>
      </w:r>
      <w:r>
        <w:fldChar w:fldCharType="end"/>
      </w:r>
      <w:r>
        <w:rPr>
          <w:smallCaps/>
          <w:szCs w:val="20"/>
        </w:rPr>
        <w:fldChar w:fldCharType="end"/>
      </w:r>
    </w:p>
    <w:p w14:paraId="114D872C">
      <w:pPr>
        <w:pStyle w:val="19"/>
        <w:tabs>
          <w:tab w:val="right" w:leader="dot" w:pos="8306"/>
          <w:tab w:val="clear" w:pos="8296"/>
        </w:tabs>
      </w:pPr>
      <w:r>
        <w:rPr>
          <w:smallCaps/>
          <w:szCs w:val="20"/>
        </w:rPr>
        <w:fldChar w:fldCharType="begin"/>
      </w:r>
      <w:r>
        <w:rPr>
          <w:smallCaps/>
          <w:szCs w:val="20"/>
        </w:rPr>
        <w:instrText xml:space="preserve"> HYPERLINK \l _Toc6538 </w:instrText>
      </w:r>
      <w:r>
        <w:rPr>
          <w:smallCaps/>
          <w:szCs w:val="20"/>
        </w:rPr>
        <w:fldChar w:fldCharType="separate"/>
      </w:r>
      <w:r>
        <w:rPr>
          <w:rFonts w:hint="eastAsia" w:ascii="黑体" w:eastAsia="黑体" w:cs="Times New Roman"/>
          <w:bCs w:val="0"/>
        </w:rPr>
        <w:t>十一、国有资本经营预算财政拨款收入支出决算表</w:t>
      </w:r>
      <w:r>
        <w:tab/>
      </w:r>
      <w:r>
        <w:fldChar w:fldCharType="begin"/>
      </w:r>
      <w:r>
        <w:instrText xml:space="preserve"> PAGEREF _Toc6538 \h </w:instrText>
      </w:r>
      <w:r>
        <w:fldChar w:fldCharType="separate"/>
      </w:r>
      <w:r>
        <w:t>15</w:t>
      </w:r>
      <w:r>
        <w:fldChar w:fldCharType="end"/>
      </w:r>
      <w:r>
        <w:rPr>
          <w:smallCaps/>
          <w:szCs w:val="20"/>
        </w:rPr>
        <w:fldChar w:fldCharType="end"/>
      </w:r>
    </w:p>
    <w:p w14:paraId="078D5745">
      <w:pPr>
        <w:pStyle w:val="19"/>
        <w:tabs>
          <w:tab w:val="right" w:leader="dot" w:pos="8306"/>
          <w:tab w:val="clear" w:pos="8296"/>
        </w:tabs>
      </w:pPr>
      <w:r>
        <w:rPr>
          <w:smallCaps/>
          <w:szCs w:val="20"/>
        </w:rPr>
        <w:fldChar w:fldCharType="begin"/>
      </w:r>
      <w:r>
        <w:rPr>
          <w:smallCaps/>
          <w:szCs w:val="20"/>
        </w:rPr>
        <w:instrText xml:space="preserve"> HYPERLINK \l _Toc10625 </w:instrText>
      </w:r>
      <w:r>
        <w:rPr>
          <w:smallCaps/>
          <w:szCs w:val="20"/>
        </w:rPr>
        <w:fldChar w:fldCharType="separate"/>
      </w:r>
      <w:r>
        <w:rPr>
          <w:rFonts w:hint="eastAsia" w:ascii="黑体" w:eastAsia="黑体" w:cs="Times New Roman"/>
          <w:bCs w:val="0"/>
        </w:rPr>
        <w:t>十二、国有资本经营预算财政拨款支出决算表</w:t>
      </w:r>
      <w:r>
        <w:tab/>
      </w:r>
      <w:r>
        <w:fldChar w:fldCharType="begin"/>
      </w:r>
      <w:r>
        <w:instrText xml:space="preserve"> PAGEREF _Toc10625 \h </w:instrText>
      </w:r>
      <w:r>
        <w:fldChar w:fldCharType="separate"/>
      </w:r>
      <w:r>
        <w:t>15</w:t>
      </w:r>
      <w:r>
        <w:fldChar w:fldCharType="end"/>
      </w:r>
      <w:r>
        <w:rPr>
          <w:smallCaps/>
          <w:szCs w:val="20"/>
        </w:rPr>
        <w:fldChar w:fldCharType="end"/>
      </w:r>
    </w:p>
    <w:p w14:paraId="0E7553C5">
      <w:pPr>
        <w:pStyle w:val="19"/>
        <w:tabs>
          <w:tab w:val="right" w:leader="dot" w:pos="8306"/>
          <w:tab w:val="clear" w:pos="8296"/>
        </w:tabs>
      </w:pPr>
      <w:r>
        <w:rPr>
          <w:smallCaps/>
          <w:szCs w:val="20"/>
        </w:rPr>
        <w:fldChar w:fldCharType="begin"/>
      </w:r>
      <w:r>
        <w:rPr>
          <w:smallCaps/>
          <w:szCs w:val="20"/>
        </w:rPr>
        <w:instrText xml:space="preserve"> HYPERLINK \l _Toc28356 </w:instrText>
      </w:r>
      <w:r>
        <w:rPr>
          <w:smallCaps/>
          <w:szCs w:val="20"/>
        </w:rPr>
        <w:fldChar w:fldCharType="separate"/>
      </w:r>
      <w:r>
        <w:rPr>
          <w:rFonts w:hint="eastAsia" w:ascii="黑体" w:eastAsia="黑体" w:cs="Times New Roman"/>
          <w:bCs w:val="0"/>
        </w:rPr>
        <w:t>十三、财政拨款“三公”经费支出决算表</w:t>
      </w:r>
      <w:r>
        <w:tab/>
      </w:r>
      <w:r>
        <w:fldChar w:fldCharType="begin"/>
      </w:r>
      <w:r>
        <w:instrText xml:space="preserve"> PAGEREF _Toc28356 \h </w:instrText>
      </w:r>
      <w:r>
        <w:fldChar w:fldCharType="separate"/>
      </w:r>
      <w:r>
        <w:t>15</w:t>
      </w:r>
      <w:r>
        <w:fldChar w:fldCharType="end"/>
      </w:r>
      <w:r>
        <w:rPr>
          <w:smallCaps/>
          <w:szCs w:val="20"/>
        </w:rPr>
        <w:fldChar w:fldCharType="end"/>
      </w:r>
    </w:p>
    <w:p w14:paraId="6E960116">
      <w:pPr>
        <w:pStyle w:val="5"/>
      </w:pPr>
      <w:r>
        <w:rPr>
          <w:smallCaps/>
          <w:szCs w:val="20"/>
        </w:rPr>
        <w:fldChar w:fldCharType="end"/>
      </w:r>
    </w:p>
    <w:p w14:paraId="43C22F4A">
      <w:pPr>
        <w:pStyle w:val="2"/>
        <w:jc w:val="center"/>
        <w:rPr>
          <w:rFonts w:ascii="黑体" w:hAnsi="黑体" w:eastAsia="黑体" w:cs="黑体"/>
          <w:b w:val="0"/>
          <w:bCs w:val="0"/>
        </w:rPr>
      </w:pPr>
      <w:bookmarkStart w:id="13" w:name="_Toc9016"/>
      <w:bookmarkStart w:id="14" w:name="_Toc111208495"/>
      <w:r>
        <w:rPr>
          <w:rFonts w:hint="eastAsia" w:ascii="黑体" w:hAnsi="黑体" w:eastAsia="黑体" w:cs="黑体"/>
        </w:rPr>
        <w:t xml:space="preserve">第一部分 </w:t>
      </w:r>
      <w:r>
        <w:rPr>
          <w:rStyle w:val="38"/>
          <w:rFonts w:hint="eastAsia" w:ascii="黑体" w:hAnsi="黑体" w:eastAsia="黑体" w:cs="黑体"/>
          <w:b/>
          <w:bCs w:val="0"/>
        </w:rPr>
        <w:t>部门</w:t>
      </w:r>
      <w:r>
        <w:rPr>
          <w:rStyle w:val="38"/>
          <w:rFonts w:ascii="黑体" w:hAnsi="黑体" w:eastAsia="黑体" w:cs="黑体"/>
          <w:b/>
          <w:bCs w:val="0"/>
          <w:u w:color="auto"/>
        </w:rPr>
        <w:t>概况</w:t>
      </w:r>
      <w:bookmarkEnd w:id="12"/>
      <w:bookmarkEnd w:id="13"/>
      <w:bookmarkEnd w:id="14"/>
    </w:p>
    <w:p w14:paraId="46738ED4">
      <w:pPr>
        <w:pStyle w:val="3"/>
        <w:ind w:firstLine="643" w:firstLineChars="200"/>
        <w:rPr>
          <w:rFonts w:ascii="黑体" w:eastAsia="黑体" w:cs="Times New Roman"/>
          <w:bCs w:val="0"/>
          <w:color w:val="000000"/>
        </w:rPr>
      </w:pPr>
      <w:bookmarkStart w:id="15" w:name="_Toc111208496"/>
      <w:bookmarkStart w:id="16" w:name="_Toc15377197"/>
      <w:bookmarkStart w:id="17" w:name="_Toc28564"/>
      <w:bookmarkStart w:id="18" w:name="_Toc113981010"/>
      <w:bookmarkStart w:id="19" w:name="_Toc15377204"/>
      <w:r>
        <w:rPr>
          <w:rFonts w:hint="eastAsia" w:ascii="黑体" w:eastAsia="黑体" w:cs="Times New Roman"/>
          <w:bCs w:val="0"/>
          <w:color w:val="000000"/>
        </w:rPr>
        <w:t>一、基本职能及主要工作</w:t>
      </w:r>
      <w:bookmarkEnd w:id="15"/>
      <w:bookmarkEnd w:id="16"/>
      <w:bookmarkEnd w:id="17"/>
      <w:bookmarkEnd w:id="18"/>
      <w:bookmarkStart w:id="20" w:name="_Toc15378445"/>
      <w:bookmarkStart w:id="21" w:name="_Toc15377198"/>
    </w:p>
    <w:p w14:paraId="0A97E28B">
      <w:pPr>
        <w:spacing w:line="600" w:lineRule="exact"/>
        <w:ind w:firstLine="643" w:firstLineChars="200"/>
        <w:outlineLvl w:val="2"/>
        <w:rPr>
          <w:rFonts w:ascii="仿宋" w:hAnsi="仿宋" w:eastAsia="仿宋"/>
          <w:b/>
          <w:color w:val="000000"/>
          <w:sz w:val="32"/>
          <w:szCs w:val="32"/>
        </w:rPr>
      </w:pPr>
      <w:r>
        <w:rPr>
          <w:rFonts w:hint="eastAsia" w:ascii="仿宋" w:hAnsi="仿宋" w:eastAsia="仿宋"/>
          <w:b/>
          <w:color w:val="000000"/>
          <w:sz w:val="32"/>
          <w:szCs w:val="32"/>
        </w:rPr>
        <w:t>（一）主要职能</w:t>
      </w:r>
      <w:bookmarkEnd w:id="20"/>
      <w:bookmarkEnd w:id="21"/>
    </w:p>
    <w:p w14:paraId="7AD66D94">
      <w:pPr>
        <w:keepNext w:val="0"/>
        <w:keepLines w:val="0"/>
        <w:pageBreakBefore w:val="0"/>
        <w:widowControl w:val="0"/>
        <w:kinsoku/>
        <w:wordWrap/>
        <w:overflowPunct/>
        <w:topLinePunct w:val="0"/>
        <w:autoSpaceDE/>
        <w:autoSpaceDN/>
        <w:bidi w:val="0"/>
        <w:adjustRightInd/>
        <w:snapToGrid/>
        <w:ind w:firstLine="640" w:firstLineChars="200"/>
        <w:textAlignment w:val="auto"/>
      </w:pPr>
      <w:r>
        <w:rPr>
          <w:rFonts w:ascii="仿宋" w:hAnsi="仿宋" w:eastAsia="仿宋"/>
          <w:color w:val="000000"/>
          <w:sz w:val="32"/>
          <w:szCs w:val="32"/>
        </w:rPr>
        <w:t>（1）负责党和国家领导人（含曾经担任）、省委、省人大、省政府、省政协副省级以上、州委、州人大、州政府、州政协副厅级领导（含曾经但任）来县的服务保障。</w:t>
      </w:r>
      <w:r>
        <w:rPr>
          <w:rFonts w:ascii="仿宋" w:hAnsi="仿宋" w:eastAsia="仿宋"/>
          <w:color w:val="000000"/>
          <w:sz w:val="32"/>
          <w:szCs w:val="32"/>
        </w:rPr>
        <w:cr/>
      </w:r>
      <w:r>
        <w:rPr>
          <w:rFonts w:ascii="仿宋" w:hAnsi="仿宋" w:eastAsia="仿宋"/>
          <w:color w:val="000000"/>
          <w:sz w:val="32"/>
          <w:szCs w:val="32"/>
        </w:rPr>
        <w:t>（2）按照有关规定负责和参与党中央、国务院、省委、省政府、州委、州政府巡视、检查、督查（督导、督察）、考察、调研、考核、审计等工作组来县的服务保障。</w:t>
      </w:r>
      <w:r>
        <w:rPr>
          <w:rFonts w:ascii="仿宋" w:hAnsi="仿宋" w:eastAsia="仿宋"/>
          <w:color w:val="000000"/>
          <w:sz w:val="32"/>
          <w:szCs w:val="32"/>
        </w:rPr>
        <w:cr/>
      </w:r>
      <w:r>
        <w:rPr>
          <w:rFonts w:ascii="仿宋" w:hAnsi="仿宋" w:eastAsia="仿宋"/>
          <w:color w:val="000000"/>
          <w:sz w:val="32"/>
          <w:szCs w:val="32"/>
        </w:rPr>
        <w:t>（3）负责外省（州、市、区、县）党委、政府正、副县级领导干部来县的服务保障；会同县级有关部门承担中央和国家机关各部委正、副部级领导干部、省委、省政府正、副省级、州委、州政府领导干部来县的服务保障；参与县人大常委会办公室、县政协办公室牵头对口接待正、副厅级领导干部来县的服务保障。</w:t>
      </w:r>
      <w:r>
        <w:rPr>
          <w:rFonts w:ascii="仿宋" w:hAnsi="仿宋" w:eastAsia="仿宋"/>
          <w:color w:val="000000"/>
          <w:sz w:val="32"/>
          <w:szCs w:val="32"/>
        </w:rPr>
        <w:cr/>
      </w:r>
      <w:r>
        <w:rPr>
          <w:rFonts w:ascii="仿宋" w:hAnsi="仿宋" w:eastAsia="仿宋"/>
          <w:color w:val="000000"/>
          <w:sz w:val="32"/>
          <w:szCs w:val="32"/>
        </w:rPr>
        <w:t>（4）负责或参与外省（州、市、区、县）党政代表团来县考察的协调联络和服务保障。</w:t>
      </w:r>
      <w:r>
        <w:rPr>
          <w:rFonts w:ascii="仿宋" w:hAnsi="仿宋" w:eastAsia="仿宋"/>
          <w:color w:val="000000"/>
          <w:sz w:val="32"/>
          <w:szCs w:val="32"/>
        </w:rPr>
        <w:cr/>
      </w:r>
      <w:r>
        <w:rPr>
          <w:rFonts w:ascii="仿宋" w:hAnsi="仿宋" w:eastAsia="仿宋"/>
          <w:color w:val="000000"/>
          <w:sz w:val="32"/>
          <w:szCs w:val="32"/>
        </w:rPr>
        <w:t>（5）负责我县党政代表团赴外省（州、市、区、县）考察的协调联络和服务保障。</w:t>
      </w:r>
      <w:r>
        <w:rPr>
          <w:rFonts w:ascii="仿宋" w:hAnsi="仿宋" w:eastAsia="仿宋"/>
          <w:color w:val="000000"/>
          <w:sz w:val="32"/>
          <w:szCs w:val="32"/>
        </w:rPr>
        <w:cr/>
      </w:r>
      <w:r>
        <w:rPr>
          <w:rFonts w:ascii="仿宋" w:hAnsi="仿宋" w:eastAsia="仿宋"/>
          <w:color w:val="000000"/>
          <w:sz w:val="32"/>
          <w:szCs w:val="32"/>
        </w:rPr>
        <w:t>（6）负责县委、县政府交办的由县公务服务中心承担的外事接待和招商引资事项的服务保障。</w:t>
      </w:r>
      <w:r>
        <w:rPr>
          <w:rFonts w:ascii="仿宋" w:hAnsi="仿宋" w:eastAsia="仿宋"/>
          <w:color w:val="000000"/>
          <w:sz w:val="32"/>
          <w:szCs w:val="32"/>
        </w:rPr>
        <w:cr/>
      </w:r>
      <w:r>
        <w:rPr>
          <w:rFonts w:ascii="仿宋" w:hAnsi="仿宋" w:eastAsia="仿宋"/>
          <w:color w:val="000000"/>
          <w:sz w:val="32"/>
          <w:szCs w:val="32"/>
        </w:rPr>
        <w:t>（7）按照中央八项规定和省委、省政府十项规定及其实施细则要求，负责联系协调县级有关部门及关联单位承办州委、州政府重大公务活动的服务工作。</w:t>
      </w:r>
      <w:r>
        <w:rPr>
          <w:rFonts w:ascii="仿宋" w:hAnsi="仿宋" w:eastAsia="仿宋"/>
          <w:color w:val="000000"/>
          <w:sz w:val="32"/>
          <w:szCs w:val="32"/>
        </w:rPr>
        <w:cr/>
      </w:r>
      <w:r>
        <w:rPr>
          <w:rFonts w:ascii="仿宋" w:hAnsi="仿宋" w:eastAsia="仿宋"/>
          <w:color w:val="000000"/>
          <w:sz w:val="32"/>
          <w:szCs w:val="32"/>
        </w:rPr>
        <w:t>（8）会同县级有关部门承担县委、县政府交办的大型会议、活动的接待服务保障工作。</w:t>
      </w:r>
      <w:r>
        <w:rPr>
          <w:rFonts w:ascii="仿宋" w:hAnsi="仿宋" w:eastAsia="仿宋"/>
          <w:color w:val="000000"/>
          <w:sz w:val="32"/>
          <w:szCs w:val="32"/>
        </w:rPr>
        <w:cr/>
      </w:r>
      <w:r>
        <w:rPr>
          <w:rFonts w:ascii="仿宋" w:hAnsi="仿宋" w:eastAsia="仿宋"/>
          <w:color w:val="000000"/>
          <w:sz w:val="32"/>
          <w:szCs w:val="32"/>
        </w:rPr>
        <w:t>（9）指导县级部门的公务活动服务保障工作，参与拟订全县公务服务相关规定。</w:t>
      </w:r>
      <w:r>
        <w:rPr>
          <w:rFonts w:ascii="仿宋" w:hAnsi="仿宋" w:eastAsia="仿宋"/>
          <w:color w:val="000000"/>
          <w:sz w:val="32"/>
          <w:szCs w:val="32"/>
        </w:rPr>
        <w:cr/>
      </w:r>
      <w:r>
        <w:rPr>
          <w:rFonts w:ascii="仿宋" w:hAnsi="仿宋" w:eastAsia="仿宋"/>
          <w:color w:val="000000"/>
          <w:sz w:val="32"/>
          <w:szCs w:val="32"/>
        </w:rPr>
        <w:t xml:space="preserve">（10）负责办理中办警卫局、省警卫局安排的有关在县事务。    </w:t>
      </w:r>
      <w:r>
        <w:rPr>
          <w:rFonts w:ascii="仿宋" w:hAnsi="仿宋" w:eastAsia="仿宋"/>
          <w:color w:val="000000"/>
          <w:sz w:val="32"/>
          <w:szCs w:val="32"/>
        </w:rPr>
        <w:cr/>
      </w:r>
      <w:r>
        <w:rPr>
          <w:rFonts w:ascii="仿宋" w:hAnsi="仿宋" w:eastAsia="仿宋"/>
          <w:color w:val="000000"/>
          <w:sz w:val="32"/>
          <w:szCs w:val="32"/>
        </w:rPr>
        <w:t>（11）负责县级机关食堂管理工作。</w:t>
      </w:r>
      <w:r>
        <w:rPr>
          <w:rFonts w:ascii="仿宋" w:hAnsi="仿宋" w:eastAsia="仿宋"/>
          <w:color w:val="000000"/>
          <w:sz w:val="32"/>
          <w:szCs w:val="32"/>
        </w:rPr>
        <w:cr/>
      </w:r>
      <w:r>
        <w:rPr>
          <w:rFonts w:ascii="仿宋" w:hAnsi="仿宋" w:eastAsia="仿宋"/>
          <w:color w:val="000000"/>
          <w:sz w:val="32"/>
          <w:szCs w:val="32"/>
        </w:rPr>
        <w:t>（12）完成县委、县政府交办的其他任务。</w:t>
      </w:r>
    </w:p>
    <w:p w14:paraId="0BBC3250">
      <w:pPr>
        <w:spacing w:line="600" w:lineRule="exact"/>
        <w:ind w:firstLine="643" w:firstLineChars="200"/>
        <w:outlineLvl w:val="2"/>
        <w:rPr>
          <w:rFonts w:ascii="仿宋" w:hAnsi="仿宋" w:eastAsia="仿宋"/>
          <w:b/>
          <w:color w:val="000000"/>
          <w:sz w:val="32"/>
          <w:szCs w:val="32"/>
        </w:rPr>
      </w:pPr>
      <w:bookmarkStart w:id="22" w:name="_Toc15378446"/>
      <w:bookmarkStart w:id="23" w:name="_Toc15377199"/>
      <w:r>
        <w:rPr>
          <w:rFonts w:hint="eastAsia" w:ascii="仿宋" w:hAnsi="仿宋" w:eastAsia="仿宋"/>
          <w:b/>
          <w:color w:val="000000"/>
          <w:sz w:val="32"/>
          <w:szCs w:val="32"/>
        </w:rPr>
        <w:t>（二）</w:t>
      </w:r>
      <w:r>
        <w:rPr>
          <w:rFonts w:ascii="仿宋" w:hAnsi="仿宋" w:eastAsia="仿宋"/>
          <w:b/>
          <w:color w:val="000000"/>
          <w:sz w:val="32"/>
          <w:szCs w:val="32"/>
        </w:rPr>
        <w:t>202</w:t>
      </w:r>
      <w:r>
        <w:rPr>
          <w:rFonts w:hint="eastAsia" w:ascii="仿宋" w:hAnsi="仿宋" w:eastAsia="仿宋"/>
          <w:b/>
          <w:color w:val="000000"/>
          <w:sz w:val="32"/>
          <w:szCs w:val="32"/>
          <w:lang w:val="en-US" w:eastAsia="zh-CN"/>
        </w:rPr>
        <w:t>5</w:t>
      </w:r>
      <w:r>
        <w:rPr>
          <w:rFonts w:hint="eastAsia" w:ascii="仿宋" w:hAnsi="仿宋" w:eastAsia="仿宋"/>
          <w:b/>
          <w:color w:val="000000"/>
          <w:sz w:val="32"/>
          <w:szCs w:val="32"/>
        </w:rPr>
        <w:t>重点工作完成情况</w:t>
      </w:r>
      <w:bookmarkEnd w:id="22"/>
      <w:bookmarkEnd w:id="23"/>
      <w:bookmarkStart w:id="24" w:name="_Toc15377200"/>
    </w:p>
    <w:p w14:paraId="19F015DF">
      <w:pPr>
        <w:keepNext w:val="0"/>
        <w:keepLines w:val="0"/>
        <w:pageBreakBefore w:val="0"/>
        <w:numPr>
          <w:ilvl w:val="0"/>
          <w:numId w:val="0"/>
        </w:numPr>
        <w:kinsoku/>
        <w:wordWrap/>
        <w:overflowPunct/>
        <w:topLinePunct w:val="0"/>
        <w:autoSpaceDE/>
        <w:autoSpaceDN/>
        <w:bidi w:val="0"/>
        <w:adjustRightInd/>
        <w:snapToGrid/>
        <w:spacing w:line="560" w:lineRule="exact"/>
        <w:ind w:firstLine="643" w:firstLineChars="200"/>
        <w:jc w:val="both"/>
        <w:textAlignment w:val="auto"/>
        <w:rPr>
          <w:rFonts w:hint="eastAsia" w:eastAsia="宋体"/>
          <w:lang w:eastAsia="zh-CN"/>
        </w:rPr>
      </w:pPr>
      <w:bookmarkStart w:id="25" w:name="_Toc111208497"/>
      <w:bookmarkStart w:id="26" w:name="_Toc22056"/>
      <w:bookmarkStart w:id="27" w:name="_Toc113981011"/>
      <w:r>
        <w:rPr>
          <w:rFonts w:hint="eastAsia" w:ascii="楷体_GB2312" w:hAnsi="楷体_GB2312" w:eastAsia="楷体_GB2312" w:cs="楷体_GB2312"/>
          <w:b/>
          <w:bCs/>
          <w:color w:val="000000" w:themeColor="text1"/>
          <w:sz w:val="32"/>
          <w:szCs w:val="32"/>
          <w:lang w:val="en-US" w:eastAsia="zh-CN"/>
          <w14:textFill>
            <w14:solidFill>
              <w14:schemeClr w14:val="tx1"/>
            </w14:solidFill>
          </w14:textFill>
        </w:rPr>
        <w:t>（一）强化政治建设，筑牢思想根基。一是</w:t>
      </w:r>
      <w:r>
        <w:rPr>
          <w:rFonts w:hint="eastAsia" w:ascii="仿宋_GB2312" w:hAnsi="仿宋_GB2312" w:eastAsia="仿宋_GB2312" w:cs="仿宋_GB2312"/>
          <w:b/>
          <w:bCs/>
          <w:color w:val="000000" w:themeColor="text1"/>
          <w:kern w:val="0"/>
          <w:sz w:val="32"/>
          <w:szCs w:val="32"/>
          <w:lang w:val="en-US" w:eastAsia="zh-CN" w:bidi="ar"/>
          <w14:textFill>
            <w14:solidFill>
              <w14:schemeClr w14:val="tx1"/>
            </w14:solidFill>
          </w14:textFill>
        </w:rPr>
        <w:t>深化理论武装。</w:t>
      </w:r>
      <w:r>
        <w:rPr>
          <w:rFonts w:hint="eastAsia" w:ascii="仿宋_GB2312" w:hAnsi="仿宋_GB2312" w:eastAsia="仿宋_GB2312" w:cs="仿宋_GB2312"/>
          <w:color w:val="000000" w:themeColor="text1"/>
          <w:kern w:val="0"/>
          <w:sz w:val="32"/>
          <w:szCs w:val="32"/>
          <w:lang w:val="en-US" w:eastAsia="zh-CN" w:bidi="ar"/>
          <w14:textFill>
            <w14:solidFill>
              <w14:schemeClr w14:val="tx1"/>
            </w14:solidFill>
          </w14:textFill>
        </w:rPr>
        <w:t>坚持将学习贯彻习近平新时代中国特色社会主义思想作为首要政治任务，通过每周例会、党组会议、支部“三会一课”、主题党日活动等多种形式，深入学习贯彻党的二十大精神、习近平总书记重要讲话精神和党中央重大决策部署。全年累计组织集中学习40余次，开展专题研讨6次，引导全体干部职工深刻领悟“两个确立”的决定性意义，增强“四个意识”、坚定“四个自信”、做到“两个维护”，始终在思想上、政治上、行动上与以习近平同志为核心的党中央保持高度一致。</w:t>
      </w:r>
      <w:r>
        <w:rPr>
          <w:rFonts w:hint="eastAsia" w:ascii="仿宋_GB2312" w:hAnsi="仿宋_GB2312" w:eastAsia="仿宋_GB2312" w:cs="仿宋_GB2312"/>
          <w:b/>
          <w:bCs/>
          <w:color w:val="000000" w:themeColor="text1"/>
          <w:kern w:val="0"/>
          <w:sz w:val="32"/>
          <w:szCs w:val="32"/>
          <w:lang w:val="en-US" w:eastAsia="zh-CN" w:bidi="ar"/>
          <w14:textFill>
            <w14:solidFill>
              <w14:schemeClr w14:val="tx1"/>
            </w14:solidFill>
          </w14:textFill>
        </w:rPr>
        <w:t>二是加强党性锻炼。</w:t>
      </w:r>
      <w:r>
        <w:rPr>
          <w:rFonts w:hint="eastAsia" w:ascii="仿宋_GB2312" w:hAnsi="仿宋_GB2312" w:eastAsia="仿宋_GB2312" w:cs="仿宋_GB2312"/>
          <w:color w:val="000000" w:themeColor="text1"/>
          <w:kern w:val="0"/>
          <w:sz w:val="32"/>
          <w:szCs w:val="32"/>
          <w:lang w:val="en-US" w:eastAsia="zh-CN" w:bidi="ar"/>
          <w14:textFill>
            <w14:solidFill>
              <w14:schemeClr w14:val="tx1"/>
            </w14:solidFill>
          </w14:textFill>
        </w:rPr>
        <w:t>坚持将党性教育贯穿于接待工作的全过程，并结合党纪学习教育，组织开展了3次警示教育活动，引导干部职工严格遵守政治纪律和政治规矩，尤其是接待工作纪律。定期进行谈心谈话，及时掌握干部职工的思想动态，协助解决其实际困难。通过组织赴红色教育基地参观学习、重温入党誓词等一系列活动，进一步坚定理想信念，提升党性修养，筑牢信仰之基。</w:t>
      </w:r>
      <w:r>
        <w:rPr>
          <w:rFonts w:hint="eastAsia" w:ascii="仿宋_GB2312" w:hAnsi="仿宋_GB2312" w:eastAsia="仿宋_GB2312" w:cs="仿宋_GB2312"/>
          <w:b/>
          <w:bCs/>
          <w:color w:val="000000" w:themeColor="text1"/>
          <w:kern w:val="0"/>
          <w:sz w:val="32"/>
          <w:szCs w:val="32"/>
          <w:lang w:val="en-US" w:eastAsia="zh-CN" w:bidi="ar"/>
          <w14:textFill>
            <w14:solidFill>
              <w14:schemeClr w14:val="tx1"/>
            </w14:solidFill>
          </w14:textFill>
        </w:rPr>
        <w:t>三是</w:t>
      </w:r>
      <w:r>
        <w:rPr>
          <w:rFonts w:hint="eastAsia" w:ascii="仿宋_GB2312" w:hAnsi="仿宋_GB2312" w:eastAsia="仿宋_GB2312" w:cs="仿宋_GB2312"/>
          <w:b/>
          <w:bCs/>
          <w:color w:val="000000" w:themeColor="text1"/>
          <w:sz w:val="32"/>
          <w:szCs w:val="32"/>
          <w:shd w:val="clear" w:color="auto" w:fill="FFFFFF"/>
          <w:lang w:val="en-US" w:eastAsia="zh-CN"/>
          <w14:textFill>
            <w14:solidFill>
              <w14:schemeClr w14:val="tx1"/>
            </w14:solidFill>
          </w14:textFill>
        </w:rPr>
        <w:t>强化作风建设。</w:t>
      </w:r>
      <w:r>
        <w:rPr>
          <w:rFonts w:hint="eastAsia" w:ascii="仿宋_GB2312" w:hAnsi="仿宋_GB2312" w:eastAsia="仿宋_GB2312" w:cs="仿宋_GB2312"/>
          <w:color w:val="000000" w:themeColor="text1"/>
          <w:sz w:val="32"/>
          <w:szCs w:val="32"/>
          <w:shd w:val="clear" w:color="auto" w:fill="FFFFFF"/>
          <w:lang w:val="en-US" w:eastAsia="zh-CN"/>
          <w14:textFill>
            <w14:solidFill>
              <w14:schemeClr w14:val="tx1"/>
            </w14:solidFill>
          </w14:textFill>
        </w:rPr>
        <w:t>坚持正面引导与反面警示相结合，进一步增强纪律意识，提升免疫能力。精准规范运用“四种形态”，提高监督执纪的质量和效率。加强权力监督与制约，有效防控廉政风险点和履职梗阻点。从严落实“坚持过紧日子”的要求，严肃财经纪律，大力倡导勤俭节约，坚决反对铺张浪费。</w:t>
      </w:r>
    </w:p>
    <w:p w14:paraId="0AF9AEB0">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pPr>
      <w:r>
        <w:rPr>
          <w:rFonts w:hint="eastAsia" w:ascii="楷体_GB2312" w:hAnsi="楷体_GB2312" w:eastAsia="楷体_GB2312" w:cs="楷体_GB2312"/>
          <w:b/>
          <w:bCs/>
          <w:color w:val="000000" w:themeColor="text1"/>
          <w:kern w:val="2"/>
          <w:sz w:val="32"/>
          <w:szCs w:val="32"/>
          <w:lang w:val="en-US" w:eastAsia="zh-CN" w:bidi="ar-SA"/>
          <w14:textFill>
            <w14:solidFill>
              <w14:schemeClr w14:val="tx1"/>
            </w14:solidFill>
          </w14:textFill>
        </w:rPr>
        <w:t>（二）聚焦主责主业，提升接待品质</w:t>
      </w:r>
      <w:r>
        <w:rPr>
          <w:rFonts w:hint="eastAsia" w:ascii="仿宋_GB2312" w:hAnsi="仿宋_GB2312" w:eastAsia="仿宋_GB2312" w:cs="仿宋_GB2312"/>
          <w:b/>
          <w:bCs/>
          <w:color w:val="000000" w:themeColor="text1"/>
          <w:kern w:val="2"/>
          <w:sz w:val="32"/>
          <w:szCs w:val="32"/>
          <w:lang w:val="en-US" w:eastAsia="zh-CN" w:bidi="ar-SA"/>
          <w14:textFill>
            <w14:solidFill>
              <w14:schemeClr w14:val="tx1"/>
            </w14:solidFill>
          </w14:textFill>
        </w:rPr>
        <w:t>。</w:t>
      </w: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t>我中心高度重视公务接待工作的规范化和制度化建设，不断完善接待流程及管理机制。</w:t>
      </w:r>
      <w:r>
        <w:rPr>
          <w:rFonts w:hint="eastAsia" w:ascii="仿宋_GB2312" w:hAnsi="仿宋_GB2312" w:eastAsia="仿宋_GB2312" w:cs="仿宋_GB2312"/>
          <w:b/>
          <w:bCs/>
          <w:color w:val="000000" w:themeColor="text1"/>
          <w:kern w:val="2"/>
          <w:sz w:val="32"/>
          <w:szCs w:val="32"/>
          <w:lang w:val="en-US" w:eastAsia="zh-CN" w:bidi="ar-SA"/>
          <w14:textFill>
            <w14:solidFill>
              <w14:schemeClr w14:val="tx1"/>
            </w14:solidFill>
          </w14:textFill>
        </w:rPr>
        <w:t>一是</w:t>
      </w: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t>严格执行公务接待管理制度，优化接待任务接收、方案制定、审批报备、组织实施、结算归档等各个环节的管理，全年共完成接待任务</w:t>
      </w:r>
      <w:r>
        <w:rPr>
          <w:rFonts w:hint="eastAsia" w:ascii="仿宋_GB2312" w:hAnsi="仿宋_GB2312" w:eastAsia="仿宋_GB2312" w:cs="仿宋_GB2312"/>
          <w:b w:val="0"/>
          <w:i w:val="0"/>
          <w:caps w:val="0"/>
          <w:color w:val="000000" w:themeColor="text1"/>
          <w:spacing w:val="0"/>
          <w:sz w:val="32"/>
          <w:szCs w:val="32"/>
          <w:lang w:val="en-US" w:eastAsia="zh-CN"/>
          <w14:textFill>
            <w14:solidFill>
              <w14:schemeClr w14:val="tx1"/>
            </w14:solidFill>
          </w14:textFill>
        </w:rPr>
        <w:t>228批次，接待3660人次</w:t>
      </w:r>
      <w:r>
        <w:rPr>
          <w:rFonts w:hint="eastAsia" w:ascii="仿宋_GB2312" w:hAnsi="仿宋_GB2312" w:eastAsia="仿宋_GB2312" w:cs="仿宋_GB2312"/>
          <w:color w:val="000000" w:themeColor="text1"/>
          <w:kern w:val="2"/>
          <w:sz w:val="32"/>
          <w:szCs w:val="32"/>
          <w:lang w:val="en-US" w:eastAsia="zh-CN" w:bidi="ar-SA"/>
          <w14:textFill>
            <w14:solidFill>
              <w14:schemeClr w14:val="tx1"/>
            </w14:solidFill>
          </w14:textFill>
        </w:rPr>
        <w:t>，无一错漏，确保了各项接待工作规范有序、安全高效。我们</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始终将围绕中心、服务大局作为公务服务工作的定位和职责，自觉从全局高度和发展角度谋划公务服务工作，从树立红原形象、关系红原发展的视角看待和做好公务服务工作。</w:t>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二是</w:t>
      </w:r>
      <w:r>
        <w:rPr>
          <w:rFonts w:hint="eastAsia" w:ascii="仿宋_GB2312" w:hAnsi="仿宋_GB2312" w:eastAsia="仿宋_GB2312" w:cs="仿宋_GB2312"/>
          <w:b w:val="0"/>
          <w:bCs/>
          <w:color w:val="auto"/>
          <w:kern w:val="2"/>
          <w:sz w:val="32"/>
          <w:szCs w:val="32"/>
          <w:lang w:val="en-US" w:eastAsia="zh-CN" w:bidi="ar"/>
        </w:rPr>
        <w:t>结合我县实际情况，初步拟定了《红原县党政机关国内公务接待管理办法》</w:t>
      </w: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，待县委常委会、政府常务会审议通过后，将正式出台实施，以进一步推进公务接待工作的规范化和高效化。</w:t>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三是</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细心周到地做好机关食堂和职工之家食堂的日常管理工作，加强两个食堂的常态化管理，并计划设立第三食堂，以提升服务质量和满足更多需求。</w:t>
      </w:r>
    </w:p>
    <w:p w14:paraId="2A8F30A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jc w:val="both"/>
        <w:textAlignment w:val="auto"/>
        <w:rPr>
          <w:rFonts w:hint="eastAsia" w:eastAsia="宋体"/>
          <w:lang w:eastAsia="zh-CN"/>
        </w:rPr>
      </w:pPr>
      <w:r>
        <w:rPr>
          <w:rFonts w:hint="eastAsia" w:ascii="楷体_GB2312" w:hAnsi="楷体_GB2312" w:eastAsia="楷体_GB2312" w:cs="楷体_GB2312"/>
          <w:b/>
          <w:bCs/>
          <w:color w:val="000000" w:themeColor="text1"/>
          <w:sz w:val="32"/>
          <w:szCs w:val="32"/>
          <w:lang w:val="en-US" w:eastAsia="zh-CN"/>
          <w14:textFill>
            <w14:solidFill>
              <w14:schemeClr w14:val="tx1"/>
            </w14:solidFill>
          </w14:textFill>
        </w:rPr>
        <w:t>（三）优化服务保障，彰显地方形象</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w:t>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一是坚持标准与创新并重，提升服务品质。</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始终坚持将接待标准与服务创新相结合，在严格执行中央八项规定精神的基础上，着力提升服务品质。积极推动思维创新，拓展思维训练，更新观念；大力推进服务创新，打造精细化、特色化的公务接待服务体系；着力推进机制创新，强化流程再造，以体制机制创新促进公务接待的高效运行。紧紧围绕我县中心工作，牢牢把握中心职责定位，从政治和全局的高度统筹谋划接待工作，坚持高起点、高标准、高要求，精准、精确、精致地安排每一个接待环节，为各项公务接待提供优质服务。</w:t>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二是强化资源配置，优化服务环境。</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高度重视接待资源的优化配置和服务环境的持续改善。加强与宾馆饭店、餐饮企业等接待服务单位的紧密协作与配合，构建协调顺畅、流程优化、精干高效的服务保障体系。在服务保障方面，严格遵循“应付尽付”“能付即付”的原则，严格执行“一事一结算”的办理规定，强化接待费用的审核、报销和使用管理，明确接待经费的支付时限，提升结算效率，增强服务中小企业持续发展的效能。全年接待费用支出严格控制在预算范围内，确保各项经费使用规范透明。</w:t>
      </w:r>
    </w:p>
    <w:p w14:paraId="132702AD">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643" w:firstLineChars="200"/>
        <w:jc w:val="both"/>
        <w:textAlignment w:val="auto"/>
        <w:rPr>
          <w:rFonts w:hint="eastAsia" w:eastAsia="宋体"/>
          <w:lang w:eastAsia="zh-CN"/>
        </w:rPr>
      </w:pPr>
      <w:r>
        <w:rPr>
          <w:rFonts w:hint="eastAsia" w:ascii="楷体_GB2312" w:hAnsi="楷体_GB2312" w:eastAsia="楷体_GB2312" w:cs="楷体_GB2312"/>
          <w:b/>
          <w:bCs/>
          <w:color w:val="000000" w:themeColor="text1"/>
          <w:sz w:val="32"/>
          <w:szCs w:val="32"/>
          <w:lang w:val="en-US" w:eastAsia="zh-CN"/>
          <w14:textFill>
            <w14:solidFill>
              <w14:schemeClr w14:val="tx1"/>
            </w14:solidFill>
          </w14:textFill>
        </w:rPr>
        <w:t>（四）加强队伍建设，提升履职能力。</w:t>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一是注重能力提升，锻造专业队伍。</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通过组织业务培训、岗位练兵等多种方式，持续提升中心干部职工的综合素质和业务能力。积极鼓励干部职工踊跃参与各类学习培训和考试，内容涵盖接待礼仪、沟通技巧、应急处置、地方文化等多个领域，以增强其专业技能。此外，特别注重培养年轻干部，搭建完善的成长平台，使年轻干部能够在实践中得到充分锻炼，为中心的可持续发展注入源源不断的新活力。</w:t>
      </w:r>
      <w:r>
        <w:rPr>
          <w:rFonts w:hint="eastAsia" w:ascii="仿宋_GB2312" w:hAnsi="仿宋_GB2312" w:eastAsia="仿宋_GB2312" w:cs="仿宋_GB2312"/>
          <w:b/>
          <w:bCs/>
          <w:color w:val="000000" w:themeColor="text1"/>
          <w:sz w:val="32"/>
          <w:szCs w:val="32"/>
          <w:lang w:val="en-US" w:eastAsia="zh-CN"/>
          <w14:textFill>
            <w14:solidFill>
              <w14:schemeClr w14:val="tx1"/>
            </w14:solidFill>
          </w14:textFill>
        </w:rPr>
        <w:t>二是严格作风建设，树立良好形象。</w:t>
      </w:r>
      <w:r>
        <w:rPr>
          <w:rFonts w:hint="eastAsia" w:ascii="仿宋_GB2312" w:hAnsi="仿宋_GB2312" w:eastAsia="仿宋_GB2312" w:cs="仿宋_GB2312"/>
          <w:b w:val="0"/>
          <w:bCs w:val="0"/>
          <w:color w:val="000000" w:themeColor="text1"/>
          <w:sz w:val="32"/>
          <w:szCs w:val="32"/>
          <w:lang w:val="en-US" w:eastAsia="zh-CN"/>
          <w14:textFill>
            <w14:solidFill>
              <w14:schemeClr w14:val="tx1"/>
            </w14:solidFill>
          </w14:textFill>
        </w:rPr>
        <w:t>始终将作风建设置于突出位置，认真贯彻落实中央八项规定及其实施细则精神，坚决纠正和整治形式主义、官僚主义。积极倡导严谨细致、务实高效的工作作风，教育引导干部职工牢固树立服务意识、大局意识和责任意识，成功打造了一支政治坚定、业务精湛、作风过硬的干部队伍。结合中心实际情况，修订和完善了《考勤和请销假管理制度》《“三重一大”决策制度》《公务接待管理办法》《车辆及驾驶员管理办法》《财务管理制度》《政府采购内控管理支付》等多项规章制度，形成了以制度管人、管事、管权的良性机制。通过制度的不断优化和严格执行，进一步规范了中心各项工作的流程，显著提升了内部管理的科学化和制度化水平。</w:t>
      </w:r>
    </w:p>
    <w:p w14:paraId="217CCE9D">
      <w:pPr>
        <w:pStyle w:val="3"/>
        <w:ind w:firstLine="643" w:firstLineChars="200"/>
        <w:rPr>
          <w:rFonts w:hint="eastAsia" w:ascii="黑体" w:eastAsia="黑体" w:cs="Times New Roman"/>
          <w:bCs w:val="0"/>
          <w:color w:val="000000"/>
          <w:lang w:val="en-US" w:eastAsia="zh-CN"/>
        </w:rPr>
      </w:pPr>
      <w:r>
        <w:rPr>
          <w:rFonts w:hint="eastAsia" w:ascii="黑体" w:eastAsia="黑体" w:cs="Times New Roman"/>
          <w:bCs w:val="0"/>
          <w:color w:val="000000"/>
          <w:lang w:val="en-US" w:eastAsia="zh-CN"/>
        </w:rPr>
        <w:t>二、机构设置</w:t>
      </w:r>
      <w:bookmarkEnd w:id="24"/>
      <w:bookmarkEnd w:id="25"/>
      <w:bookmarkEnd w:id="26"/>
      <w:bookmarkEnd w:id="27"/>
    </w:p>
    <w:p w14:paraId="471858CC">
      <w:pPr>
        <w:snapToGrid w:val="0"/>
        <w:spacing w:line="520" w:lineRule="exact"/>
        <w:ind w:firstLine="640" w:firstLineChars="200"/>
        <w:rPr>
          <w:rFonts w:hint="eastAsia" w:ascii="仿宋_GB2312" w:hAnsi="仿宋_GB2312" w:eastAsia="仿宋_GB2312" w:cs="仿宋_GB2312"/>
          <w:color w:val="333333"/>
          <w:sz w:val="32"/>
          <w:szCs w:val="32"/>
          <w:shd w:val="clear" w:color="auto" w:fill="FFFFFF"/>
          <w:lang w:eastAsia="zh-CN"/>
        </w:rPr>
      </w:pPr>
      <w:r>
        <w:rPr>
          <w:rFonts w:hint="eastAsia" w:ascii="仿宋_GB2312" w:hAnsi="仿宋_GB2312" w:eastAsia="仿宋_GB2312" w:cs="仿宋_GB2312"/>
          <w:color w:val="333333"/>
          <w:sz w:val="32"/>
          <w:szCs w:val="32"/>
          <w:shd w:val="clear" w:color="auto" w:fill="FFFFFF"/>
        </w:rPr>
        <w:t>红原县</w:t>
      </w:r>
      <w:r>
        <w:rPr>
          <w:rFonts w:hint="eastAsia" w:ascii="仿宋_GB2312" w:hAnsi="仿宋_GB2312" w:eastAsia="仿宋_GB2312" w:cs="仿宋_GB2312"/>
          <w:color w:val="333333"/>
          <w:sz w:val="32"/>
          <w:szCs w:val="32"/>
          <w:shd w:val="clear" w:color="auto" w:fill="FFFFFF"/>
          <w:lang w:val="en-US" w:eastAsia="zh-CN"/>
        </w:rPr>
        <w:t>公务服务中心</w:t>
      </w:r>
      <w:r>
        <w:rPr>
          <w:rFonts w:hint="eastAsia" w:ascii="仿宋_GB2312" w:hAnsi="仿宋_GB2312" w:eastAsia="仿宋_GB2312" w:cs="仿宋_GB2312"/>
          <w:color w:val="333333"/>
          <w:sz w:val="32"/>
          <w:szCs w:val="32"/>
          <w:shd w:val="clear" w:color="auto" w:fill="FFFFFF"/>
        </w:rPr>
        <w:t>编制数为</w:t>
      </w:r>
      <w:r>
        <w:rPr>
          <w:rFonts w:hint="eastAsia" w:ascii="仿宋_GB2312" w:hAnsi="仿宋_GB2312" w:eastAsia="仿宋_GB2312" w:cs="仿宋_GB2312"/>
          <w:color w:val="333333"/>
          <w:sz w:val="32"/>
          <w:szCs w:val="32"/>
          <w:shd w:val="clear" w:color="auto" w:fill="FFFFFF"/>
          <w:lang w:val="en-US" w:eastAsia="zh-CN"/>
        </w:rPr>
        <w:t>12</w:t>
      </w:r>
      <w:r>
        <w:rPr>
          <w:rFonts w:hint="eastAsia" w:ascii="仿宋_GB2312" w:hAnsi="仿宋_GB2312" w:eastAsia="仿宋_GB2312" w:cs="仿宋_GB2312"/>
          <w:color w:val="333333"/>
          <w:sz w:val="32"/>
          <w:szCs w:val="32"/>
          <w:shd w:val="clear" w:color="auto" w:fill="FFFFFF"/>
        </w:rPr>
        <w:t>人，</w:t>
      </w:r>
      <w:r>
        <w:rPr>
          <w:rFonts w:hint="eastAsia" w:ascii="仿宋_GB2312" w:hAnsi="仿宋_GB2312" w:eastAsia="仿宋_GB2312" w:cs="仿宋_GB2312"/>
          <w:color w:val="333333"/>
          <w:sz w:val="32"/>
          <w:szCs w:val="32"/>
          <w:shd w:val="clear" w:color="auto" w:fill="FFFFFF"/>
          <w:lang w:val="en-US" w:eastAsia="zh-CN"/>
        </w:rPr>
        <w:t>2025年12月31日截止</w:t>
      </w:r>
      <w:r>
        <w:rPr>
          <w:rFonts w:hint="eastAsia" w:ascii="仿宋_GB2312" w:hAnsi="仿宋_GB2312" w:eastAsia="仿宋_GB2312" w:cs="仿宋_GB2312"/>
          <w:color w:val="333333"/>
          <w:sz w:val="32"/>
          <w:szCs w:val="32"/>
          <w:shd w:val="clear" w:color="auto" w:fill="FFFFFF"/>
        </w:rPr>
        <w:t>在编人数</w:t>
      </w:r>
      <w:r>
        <w:rPr>
          <w:rFonts w:hint="eastAsia" w:ascii="仿宋_GB2312" w:hAnsi="仿宋_GB2312" w:eastAsia="仿宋_GB2312" w:cs="仿宋_GB2312"/>
          <w:color w:val="333333"/>
          <w:sz w:val="32"/>
          <w:szCs w:val="32"/>
          <w:shd w:val="clear" w:color="auto" w:fill="FFFFFF"/>
          <w:lang w:val="en-US" w:eastAsia="zh-CN"/>
        </w:rPr>
        <w:t>10人</w:t>
      </w:r>
      <w:r>
        <w:rPr>
          <w:rFonts w:hint="eastAsia" w:ascii="仿宋_GB2312" w:hAnsi="仿宋_GB2312" w:eastAsia="仿宋_GB2312" w:cs="仿宋_GB2312"/>
          <w:color w:val="333333"/>
          <w:sz w:val="32"/>
          <w:szCs w:val="32"/>
          <w:shd w:val="clear" w:color="auto" w:fill="FFFFFF"/>
          <w:lang w:eastAsia="zh-CN"/>
        </w:rPr>
        <w:t>。</w:t>
      </w:r>
      <w:r>
        <w:rPr>
          <w:rFonts w:ascii="仿宋" w:hAnsi="仿宋" w:eastAsia="仿宋"/>
          <w:color w:val="000000"/>
          <w:sz w:val="32"/>
          <w:szCs w:val="32"/>
        </w:rPr>
        <w:t>单位内部设办公室、接待股、后勤资产管理股。</w:t>
      </w:r>
    </w:p>
    <w:p w14:paraId="3B4498DA">
      <w:pPr>
        <w:keepNext w:val="0"/>
        <w:keepLines w:val="0"/>
        <w:pageBreakBefore w:val="0"/>
        <w:widowControl w:val="0"/>
        <w:kinsoku/>
        <w:wordWrap/>
        <w:overflowPunct/>
        <w:topLinePunct w:val="0"/>
        <w:autoSpaceDE/>
        <w:autoSpaceDN/>
        <w:bidi w:val="0"/>
        <w:adjustRightInd/>
        <w:snapToGrid/>
        <w:ind w:firstLine="640" w:firstLineChars="200"/>
        <w:textAlignment w:val="auto"/>
        <w:rPr>
          <w:rFonts w:ascii="仿宋" w:hAnsi="仿宋" w:eastAsia="仿宋"/>
          <w:color w:val="000000"/>
          <w:sz w:val="32"/>
          <w:szCs w:val="32"/>
        </w:rPr>
      </w:pPr>
      <w:r>
        <w:rPr>
          <w:rFonts w:ascii="仿宋" w:hAnsi="仿宋" w:eastAsia="仿宋"/>
          <w:color w:val="000000"/>
          <w:sz w:val="32"/>
          <w:szCs w:val="32"/>
        </w:rPr>
        <w:t>阿坝州红原县公务服务中心无下属二级单位</w:t>
      </w:r>
    </w:p>
    <w:p w14:paraId="590994CF">
      <w:pPr>
        <w:widowControl/>
        <w:jc w:val="left"/>
        <w:rPr>
          <w:rFonts w:ascii="仿宋_GB2312" w:hAnsi="黑体" w:eastAsia="仿宋_GB2312"/>
          <w:b/>
          <w:bCs/>
          <w:color w:val="000000"/>
          <w:kern w:val="44"/>
          <w:sz w:val="44"/>
          <w:szCs w:val="44"/>
        </w:rPr>
      </w:pPr>
      <w:r>
        <w:rPr>
          <w:rFonts w:ascii="仿宋_GB2312" w:hAnsi="黑体" w:eastAsia="仿宋_GB2312"/>
          <w:color w:val="000000"/>
        </w:rPr>
        <w:br w:type="page"/>
      </w:r>
    </w:p>
    <w:p w14:paraId="7F607B28">
      <w:pPr>
        <w:pStyle w:val="2"/>
        <w:jc w:val="center"/>
        <w:rPr>
          <w:rFonts w:ascii="黑体" w:hAnsi="黑体" w:eastAsia="黑体" w:cs="黑体"/>
        </w:rPr>
      </w:pPr>
      <w:bookmarkStart w:id="28" w:name="_Toc9058"/>
      <w:bookmarkStart w:id="29" w:name="_Toc111208498"/>
      <w:r>
        <w:rPr>
          <w:rFonts w:hint="eastAsia" w:ascii="黑体" w:hAnsi="黑体" w:eastAsia="黑体" w:cs="黑体"/>
        </w:rPr>
        <w:t>第二部分</w:t>
      </w:r>
      <w:r>
        <w:rPr>
          <w:rFonts w:ascii="黑体" w:hAnsi="黑体" w:eastAsia="黑体" w:cs="黑体"/>
        </w:rPr>
        <w:t xml:space="preserve"> </w:t>
      </w:r>
      <w:r>
        <w:rPr>
          <w:rFonts w:hint="eastAsia" w:ascii="黑体" w:hAnsi="黑体" w:eastAsia="黑体" w:cs="黑体"/>
        </w:rPr>
        <w:t>202</w:t>
      </w:r>
      <w:r>
        <w:rPr>
          <w:rFonts w:hint="eastAsia" w:ascii="黑体" w:hAnsi="黑体" w:eastAsia="黑体" w:cs="黑体"/>
          <w:lang w:val="en-US" w:eastAsia="zh-CN"/>
        </w:rPr>
        <w:t>5</w:t>
      </w:r>
      <w:r>
        <w:rPr>
          <w:rFonts w:ascii="黑体" w:hAnsi="黑体" w:eastAsia="黑体" w:cs="黑体"/>
          <w:u w:color="auto"/>
        </w:rPr>
        <w:t>年度</w:t>
      </w:r>
      <w:r>
        <w:rPr>
          <w:rFonts w:hint="eastAsia" w:ascii="黑体" w:hAnsi="黑体" w:eastAsia="黑体" w:cs="黑体"/>
          <w:lang w:val="en-US" w:eastAsia="zh-CN"/>
        </w:rPr>
        <w:t>部门</w:t>
      </w:r>
      <w:r>
        <w:rPr>
          <w:rFonts w:hint="eastAsia" w:ascii="黑体" w:hAnsi="黑体" w:eastAsia="黑体" w:cs="黑体"/>
        </w:rPr>
        <w:t>决算情况说明</w:t>
      </w:r>
      <w:bookmarkEnd w:id="19"/>
      <w:bookmarkEnd w:id="28"/>
      <w:bookmarkEnd w:id="29"/>
    </w:p>
    <w:p w14:paraId="7158BC31">
      <w:pPr>
        <w:pStyle w:val="3"/>
        <w:ind w:firstLine="643" w:firstLineChars="200"/>
        <w:rPr>
          <w:rFonts w:ascii="黑体" w:eastAsia="黑体" w:cs="Times New Roman"/>
          <w:bCs w:val="0"/>
          <w:color w:val="000000"/>
        </w:rPr>
      </w:pPr>
      <w:bookmarkStart w:id="30" w:name="_Toc15377205"/>
      <w:bookmarkStart w:id="31" w:name="_Toc111208499"/>
      <w:bookmarkStart w:id="32" w:name="_Toc19710"/>
      <w:r>
        <w:rPr>
          <w:rFonts w:hint="eastAsia" w:ascii="黑体" w:eastAsia="黑体" w:cs="Times New Roman"/>
          <w:bCs w:val="0"/>
          <w:color w:val="000000"/>
        </w:rPr>
        <w:t>一、收入支出决算总体情况说</w:t>
      </w:r>
      <w:bookmarkEnd w:id="30"/>
      <w:r>
        <w:rPr>
          <w:rFonts w:hint="eastAsia" w:ascii="黑体" w:eastAsia="黑体" w:cs="Times New Roman"/>
          <w:bCs w:val="0"/>
          <w:color w:val="000000"/>
        </w:rPr>
        <w:t>明</w:t>
      </w:r>
      <w:bookmarkEnd w:id="31"/>
      <w:bookmarkEnd w:id="32"/>
    </w:p>
    <w:p w14:paraId="3DDE90A4">
      <w:pPr>
        <w:spacing w:line="600" w:lineRule="exact"/>
        <w:ind w:firstLine="640" w:firstLineChars="200"/>
        <w:rPr>
          <w:rFonts w:ascii="仿宋" w:hAnsi="仿宋" w:eastAsia="仿宋"/>
          <w:color w:val="000000"/>
          <w:sz w:val="32"/>
          <w:szCs w:val="32"/>
        </w:rPr>
      </w:pPr>
      <w:r>
        <w:rPr>
          <w:rFonts w:ascii="仿宋" w:hAnsi="仿宋" w:eastAsia="仿宋"/>
          <w:color w:val="000000"/>
          <w:sz w:val="32"/>
          <w:szCs w:val="32"/>
        </w:rPr>
        <w:t>202</w:t>
      </w:r>
      <w:r>
        <w:rPr>
          <w:rFonts w:hint="eastAsia" w:ascii="仿宋" w:hAnsi="仿宋" w:eastAsia="仿宋"/>
          <w:color w:val="000000"/>
          <w:sz w:val="32"/>
          <w:szCs w:val="32"/>
          <w:lang w:val="en-US" w:eastAsia="zh-CN"/>
        </w:rPr>
        <w:t>5</w:t>
      </w:r>
      <w:r>
        <w:rPr>
          <w:rFonts w:hint="eastAsia" w:ascii="仿宋" w:hAnsi="仿宋" w:eastAsia="仿宋"/>
          <w:color w:val="000000"/>
          <w:sz w:val="32"/>
          <w:szCs w:val="32"/>
        </w:rPr>
        <w:t>年度收入总计</w:t>
      </w:r>
      <w:r>
        <w:rPr>
          <w:rFonts w:hint="eastAsia" w:ascii="仿宋" w:hAnsi="仿宋" w:eastAsia="仿宋"/>
          <w:color w:val="000000"/>
          <w:sz w:val="32"/>
          <w:u w:color="auto"/>
          <w:lang w:val="en-US" w:eastAsia="zh-CN"/>
        </w:rPr>
        <w:t>646.01</w:t>
      </w:r>
      <w:r>
        <w:rPr>
          <w:rFonts w:ascii="仿宋" w:hAnsi="仿宋" w:eastAsia="仿宋"/>
          <w:color w:val="000000"/>
          <w:sz w:val="32"/>
          <w:u w:color="auto"/>
        </w:rPr>
        <w:t>万元，支出总计</w:t>
      </w:r>
      <w:r>
        <w:rPr>
          <w:rFonts w:hint="eastAsia" w:ascii="仿宋" w:hAnsi="仿宋" w:eastAsia="仿宋"/>
          <w:color w:val="000000"/>
          <w:sz w:val="32"/>
          <w:u w:color="auto"/>
          <w:lang w:val="en-US" w:eastAsia="zh-CN"/>
        </w:rPr>
        <w:t>646.01</w:t>
      </w:r>
      <w:r>
        <w:rPr>
          <w:rFonts w:ascii="仿宋" w:hAnsi="仿宋" w:eastAsia="仿宋"/>
          <w:color w:val="000000"/>
          <w:sz w:val="32"/>
          <w:u w:color="auto"/>
        </w:rPr>
        <w:t>万元。与</w:t>
      </w:r>
      <w:r>
        <w:rPr>
          <w:rFonts w:ascii="仿宋" w:hAnsi="仿宋" w:eastAsia="仿宋"/>
          <w:color w:val="000000"/>
          <w:sz w:val="32"/>
          <w:szCs w:val="32"/>
        </w:rPr>
        <w:t>202</w:t>
      </w:r>
      <w:r>
        <w:rPr>
          <w:rFonts w:hint="eastAsia" w:ascii="仿宋" w:hAnsi="仿宋" w:eastAsia="仿宋"/>
          <w:color w:val="000000"/>
          <w:sz w:val="32"/>
          <w:szCs w:val="32"/>
          <w:lang w:val="en-US" w:eastAsia="zh-CN"/>
        </w:rPr>
        <w:t>4</w:t>
      </w:r>
      <w:r>
        <w:rPr>
          <w:rFonts w:hint="eastAsia" w:ascii="仿宋" w:hAnsi="仿宋" w:eastAsia="仿宋"/>
          <w:color w:val="000000"/>
          <w:sz w:val="32"/>
          <w:szCs w:val="32"/>
        </w:rPr>
        <w:t>年相比，收入总计</w:t>
      </w:r>
      <w:r>
        <w:rPr>
          <w:rFonts w:hint="eastAsia" w:ascii="仿宋" w:hAnsi="仿宋" w:eastAsia="仿宋"/>
          <w:color w:val="000000"/>
          <w:sz w:val="32"/>
          <w:szCs w:val="32"/>
          <w:lang w:val="en-US" w:eastAsia="zh-CN"/>
        </w:rPr>
        <w:t>减少</w:t>
      </w:r>
      <w:r>
        <w:rPr>
          <w:rFonts w:hint="eastAsia" w:ascii="仿宋" w:hAnsi="仿宋" w:eastAsia="仿宋"/>
          <w:color w:val="000000"/>
          <w:sz w:val="32"/>
          <w:u w:color="auto"/>
          <w:lang w:val="en-US" w:eastAsia="zh-CN"/>
        </w:rPr>
        <w:t>37.68</w:t>
      </w:r>
      <w:r>
        <w:rPr>
          <w:rFonts w:ascii="仿宋" w:hAnsi="仿宋" w:eastAsia="仿宋"/>
          <w:color w:val="000000"/>
          <w:sz w:val="32"/>
          <w:u w:color="auto"/>
        </w:rPr>
        <w:t>万元，</w:t>
      </w:r>
      <w:r>
        <w:rPr>
          <w:rFonts w:hint="eastAsia" w:ascii="仿宋" w:hAnsi="仿宋" w:eastAsia="仿宋"/>
          <w:color w:val="000000"/>
          <w:sz w:val="32"/>
          <w:u w:color="auto"/>
          <w:lang w:val="en-US" w:eastAsia="zh-CN"/>
        </w:rPr>
        <w:t>减少5.51</w:t>
      </w:r>
      <w:r>
        <w:rPr>
          <w:rFonts w:ascii="仿宋" w:hAnsi="仿宋" w:eastAsia="仿宋"/>
          <w:color w:val="000000"/>
          <w:sz w:val="32"/>
          <w:u w:color="auto"/>
        </w:rPr>
        <w:t>%，支出总计</w:t>
      </w:r>
      <w:r>
        <w:rPr>
          <w:rFonts w:hint="eastAsia" w:ascii="仿宋" w:hAnsi="仿宋" w:eastAsia="仿宋"/>
          <w:color w:val="000000"/>
          <w:sz w:val="32"/>
          <w:u w:color="auto"/>
          <w:lang w:val="en-US" w:eastAsia="zh-CN"/>
        </w:rPr>
        <w:t>减少37.68</w:t>
      </w:r>
      <w:r>
        <w:rPr>
          <w:rFonts w:ascii="仿宋" w:hAnsi="仿宋" w:eastAsia="仿宋"/>
          <w:color w:val="000000"/>
          <w:sz w:val="32"/>
          <w:u w:color="auto"/>
        </w:rPr>
        <w:t>万元，</w:t>
      </w:r>
      <w:r>
        <w:rPr>
          <w:rFonts w:hint="eastAsia" w:ascii="仿宋" w:hAnsi="仿宋" w:eastAsia="仿宋"/>
          <w:color w:val="000000"/>
          <w:sz w:val="32"/>
          <w:u w:color="auto"/>
          <w:lang w:val="en-US" w:eastAsia="zh-CN"/>
        </w:rPr>
        <w:t>减少5.51</w:t>
      </w:r>
      <w:r>
        <w:rPr>
          <w:rFonts w:ascii="仿宋" w:hAnsi="仿宋" w:eastAsia="仿宋"/>
          <w:color w:val="000000"/>
          <w:sz w:val="32"/>
          <w:u w:color="auto"/>
        </w:rPr>
        <w:t>%。</w:t>
      </w:r>
    </w:p>
    <w:p w14:paraId="7D040517">
      <w:pPr>
        <w:spacing w:line="600" w:lineRule="exact"/>
        <w:ind w:firstLine="640" w:firstLineChars="200"/>
        <w:rPr>
          <w:rFonts w:ascii="仿宋_GB2312" w:eastAsia="仿宋_GB2312"/>
          <w:color w:val="000000"/>
          <w:sz w:val="28"/>
          <w:szCs w:val="28"/>
        </w:rPr>
      </w:pPr>
      <w:r>
        <w:rPr>
          <w:rFonts w:hint="eastAsia" w:ascii="仿宋" w:hAnsi="仿宋" w:eastAsia="仿宋"/>
          <w:color w:val="000000"/>
          <w:sz w:val="32"/>
          <w:szCs w:val="32"/>
        </w:rPr>
        <w:t>主要变动原因是项目活动</w:t>
      </w:r>
      <w:r>
        <w:rPr>
          <w:rFonts w:hint="eastAsia" w:ascii="仿宋" w:hAnsi="仿宋" w:eastAsia="仿宋"/>
          <w:color w:val="000000"/>
          <w:sz w:val="32"/>
          <w:szCs w:val="32"/>
          <w:lang w:val="en-US" w:eastAsia="zh-CN"/>
        </w:rPr>
        <w:t>减少</w:t>
      </w:r>
      <w:r>
        <w:rPr>
          <w:rFonts w:hint="eastAsia" w:ascii="仿宋" w:hAnsi="仿宋" w:eastAsia="仿宋"/>
          <w:color w:val="000000"/>
          <w:sz w:val="32"/>
          <w:szCs w:val="32"/>
        </w:rPr>
        <w:t xml:space="preserve">。 </w:t>
      </w:r>
    </w:p>
    <w:p w14:paraId="2F739676">
      <w:pPr>
        <w:pStyle w:val="5"/>
      </w:pPr>
      <w:r>
        <w:drawing>
          <wp:inline distT="0" distB="0" distL="114300" distR="114300">
            <wp:extent cx="5343525" cy="2933700"/>
            <wp:effectExtent l="5080" t="4445" r="4445" b="5080"/>
            <wp:docPr id="10"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56BD501A">
      <w:pPr>
        <w:spacing w:line="600" w:lineRule="exact"/>
        <w:ind w:firstLine="640" w:firstLineChars="200"/>
        <w:jc w:val="center"/>
      </w:pPr>
      <w:r>
        <w:rPr>
          <w:rFonts w:hint="eastAsia" w:ascii="仿宋" w:hAnsi="仿宋" w:eastAsia="仿宋"/>
          <w:color w:val="000000"/>
          <w:sz w:val="32"/>
          <w:szCs w:val="32"/>
        </w:rPr>
        <w:t>（图1：收、支决算总计变动情况图）</w:t>
      </w:r>
    </w:p>
    <w:p w14:paraId="09165E5F">
      <w:pPr>
        <w:pStyle w:val="3"/>
        <w:ind w:firstLine="643" w:firstLineChars="200"/>
        <w:rPr>
          <w:rFonts w:ascii="黑体" w:eastAsia="黑体" w:cs="Times New Roman"/>
          <w:bCs w:val="0"/>
          <w:color w:val="000000"/>
        </w:rPr>
      </w:pPr>
      <w:bookmarkStart w:id="33" w:name="_Toc111208500"/>
      <w:bookmarkStart w:id="34" w:name="_Toc15377206"/>
      <w:bookmarkStart w:id="35" w:name="_Toc8125"/>
      <w:r>
        <w:rPr>
          <w:rFonts w:hint="eastAsia" w:ascii="黑体" w:eastAsia="黑体" w:cs="Times New Roman"/>
          <w:bCs w:val="0"/>
          <w:color w:val="000000"/>
        </w:rPr>
        <w:t>二、收入决算情况说明</w:t>
      </w:r>
      <w:bookmarkEnd w:id="33"/>
      <w:bookmarkEnd w:id="34"/>
      <w:bookmarkEnd w:id="35"/>
    </w:p>
    <w:p w14:paraId="58FF0EAA">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202</w:t>
      </w:r>
      <w:r>
        <w:rPr>
          <w:rFonts w:hint="eastAsia" w:ascii="仿宋" w:hAnsi="仿宋" w:eastAsia="仿宋"/>
          <w:color w:val="000000"/>
          <w:sz w:val="32"/>
          <w:szCs w:val="32"/>
          <w:lang w:val="en-US" w:eastAsia="zh-CN"/>
        </w:rPr>
        <w:t>5</w:t>
      </w:r>
      <w:r>
        <w:rPr>
          <w:rFonts w:ascii="仿宋" w:hAnsi="仿宋" w:eastAsia="仿宋"/>
          <w:color w:val="000000"/>
          <w:sz w:val="32"/>
          <w:u w:color="auto"/>
        </w:rPr>
        <w:t>年本年收入合计</w:t>
      </w:r>
      <w:r>
        <w:rPr>
          <w:rFonts w:hint="eastAsia" w:ascii="仿宋" w:hAnsi="仿宋" w:eastAsia="仿宋"/>
          <w:color w:val="000000"/>
          <w:sz w:val="32"/>
          <w:u w:color="auto"/>
          <w:lang w:val="en-US" w:eastAsia="zh-CN"/>
        </w:rPr>
        <w:t>646.01</w:t>
      </w:r>
      <w:r>
        <w:rPr>
          <w:rFonts w:ascii="仿宋" w:hAnsi="仿宋" w:eastAsia="仿宋"/>
          <w:color w:val="000000"/>
          <w:sz w:val="32"/>
          <w:u w:color="auto"/>
        </w:rPr>
        <w:t>万元</w:t>
      </w:r>
      <w:r>
        <w:rPr>
          <w:rFonts w:hint="eastAsia" w:ascii="仿宋" w:hAnsi="仿宋" w:eastAsia="仿宋"/>
          <w:color w:val="000000"/>
          <w:sz w:val="32"/>
          <w:szCs w:val="32"/>
          <w:lang w:val="en-US" w:eastAsia="zh-CN"/>
        </w:rPr>
        <w:t>，其中:一般公共预算财政拨款收入646.01万元，占100.00%</w:t>
      </w:r>
      <w:r>
        <w:rPr>
          <w:rFonts w:hint="eastAsia" w:ascii="仿宋" w:hAnsi="仿宋" w:eastAsia="仿宋"/>
          <w:color w:val="000000"/>
          <w:sz w:val="32"/>
          <w:szCs w:val="32"/>
        </w:rPr>
        <w:t>。</w:t>
      </w:r>
    </w:p>
    <w:p w14:paraId="3AD10130">
      <w:pPr>
        <w:pStyle w:val="18"/>
        <w:ind w:left="1060" w:hanging="640"/>
        <w:jc w:val="center"/>
        <w:rPr>
          <w:rFonts w:hint="eastAsia" w:ascii="仿宋_GB2312" w:eastAsia="仿宋_GB2312"/>
          <w:color w:val="FF0000"/>
          <w:sz w:val="32"/>
          <w:szCs w:val="32"/>
        </w:rPr>
      </w:pPr>
      <w:r>
        <w:rPr>
          <w:rFonts w:hint="eastAsia" w:ascii="仿宋_GB2312" w:eastAsia="仿宋_GB2312"/>
          <w:color w:val="FF0000"/>
          <w:sz w:val="32"/>
          <w:szCs w:val="32"/>
        </w:rPr>
        <w:drawing>
          <wp:inline distT="0" distB="0" distL="114300" distR="114300">
            <wp:extent cx="5332730" cy="3400425"/>
            <wp:effectExtent l="0" t="0" r="1270" b="9525"/>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93D842C">
      <w:pPr>
        <w:spacing w:line="600" w:lineRule="exact"/>
        <w:ind w:firstLine="640" w:firstLineChars="200"/>
        <w:jc w:val="center"/>
      </w:pPr>
      <w:r>
        <w:rPr>
          <w:rFonts w:hint="eastAsia" w:ascii="仿宋" w:hAnsi="仿宋" w:eastAsia="仿宋"/>
          <w:color w:val="000000"/>
          <w:sz w:val="32"/>
          <w:szCs w:val="32"/>
        </w:rPr>
        <w:t>（图2：收入决算结构图）</w:t>
      </w:r>
    </w:p>
    <w:p w14:paraId="37B6503D">
      <w:pPr>
        <w:pStyle w:val="3"/>
        <w:ind w:firstLine="643" w:firstLineChars="200"/>
        <w:rPr>
          <w:rFonts w:ascii="黑体" w:eastAsia="黑体" w:cs="Times New Roman"/>
          <w:bCs w:val="0"/>
          <w:color w:val="000000"/>
        </w:rPr>
      </w:pPr>
      <w:bookmarkStart w:id="36" w:name="_Toc28283"/>
      <w:bookmarkStart w:id="37" w:name="_Toc111208501"/>
      <w:bookmarkStart w:id="38" w:name="_Toc15377207"/>
      <w:r>
        <w:rPr>
          <w:rFonts w:hint="eastAsia" w:ascii="黑体" w:eastAsia="黑体" w:cs="Times New Roman"/>
          <w:bCs w:val="0"/>
          <w:color w:val="000000"/>
        </w:rPr>
        <w:t>三、支出决算情况说明</w:t>
      </w:r>
      <w:bookmarkEnd w:id="36"/>
      <w:bookmarkEnd w:id="37"/>
      <w:bookmarkEnd w:id="38"/>
    </w:p>
    <w:p w14:paraId="086E7470">
      <w:pPr>
        <w:pStyle w:val="5"/>
        <w:rPr>
          <w:rFonts w:ascii="仿宋" w:hAnsi="仿宋" w:eastAsia="仿宋"/>
          <w:color w:val="000000"/>
          <w:sz w:val="32"/>
          <w:szCs w:val="32"/>
        </w:rPr>
      </w:pPr>
      <w:r>
        <w:rPr>
          <w:rFonts w:hint="eastAsia" w:ascii="仿宋" w:hAnsi="仿宋" w:eastAsia="仿宋"/>
          <w:color w:val="000000"/>
          <w:sz w:val="32"/>
          <w:szCs w:val="32"/>
        </w:rPr>
        <w:t>202</w:t>
      </w:r>
      <w:r>
        <w:rPr>
          <w:rFonts w:hint="eastAsia" w:ascii="仿宋" w:hAnsi="仿宋" w:eastAsia="仿宋"/>
          <w:color w:val="000000"/>
          <w:sz w:val="32"/>
          <w:szCs w:val="32"/>
          <w:lang w:val="en-US" w:eastAsia="zh-CN"/>
        </w:rPr>
        <w:t>5</w:t>
      </w:r>
      <w:r>
        <w:rPr>
          <w:rFonts w:ascii="仿宋" w:hAnsi="仿宋" w:eastAsia="仿宋"/>
          <w:color w:val="000000"/>
          <w:sz w:val="32"/>
          <w:szCs w:val="32"/>
        </w:rPr>
        <w:t>年本年支出合计</w:t>
      </w:r>
      <w:r>
        <w:rPr>
          <w:rFonts w:hint="eastAsia" w:ascii="仿宋" w:hAnsi="仿宋" w:eastAsia="仿宋"/>
          <w:color w:val="000000"/>
          <w:sz w:val="32"/>
          <w:szCs w:val="32"/>
          <w:lang w:val="en-US" w:eastAsia="zh-CN"/>
        </w:rPr>
        <w:t>646.01</w:t>
      </w:r>
      <w:r>
        <w:rPr>
          <w:rFonts w:ascii="仿宋" w:hAnsi="仿宋" w:eastAsia="仿宋"/>
          <w:color w:val="000000"/>
          <w:sz w:val="32"/>
          <w:szCs w:val="32"/>
        </w:rPr>
        <w:t>万元</w:t>
      </w:r>
      <w:r>
        <w:rPr>
          <w:rFonts w:hint="eastAsia" w:ascii="仿宋" w:hAnsi="仿宋" w:eastAsia="仿宋"/>
          <w:color w:val="000000"/>
          <w:sz w:val="32"/>
          <w:szCs w:val="32"/>
          <w:lang w:val="en-US" w:eastAsia="zh-CN"/>
        </w:rPr>
        <w:t>，其中:基本支出275.53万元，占42.65%；项目支出370.48万元，占57.35%</w:t>
      </w:r>
      <w:r>
        <w:rPr>
          <w:rFonts w:ascii="仿宋" w:hAnsi="仿宋" w:eastAsia="仿宋"/>
          <w:color w:val="000000"/>
          <w:sz w:val="32"/>
          <w:szCs w:val="32"/>
        </w:rPr>
        <w:t>。</w:t>
      </w:r>
    </w:p>
    <w:p w14:paraId="0C590A73">
      <w:pPr>
        <w:jc w:val="center"/>
        <w:rPr>
          <w:rFonts w:hint="eastAsia" w:ascii="仿宋_GB2312" w:eastAsia="仿宋_GB2312"/>
          <w:color w:val="FF0000"/>
          <w:sz w:val="32"/>
          <w:szCs w:val="32"/>
        </w:rPr>
      </w:pPr>
      <w:r>
        <w:rPr>
          <w:rFonts w:hint="eastAsia" w:ascii="仿宋_GB2312" w:eastAsia="仿宋_GB2312"/>
          <w:color w:val="FF0000"/>
          <w:sz w:val="32"/>
          <w:szCs w:val="32"/>
        </w:rPr>
        <w:drawing>
          <wp:inline distT="0" distB="0" distL="114300" distR="114300">
            <wp:extent cx="5304155" cy="3429000"/>
            <wp:effectExtent l="0" t="0" r="10795" b="0"/>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4755376">
      <w:pPr>
        <w:spacing w:line="600" w:lineRule="exact"/>
        <w:ind w:firstLine="640" w:firstLineChars="200"/>
        <w:jc w:val="center"/>
        <w:rPr>
          <w:rFonts w:ascii="仿宋" w:hAnsi="仿宋" w:eastAsia="仿宋"/>
          <w:color w:val="000000"/>
          <w:sz w:val="32"/>
          <w:szCs w:val="32"/>
        </w:rPr>
      </w:pPr>
      <w:r>
        <w:rPr>
          <w:rFonts w:hint="eastAsia" w:ascii="仿宋" w:hAnsi="仿宋" w:eastAsia="仿宋"/>
          <w:color w:val="000000"/>
          <w:sz w:val="32"/>
          <w:szCs w:val="32"/>
        </w:rPr>
        <w:t>（图3：支出决算结构图）</w:t>
      </w:r>
    </w:p>
    <w:p w14:paraId="4E513399">
      <w:pPr>
        <w:pStyle w:val="3"/>
        <w:ind w:firstLine="643" w:firstLineChars="200"/>
        <w:rPr>
          <w:rFonts w:ascii="黑体" w:eastAsia="黑体" w:cs="Times New Roman"/>
          <w:bCs w:val="0"/>
          <w:color w:val="000000"/>
        </w:rPr>
      </w:pPr>
      <w:bookmarkStart w:id="39" w:name="_Toc111208502"/>
      <w:bookmarkStart w:id="40" w:name="_Toc15377208"/>
      <w:bookmarkStart w:id="41" w:name="_Toc19521"/>
      <w:r>
        <w:rPr>
          <w:rFonts w:hint="eastAsia" w:ascii="黑体" w:eastAsia="黑体" w:cs="Times New Roman"/>
          <w:bCs w:val="0"/>
          <w:color w:val="000000"/>
        </w:rPr>
        <w:t>四、财政拨款收入支出决算总体情况说明</w:t>
      </w:r>
      <w:bookmarkEnd w:id="39"/>
      <w:bookmarkEnd w:id="40"/>
      <w:bookmarkEnd w:id="41"/>
    </w:p>
    <w:p w14:paraId="7EDEE61A">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202</w:t>
      </w:r>
      <w:r>
        <w:rPr>
          <w:rFonts w:hint="eastAsia" w:ascii="仿宋" w:hAnsi="仿宋" w:eastAsia="仿宋"/>
          <w:color w:val="000000"/>
          <w:sz w:val="32"/>
          <w:szCs w:val="32"/>
          <w:lang w:val="en-US" w:eastAsia="zh-CN"/>
        </w:rPr>
        <w:t>5</w:t>
      </w:r>
      <w:r>
        <w:rPr>
          <w:rFonts w:ascii="仿宋" w:hAnsi="仿宋" w:eastAsia="仿宋"/>
          <w:color w:val="000000"/>
          <w:sz w:val="32"/>
          <w:u w:color="auto"/>
        </w:rPr>
        <w:t>年财政拨款收入总计</w:t>
      </w:r>
      <w:r>
        <w:rPr>
          <w:rFonts w:hint="eastAsia" w:ascii="仿宋" w:hAnsi="仿宋" w:eastAsia="仿宋"/>
          <w:color w:val="000000"/>
          <w:sz w:val="32"/>
          <w:u w:color="auto"/>
          <w:lang w:val="en-US" w:eastAsia="zh-CN"/>
        </w:rPr>
        <w:t>646.01</w:t>
      </w:r>
      <w:r>
        <w:rPr>
          <w:rFonts w:ascii="仿宋" w:hAnsi="仿宋" w:eastAsia="仿宋"/>
          <w:color w:val="000000"/>
          <w:sz w:val="32"/>
          <w:u w:color="auto"/>
        </w:rPr>
        <w:t>万元，财政拨款支出总计</w:t>
      </w:r>
      <w:r>
        <w:rPr>
          <w:rFonts w:hint="eastAsia" w:ascii="仿宋" w:hAnsi="仿宋" w:eastAsia="仿宋"/>
          <w:color w:val="000000"/>
          <w:sz w:val="32"/>
          <w:u w:color="auto"/>
          <w:lang w:val="en-US" w:eastAsia="zh-CN"/>
        </w:rPr>
        <w:t>646.01</w:t>
      </w:r>
      <w:r>
        <w:rPr>
          <w:rFonts w:ascii="仿宋" w:hAnsi="仿宋" w:eastAsia="仿宋"/>
          <w:color w:val="000000"/>
          <w:sz w:val="32"/>
          <w:u w:color="auto"/>
        </w:rPr>
        <w:t>万元。与202</w:t>
      </w:r>
      <w:r>
        <w:rPr>
          <w:rFonts w:hint="eastAsia" w:ascii="仿宋" w:hAnsi="仿宋" w:eastAsia="仿宋"/>
          <w:color w:val="000000"/>
          <w:sz w:val="32"/>
          <w:u w:color="auto"/>
          <w:lang w:val="en-US" w:eastAsia="zh-CN"/>
        </w:rPr>
        <w:t>4</w:t>
      </w:r>
      <w:r>
        <w:rPr>
          <w:rFonts w:ascii="仿宋" w:hAnsi="仿宋" w:eastAsia="仿宋"/>
          <w:color w:val="000000"/>
          <w:sz w:val="32"/>
          <w:u w:color="auto"/>
        </w:rPr>
        <w:t>年相比，财政拨款收入总计</w:t>
      </w:r>
      <w:r>
        <w:rPr>
          <w:rFonts w:hint="eastAsia" w:ascii="仿宋" w:hAnsi="仿宋" w:eastAsia="仿宋"/>
          <w:color w:val="000000"/>
          <w:sz w:val="32"/>
          <w:u w:color="auto"/>
          <w:lang w:val="en-US" w:eastAsia="zh-CN"/>
        </w:rPr>
        <w:t>减少37.68</w:t>
      </w:r>
      <w:r>
        <w:rPr>
          <w:rFonts w:ascii="仿宋" w:hAnsi="仿宋" w:eastAsia="仿宋"/>
          <w:color w:val="000000"/>
          <w:sz w:val="32"/>
          <w:u w:color="auto"/>
        </w:rPr>
        <w:t>万元，</w:t>
      </w:r>
      <w:r>
        <w:rPr>
          <w:rFonts w:hint="eastAsia" w:ascii="仿宋" w:hAnsi="仿宋" w:eastAsia="仿宋"/>
          <w:color w:val="000000"/>
          <w:sz w:val="32"/>
          <w:u w:color="auto"/>
          <w:lang w:val="en-US" w:eastAsia="zh-CN"/>
        </w:rPr>
        <w:t>减少5.51</w:t>
      </w:r>
      <w:r>
        <w:rPr>
          <w:rFonts w:ascii="仿宋" w:hAnsi="仿宋" w:eastAsia="仿宋"/>
          <w:color w:val="000000"/>
          <w:sz w:val="32"/>
          <w:u w:color="auto"/>
        </w:rPr>
        <w:t>%，财政拨款支出总计</w:t>
      </w:r>
      <w:r>
        <w:rPr>
          <w:rFonts w:hint="eastAsia" w:ascii="仿宋" w:hAnsi="仿宋" w:eastAsia="仿宋"/>
          <w:color w:val="000000"/>
          <w:sz w:val="32"/>
          <w:u w:color="auto"/>
          <w:lang w:val="en-US" w:eastAsia="zh-CN"/>
        </w:rPr>
        <w:t>减少37.68</w:t>
      </w:r>
      <w:r>
        <w:rPr>
          <w:rFonts w:ascii="仿宋" w:hAnsi="仿宋" w:eastAsia="仿宋"/>
          <w:color w:val="000000"/>
          <w:sz w:val="32"/>
          <w:u w:color="auto"/>
        </w:rPr>
        <w:t>万元，</w:t>
      </w:r>
      <w:r>
        <w:rPr>
          <w:rFonts w:hint="eastAsia" w:ascii="仿宋" w:hAnsi="仿宋" w:eastAsia="仿宋"/>
          <w:color w:val="000000"/>
          <w:sz w:val="32"/>
          <w:u w:color="auto"/>
          <w:lang w:val="en-US" w:eastAsia="zh-CN"/>
        </w:rPr>
        <w:t>减少5.51</w:t>
      </w:r>
      <w:r>
        <w:rPr>
          <w:rFonts w:ascii="仿宋" w:hAnsi="仿宋" w:eastAsia="仿宋"/>
          <w:color w:val="000000"/>
          <w:sz w:val="32"/>
          <w:u w:color="auto"/>
        </w:rPr>
        <w:t>%。</w:t>
      </w:r>
    </w:p>
    <w:p w14:paraId="57CC425E">
      <w:pPr>
        <w:pStyle w:val="5"/>
        <w:jc w:val="left"/>
        <w:rPr>
          <w:rFonts w:hint="eastAsia" w:ascii="仿宋_GB2312" w:hAnsi="仿宋" w:eastAsia="仿宋_GB2312"/>
          <w:color w:val="000000"/>
          <w:sz w:val="32"/>
          <w:szCs w:val="32"/>
        </w:rPr>
      </w:pPr>
      <w:r>
        <w:rPr>
          <w:rFonts w:hint="eastAsia" w:ascii="仿宋" w:hAnsi="仿宋" w:eastAsia="仿宋"/>
          <w:color w:val="000000"/>
          <w:sz w:val="32"/>
          <w:szCs w:val="32"/>
        </w:rPr>
        <w:t>主要变动原因是项目活动</w:t>
      </w:r>
      <w:r>
        <w:rPr>
          <w:rFonts w:hint="eastAsia" w:ascii="仿宋" w:hAnsi="仿宋" w:eastAsia="仿宋"/>
          <w:color w:val="000000"/>
          <w:sz w:val="32"/>
          <w:szCs w:val="32"/>
          <w:lang w:val="en-US" w:eastAsia="zh-CN"/>
        </w:rPr>
        <w:t>减少</w:t>
      </w:r>
      <w:r>
        <w:rPr>
          <w:rFonts w:hint="eastAsia" w:ascii="仿宋" w:hAnsi="仿宋" w:eastAsia="仿宋"/>
          <w:color w:val="000000"/>
          <w:sz w:val="32"/>
          <w:szCs w:val="32"/>
        </w:rPr>
        <w:t>。</w:t>
      </w:r>
      <w:r>
        <w:rPr>
          <w:rFonts w:hint="eastAsia" w:ascii="仿宋_GB2312" w:hAnsi="仿宋" w:eastAsia="仿宋_GB2312"/>
          <w:color w:val="000000"/>
          <w:sz w:val="32"/>
          <w:szCs w:val="32"/>
        </w:rPr>
        <w:drawing>
          <wp:inline distT="0" distB="0" distL="0" distR="0">
            <wp:extent cx="5062855" cy="3196590"/>
            <wp:effectExtent l="4445" t="4445" r="9525" b="8890"/>
            <wp:docPr id="12" name="图表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05613378">
      <w:pPr>
        <w:spacing w:line="600" w:lineRule="exact"/>
        <w:ind w:firstLine="640" w:firstLineChars="200"/>
        <w:jc w:val="center"/>
      </w:pPr>
      <w:r>
        <w:rPr>
          <w:rFonts w:hint="eastAsia" w:ascii="仿宋" w:hAnsi="仿宋" w:eastAsia="仿宋"/>
          <w:color w:val="000000"/>
          <w:sz w:val="32"/>
          <w:szCs w:val="32"/>
        </w:rPr>
        <w:t>（图4：财政拨款收、支决算总计变动情况）</w:t>
      </w:r>
    </w:p>
    <w:p w14:paraId="7C84C55C">
      <w:pPr>
        <w:pStyle w:val="3"/>
        <w:ind w:firstLine="643" w:firstLineChars="200"/>
        <w:rPr>
          <w:rFonts w:ascii="黑体" w:eastAsia="黑体" w:cs="Times New Roman"/>
          <w:bCs w:val="0"/>
          <w:color w:val="000000"/>
        </w:rPr>
      </w:pPr>
      <w:bookmarkStart w:id="42" w:name="_Toc15377209"/>
      <w:bookmarkStart w:id="43" w:name="_Toc14368"/>
      <w:bookmarkStart w:id="44" w:name="_Toc111208503"/>
      <w:r>
        <w:rPr>
          <w:rFonts w:hint="eastAsia" w:ascii="黑体" w:eastAsia="黑体" w:cs="Times New Roman"/>
          <w:bCs w:val="0"/>
          <w:color w:val="000000"/>
        </w:rPr>
        <w:t>五、一般公共预算财政拨款支出决算情况说</w:t>
      </w:r>
      <w:bookmarkEnd w:id="42"/>
      <w:r>
        <w:rPr>
          <w:rFonts w:hint="eastAsia" w:ascii="黑体" w:eastAsia="黑体" w:cs="Times New Roman"/>
          <w:bCs w:val="0"/>
          <w:color w:val="000000"/>
        </w:rPr>
        <w:t>明</w:t>
      </w:r>
      <w:bookmarkEnd w:id="43"/>
      <w:bookmarkEnd w:id="44"/>
    </w:p>
    <w:p w14:paraId="6E87A6F0">
      <w:pPr>
        <w:spacing w:line="600" w:lineRule="exact"/>
        <w:ind w:firstLine="643" w:firstLineChars="200"/>
        <w:outlineLvl w:val="2"/>
        <w:rPr>
          <w:rFonts w:ascii="仿宋" w:hAnsi="仿宋" w:eastAsia="仿宋"/>
          <w:b/>
          <w:color w:val="000000"/>
          <w:sz w:val="32"/>
          <w:szCs w:val="32"/>
        </w:rPr>
      </w:pPr>
      <w:bookmarkStart w:id="45" w:name="_Toc15377210"/>
      <w:r>
        <w:rPr>
          <w:rFonts w:hint="eastAsia" w:ascii="仿宋" w:hAnsi="仿宋" w:eastAsia="仿宋"/>
          <w:b/>
          <w:color w:val="000000"/>
          <w:sz w:val="32"/>
          <w:szCs w:val="32"/>
        </w:rPr>
        <w:t>（一）一般公共预算财政拨款支出决算总体情况</w:t>
      </w:r>
      <w:bookmarkEnd w:id="45"/>
    </w:p>
    <w:p w14:paraId="0D40A298">
      <w:pPr>
        <w:spacing w:line="600" w:lineRule="exact"/>
        <w:ind w:firstLine="640" w:firstLineChars="200"/>
        <w:rPr>
          <w:rFonts w:ascii="仿宋_GB2312" w:hAnsi="仿宋" w:eastAsia="仿宋_GB2312"/>
          <w:color w:val="000000"/>
          <w:sz w:val="32"/>
          <w:szCs w:val="32"/>
        </w:rPr>
      </w:pPr>
      <w:bookmarkStart w:id="46" w:name="_Toc15377211"/>
      <w:r>
        <w:rPr>
          <w:rFonts w:hint="eastAsia" w:ascii="仿宋" w:hAnsi="仿宋" w:eastAsia="仿宋"/>
          <w:color w:val="000000"/>
          <w:sz w:val="32"/>
          <w:szCs w:val="32"/>
        </w:rPr>
        <w:t>202</w:t>
      </w:r>
      <w:r>
        <w:rPr>
          <w:rFonts w:hint="eastAsia" w:ascii="仿宋" w:hAnsi="仿宋" w:eastAsia="仿宋"/>
          <w:color w:val="000000"/>
          <w:sz w:val="32"/>
          <w:szCs w:val="32"/>
          <w:lang w:val="en-US" w:eastAsia="zh-CN"/>
        </w:rPr>
        <w:t>5</w:t>
      </w:r>
      <w:r>
        <w:rPr>
          <w:rFonts w:ascii="仿宋" w:hAnsi="仿宋" w:eastAsia="仿宋"/>
          <w:color w:val="000000"/>
          <w:sz w:val="32"/>
          <w:u w:color="auto"/>
        </w:rPr>
        <w:t>年一般公共预算财政拨款支出</w:t>
      </w:r>
      <w:r>
        <w:rPr>
          <w:rFonts w:hint="eastAsia" w:ascii="仿宋" w:hAnsi="仿宋" w:eastAsia="仿宋"/>
          <w:color w:val="000000"/>
          <w:sz w:val="32"/>
          <w:u w:color="auto"/>
          <w:lang w:val="en-US" w:eastAsia="zh-CN"/>
        </w:rPr>
        <w:t>646.01</w:t>
      </w:r>
      <w:r>
        <w:rPr>
          <w:rFonts w:hint="eastAsia" w:ascii="仿宋" w:hAnsi="仿宋" w:eastAsia="仿宋"/>
          <w:color w:val="000000"/>
          <w:sz w:val="32"/>
          <w:szCs w:val="32"/>
        </w:rPr>
        <w:t>万元，占本年支出合计的</w:t>
      </w:r>
      <w:r>
        <w:rPr>
          <w:rFonts w:ascii="仿宋" w:hAnsi="仿宋" w:eastAsia="仿宋"/>
          <w:color w:val="000000"/>
          <w:sz w:val="32"/>
          <w:u w:color="auto"/>
        </w:rPr>
        <w:t>100.00</w:t>
      </w:r>
      <w:r>
        <w:rPr>
          <w:rFonts w:hint="eastAsia" w:ascii="仿宋" w:hAnsi="仿宋" w:eastAsia="仿宋"/>
          <w:color w:val="000000"/>
          <w:sz w:val="32"/>
          <w:szCs w:val="32"/>
        </w:rPr>
        <w:t>%。与</w:t>
      </w:r>
      <w:r>
        <w:rPr>
          <w:rFonts w:ascii="仿宋" w:hAnsi="仿宋" w:eastAsia="仿宋"/>
          <w:color w:val="000000"/>
          <w:sz w:val="32"/>
          <w:u w:color="auto"/>
        </w:rPr>
        <w:t>202</w:t>
      </w:r>
      <w:r>
        <w:rPr>
          <w:rFonts w:hint="eastAsia" w:ascii="仿宋" w:hAnsi="仿宋" w:eastAsia="仿宋"/>
          <w:color w:val="000000"/>
          <w:sz w:val="32"/>
          <w:u w:color="auto"/>
          <w:lang w:val="en-US" w:eastAsia="zh-CN"/>
        </w:rPr>
        <w:t>4</w:t>
      </w:r>
      <w:r>
        <w:rPr>
          <w:rFonts w:ascii="仿宋" w:hAnsi="仿宋" w:eastAsia="仿宋"/>
          <w:color w:val="000000"/>
          <w:sz w:val="32"/>
          <w:u w:color="auto"/>
        </w:rPr>
        <w:t>相比，一般公共预算财政拨款</w:t>
      </w:r>
      <w:r>
        <w:rPr>
          <w:rFonts w:hint="eastAsia" w:ascii="仿宋" w:hAnsi="仿宋" w:eastAsia="仿宋"/>
          <w:color w:val="000000"/>
          <w:sz w:val="32"/>
          <w:u w:color="auto"/>
          <w:lang w:val="en-US" w:eastAsia="zh-CN"/>
        </w:rPr>
        <w:t>减少37.68</w:t>
      </w:r>
      <w:r>
        <w:rPr>
          <w:rFonts w:hint="eastAsia" w:ascii="仿宋" w:hAnsi="仿宋" w:eastAsia="仿宋"/>
          <w:color w:val="000000"/>
          <w:sz w:val="32"/>
          <w:szCs w:val="32"/>
        </w:rPr>
        <w:t>万元，</w:t>
      </w:r>
      <w:r>
        <w:rPr>
          <w:rFonts w:hint="eastAsia" w:ascii="仿宋" w:hAnsi="仿宋" w:eastAsia="仿宋"/>
          <w:color w:val="000000"/>
          <w:sz w:val="32"/>
          <w:u w:color="auto"/>
          <w:lang w:val="en-US" w:eastAsia="zh-CN"/>
        </w:rPr>
        <w:t>减少5.51</w:t>
      </w:r>
      <w:r>
        <w:rPr>
          <w:rFonts w:hint="eastAsia" w:ascii="仿宋" w:hAnsi="仿宋" w:eastAsia="仿宋"/>
          <w:color w:val="000000"/>
          <w:sz w:val="32"/>
          <w:szCs w:val="32"/>
        </w:rPr>
        <w:t xml:space="preserve"> %。</w:t>
      </w:r>
      <w:r>
        <w:rPr>
          <w:rFonts w:ascii="仿宋" w:hAnsi="仿宋" w:eastAsia="仿宋"/>
          <w:color w:val="000000"/>
          <w:sz w:val="32"/>
          <w:u w:color="auto"/>
        </w:rPr>
        <w:t>主要变动原因是项目活动</w:t>
      </w:r>
      <w:r>
        <w:rPr>
          <w:rFonts w:hint="eastAsia" w:ascii="仿宋" w:hAnsi="仿宋" w:eastAsia="仿宋"/>
          <w:color w:val="000000"/>
          <w:sz w:val="32"/>
          <w:u w:color="auto"/>
          <w:lang w:val="en-US" w:eastAsia="zh-CN"/>
        </w:rPr>
        <w:t>减少</w:t>
      </w:r>
      <w:r>
        <w:rPr>
          <w:rFonts w:ascii="仿宋" w:hAnsi="仿宋" w:eastAsia="仿宋"/>
          <w:color w:val="000000"/>
          <w:sz w:val="32"/>
          <w:u w:color="auto"/>
        </w:rPr>
        <w:t>。</w:t>
      </w:r>
    </w:p>
    <w:p w14:paraId="5A79EB88">
      <w:pPr>
        <w:pStyle w:val="5"/>
        <w:ind w:firstLine="0"/>
        <w:rPr>
          <w:rFonts w:ascii="仿宋_GB2312" w:hAnsi="仿宋" w:eastAsia="仿宋_GB2312"/>
          <w:b/>
          <w:color w:val="000000"/>
          <w:sz w:val="32"/>
          <w:szCs w:val="32"/>
        </w:rPr>
      </w:pPr>
      <w:r>
        <w:rPr>
          <w:rFonts w:hint="eastAsia" w:ascii="仿宋_GB2312" w:hAnsi="仿宋" w:eastAsia="仿宋_GB2312"/>
          <w:b/>
          <w:color w:val="000000"/>
          <w:sz w:val="32"/>
          <w:szCs w:val="32"/>
        </w:rPr>
        <w:drawing>
          <wp:inline distT="0" distB="0" distL="0" distR="0">
            <wp:extent cx="4905375" cy="3569970"/>
            <wp:effectExtent l="0" t="0" r="9525" b="11430"/>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2E253AE">
      <w:pPr>
        <w:spacing w:line="600" w:lineRule="exact"/>
        <w:ind w:firstLine="640" w:firstLineChars="200"/>
        <w:rPr>
          <w:rFonts w:hint="eastAsia" w:ascii="仿宋" w:hAnsi="仿宋" w:eastAsia="仿宋"/>
          <w:b/>
          <w:color w:val="000000"/>
          <w:sz w:val="32"/>
          <w:szCs w:val="32"/>
        </w:rPr>
      </w:pPr>
      <w:r>
        <w:rPr>
          <w:rFonts w:hint="eastAsia" w:ascii="仿宋" w:hAnsi="仿宋" w:eastAsia="仿宋"/>
          <w:color w:val="000000"/>
          <w:sz w:val="32"/>
          <w:szCs w:val="32"/>
        </w:rPr>
        <w:t>（图5：一般公共预算财政拨款支出决算变动情况）</w:t>
      </w:r>
    </w:p>
    <w:p w14:paraId="2F553C08">
      <w:pPr>
        <w:spacing w:line="600" w:lineRule="exact"/>
        <w:ind w:firstLine="643" w:firstLineChars="200"/>
        <w:outlineLvl w:val="2"/>
        <w:rPr>
          <w:rFonts w:ascii="仿宋" w:hAnsi="仿宋" w:eastAsia="仿宋"/>
          <w:b/>
          <w:color w:val="000000"/>
          <w:sz w:val="32"/>
          <w:szCs w:val="32"/>
        </w:rPr>
      </w:pPr>
      <w:r>
        <w:rPr>
          <w:rFonts w:hint="eastAsia" w:ascii="仿宋" w:hAnsi="仿宋" w:eastAsia="仿宋"/>
          <w:b/>
          <w:color w:val="000000"/>
          <w:sz w:val="32"/>
          <w:szCs w:val="32"/>
        </w:rPr>
        <w:t>（二）一般公共预算财政拨款支出决算结构情况</w:t>
      </w:r>
      <w:bookmarkEnd w:id="46"/>
      <w:r>
        <w:rPr>
          <w:rFonts w:hint="eastAsia" w:ascii="仿宋" w:hAnsi="仿宋" w:eastAsia="仿宋"/>
          <w:b/>
          <w:color w:val="000000"/>
          <w:sz w:val="32"/>
          <w:szCs w:val="32"/>
        </w:rPr>
        <w:t>（一般公共预算收支表）</w:t>
      </w:r>
    </w:p>
    <w:p w14:paraId="6A1BC10D">
      <w:pPr>
        <w:spacing w:line="600" w:lineRule="exact"/>
        <w:ind w:firstLine="640" w:firstLineChars="200"/>
        <w:rPr>
          <w:rFonts w:ascii="仿宋_GB2312" w:hAnsi="仿宋" w:eastAsia="仿宋_GB2312"/>
          <w:color w:val="000000" w:themeColor="text1"/>
          <w:sz w:val="32"/>
          <w:szCs w:val="32"/>
          <w14:textFill>
            <w14:solidFill>
              <w14:schemeClr w14:val="tx1"/>
            </w14:solidFill>
          </w14:textFill>
        </w:rPr>
      </w:pPr>
      <w:r>
        <w:rPr>
          <w:rFonts w:hint="eastAsia" w:ascii="仿宋" w:hAnsi="仿宋" w:eastAsia="仿宋"/>
          <w:color w:val="000000"/>
          <w:sz w:val="32"/>
          <w:szCs w:val="32"/>
        </w:rPr>
        <w:t>202</w:t>
      </w:r>
      <w:r>
        <w:rPr>
          <w:rFonts w:hint="eastAsia" w:ascii="仿宋" w:hAnsi="仿宋" w:eastAsia="仿宋"/>
          <w:color w:val="000000"/>
          <w:sz w:val="32"/>
          <w:szCs w:val="32"/>
          <w:lang w:val="en-US" w:eastAsia="zh-CN"/>
        </w:rPr>
        <w:t>5</w:t>
      </w:r>
      <w:r>
        <w:rPr>
          <w:rFonts w:ascii="仿宋" w:hAnsi="仿宋" w:eastAsia="仿宋"/>
          <w:color w:val="000000"/>
          <w:sz w:val="32"/>
          <w:u w:color="auto"/>
        </w:rPr>
        <w:t>年一般公共预算财政拨款支出</w:t>
      </w:r>
      <w:r>
        <w:rPr>
          <w:rFonts w:hint="eastAsia" w:ascii="仿宋" w:hAnsi="仿宋" w:eastAsia="仿宋"/>
          <w:color w:val="000000"/>
          <w:sz w:val="32"/>
          <w:u w:color="auto"/>
          <w:lang w:val="en-US" w:eastAsia="zh-CN"/>
        </w:rPr>
        <w:t>646.01</w:t>
      </w:r>
      <w:r>
        <w:rPr>
          <w:rFonts w:hint="eastAsia" w:ascii="仿宋" w:hAnsi="仿宋" w:eastAsia="仿宋"/>
          <w:color w:val="000000"/>
          <w:sz w:val="32"/>
          <w:szCs w:val="32"/>
        </w:rPr>
        <w:t xml:space="preserve">万元，主要用于以下方面: </w:t>
      </w:r>
      <w:r>
        <w:rPr>
          <w:rFonts w:ascii="仿宋" w:hAnsi="仿宋" w:eastAsia="仿宋"/>
          <w:color w:val="000000"/>
          <w:sz w:val="32"/>
          <w:u w:color="auto"/>
        </w:rPr>
        <w:t>一般公共服务支出</w:t>
      </w:r>
      <w:r>
        <w:rPr>
          <w:rFonts w:hint="eastAsia" w:ascii="仿宋" w:hAnsi="仿宋" w:eastAsia="仿宋"/>
          <w:color w:val="000000"/>
          <w:sz w:val="32"/>
          <w:u w:color="auto"/>
          <w:lang w:val="en-US" w:eastAsia="zh-CN"/>
        </w:rPr>
        <w:t>586.86</w:t>
      </w:r>
      <w:r>
        <w:rPr>
          <w:rFonts w:ascii="仿宋" w:hAnsi="仿宋" w:eastAsia="仿宋"/>
          <w:color w:val="000000"/>
          <w:sz w:val="32"/>
          <w:u w:color="auto"/>
        </w:rPr>
        <w:t>万元，占</w:t>
      </w:r>
      <w:r>
        <w:rPr>
          <w:rFonts w:hint="eastAsia" w:ascii="仿宋" w:hAnsi="仿宋" w:eastAsia="仿宋"/>
          <w:color w:val="000000"/>
          <w:sz w:val="32"/>
          <w:u w:color="auto"/>
          <w:lang w:val="en-US" w:eastAsia="zh-CN"/>
        </w:rPr>
        <w:t>90.84</w:t>
      </w:r>
      <w:r>
        <w:rPr>
          <w:rFonts w:ascii="仿宋" w:hAnsi="仿宋" w:eastAsia="仿宋"/>
          <w:color w:val="000000"/>
          <w:sz w:val="32"/>
          <w:u w:color="auto"/>
        </w:rPr>
        <w:t>%；社会保障和就业支出</w:t>
      </w:r>
      <w:r>
        <w:rPr>
          <w:rFonts w:hint="eastAsia" w:ascii="仿宋" w:hAnsi="仿宋" w:eastAsia="仿宋"/>
          <w:color w:val="000000"/>
          <w:sz w:val="32"/>
          <w:u w:color="auto"/>
          <w:lang w:val="en-US" w:eastAsia="zh-CN"/>
        </w:rPr>
        <w:t>31.88</w:t>
      </w:r>
      <w:r>
        <w:rPr>
          <w:rFonts w:ascii="仿宋" w:hAnsi="仿宋" w:eastAsia="仿宋"/>
          <w:color w:val="000000"/>
          <w:sz w:val="32"/>
          <w:u w:color="auto"/>
        </w:rPr>
        <w:t>万元，占</w:t>
      </w:r>
      <w:r>
        <w:rPr>
          <w:rFonts w:hint="eastAsia" w:ascii="仿宋" w:hAnsi="仿宋" w:eastAsia="仿宋"/>
          <w:color w:val="000000"/>
          <w:sz w:val="32"/>
          <w:u w:color="auto"/>
          <w:lang w:val="en-US" w:eastAsia="zh-CN"/>
        </w:rPr>
        <w:t>4.93</w:t>
      </w:r>
      <w:r>
        <w:rPr>
          <w:rFonts w:ascii="仿宋" w:hAnsi="仿宋" w:eastAsia="仿宋"/>
          <w:color w:val="000000"/>
          <w:sz w:val="32"/>
          <w:u w:color="auto"/>
        </w:rPr>
        <w:t>%；卫生健康支出</w:t>
      </w:r>
      <w:r>
        <w:rPr>
          <w:rFonts w:hint="eastAsia" w:ascii="仿宋" w:hAnsi="仿宋" w:eastAsia="仿宋"/>
          <w:color w:val="000000"/>
          <w:sz w:val="32"/>
          <w:u w:color="auto"/>
          <w:lang w:val="en-US" w:eastAsia="zh-CN"/>
        </w:rPr>
        <w:t>11.12</w:t>
      </w:r>
      <w:r>
        <w:rPr>
          <w:rFonts w:ascii="仿宋" w:hAnsi="仿宋" w:eastAsia="仿宋"/>
          <w:color w:val="000000"/>
          <w:sz w:val="32"/>
          <w:u w:color="auto"/>
        </w:rPr>
        <w:t>万元，占</w:t>
      </w:r>
      <w:r>
        <w:rPr>
          <w:rFonts w:hint="eastAsia" w:ascii="仿宋" w:hAnsi="仿宋" w:eastAsia="仿宋"/>
          <w:color w:val="000000"/>
          <w:sz w:val="32"/>
          <w:u w:color="auto"/>
          <w:lang w:val="en-US" w:eastAsia="zh-CN"/>
        </w:rPr>
        <w:t>1.72</w:t>
      </w:r>
      <w:r>
        <w:rPr>
          <w:rFonts w:ascii="仿宋" w:hAnsi="仿宋" w:eastAsia="仿宋"/>
          <w:color w:val="000000"/>
          <w:sz w:val="32"/>
          <w:u w:color="auto"/>
        </w:rPr>
        <w:t>%；住房保障支出</w:t>
      </w:r>
      <w:r>
        <w:rPr>
          <w:rFonts w:hint="eastAsia" w:ascii="仿宋" w:hAnsi="仿宋" w:eastAsia="仿宋"/>
          <w:color w:val="000000"/>
          <w:sz w:val="32"/>
          <w:u w:color="auto"/>
          <w:lang w:val="en-US" w:eastAsia="zh-CN"/>
        </w:rPr>
        <w:t>16.15</w:t>
      </w:r>
      <w:r>
        <w:rPr>
          <w:rFonts w:ascii="仿宋" w:hAnsi="仿宋" w:eastAsia="仿宋"/>
          <w:color w:val="000000"/>
          <w:sz w:val="32"/>
          <w:u w:color="auto"/>
        </w:rPr>
        <w:t>万元，占</w:t>
      </w:r>
      <w:r>
        <w:rPr>
          <w:rFonts w:hint="eastAsia" w:ascii="仿宋" w:hAnsi="仿宋" w:eastAsia="仿宋"/>
          <w:color w:val="000000"/>
          <w:sz w:val="32"/>
          <w:u w:color="auto"/>
          <w:lang w:val="en-US" w:eastAsia="zh-CN"/>
        </w:rPr>
        <w:t>2.51</w:t>
      </w:r>
      <w:r>
        <w:rPr>
          <w:rFonts w:ascii="仿宋" w:hAnsi="仿宋" w:eastAsia="仿宋"/>
          <w:color w:val="000000"/>
          <w:sz w:val="32"/>
          <w:u w:color="auto"/>
        </w:rPr>
        <w:t>%。</w:t>
      </w:r>
    </w:p>
    <w:p w14:paraId="5E294E32">
      <w:pPr>
        <w:pStyle w:val="5"/>
      </w:pPr>
      <w:bookmarkStart w:id="47" w:name="_Toc15377212"/>
    </w:p>
    <w:p w14:paraId="10E848C9">
      <w:pPr>
        <w:pStyle w:val="5"/>
        <w:rPr>
          <w:rFonts w:hint="eastAsia" w:eastAsia="宋体"/>
          <w:lang w:eastAsia="zh-CN"/>
        </w:rPr>
      </w:pPr>
    </w:p>
    <w:p w14:paraId="4F890D56">
      <w:pPr>
        <w:pStyle w:val="5"/>
      </w:pPr>
    </w:p>
    <w:p w14:paraId="27823687">
      <w:pPr>
        <w:spacing w:line="600" w:lineRule="exact"/>
        <w:ind w:firstLine="640" w:firstLineChars="200"/>
        <w:jc w:val="center"/>
        <w:rPr>
          <w:rFonts w:hint="eastAsia" w:ascii="仿宋" w:hAnsi="仿宋" w:eastAsia="仿宋"/>
          <w:color w:val="000000"/>
          <w:sz w:val="32"/>
          <w:szCs w:val="32"/>
        </w:rPr>
      </w:pPr>
    </w:p>
    <w:p w14:paraId="6069394A">
      <w:pPr>
        <w:spacing w:line="600" w:lineRule="exact"/>
        <w:ind w:firstLine="640" w:firstLineChars="200"/>
        <w:jc w:val="center"/>
        <w:rPr>
          <w:rFonts w:hint="eastAsia" w:ascii="仿宋" w:hAnsi="仿宋" w:eastAsia="仿宋"/>
          <w:color w:val="000000"/>
          <w:sz w:val="32"/>
          <w:szCs w:val="32"/>
        </w:rPr>
      </w:pPr>
    </w:p>
    <w:p w14:paraId="66E8B7BB">
      <w:pPr>
        <w:spacing w:line="600" w:lineRule="exact"/>
        <w:ind w:firstLine="420" w:firstLineChars="200"/>
        <w:jc w:val="center"/>
        <w:rPr>
          <w:rFonts w:hint="eastAsia" w:ascii="仿宋" w:hAnsi="仿宋" w:eastAsia="仿宋"/>
          <w:color w:val="000000"/>
          <w:sz w:val="32"/>
          <w:szCs w:val="32"/>
        </w:rPr>
      </w:pPr>
      <w:r>
        <w:rPr>
          <w:rFonts w:hint="eastAsia" w:eastAsiaTheme="minorEastAsia"/>
          <w:lang w:eastAsia="zh-CN"/>
        </w:rPr>
        <w:drawing>
          <wp:anchor distT="0" distB="0" distL="114300" distR="114300" simplePos="0" relativeHeight="251659264" behindDoc="0" locked="0" layoutInCell="1" allowOverlap="1">
            <wp:simplePos x="0" y="0"/>
            <wp:positionH relativeFrom="column">
              <wp:posOffset>680085</wp:posOffset>
            </wp:positionH>
            <wp:positionV relativeFrom="paragraph">
              <wp:posOffset>129540</wp:posOffset>
            </wp:positionV>
            <wp:extent cx="4959350" cy="3486150"/>
            <wp:effectExtent l="4445" t="4445" r="8255" b="5080"/>
            <wp:wrapSquare wrapText="bothSides"/>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14:paraId="3FAEA301">
      <w:pPr>
        <w:pStyle w:val="5"/>
        <w:rPr>
          <w:rFonts w:hint="eastAsia" w:ascii="仿宋" w:hAnsi="仿宋" w:eastAsia="仿宋"/>
          <w:color w:val="000000"/>
          <w:sz w:val="32"/>
          <w:szCs w:val="32"/>
        </w:rPr>
      </w:pPr>
    </w:p>
    <w:p w14:paraId="771F7BA8">
      <w:pPr>
        <w:pStyle w:val="5"/>
        <w:rPr>
          <w:rFonts w:hint="eastAsia" w:ascii="仿宋" w:hAnsi="仿宋" w:eastAsia="仿宋"/>
          <w:color w:val="000000"/>
          <w:sz w:val="32"/>
          <w:szCs w:val="32"/>
        </w:rPr>
      </w:pPr>
    </w:p>
    <w:p w14:paraId="6805F88F">
      <w:pPr>
        <w:pStyle w:val="5"/>
        <w:rPr>
          <w:rFonts w:hint="eastAsia" w:ascii="仿宋" w:hAnsi="仿宋" w:eastAsia="仿宋"/>
          <w:color w:val="000000"/>
          <w:sz w:val="32"/>
          <w:szCs w:val="32"/>
        </w:rPr>
      </w:pPr>
    </w:p>
    <w:p w14:paraId="4C0DA789">
      <w:pPr>
        <w:pStyle w:val="5"/>
        <w:rPr>
          <w:rFonts w:hint="eastAsia" w:ascii="仿宋" w:hAnsi="仿宋" w:eastAsia="仿宋"/>
          <w:color w:val="000000"/>
          <w:sz w:val="32"/>
          <w:szCs w:val="32"/>
        </w:rPr>
      </w:pPr>
    </w:p>
    <w:p w14:paraId="04382209">
      <w:pPr>
        <w:pStyle w:val="5"/>
        <w:rPr>
          <w:rFonts w:hint="eastAsia" w:ascii="仿宋" w:hAnsi="仿宋" w:eastAsia="仿宋"/>
          <w:color w:val="000000"/>
          <w:sz w:val="32"/>
          <w:szCs w:val="32"/>
        </w:rPr>
      </w:pPr>
    </w:p>
    <w:p w14:paraId="1910866D">
      <w:pPr>
        <w:spacing w:line="600" w:lineRule="exact"/>
        <w:ind w:firstLine="640" w:firstLineChars="200"/>
        <w:jc w:val="center"/>
        <w:rPr>
          <w:rFonts w:hint="eastAsia" w:ascii="仿宋" w:hAnsi="仿宋" w:eastAsia="仿宋"/>
          <w:color w:val="000000"/>
          <w:sz w:val="32"/>
          <w:szCs w:val="32"/>
        </w:rPr>
      </w:pPr>
    </w:p>
    <w:p w14:paraId="49701573">
      <w:pPr>
        <w:spacing w:line="600" w:lineRule="exact"/>
        <w:ind w:firstLine="640" w:firstLineChars="200"/>
        <w:jc w:val="center"/>
        <w:rPr>
          <w:rFonts w:hint="eastAsia" w:ascii="仿宋" w:hAnsi="仿宋" w:eastAsia="仿宋"/>
          <w:color w:val="000000"/>
          <w:sz w:val="32"/>
          <w:szCs w:val="32"/>
        </w:rPr>
      </w:pPr>
    </w:p>
    <w:p w14:paraId="720FC560">
      <w:pPr>
        <w:spacing w:line="600" w:lineRule="exact"/>
        <w:ind w:firstLine="640" w:firstLineChars="200"/>
        <w:jc w:val="center"/>
        <w:rPr>
          <w:rFonts w:hint="eastAsia" w:ascii="仿宋" w:hAnsi="仿宋" w:eastAsia="仿宋"/>
          <w:color w:val="000000"/>
          <w:sz w:val="32"/>
          <w:szCs w:val="32"/>
        </w:rPr>
      </w:pPr>
    </w:p>
    <w:p w14:paraId="47C96F7A">
      <w:pPr>
        <w:pStyle w:val="5"/>
        <w:ind w:left="0" w:leftChars="0" w:firstLine="0" w:firstLineChars="0"/>
        <w:rPr>
          <w:rFonts w:hint="eastAsia" w:ascii="仿宋" w:hAnsi="仿宋" w:eastAsia="仿宋"/>
          <w:color w:val="000000"/>
          <w:sz w:val="32"/>
          <w:szCs w:val="32"/>
        </w:rPr>
      </w:pPr>
    </w:p>
    <w:p w14:paraId="009E9012">
      <w:pPr>
        <w:spacing w:line="600" w:lineRule="exact"/>
        <w:ind w:firstLine="640" w:firstLineChars="200"/>
        <w:jc w:val="center"/>
        <w:rPr>
          <w:rFonts w:ascii="仿宋" w:hAnsi="仿宋" w:eastAsia="仿宋"/>
          <w:color w:val="000000"/>
          <w:sz w:val="32"/>
          <w:szCs w:val="32"/>
        </w:rPr>
      </w:pPr>
      <w:r>
        <w:rPr>
          <w:rFonts w:hint="eastAsia" w:ascii="仿宋" w:hAnsi="仿宋" w:eastAsia="仿宋"/>
          <w:color w:val="000000"/>
          <w:sz w:val="32"/>
          <w:szCs w:val="32"/>
        </w:rPr>
        <w:t>（图6：一般公共预算财政拨款支出决算结构）</w:t>
      </w:r>
    </w:p>
    <w:p w14:paraId="2D1F973A">
      <w:pPr>
        <w:pStyle w:val="5"/>
      </w:pPr>
    </w:p>
    <w:p w14:paraId="6005FD23">
      <w:pPr>
        <w:spacing w:line="600" w:lineRule="exact"/>
        <w:ind w:firstLine="643" w:firstLineChars="200"/>
        <w:outlineLvl w:val="2"/>
        <w:rPr>
          <w:rFonts w:ascii="仿宋" w:hAnsi="仿宋" w:eastAsia="仿宋"/>
          <w:b/>
          <w:color w:val="000000"/>
          <w:sz w:val="32"/>
          <w:szCs w:val="32"/>
        </w:rPr>
      </w:pPr>
      <w:r>
        <w:rPr>
          <w:rFonts w:hint="eastAsia" w:ascii="仿宋" w:hAnsi="仿宋" w:eastAsia="仿宋"/>
          <w:b/>
          <w:color w:val="000000"/>
          <w:sz w:val="32"/>
          <w:szCs w:val="32"/>
        </w:rPr>
        <w:t>（三）一般公共预算财政拨款支出决算具体情况</w:t>
      </w:r>
      <w:bookmarkEnd w:id="47"/>
    </w:p>
    <w:p w14:paraId="6FBC0B26">
      <w:pPr>
        <w:spacing w:line="600" w:lineRule="exact"/>
        <w:ind w:firstLine="640"/>
      </w:pPr>
      <w:bookmarkStart w:id="48" w:name="_Toc15378460"/>
      <w:bookmarkStart w:id="49" w:name="_Toc15377213"/>
      <w:bookmarkStart w:id="50" w:name="_Toc15377444"/>
      <w:r>
        <w:rPr>
          <w:rFonts w:hint="eastAsia" w:ascii="仿宋" w:hAnsi="仿宋" w:eastAsia="仿宋"/>
          <w:color w:val="000000"/>
          <w:sz w:val="32"/>
          <w:szCs w:val="32"/>
        </w:rPr>
        <w:t>202</w:t>
      </w:r>
      <w:r>
        <w:rPr>
          <w:rFonts w:hint="eastAsia" w:ascii="仿宋" w:hAnsi="仿宋" w:eastAsia="仿宋"/>
          <w:color w:val="000000"/>
          <w:sz w:val="32"/>
          <w:szCs w:val="32"/>
          <w:lang w:val="en-US" w:eastAsia="zh-CN"/>
        </w:rPr>
        <w:t>5</w:t>
      </w:r>
      <w:r>
        <w:rPr>
          <w:rFonts w:ascii="仿宋" w:hAnsi="仿宋" w:eastAsia="仿宋"/>
          <w:color w:val="000000"/>
          <w:sz w:val="32"/>
          <w:u w:color="auto"/>
        </w:rPr>
        <w:t>年一般公共预算支出决算数为</w:t>
      </w:r>
      <w:r>
        <w:rPr>
          <w:rFonts w:hint="eastAsia" w:ascii="仿宋" w:hAnsi="仿宋" w:eastAsia="仿宋"/>
          <w:color w:val="000000"/>
          <w:sz w:val="32"/>
          <w:u w:color="auto"/>
          <w:lang w:val="en-US" w:eastAsia="zh-CN"/>
        </w:rPr>
        <w:t>646.01</w:t>
      </w:r>
      <w:r>
        <w:rPr>
          <w:rFonts w:hint="eastAsia" w:ascii="仿宋" w:hAnsi="仿宋" w:eastAsia="仿宋"/>
          <w:color w:val="000000"/>
          <w:sz w:val="32"/>
          <w:szCs w:val="32"/>
        </w:rPr>
        <w:t>万元，完成预算100%。其中：</w:t>
      </w:r>
      <w:bookmarkEnd w:id="48"/>
      <w:bookmarkEnd w:id="49"/>
      <w:bookmarkEnd w:id="50"/>
    </w:p>
    <w:p w14:paraId="0B56D101">
      <w:pPr>
        <w:spacing w:line="600" w:lineRule="exact"/>
        <w:ind w:firstLine="640"/>
        <w:rPr>
          <w:rFonts w:hint="eastAsia" w:ascii="仿宋" w:hAnsi="仿宋" w:eastAsia="仿宋"/>
          <w:color w:val="000000"/>
          <w:sz w:val="32"/>
          <w:szCs w:val="32"/>
        </w:rPr>
      </w:pPr>
      <w:r>
        <w:rPr>
          <w:rFonts w:hint="eastAsia" w:ascii="仿宋" w:hAnsi="仿宋" w:eastAsia="仿宋"/>
          <w:color w:val="000000"/>
          <w:sz w:val="32"/>
          <w:szCs w:val="32"/>
          <w:lang w:val="en-US" w:eastAsia="zh-CN"/>
        </w:rPr>
        <w:t>1</w:t>
      </w:r>
      <w:r>
        <w:rPr>
          <w:rFonts w:hint="eastAsia" w:ascii="仿宋" w:hAnsi="仿宋" w:eastAsia="仿宋"/>
          <w:color w:val="000000"/>
          <w:sz w:val="32"/>
          <w:szCs w:val="32"/>
        </w:rPr>
        <w:t>.一般公共服务支出（201）政府办公厅（室）及相关机构事务（20103）事业运行（2010350）支出决算</w:t>
      </w:r>
      <w:r>
        <w:rPr>
          <w:rFonts w:hint="eastAsia" w:ascii="仿宋" w:hAnsi="仿宋" w:eastAsia="仿宋"/>
          <w:color w:val="000000"/>
          <w:sz w:val="32"/>
          <w:szCs w:val="32"/>
          <w:lang w:val="en-US" w:eastAsia="zh-CN"/>
        </w:rPr>
        <w:t>216.39</w:t>
      </w:r>
      <w:r>
        <w:rPr>
          <w:rFonts w:hint="eastAsia" w:ascii="仿宋" w:hAnsi="仿宋" w:eastAsia="仿宋"/>
          <w:color w:val="000000"/>
          <w:sz w:val="32"/>
          <w:szCs w:val="32"/>
        </w:rPr>
        <w:t>万元，完成预算100%。</w:t>
      </w:r>
      <w:r>
        <w:rPr>
          <w:rFonts w:hint="eastAsia" w:ascii="仿宋" w:hAnsi="仿宋" w:eastAsia="仿宋"/>
          <w:color w:val="000000"/>
          <w:sz w:val="32"/>
          <w:szCs w:val="32"/>
        </w:rPr>
        <w:cr/>
      </w:r>
      <w:r>
        <w:rPr>
          <w:rFonts w:hint="eastAsia" w:ascii="仿宋" w:hAnsi="仿宋" w:eastAsia="仿宋"/>
          <w:color w:val="000000"/>
          <w:sz w:val="32"/>
          <w:szCs w:val="32"/>
        </w:rPr>
        <w:t xml:space="preserve">    </w:t>
      </w:r>
      <w:r>
        <w:rPr>
          <w:rFonts w:hint="eastAsia" w:ascii="仿宋" w:hAnsi="仿宋" w:eastAsia="仿宋"/>
          <w:color w:val="000000"/>
          <w:sz w:val="32"/>
          <w:szCs w:val="32"/>
          <w:lang w:val="en-US" w:eastAsia="zh-CN"/>
        </w:rPr>
        <w:t>2</w:t>
      </w:r>
      <w:r>
        <w:rPr>
          <w:rFonts w:hint="eastAsia" w:ascii="仿宋" w:hAnsi="仿宋" w:eastAsia="仿宋"/>
          <w:color w:val="000000"/>
          <w:sz w:val="32"/>
          <w:szCs w:val="32"/>
        </w:rPr>
        <w:t>.一般公共服务支出（201）政府办公厅（室）及相关机构事务（20103）其他政府办公厅（室）及相关机构事务支出（2010399）支出决算</w:t>
      </w:r>
      <w:r>
        <w:rPr>
          <w:rFonts w:hint="eastAsia" w:ascii="仿宋" w:hAnsi="仿宋" w:eastAsia="仿宋"/>
          <w:color w:val="000000"/>
          <w:sz w:val="32"/>
          <w:szCs w:val="32"/>
          <w:lang w:val="en-US" w:eastAsia="zh-CN"/>
        </w:rPr>
        <w:t>370.48</w:t>
      </w:r>
      <w:r>
        <w:rPr>
          <w:rFonts w:hint="eastAsia" w:ascii="仿宋" w:hAnsi="仿宋" w:eastAsia="仿宋"/>
          <w:color w:val="000000"/>
          <w:sz w:val="32"/>
          <w:szCs w:val="32"/>
        </w:rPr>
        <w:t>万元，完成预算100%。</w:t>
      </w:r>
    </w:p>
    <w:p w14:paraId="4FCA5487">
      <w:pPr>
        <w:spacing w:line="600" w:lineRule="exact"/>
        <w:rPr>
          <w:rFonts w:ascii="仿宋" w:hAnsi="仿宋" w:eastAsia="仿宋"/>
          <w:color w:val="000000"/>
          <w:sz w:val="32"/>
          <w:szCs w:val="32"/>
        </w:rPr>
      </w:pPr>
      <w:r>
        <w:rPr>
          <w:rFonts w:hint="eastAsia" w:ascii="仿宋" w:hAnsi="仿宋" w:eastAsia="仿宋"/>
          <w:color w:val="000000"/>
          <w:sz w:val="32"/>
          <w:szCs w:val="32"/>
        </w:rPr>
        <w:t xml:space="preserve">    </w:t>
      </w:r>
      <w:r>
        <w:rPr>
          <w:rFonts w:hint="eastAsia" w:ascii="仿宋" w:hAnsi="仿宋" w:eastAsia="仿宋"/>
          <w:color w:val="000000"/>
          <w:sz w:val="32"/>
          <w:szCs w:val="32"/>
          <w:lang w:val="en-US" w:eastAsia="zh-CN"/>
        </w:rPr>
        <w:t>3</w:t>
      </w:r>
      <w:r>
        <w:rPr>
          <w:rFonts w:hint="eastAsia" w:ascii="仿宋" w:hAnsi="仿宋" w:eastAsia="仿宋"/>
          <w:color w:val="000000"/>
          <w:sz w:val="32"/>
          <w:szCs w:val="32"/>
        </w:rPr>
        <w:t>.社会保障和就业支出（208）行政事业单位养老支出（20805）机关事业单位基本养老保险缴费支出（2080505）支出决算</w:t>
      </w:r>
      <w:r>
        <w:rPr>
          <w:rFonts w:hint="eastAsia" w:ascii="仿宋" w:hAnsi="仿宋" w:eastAsia="仿宋"/>
          <w:color w:val="000000"/>
          <w:sz w:val="32"/>
          <w:szCs w:val="32"/>
          <w:lang w:val="en-US" w:eastAsia="zh-CN"/>
        </w:rPr>
        <w:t>21.28</w:t>
      </w:r>
      <w:r>
        <w:rPr>
          <w:rFonts w:hint="eastAsia" w:ascii="仿宋" w:hAnsi="仿宋" w:eastAsia="仿宋"/>
          <w:color w:val="000000"/>
          <w:sz w:val="32"/>
          <w:szCs w:val="32"/>
        </w:rPr>
        <w:t>万元，完成预算100%。</w:t>
      </w:r>
      <w:r>
        <w:rPr>
          <w:rFonts w:hint="eastAsia" w:ascii="仿宋" w:hAnsi="仿宋" w:eastAsia="仿宋"/>
          <w:color w:val="000000"/>
          <w:sz w:val="32"/>
          <w:szCs w:val="32"/>
        </w:rPr>
        <w:cr/>
      </w:r>
      <w:r>
        <w:rPr>
          <w:rFonts w:hint="eastAsia" w:ascii="仿宋" w:hAnsi="仿宋" w:eastAsia="仿宋"/>
          <w:color w:val="000000"/>
          <w:sz w:val="32"/>
          <w:szCs w:val="32"/>
        </w:rPr>
        <w:t xml:space="preserve">    </w:t>
      </w:r>
      <w:r>
        <w:rPr>
          <w:rFonts w:hint="eastAsia" w:ascii="仿宋" w:hAnsi="仿宋" w:eastAsia="仿宋"/>
          <w:color w:val="000000"/>
          <w:sz w:val="32"/>
          <w:szCs w:val="32"/>
          <w:lang w:val="en-US" w:eastAsia="zh-CN"/>
        </w:rPr>
        <w:t>4</w:t>
      </w:r>
      <w:r>
        <w:rPr>
          <w:rFonts w:hint="eastAsia" w:ascii="仿宋" w:hAnsi="仿宋" w:eastAsia="仿宋"/>
          <w:color w:val="000000"/>
          <w:sz w:val="32"/>
          <w:szCs w:val="32"/>
        </w:rPr>
        <w:t>.社会保障和就业支出（208）行政事业单位养老支出（20805）机关事业单位职业年金缴费支出（2080506）支出决算</w:t>
      </w:r>
      <w:r>
        <w:rPr>
          <w:rFonts w:hint="eastAsia" w:ascii="仿宋" w:hAnsi="仿宋" w:eastAsia="仿宋"/>
          <w:color w:val="000000"/>
          <w:sz w:val="32"/>
          <w:szCs w:val="32"/>
          <w:lang w:val="en-US" w:eastAsia="zh-CN"/>
        </w:rPr>
        <w:t>10.60</w:t>
      </w:r>
      <w:r>
        <w:rPr>
          <w:rFonts w:hint="eastAsia" w:ascii="仿宋" w:hAnsi="仿宋" w:eastAsia="仿宋"/>
          <w:color w:val="000000"/>
          <w:sz w:val="32"/>
          <w:szCs w:val="32"/>
        </w:rPr>
        <w:t>万元，完成预算100%。</w:t>
      </w:r>
      <w:r>
        <w:rPr>
          <w:rFonts w:hint="eastAsia" w:ascii="仿宋" w:hAnsi="仿宋" w:eastAsia="仿宋"/>
          <w:color w:val="000000"/>
          <w:sz w:val="32"/>
          <w:szCs w:val="32"/>
        </w:rPr>
        <w:cr/>
      </w:r>
      <w:r>
        <w:rPr>
          <w:rFonts w:hint="eastAsia" w:ascii="仿宋" w:hAnsi="仿宋" w:eastAsia="仿宋"/>
          <w:color w:val="000000"/>
          <w:sz w:val="32"/>
          <w:szCs w:val="32"/>
        </w:rPr>
        <w:t xml:space="preserve">   </w:t>
      </w:r>
      <w:r>
        <w:rPr>
          <w:rFonts w:hint="eastAsia" w:ascii="仿宋" w:hAnsi="仿宋" w:eastAsia="仿宋"/>
          <w:color w:val="000000"/>
          <w:sz w:val="32"/>
          <w:szCs w:val="32"/>
          <w:lang w:val="en-US" w:eastAsia="zh-CN"/>
        </w:rPr>
        <w:t>5</w:t>
      </w:r>
      <w:r>
        <w:rPr>
          <w:rFonts w:hint="eastAsia" w:ascii="仿宋" w:hAnsi="仿宋" w:eastAsia="仿宋"/>
          <w:color w:val="000000"/>
          <w:sz w:val="32"/>
          <w:szCs w:val="32"/>
        </w:rPr>
        <w:t>.卫生健康支出（210）行政事业单位医疗（21011）事业单位医疗（2101102）支出决算</w:t>
      </w:r>
      <w:r>
        <w:rPr>
          <w:rFonts w:hint="eastAsia" w:ascii="仿宋" w:hAnsi="仿宋" w:eastAsia="仿宋"/>
          <w:color w:val="000000"/>
          <w:sz w:val="32"/>
          <w:szCs w:val="32"/>
          <w:lang w:val="en-US" w:eastAsia="zh-CN"/>
        </w:rPr>
        <w:t>8.84</w:t>
      </w:r>
      <w:r>
        <w:rPr>
          <w:rFonts w:hint="eastAsia" w:ascii="仿宋" w:hAnsi="仿宋" w:eastAsia="仿宋"/>
          <w:color w:val="000000"/>
          <w:sz w:val="32"/>
          <w:szCs w:val="32"/>
        </w:rPr>
        <w:t>万元，完成预算100%。</w:t>
      </w:r>
      <w:r>
        <w:rPr>
          <w:rFonts w:hint="eastAsia" w:ascii="仿宋" w:hAnsi="仿宋" w:eastAsia="仿宋"/>
          <w:color w:val="000000"/>
          <w:sz w:val="32"/>
          <w:szCs w:val="32"/>
        </w:rPr>
        <w:cr/>
      </w:r>
      <w:r>
        <w:rPr>
          <w:rFonts w:hint="eastAsia" w:ascii="仿宋" w:hAnsi="仿宋" w:eastAsia="仿宋"/>
          <w:color w:val="000000"/>
          <w:sz w:val="32"/>
          <w:szCs w:val="32"/>
        </w:rPr>
        <w:t xml:space="preserve">   </w:t>
      </w:r>
      <w:r>
        <w:rPr>
          <w:rFonts w:hint="eastAsia" w:ascii="仿宋" w:hAnsi="仿宋" w:eastAsia="仿宋"/>
          <w:color w:val="000000"/>
          <w:sz w:val="32"/>
          <w:szCs w:val="32"/>
          <w:lang w:val="en-US" w:eastAsia="zh-CN"/>
        </w:rPr>
        <w:t>6</w:t>
      </w:r>
      <w:r>
        <w:rPr>
          <w:rFonts w:hint="eastAsia" w:ascii="仿宋" w:hAnsi="仿宋" w:eastAsia="仿宋"/>
          <w:color w:val="000000"/>
          <w:sz w:val="32"/>
          <w:szCs w:val="32"/>
        </w:rPr>
        <w:t>.卫生健康支出（210）行政事业单位医疗（21011）其他行政事业单位医疗支出（2101199）支出决算</w:t>
      </w:r>
      <w:r>
        <w:rPr>
          <w:rFonts w:hint="eastAsia" w:ascii="仿宋" w:hAnsi="仿宋" w:eastAsia="仿宋"/>
          <w:color w:val="000000"/>
          <w:sz w:val="32"/>
          <w:szCs w:val="32"/>
          <w:lang w:val="en-US" w:eastAsia="zh-CN"/>
        </w:rPr>
        <w:t>2.28</w:t>
      </w:r>
      <w:r>
        <w:rPr>
          <w:rFonts w:hint="eastAsia" w:ascii="仿宋" w:hAnsi="仿宋" w:eastAsia="仿宋"/>
          <w:color w:val="000000"/>
          <w:sz w:val="32"/>
          <w:szCs w:val="32"/>
        </w:rPr>
        <w:t>万元，完成预算100%。</w:t>
      </w:r>
      <w:r>
        <w:rPr>
          <w:rFonts w:hint="eastAsia" w:ascii="仿宋" w:hAnsi="仿宋" w:eastAsia="仿宋"/>
          <w:color w:val="000000"/>
          <w:sz w:val="32"/>
          <w:szCs w:val="32"/>
        </w:rPr>
        <w:cr/>
      </w:r>
      <w:r>
        <w:rPr>
          <w:rFonts w:hint="eastAsia" w:ascii="仿宋" w:hAnsi="仿宋" w:eastAsia="仿宋"/>
          <w:color w:val="000000"/>
          <w:sz w:val="32"/>
          <w:szCs w:val="32"/>
        </w:rPr>
        <w:t xml:space="preserve">   </w:t>
      </w:r>
      <w:r>
        <w:rPr>
          <w:rFonts w:hint="eastAsia" w:ascii="仿宋" w:hAnsi="仿宋" w:eastAsia="仿宋"/>
          <w:color w:val="000000"/>
          <w:sz w:val="32"/>
          <w:szCs w:val="32"/>
          <w:lang w:val="en-US" w:eastAsia="zh-CN"/>
        </w:rPr>
        <w:t>7</w:t>
      </w:r>
      <w:r>
        <w:rPr>
          <w:rFonts w:hint="eastAsia" w:ascii="仿宋" w:hAnsi="仿宋" w:eastAsia="仿宋"/>
          <w:color w:val="000000"/>
          <w:sz w:val="32"/>
          <w:szCs w:val="32"/>
        </w:rPr>
        <w:t>.住房保障支出（221）住房改革支出（22102）住房公积金（2210201）支出决算</w:t>
      </w:r>
      <w:r>
        <w:rPr>
          <w:rFonts w:hint="eastAsia" w:ascii="仿宋" w:hAnsi="仿宋" w:eastAsia="仿宋"/>
          <w:color w:val="000000"/>
          <w:sz w:val="32"/>
          <w:szCs w:val="32"/>
          <w:lang w:val="en-US" w:eastAsia="zh-CN"/>
        </w:rPr>
        <w:t>16.15</w:t>
      </w:r>
      <w:r>
        <w:rPr>
          <w:rFonts w:hint="eastAsia" w:ascii="仿宋" w:hAnsi="仿宋" w:eastAsia="仿宋"/>
          <w:color w:val="000000"/>
          <w:sz w:val="32"/>
          <w:szCs w:val="32"/>
        </w:rPr>
        <w:t>万元，完成预算100%。</w:t>
      </w:r>
    </w:p>
    <w:p w14:paraId="149EF051">
      <w:pPr>
        <w:pStyle w:val="3"/>
        <w:ind w:firstLine="643" w:firstLineChars="200"/>
        <w:rPr>
          <w:rFonts w:ascii="黑体" w:eastAsia="黑体" w:cs="Times New Roman"/>
          <w:b w:val="0"/>
          <w:color w:val="000000"/>
        </w:rPr>
      </w:pPr>
      <w:bookmarkStart w:id="51" w:name="_Toc15377214"/>
      <w:bookmarkStart w:id="52" w:name="_Toc111208504"/>
      <w:bookmarkStart w:id="53" w:name="_Toc31578"/>
      <w:r>
        <w:rPr>
          <w:rFonts w:hint="eastAsia" w:ascii="黑体" w:eastAsia="黑体" w:cs="Times New Roman"/>
          <w:bCs w:val="0"/>
          <w:color w:val="000000"/>
        </w:rPr>
        <w:t>六、一般公共预算财政拨款基本支出决算情况说</w:t>
      </w:r>
      <w:bookmarkEnd w:id="51"/>
      <w:r>
        <w:rPr>
          <w:rFonts w:hint="eastAsia" w:ascii="黑体" w:eastAsia="黑体" w:cs="Times New Roman"/>
          <w:bCs w:val="0"/>
          <w:color w:val="000000"/>
        </w:rPr>
        <w:t>明</w:t>
      </w:r>
      <w:bookmarkEnd w:id="52"/>
      <w:bookmarkEnd w:id="53"/>
    </w:p>
    <w:p w14:paraId="0A27BB73">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202</w:t>
      </w:r>
      <w:r>
        <w:rPr>
          <w:rFonts w:hint="eastAsia" w:ascii="仿宋" w:hAnsi="仿宋" w:eastAsia="仿宋"/>
          <w:color w:val="000000"/>
          <w:sz w:val="32"/>
          <w:szCs w:val="32"/>
          <w:lang w:val="en-US" w:eastAsia="zh-CN"/>
        </w:rPr>
        <w:t>5</w:t>
      </w:r>
      <w:r>
        <w:rPr>
          <w:rFonts w:ascii="仿宋" w:hAnsi="仿宋" w:eastAsia="仿宋"/>
          <w:color w:val="000000"/>
          <w:sz w:val="32"/>
          <w:u w:color="auto"/>
        </w:rPr>
        <w:t>年一般公共预算财政拨款基本支出</w:t>
      </w:r>
      <w:r>
        <w:rPr>
          <w:rFonts w:hint="eastAsia" w:ascii="仿宋" w:hAnsi="仿宋" w:eastAsia="仿宋"/>
          <w:color w:val="000000"/>
          <w:sz w:val="32"/>
          <w:u w:color="auto"/>
          <w:lang w:val="en-US" w:eastAsia="zh-CN"/>
        </w:rPr>
        <w:t>275.53</w:t>
      </w:r>
      <w:r>
        <w:rPr>
          <w:rFonts w:hint="eastAsia" w:ascii="仿宋" w:hAnsi="仿宋" w:eastAsia="仿宋"/>
          <w:color w:val="000000"/>
          <w:sz w:val="32"/>
          <w:szCs w:val="32"/>
        </w:rPr>
        <w:t>万元，其中：</w:t>
      </w:r>
    </w:p>
    <w:p w14:paraId="2444B772">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人员经费</w:t>
      </w:r>
      <w:r>
        <w:rPr>
          <w:rFonts w:hint="eastAsia" w:ascii="仿宋" w:hAnsi="仿宋" w:eastAsia="仿宋"/>
          <w:color w:val="000000"/>
          <w:sz w:val="32"/>
          <w:u w:color="auto"/>
          <w:lang w:val="en-US" w:eastAsia="zh-CN"/>
        </w:rPr>
        <w:t>256.04</w:t>
      </w:r>
      <w:r>
        <w:rPr>
          <w:rFonts w:hint="eastAsia" w:ascii="仿宋" w:hAnsi="仿宋" w:eastAsia="仿宋"/>
          <w:color w:val="000000"/>
          <w:sz w:val="32"/>
          <w:szCs w:val="32"/>
        </w:rPr>
        <w:t>万元，主要包括：</w:t>
      </w:r>
      <w:r>
        <w:rPr>
          <w:rFonts w:ascii="仿宋" w:hAnsi="仿宋" w:eastAsia="仿宋"/>
          <w:color w:val="000000"/>
          <w:sz w:val="32"/>
          <w:u w:color="auto"/>
        </w:rPr>
        <w:t>基本工资</w:t>
      </w:r>
      <w:r>
        <w:rPr>
          <w:rFonts w:hint="eastAsia" w:ascii="仿宋" w:hAnsi="仿宋" w:eastAsia="仿宋"/>
          <w:color w:val="000000"/>
          <w:sz w:val="32"/>
          <w:u w:color="auto"/>
          <w:lang w:val="en-US" w:eastAsia="zh-CN"/>
        </w:rPr>
        <w:t>41.31</w:t>
      </w:r>
      <w:r>
        <w:rPr>
          <w:rFonts w:ascii="仿宋" w:hAnsi="仿宋" w:eastAsia="仿宋"/>
          <w:color w:val="000000"/>
          <w:sz w:val="32"/>
          <w:u w:color="auto"/>
        </w:rPr>
        <w:t>万元、津贴补贴</w:t>
      </w:r>
      <w:r>
        <w:rPr>
          <w:rFonts w:hint="eastAsia" w:ascii="仿宋" w:hAnsi="仿宋" w:eastAsia="仿宋"/>
          <w:color w:val="000000"/>
          <w:sz w:val="32"/>
          <w:u w:color="auto"/>
          <w:lang w:val="en-US" w:eastAsia="zh-CN"/>
        </w:rPr>
        <w:t>31.43</w:t>
      </w:r>
      <w:r>
        <w:rPr>
          <w:rFonts w:ascii="仿宋" w:hAnsi="仿宋" w:eastAsia="仿宋"/>
          <w:color w:val="000000"/>
          <w:sz w:val="32"/>
          <w:u w:color="auto"/>
        </w:rPr>
        <w:t>万元、奖金</w:t>
      </w:r>
      <w:r>
        <w:rPr>
          <w:rFonts w:hint="eastAsia" w:ascii="仿宋" w:hAnsi="仿宋" w:eastAsia="仿宋"/>
          <w:color w:val="000000"/>
          <w:sz w:val="32"/>
          <w:u w:color="auto"/>
          <w:lang w:val="en-US" w:eastAsia="zh-CN"/>
        </w:rPr>
        <w:t>42.80</w:t>
      </w:r>
      <w:r>
        <w:rPr>
          <w:rFonts w:ascii="仿宋" w:hAnsi="仿宋" w:eastAsia="仿宋"/>
          <w:color w:val="000000"/>
          <w:sz w:val="32"/>
          <w:u w:color="auto"/>
        </w:rPr>
        <w:t>万元、绩效工资</w:t>
      </w:r>
      <w:r>
        <w:rPr>
          <w:rFonts w:hint="eastAsia" w:ascii="仿宋" w:hAnsi="仿宋" w:eastAsia="仿宋"/>
          <w:color w:val="000000"/>
          <w:sz w:val="32"/>
          <w:u w:color="auto"/>
          <w:lang w:val="en-US" w:eastAsia="zh-CN"/>
        </w:rPr>
        <w:t>26.37</w:t>
      </w:r>
      <w:r>
        <w:rPr>
          <w:rFonts w:ascii="仿宋" w:hAnsi="仿宋" w:eastAsia="仿宋"/>
          <w:color w:val="000000"/>
          <w:sz w:val="32"/>
          <w:u w:color="auto"/>
        </w:rPr>
        <w:t>万元、机关事业单位基本养老保险缴费</w:t>
      </w:r>
      <w:r>
        <w:rPr>
          <w:rFonts w:hint="eastAsia" w:ascii="仿宋" w:hAnsi="仿宋" w:eastAsia="仿宋"/>
          <w:color w:val="000000"/>
          <w:sz w:val="32"/>
          <w:u w:color="auto"/>
          <w:lang w:val="en-US" w:eastAsia="zh-CN"/>
        </w:rPr>
        <w:t>21.28</w:t>
      </w:r>
      <w:r>
        <w:rPr>
          <w:rFonts w:ascii="仿宋" w:hAnsi="仿宋" w:eastAsia="仿宋"/>
          <w:color w:val="000000"/>
          <w:sz w:val="32"/>
          <w:u w:color="auto"/>
        </w:rPr>
        <w:t>万元、职业年金缴费</w:t>
      </w:r>
      <w:r>
        <w:rPr>
          <w:rFonts w:hint="eastAsia" w:ascii="仿宋" w:hAnsi="仿宋" w:eastAsia="仿宋"/>
          <w:color w:val="000000"/>
          <w:sz w:val="32"/>
          <w:u w:color="auto"/>
          <w:lang w:val="en-US" w:eastAsia="zh-CN"/>
        </w:rPr>
        <w:t>10.60</w:t>
      </w:r>
      <w:r>
        <w:rPr>
          <w:rFonts w:ascii="仿宋" w:hAnsi="仿宋" w:eastAsia="仿宋"/>
          <w:color w:val="000000"/>
          <w:sz w:val="32"/>
          <w:u w:color="auto"/>
        </w:rPr>
        <w:t>万元、职工基本医疗保险缴费</w:t>
      </w:r>
      <w:r>
        <w:rPr>
          <w:rFonts w:hint="eastAsia" w:ascii="仿宋" w:hAnsi="仿宋" w:eastAsia="仿宋"/>
          <w:color w:val="000000"/>
          <w:sz w:val="32"/>
          <w:u w:color="auto"/>
          <w:lang w:val="en-US" w:eastAsia="zh-CN"/>
        </w:rPr>
        <w:t>8.84</w:t>
      </w:r>
      <w:r>
        <w:rPr>
          <w:rFonts w:ascii="仿宋" w:hAnsi="仿宋" w:eastAsia="仿宋"/>
          <w:color w:val="000000"/>
          <w:sz w:val="32"/>
          <w:u w:color="auto"/>
        </w:rPr>
        <w:t>万元、公务员医疗补助缴费</w:t>
      </w:r>
      <w:r>
        <w:rPr>
          <w:rFonts w:hint="eastAsia" w:ascii="仿宋" w:hAnsi="仿宋" w:eastAsia="仿宋"/>
          <w:color w:val="000000"/>
          <w:sz w:val="32"/>
          <w:u w:color="auto"/>
          <w:lang w:val="en-US" w:eastAsia="zh-CN"/>
        </w:rPr>
        <w:t>2.28</w:t>
      </w:r>
      <w:r>
        <w:rPr>
          <w:rFonts w:ascii="仿宋" w:hAnsi="仿宋" w:eastAsia="仿宋"/>
          <w:color w:val="000000"/>
          <w:sz w:val="32"/>
          <w:u w:color="auto"/>
        </w:rPr>
        <w:t>万元、其他社会保障缴费</w:t>
      </w:r>
      <w:r>
        <w:rPr>
          <w:rFonts w:hint="eastAsia" w:ascii="仿宋" w:hAnsi="仿宋" w:eastAsia="仿宋"/>
          <w:color w:val="000000"/>
          <w:sz w:val="32"/>
          <w:u w:color="auto"/>
          <w:lang w:val="en-US" w:eastAsia="zh-CN"/>
        </w:rPr>
        <w:t>0.98</w:t>
      </w:r>
      <w:r>
        <w:rPr>
          <w:rFonts w:ascii="仿宋" w:hAnsi="仿宋" w:eastAsia="仿宋"/>
          <w:color w:val="000000"/>
          <w:sz w:val="32"/>
          <w:u w:color="auto"/>
        </w:rPr>
        <w:t>万元、住房公积金</w:t>
      </w:r>
      <w:r>
        <w:rPr>
          <w:rFonts w:hint="eastAsia" w:ascii="仿宋" w:hAnsi="仿宋" w:eastAsia="仿宋"/>
          <w:color w:val="000000"/>
          <w:sz w:val="32"/>
          <w:u w:color="auto"/>
          <w:lang w:val="en-US" w:eastAsia="zh-CN"/>
        </w:rPr>
        <w:t>16.15</w:t>
      </w:r>
      <w:r>
        <w:rPr>
          <w:rFonts w:ascii="仿宋" w:hAnsi="仿宋" w:eastAsia="仿宋"/>
          <w:color w:val="000000"/>
          <w:sz w:val="32"/>
          <w:u w:color="auto"/>
        </w:rPr>
        <w:t>万元、</w:t>
      </w:r>
      <w:r>
        <w:rPr>
          <w:rFonts w:hint="eastAsia" w:ascii="仿宋" w:hAnsi="仿宋" w:eastAsia="仿宋"/>
          <w:color w:val="000000"/>
          <w:sz w:val="32"/>
          <w:u w:color="auto"/>
          <w:lang w:val="en-US" w:eastAsia="zh-CN"/>
        </w:rPr>
        <w:t>医疗补助0.32万元、</w:t>
      </w:r>
      <w:r>
        <w:rPr>
          <w:rFonts w:ascii="仿宋" w:hAnsi="仿宋" w:eastAsia="仿宋"/>
          <w:color w:val="000000"/>
          <w:sz w:val="32"/>
          <w:u w:color="auto"/>
        </w:rPr>
        <w:t>奖励金0.0</w:t>
      </w:r>
      <w:r>
        <w:rPr>
          <w:rFonts w:hint="eastAsia" w:ascii="仿宋" w:hAnsi="仿宋" w:eastAsia="仿宋"/>
          <w:color w:val="000000"/>
          <w:sz w:val="32"/>
          <w:u w:color="auto"/>
          <w:lang w:val="en-US" w:eastAsia="zh-CN"/>
        </w:rPr>
        <w:t>1</w:t>
      </w:r>
      <w:r>
        <w:rPr>
          <w:rFonts w:ascii="仿宋" w:hAnsi="仿宋" w:eastAsia="仿宋"/>
          <w:color w:val="000000"/>
          <w:sz w:val="32"/>
          <w:u w:color="auto"/>
        </w:rPr>
        <w:t>万元</w:t>
      </w:r>
      <w:r>
        <w:rPr>
          <w:rFonts w:hint="eastAsia" w:ascii="仿宋" w:hAnsi="仿宋" w:eastAsia="仿宋"/>
          <w:color w:val="000000"/>
          <w:sz w:val="32"/>
          <w:u w:color="auto"/>
          <w:lang w:eastAsia="zh-CN"/>
        </w:rPr>
        <w:t>、生活补助</w:t>
      </w:r>
      <w:r>
        <w:rPr>
          <w:rFonts w:hint="eastAsia" w:ascii="仿宋" w:hAnsi="仿宋" w:eastAsia="仿宋"/>
          <w:color w:val="000000"/>
          <w:sz w:val="32"/>
          <w:u w:color="auto"/>
          <w:lang w:val="en-US" w:eastAsia="zh-CN"/>
        </w:rPr>
        <w:t>2万元、医疗费1.39万元、其他工资福利支出50.29万元</w:t>
      </w:r>
      <w:r>
        <w:rPr>
          <w:rFonts w:ascii="仿宋" w:hAnsi="仿宋" w:eastAsia="仿宋"/>
          <w:color w:val="000000"/>
          <w:sz w:val="32"/>
          <w:u w:color="auto"/>
        </w:rPr>
        <w:t>。</w:t>
      </w:r>
    </w:p>
    <w:p w14:paraId="0CE77E6B">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公用经费</w:t>
      </w:r>
      <w:r>
        <w:rPr>
          <w:rFonts w:hint="eastAsia" w:ascii="仿宋" w:hAnsi="仿宋" w:eastAsia="仿宋"/>
          <w:color w:val="000000"/>
          <w:sz w:val="32"/>
          <w:u w:color="auto"/>
          <w:lang w:val="en-US" w:eastAsia="zh-CN"/>
        </w:rPr>
        <w:t>19.49</w:t>
      </w:r>
      <w:r>
        <w:rPr>
          <w:rFonts w:hint="eastAsia" w:ascii="仿宋" w:hAnsi="仿宋" w:eastAsia="仿宋"/>
          <w:color w:val="000000"/>
          <w:sz w:val="32"/>
          <w:szCs w:val="32"/>
        </w:rPr>
        <w:t>万元，主要包括：</w:t>
      </w:r>
      <w:r>
        <w:rPr>
          <w:rFonts w:ascii="仿宋" w:hAnsi="仿宋" w:eastAsia="仿宋"/>
          <w:color w:val="000000"/>
          <w:sz w:val="32"/>
          <w:u w:color="auto"/>
        </w:rPr>
        <w:t>办公费</w:t>
      </w:r>
      <w:r>
        <w:rPr>
          <w:rFonts w:hint="eastAsia" w:ascii="仿宋" w:hAnsi="仿宋" w:eastAsia="仿宋"/>
          <w:color w:val="000000"/>
          <w:sz w:val="32"/>
          <w:u w:color="auto"/>
          <w:lang w:val="en-US" w:eastAsia="zh-CN"/>
        </w:rPr>
        <w:t>1.23</w:t>
      </w:r>
      <w:r>
        <w:rPr>
          <w:rFonts w:ascii="仿宋" w:hAnsi="仿宋" w:eastAsia="仿宋"/>
          <w:color w:val="000000"/>
          <w:sz w:val="32"/>
          <w:u w:color="auto"/>
        </w:rPr>
        <w:t>万元、</w:t>
      </w:r>
      <w:r>
        <w:rPr>
          <w:rFonts w:hint="eastAsia" w:ascii="仿宋" w:hAnsi="仿宋" w:eastAsia="仿宋"/>
          <w:color w:val="000000"/>
          <w:sz w:val="32"/>
          <w:u w:color="auto"/>
          <w:lang w:eastAsia="zh-CN"/>
        </w:rPr>
        <w:t>手续</w:t>
      </w:r>
      <w:r>
        <w:rPr>
          <w:rFonts w:ascii="仿宋" w:hAnsi="仿宋" w:eastAsia="仿宋"/>
          <w:color w:val="000000"/>
          <w:sz w:val="32"/>
          <w:u w:color="auto"/>
        </w:rPr>
        <w:t>费0.</w:t>
      </w:r>
      <w:r>
        <w:rPr>
          <w:rFonts w:hint="eastAsia" w:ascii="仿宋" w:hAnsi="仿宋" w:eastAsia="仿宋"/>
          <w:color w:val="000000"/>
          <w:sz w:val="32"/>
          <w:u w:color="auto"/>
          <w:lang w:val="en-US" w:eastAsia="zh-CN"/>
        </w:rPr>
        <w:t>20</w:t>
      </w:r>
      <w:r>
        <w:rPr>
          <w:rFonts w:ascii="仿宋" w:hAnsi="仿宋" w:eastAsia="仿宋"/>
          <w:color w:val="000000"/>
          <w:sz w:val="32"/>
          <w:u w:color="auto"/>
        </w:rPr>
        <w:t>万元、</w:t>
      </w:r>
      <w:r>
        <w:rPr>
          <w:rFonts w:hint="eastAsia" w:ascii="仿宋" w:hAnsi="仿宋" w:eastAsia="仿宋"/>
          <w:color w:val="000000"/>
          <w:sz w:val="32"/>
          <w:u w:color="auto"/>
          <w:lang w:eastAsia="zh-CN"/>
        </w:rPr>
        <w:t>水费</w:t>
      </w:r>
      <w:r>
        <w:rPr>
          <w:rFonts w:hint="eastAsia" w:ascii="仿宋" w:hAnsi="仿宋" w:eastAsia="仿宋"/>
          <w:color w:val="000000"/>
          <w:sz w:val="32"/>
          <w:u w:color="auto"/>
          <w:lang w:val="en-US" w:eastAsia="zh-CN"/>
        </w:rPr>
        <w:t>0.10万元、</w:t>
      </w:r>
      <w:r>
        <w:rPr>
          <w:rFonts w:ascii="仿宋" w:hAnsi="仿宋" w:eastAsia="仿宋"/>
          <w:color w:val="000000"/>
          <w:sz w:val="32"/>
          <w:u w:color="auto"/>
        </w:rPr>
        <w:t>电费</w:t>
      </w:r>
      <w:r>
        <w:rPr>
          <w:rFonts w:hint="eastAsia" w:ascii="仿宋" w:hAnsi="仿宋" w:eastAsia="仿宋"/>
          <w:color w:val="000000"/>
          <w:sz w:val="32"/>
          <w:u w:color="auto"/>
          <w:lang w:val="en-US" w:eastAsia="zh-CN"/>
        </w:rPr>
        <w:t>4.38</w:t>
      </w:r>
      <w:r>
        <w:rPr>
          <w:rFonts w:ascii="仿宋" w:hAnsi="仿宋" w:eastAsia="仿宋"/>
          <w:color w:val="000000"/>
          <w:sz w:val="32"/>
          <w:u w:color="auto"/>
        </w:rPr>
        <w:t>万元、差旅费</w:t>
      </w:r>
      <w:r>
        <w:rPr>
          <w:rFonts w:hint="eastAsia" w:ascii="仿宋" w:hAnsi="仿宋" w:eastAsia="仿宋"/>
          <w:color w:val="000000"/>
          <w:sz w:val="32"/>
          <w:u w:color="auto"/>
          <w:lang w:val="en-US" w:eastAsia="zh-CN"/>
        </w:rPr>
        <w:t>2.93</w:t>
      </w:r>
      <w:r>
        <w:rPr>
          <w:rFonts w:ascii="仿宋" w:hAnsi="仿宋" w:eastAsia="仿宋"/>
          <w:color w:val="000000"/>
          <w:sz w:val="32"/>
          <w:u w:color="auto"/>
        </w:rPr>
        <w:t>万元、</w:t>
      </w:r>
      <w:r>
        <w:rPr>
          <w:rFonts w:hint="eastAsia" w:ascii="仿宋" w:hAnsi="仿宋" w:eastAsia="仿宋"/>
          <w:color w:val="000000"/>
          <w:sz w:val="32"/>
          <w:u w:color="auto"/>
          <w:lang w:eastAsia="zh-CN"/>
        </w:rPr>
        <w:t>委托业务费</w:t>
      </w:r>
      <w:r>
        <w:rPr>
          <w:rFonts w:hint="eastAsia" w:ascii="仿宋" w:hAnsi="仿宋" w:eastAsia="仿宋"/>
          <w:color w:val="000000"/>
          <w:sz w:val="32"/>
          <w:u w:color="auto"/>
          <w:lang w:val="en-US" w:eastAsia="zh-CN"/>
        </w:rPr>
        <w:t>0.30万元、</w:t>
      </w:r>
      <w:r>
        <w:rPr>
          <w:rFonts w:ascii="仿宋" w:hAnsi="仿宋" w:eastAsia="仿宋"/>
          <w:color w:val="000000"/>
          <w:sz w:val="32"/>
          <w:u w:color="auto"/>
        </w:rPr>
        <w:t>工会经费</w:t>
      </w:r>
      <w:r>
        <w:rPr>
          <w:rFonts w:hint="eastAsia" w:ascii="仿宋" w:hAnsi="仿宋" w:eastAsia="仿宋"/>
          <w:color w:val="000000"/>
          <w:sz w:val="32"/>
          <w:u w:color="auto"/>
          <w:lang w:val="en-US" w:eastAsia="zh-CN"/>
        </w:rPr>
        <w:t>1.38</w:t>
      </w:r>
      <w:r>
        <w:rPr>
          <w:rFonts w:ascii="仿宋" w:hAnsi="仿宋" w:eastAsia="仿宋"/>
          <w:color w:val="000000"/>
          <w:sz w:val="32"/>
          <w:u w:color="auto"/>
        </w:rPr>
        <w:t>万元、</w:t>
      </w:r>
      <w:r>
        <w:rPr>
          <w:rFonts w:hint="eastAsia" w:ascii="仿宋" w:hAnsi="仿宋" w:eastAsia="仿宋"/>
          <w:color w:val="000000"/>
          <w:sz w:val="32"/>
          <w:u w:color="auto"/>
          <w:lang w:eastAsia="zh-CN"/>
        </w:rPr>
        <w:t>福利费</w:t>
      </w:r>
      <w:r>
        <w:rPr>
          <w:rFonts w:hint="eastAsia" w:ascii="仿宋" w:hAnsi="仿宋" w:eastAsia="仿宋"/>
          <w:color w:val="000000"/>
          <w:sz w:val="32"/>
          <w:u w:color="auto"/>
          <w:lang w:val="en-US" w:eastAsia="zh-CN"/>
        </w:rPr>
        <w:t>0.37万元、</w:t>
      </w:r>
      <w:r>
        <w:rPr>
          <w:rFonts w:ascii="仿宋" w:hAnsi="仿宋" w:eastAsia="仿宋"/>
          <w:color w:val="000000"/>
          <w:sz w:val="32"/>
          <w:u w:color="auto"/>
        </w:rPr>
        <w:t>公务用车运行维护费</w:t>
      </w:r>
      <w:r>
        <w:rPr>
          <w:rFonts w:hint="eastAsia" w:ascii="仿宋" w:hAnsi="仿宋" w:eastAsia="仿宋"/>
          <w:color w:val="000000"/>
          <w:sz w:val="32"/>
          <w:u w:color="auto"/>
          <w:lang w:val="en-US" w:eastAsia="zh-CN"/>
        </w:rPr>
        <w:t>6.78</w:t>
      </w:r>
      <w:r>
        <w:rPr>
          <w:rFonts w:ascii="仿宋" w:hAnsi="仿宋" w:eastAsia="仿宋"/>
          <w:color w:val="000000"/>
          <w:sz w:val="32"/>
          <w:u w:color="auto"/>
        </w:rPr>
        <w:t>万元</w:t>
      </w:r>
      <w:r>
        <w:rPr>
          <w:rFonts w:hint="eastAsia" w:ascii="仿宋" w:hAnsi="仿宋" w:eastAsia="仿宋"/>
          <w:color w:val="000000"/>
          <w:sz w:val="32"/>
          <w:u w:color="auto"/>
          <w:lang w:eastAsia="zh-CN"/>
        </w:rPr>
        <w:t>、其他商品和服务支出</w:t>
      </w:r>
      <w:r>
        <w:rPr>
          <w:rFonts w:hint="eastAsia" w:ascii="仿宋" w:hAnsi="仿宋" w:eastAsia="仿宋"/>
          <w:color w:val="000000"/>
          <w:sz w:val="32"/>
          <w:u w:color="auto"/>
          <w:lang w:val="en-US" w:eastAsia="zh-CN"/>
        </w:rPr>
        <w:t>1.83万元</w:t>
      </w:r>
      <w:r>
        <w:rPr>
          <w:rFonts w:hint="eastAsia" w:ascii="仿宋" w:hAnsi="仿宋" w:eastAsia="仿宋"/>
          <w:color w:val="000000"/>
          <w:sz w:val="32"/>
          <w:szCs w:val="32"/>
        </w:rPr>
        <w:t>。</w:t>
      </w:r>
    </w:p>
    <w:p w14:paraId="3BC13569">
      <w:pPr>
        <w:pStyle w:val="3"/>
        <w:ind w:firstLine="643" w:firstLineChars="200"/>
        <w:rPr>
          <w:rFonts w:ascii="黑体" w:eastAsia="黑体" w:cs="Times New Roman"/>
          <w:bCs w:val="0"/>
          <w:color w:val="000000"/>
        </w:rPr>
      </w:pPr>
      <w:bookmarkStart w:id="54" w:name="_Toc15377215"/>
      <w:bookmarkStart w:id="55" w:name="_Toc6614"/>
      <w:bookmarkStart w:id="56" w:name="_Toc111208505"/>
      <w:r>
        <w:rPr>
          <w:rFonts w:hint="eastAsia" w:ascii="黑体" w:eastAsia="黑体" w:cs="Times New Roman"/>
          <w:bCs w:val="0"/>
          <w:color w:val="000000"/>
        </w:rPr>
        <w:t>七、“三公”经费财政拨款支出决算情况说明</w:t>
      </w:r>
      <w:bookmarkEnd w:id="54"/>
      <w:bookmarkEnd w:id="55"/>
      <w:bookmarkEnd w:id="56"/>
    </w:p>
    <w:p w14:paraId="7A681096">
      <w:pPr>
        <w:spacing w:line="600" w:lineRule="exact"/>
        <w:ind w:firstLine="643" w:firstLineChars="200"/>
        <w:outlineLvl w:val="2"/>
        <w:rPr>
          <w:rFonts w:ascii="仿宋" w:hAnsi="仿宋" w:eastAsia="仿宋"/>
          <w:b/>
          <w:color w:val="000000"/>
          <w:sz w:val="32"/>
          <w:szCs w:val="32"/>
        </w:rPr>
      </w:pPr>
      <w:bookmarkStart w:id="57" w:name="_Toc15377216"/>
      <w:r>
        <w:rPr>
          <w:rFonts w:hint="eastAsia" w:ascii="仿宋" w:hAnsi="仿宋" w:eastAsia="仿宋"/>
          <w:b/>
          <w:color w:val="000000"/>
          <w:sz w:val="32"/>
          <w:szCs w:val="32"/>
        </w:rPr>
        <w:t>（一）“三公”经费财政拨款支出决算总体情况说明</w:t>
      </w:r>
      <w:bookmarkEnd w:id="57"/>
    </w:p>
    <w:p w14:paraId="6F1D6248">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202</w:t>
      </w:r>
      <w:r>
        <w:rPr>
          <w:rFonts w:hint="eastAsia" w:ascii="仿宋" w:hAnsi="仿宋" w:eastAsia="仿宋"/>
          <w:color w:val="000000"/>
          <w:sz w:val="32"/>
          <w:szCs w:val="32"/>
          <w:lang w:val="en-US" w:eastAsia="zh-CN"/>
        </w:rPr>
        <w:t>5</w:t>
      </w:r>
      <w:r>
        <w:rPr>
          <w:rFonts w:ascii="仿宋" w:hAnsi="仿宋" w:eastAsia="仿宋"/>
          <w:color w:val="000000"/>
          <w:sz w:val="32"/>
          <w:u w:color="auto"/>
        </w:rPr>
        <w:t>年“三公”经费财政拨款支出决算为</w:t>
      </w:r>
      <w:r>
        <w:rPr>
          <w:rFonts w:hint="eastAsia" w:ascii="仿宋" w:hAnsi="仿宋" w:eastAsia="仿宋"/>
          <w:color w:val="000000"/>
          <w:sz w:val="32"/>
          <w:u w:color="auto"/>
          <w:lang w:val="en-US" w:eastAsia="zh-CN"/>
        </w:rPr>
        <w:t>246.53</w:t>
      </w:r>
      <w:r>
        <w:rPr>
          <w:rFonts w:hint="eastAsia" w:ascii="仿宋" w:hAnsi="仿宋" w:eastAsia="仿宋"/>
          <w:color w:val="000000"/>
          <w:sz w:val="32"/>
          <w:szCs w:val="32"/>
        </w:rPr>
        <w:t>万元，完成预算</w:t>
      </w:r>
      <w:r>
        <w:rPr>
          <w:rFonts w:hint="eastAsia" w:ascii="仿宋" w:hAnsi="仿宋" w:eastAsia="仿宋"/>
          <w:color w:val="000000"/>
          <w:sz w:val="32"/>
          <w:u w:color="auto"/>
          <w:lang w:val="en-US" w:eastAsia="zh-CN"/>
        </w:rPr>
        <w:t>79.11</w:t>
      </w:r>
      <w:r>
        <w:rPr>
          <w:rFonts w:hint="eastAsia" w:ascii="仿宋" w:hAnsi="仿宋" w:eastAsia="仿宋"/>
          <w:color w:val="000000"/>
          <w:sz w:val="32"/>
          <w:szCs w:val="32"/>
        </w:rPr>
        <w:t>%。</w:t>
      </w:r>
      <w:bookmarkStart w:id="58" w:name="_Toc15377217"/>
    </w:p>
    <w:p w14:paraId="0ABCE287">
      <w:pPr>
        <w:spacing w:line="600" w:lineRule="exact"/>
        <w:ind w:firstLine="643" w:firstLineChars="200"/>
        <w:outlineLvl w:val="2"/>
        <w:rPr>
          <w:rFonts w:ascii="仿宋" w:hAnsi="仿宋" w:eastAsia="仿宋"/>
          <w:b/>
          <w:color w:val="000000"/>
          <w:sz w:val="32"/>
          <w:szCs w:val="32"/>
        </w:rPr>
      </w:pPr>
      <w:r>
        <w:rPr>
          <w:rFonts w:hint="eastAsia" w:ascii="仿宋" w:hAnsi="仿宋" w:eastAsia="仿宋"/>
          <w:b/>
          <w:color w:val="000000"/>
          <w:sz w:val="32"/>
          <w:szCs w:val="32"/>
        </w:rPr>
        <w:t>（二）“三公”经费财政拨款支出决算具体情况说明</w:t>
      </w:r>
      <w:bookmarkEnd w:id="58"/>
    </w:p>
    <w:p w14:paraId="7C5CA45D">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202</w:t>
      </w:r>
      <w:r>
        <w:rPr>
          <w:rFonts w:hint="eastAsia" w:ascii="仿宋" w:hAnsi="仿宋" w:eastAsia="仿宋"/>
          <w:color w:val="000000"/>
          <w:sz w:val="32"/>
          <w:szCs w:val="32"/>
          <w:lang w:val="en-US" w:eastAsia="zh-CN"/>
        </w:rPr>
        <w:t>5</w:t>
      </w:r>
      <w:r>
        <w:rPr>
          <w:rFonts w:ascii="仿宋" w:hAnsi="仿宋" w:eastAsia="仿宋"/>
          <w:color w:val="000000"/>
          <w:sz w:val="32"/>
          <w:u w:color="auto"/>
        </w:rPr>
        <w:t>年“三公”经费财政拨款支出</w:t>
      </w:r>
      <w:r>
        <w:rPr>
          <w:rFonts w:hint="eastAsia" w:ascii="仿宋" w:hAnsi="仿宋" w:eastAsia="仿宋"/>
          <w:color w:val="000000"/>
          <w:sz w:val="32"/>
          <w:u w:color="auto"/>
          <w:lang w:val="en-US" w:eastAsia="zh-CN"/>
        </w:rPr>
        <w:t>246.53</w:t>
      </w:r>
      <w:r>
        <w:rPr>
          <w:rFonts w:hint="eastAsia" w:ascii="仿宋" w:hAnsi="仿宋" w:eastAsia="仿宋"/>
          <w:color w:val="000000"/>
          <w:sz w:val="32"/>
          <w:szCs w:val="32"/>
        </w:rPr>
        <w:t>万元，因公出国（境）费支出决算</w:t>
      </w:r>
      <w:r>
        <w:rPr>
          <w:rFonts w:ascii="仿宋" w:hAnsi="仿宋" w:eastAsia="仿宋"/>
          <w:color w:val="000000"/>
          <w:sz w:val="32"/>
          <w:u w:color="auto"/>
        </w:rPr>
        <w:t>0.00</w:t>
      </w:r>
      <w:r>
        <w:rPr>
          <w:rFonts w:hint="eastAsia" w:ascii="仿宋" w:hAnsi="仿宋" w:eastAsia="仿宋"/>
          <w:color w:val="000000"/>
          <w:sz w:val="32"/>
          <w:szCs w:val="32"/>
        </w:rPr>
        <w:t>万元，占</w:t>
      </w:r>
      <w:r>
        <w:rPr>
          <w:rFonts w:ascii="仿宋" w:hAnsi="仿宋" w:eastAsia="仿宋"/>
          <w:color w:val="000000"/>
          <w:sz w:val="32"/>
          <w:u w:color="auto"/>
        </w:rPr>
        <w:t>0.00</w:t>
      </w:r>
      <w:r>
        <w:rPr>
          <w:rFonts w:hint="eastAsia" w:ascii="仿宋" w:hAnsi="仿宋" w:eastAsia="仿宋"/>
          <w:color w:val="000000"/>
          <w:sz w:val="32"/>
          <w:szCs w:val="32"/>
        </w:rPr>
        <w:t>%；公务用车购置及运行维护费支出决算</w:t>
      </w:r>
      <w:r>
        <w:rPr>
          <w:rFonts w:hint="eastAsia" w:ascii="仿宋" w:hAnsi="仿宋" w:eastAsia="仿宋"/>
          <w:color w:val="000000"/>
          <w:sz w:val="32"/>
          <w:u w:color="auto"/>
          <w:lang w:val="en-US" w:eastAsia="zh-CN"/>
        </w:rPr>
        <w:t>6.78</w:t>
      </w:r>
      <w:r>
        <w:rPr>
          <w:rFonts w:hint="eastAsia" w:ascii="仿宋" w:hAnsi="仿宋" w:eastAsia="仿宋"/>
          <w:color w:val="000000"/>
          <w:sz w:val="32"/>
          <w:szCs w:val="32"/>
        </w:rPr>
        <w:t>万元，占</w:t>
      </w:r>
      <w:r>
        <w:rPr>
          <w:rFonts w:hint="eastAsia" w:ascii="仿宋" w:hAnsi="仿宋" w:eastAsia="仿宋"/>
          <w:color w:val="000000"/>
          <w:sz w:val="32"/>
          <w:u w:color="auto"/>
          <w:lang w:val="en-US" w:eastAsia="zh-CN"/>
        </w:rPr>
        <w:t>2.75</w:t>
      </w:r>
      <w:r>
        <w:rPr>
          <w:rFonts w:hint="eastAsia" w:ascii="仿宋" w:hAnsi="仿宋" w:eastAsia="仿宋"/>
          <w:color w:val="000000"/>
          <w:sz w:val="32"/>
          <w:szCs w:val="32"/>
        </w:rPr>
        <w:t>%；公务接待费支出决算</w:t>
      </w:r>
      <w:r>
        <w:rPr>
          <w:rFonts w:hint="eastAsia" w:ascii="仿宋" w:hAnsi="仿宋" w:eastAsia="仿宋"/>
          <w:color w:val="000000"/>
          <w:sz w:val="32"/>
          <w:u w:color="auto"/>
          <w:lang w:val="en-US" w:eastAsia="zh-CN"/>
        </w:rPr>
        <w:t>239.75</w:t>
      </w:r>
      <w:r>
        <w:rPr>
          <w:rFonts w:hint="eastAsia" w:ascii="仿宋" w:hAnsi="仿宋" w:eastAsia="仿宋"/>
          <w:color w:val="000000"/>
          <w:sz w:val="32"/>
          <w:szCs w:val="32"/>
        </w:rPr>
        <w:t>万元，占</w:t>
      </w:r>
      <w:r>
        <w:rPr>
          <w:rFonts w:hint="eastAsia" w:ascii="仿宋" w:hAnsi="仿宋" w:eastAsia="仿宋"/>
          <w:color w:val="000000"/>
          <w:sz w:val="32"/>
          <w:u w:color="auto"/>
          <w:lang w:val="en-US" w:eastAsia="zh-CN"/>
        </w:rPr>
        <w:t>97.25</w:t>
      </w:r>
      <w:r>
        <w:rPr>
          <w:rFonts w:hint="eastAsia" w:ascii="仿宋" w:hAnsi="仿宋" w:eastAsia="仿宋"/>
          <w:color w:val="000000"/>
          <w:sz w:val="32"/>
          <w:szCs w:val="32"/>
        </w:rPr>
        <w:t>%。具体情况如下：</w:t>
      </w:r>
    </w:p>
    <w:p w14:paraId="59844779">
      <w:pPr>
        <w:pStyle w:val="5"/>
      </w:pPr>
      <w:r>
        <w:drawing>
          <wp:inline distT="0" distB="0" distL="0" distR="0">
            <wp:extent cx="4333240" cy="2886075"/>
            <wp:effectExtent l="4445" t="4445" r="5715" b="5080"/>
            <wp:docPr id="6" name="图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70C90C9">
      <w:pPr>
        <w:spacing w:line="600" w:lineRule="exact"/>
        <w:ind w:firstLine="640" w:firstLineChars="200"/>
        <w:jc w:val="center"/>
      </w:pPr>
      <w:r>
        <w:rPr>
          <w:rFonts w:hint="eastAsia" w:ascii="仿宋" w:hAnsi="仿宋" w:eastAsia="仿宋"/>
          <w:color w:val="000000"/>
          <w:sz w:val="32"/>
          <w:szCs w:val="32"/>
        </w:rPr>
        <w:t>（图7：“三公”经费财政拨款支出结构）</w:t>
      </w:r>
    </w:p>
    <w:p w14:paraId="2F171C9D">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1.因公出国（境）经费支出</w:t>
      </w:r>
      <w:r>
        <w:rPr>
          <w:rFonts w:ascii="仿宋" w:hAnsi="仿宋" w:eastAsia="仿宋"/>
          <w:color w:val="000000"/>
          <w:sz w:val="32"/>
          <w:u w:color="auto"/>
        </w:rPr>
        <w:t>0.00</w:t>
      </w:r>
      <w:r>
        <w:rPr>
          <w:rFonts w:hint="eastAsia" w:ascii="仿宋" w:hAnsi="仿宋" w:eastAsia="仿宋"/>
          <w:color w:val="000000"/>
          <w:sz w:val="32"/>
          <w:szCs w:val="32"/>
        </w:rPr>
        <w:t>万元,完成预算100%。全年安排因公出国（境）团组</w:t>
      </w:r>
      <w:r>
        <w:rPr>
          <w:rFonts w:ascii="仿宋" w:hAnsi="仿宋" w:eastAsia="仿宋"/>
          <w:color w:val="000000"/>
          <w:sz w:val="32"/>
          <w:u w:color="auto"/>
        </w:rPr>
        <w:t>0</w:t>
      </w:r>
      <w:r>
        <w:rPr>
          <w:rFonts w:hint="eastAsia" w:ascii="仿宋" w:hAnsi="仿宋" w:eastAsia="仿宋"/>
          <w:color w:val="000000"/>
          <w:sz w:val="32"/>
          <w:szCs w:val="32"/>
        </w:rPr>
        <w:t>次，出国（境）</w:t>
      </w:r>
      <w:r>
        <w:rPr>
          <w:rFonts w:ascii="仿宋" w:hAnsi="仿宋" w:eastAsia="仿宋"/>
          <w:color w:val="000000"/>
          <w:sz w:val="32"/>
          <w:u w:color="auto"/>
        </w:rPr>
        <w:t>0</w:t>
      </w:r>
      <w:r>
        <w:rPr>
          <w:rFonts w:hint="eastAsia" w:ascii="仿宋" w:hAnsi="仿宋" w:eastAsia="仿宋"/>
          <w:color w:val="000000"/>
          <w:sz w:val="32"/>
          <w:szCs w:val="32"/>
        </w:rPr>
        <w:t>人。因公出国（境）支出决算比</w:t>
      </w:r>
      <w:r>
        <w:rPr>
          <w:rFonts w:ascii="仿宋" w:hAnsi="仿宋" w:eastAsia="仿宋"/>
          <w:color w:val="000000"/>
          <w:sz w:val="32"/>
          <w:u w:color="auto"/>
        </w:rPr>
        <w:t>202</w:t>
      </w:r>
      <w:r>
        <w:rPr>
          <w:rFonts w:hint="eastAsia" w:ascii="仿宋" w:hAnsi="仿宋" w:eastAsia="仿宋"/>
          <w:color w:val="000000"/>
          <w:sz w:val="32"/>
          <w:u w:color="auto"/>
          <w:lang w:val="en-US" w:eastAsia="zh-CN"/>
        </w:rPr>
        <w:t>4</w:t>
      </w:r>
      <w:r>
        <w:rPr>
          <w:rFonts w:ascii="仿宋" w:hAnsi="仿宋" w:eastAsia="仿宋"/>
          <w:color w:val="000000"/>
          <w:sz w:val="32"/>
          <w:u w:color="auto"/>
        </w:rPr>
        <w:t>年增加0.00</w:t>
      </w:r>
      <w:r>
        <w:rPr>
          <w:rFonts w:hint="eastAsia" w:ascii="仿宋" w:hAnsi="仿宋" w:eastAsia="仿宋"/>
          <w:color w:val="000000"/>
          <w:sz w:val="32"/>
          <w:szCs w:val="32"/>
        </w:rPr>
        <w:t>万元，</w:t>
      </w:r>
      <w:r>
        <w:rPr>
          <w:rFonts w:ascii="仿宋" w:hAnsi="仿宋" w:eastAsia="仿宋"/>
          <w:color w:val="000000"/>
          <w:sz w:val="32"/>
          <w:u w:color="auto"/>
        </w:rPr>
        <w:t>增加0.00</w:t>
      </w:r>
      <w:r>
        <w:rPr>
          <w:rFonts w:hint="eastAsia" w:ascii="仿宋" w:hAnsi="仿宋" w:eastAsia="仿宋"/>
          <w:color w:val="000000"/>
          <w:sz w:val="32"/>
          <w:szCs w:val="32"/>
        </w:rPr>
        <w:t xml:space="preserve"> %。</w:t>
      </w:r>
      <w:r>
        <w:rPr>
          <w:rFonts w:ascii="仿宋" w:hAnsi="仿宋" w:eastAsia="仿宋"/>
          <w:color w:val="000000"/>
          <w:sz w:val="32"/>
          <w:u w:color="auto"/>
        </w:rPr>
        <w:t xml:space="preserve"> </w:t>
      </w:r>
    </w:p>
    <w:p w14:paraId="67B87092">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2.公务用车购置及运行维护费支出</w:t>
      </w:r>
      <w:r>
        <w:rPr>
          <w:rFonts w:hint="eastAsia" w:ascii="仿宋" w:hAnsi="仿宋" w:eastAsia="仿宋"/>
          <w:color w:val="000000"/>
          <w:sz w:val="32"/>
          <w:u w:color="auto"/>
          <w:lang w:val="en-US" w:eastAsia="zh-CN"/>
        </w:rPr>
        <w:t>6.78</w:t>
      </w:r>
      <w:r>
        <w:rPr>
          <w:rFonts w:hint="eastAsia" w:ascii="仿宋" w:hAnsi="仿宋" w:eastAsia="仿宋"/>
          <w:color w:val="000000"/>
          <w:sz w:val="32"/>
          <w:szCs w:val="32"/>
        </w:rPr>
        <w:t>万元,完成预算</w:t>
      </w:r>
      <w:r>
        <w:rPr>
          <w:rFonts w:hint="eastAsia" w:ascii="仿宋" w:hAnsi="仿宋" w:eastAsia="仿宋"/>
          <w:color w:val="000000"/>
          <w:sz w:val="32"/>
          <w:u w:color="auto"/>
          <w:lang w:val="en-US" w:eastAsia="zh-CN"/>
        </w:rPr>
        <w:t>93.91</w:t>
      </w:r>
      <w:r>
        <w:rPr>
          <w:rFonts w:hint="eastAsia" w:ascii="仿宋" w:hAnsi="仿宋" w:eastAsia="仿宋"/>
          <w:color w:val="000000"/>
          <w:sz w:val="32"/>
          <w:szCs w:val="32"/>
        </w:rPr>
        <w:t>%。公务用车购置及运行维护费支出决算比</w:t>
      </w:r>
      <w:r>
        <w:rPr>
          <w:rFonts w:ascii="仿宋" w:hAnsi="仿宋" w:eastAsia="仿宋"/>
          <w:color w:val="000000"/>
          <w:sz w:val="32"/>
          <w:u w:color="auto"/>
        </w:rPr>
        <w:t>202</w:t>
      </w:r>
      <w:r>
        <w:rPr>
          <w:rFonts w:hint="eastAsia" w:ascii="仿宋" w:hAnsi="仿宋" w:eastAsia="仿宋"/>
          <w:color w:val="000000"/>
          <w:sz w:val="32"/>
          <w:u w:color="auto"/>
          <w:lang w:val="en-US" w:eastAsia="zh-CN"/>
        </w:rPr>
        <w:t>4</w:t>
      </w:r>
      <w:r>
        <w:rPr>
          <w:rFonts w:ascii="仿宋" w:hAnsi="仿宋" w:eastAsia="仿宋"/>
          <w:color w:val="000000"/>
          <w:sz w:val="32"/>
          <w:u w:color="auto"/>
        </w:rPr>
        <w:t>年</w:t>
      </w:r>
      <w:r>
        <w:rPr>
          <w:rFonts w:hint="eastAsia" w:ascii="仿宋" w:hAnsi="仿宋" w:eastAsia="仿宋"/>
          <w:color w:val="000000"/>
          <w:sz w:val="32"/>
          <w:u w:color="auto"/>
          <w:lang w:val="en-US" w:eastAsia="zh-CN"/>
        </w:rPr>
        <w:t>减少0.33</w:t>
      </w:r>
      <w:r>
        <w:rPr>
          <w:rFonts w:hint="eastAsia" w:ascii="仿宋" w:hAnsi="仿宋" w:eastAsia="仿宋"/>
          <w:color w:val="000000"/>
          <w:sz w:val="32"/>
          <w:szCs w:val="32"/>
        </w:rPr>
        <w:t>万元，</w:t>
      </w:r>
      <w:r>
        <w:rPr>
          <w:rFonts w:hint="eastAsia" w:ascii="仿宋" w:hAnsi="仿宋" w:eastAsia="仿宋"/>
          <w:color w:val="000000"/>
          <w:sz w:val="32"/>
          <w:szCs w:val="32"/>
          <w:lang w:val="en-US" w:eastAsia="zh-CN"/>
        </w:rPr>
        <w:t>减少</w:t>
      </w:r>
      <w:r>
        <w:rPr>
          <w:rFonts w:hint="eastAsia" w:ascii="仿宋" w:hAnsi="仿宋" w:eastAsia="仿宋"/>
          <w:color w:val="000000"/>
          <w:sz w:val="32"/>
          <w:u w:color="auto"/>
          <w:lang w:val="en-US" w:eastAsia="zh-CN"/>
        </w:rPr>
        <w:t>4.64</w:t>
      </w:r>
      <w:r>
        <w:rPr>
          <w:rFonts w:hint="eastAsia" w:ascii="仿宋" w:hAnsi="仿宋" w:eastAsia="仿宋"/>
          <w:color w:val="000000"/>
          <w:sz w:val="32"/>
          <w:szCs w:val="32"/>
        </w:rPr>
        <w:t>%。</w:t>
      </w:r>
      <w:r>
        <w:rPr>
          <w:rFonts w:ascii="仿宋" w:hAnsi="仿宋" w:eastAsia="仿宋"/>
          <w:color w:val="000000"/>
          <w:sz w:val="32"/>
          <w:u w:color="auto"/>
        </w:rPr>
        <w:t>主要原因是</w:t>
      </w:r>
      <w:r>
        <w:rPr>
          <w:rFonts w:hint="eastAsia" w:ascii="仿宋" w:hAnsi="仿宋" w:eastAsia="仿宋"/>
          <w:color w:val="000000"/>
          <w:sz w:val="32"/>
          <w:u w:color="auto"/>
          <w:lang w:val="en-US" w:eastAsia="zh-CN"/>
        </w:rPr>
        <w:t>公车维修减少</w:t>
      </w:r>
      <w:r>
        <w:rPr>
          <w:rFonts w:ascii="仿宋" w:hAnsi="仿宋" w:eastAsia="仿宋"/>
          <w:color w:val="000000"/>
          <w:sz w:val="32"/>
          <w:u w:color="auto"/>
        </w:rPr>
        <w:t xml:space="preserve">。 </w:t>
      </w:r>
    </w:p>
    <w:p w14:paraId="5F0E325C">
      <w:pPr>
        <w:spacing w:line="600" w:lineRule="exact"/>
        <w:ind w:firstLine="640" w:firstLineChars="200"/>
        <w:rPr>
          <w:rFonts w:ascii="仿宋" w:hAnsi="仿宋" w:eastAsia="仿宋"/>
          <w:color w:val="000000"/>
          <w:sz w:val="32"/>
          <w:szCs w:val="32"/>
        </w:rPr>
      </w:pPr>
      <w:r>
        <w:rPr>
          <w:rFonts w:hint="eastAsia" w:ascii="仿宋" w:hAnsi="仿宋" w:eastAsia="仿宋"/>
          <w:color w:val="000000"/>
          <w:sz w:val="32"/>
          <w:szCs w:val="32"/>
        </w:rPr>
        <w:t>其中：公务用车购置支出</w:t>
      </w:r>
      <w:r>
        <w:rPr>
          <w:rFonts w:ascii="仿宋" w:hAnsi="仿宋" w:eastAsia="仿宋"/>
          <w:color w:val="000000"/>
          <w:sz w:val="32"/>
          <w:u w:color="auto"/>
        </w:rPr>
        <w:t>0.00万元。全年按规定更新购置公务用车0辆，其中：轿车0辆、金额0.00万元，越野车0辆、金额0.00万元，载客汽车0辆、金额0.00万元。截至</w:t>
      </w:r>
      <w:r>
        <w:rPr>
          <w:rFonts w:ascii="仿宋" w:hAnsi="仿宋" w:eastAsia="仿宋"/>
          <w:color w:val="000000"/>
          <w:sz w:val="32"/>
          <w:szCs w:val="32"/>
        </w:rPr>
        <w:t>202</w:t>
      </w:r>
      <w:r>
        <w:rPr>
          <w:rFonts w:hint="eastAsia" w:ascii="仿宋" w:hAnsi="仿宋" w:eastAsia="仿宋"/>
          <w:color w:val="000000"/>
          <w:sz w:val="32"/>
          <w:szCs w:val="32"/>
          <w:lang w:val="en-US" w:eastAsia="zh-CN"/>
        </w:rPr>
        <w:t>5</w:t>
      </w:r>
      <w:r>
        <w:rPr>
          <w:rFonts w:hint="eastAsia" w:ascii="仿宋" w:hAnsi="仿宋" w:eastAsia="仿宋"/>
          <w:color w:val="000000"/>
          <w:sz w:val="32"/>
          <w:szCs w:val="32"/>
        </w:rPr>
        <w:t>年</w:t>
      </w:r>
      <w:r>
        <w:rPr>
          <w:rFonts w:ascii="仿宋" w:hAnsi="仿宋" w:eastAsia="仿宋"/>
          <w:color w:val="000000"/>
          <w:sz w:val="32"/>
          <w:szCs w:val="32"/>
        </w:rPr>
        <w:t>12</w:t>
      </w:r>
      <w:r>
        <w:rPr>
          <w:rFonts w:hint="eastAsia" w:ascii="仿宋" w:hAnsi="仿宋" w:eastAsia="仿宋"/>
          <w:color w:val="000000"/>
          <w:sz w:val="32"/>
          <w:szCs w:val="32"/>
        </w:rPr>
        <w:t>月底，单位共有公务用车</w:t>
      </w:r>
      <w:r>
        <w:rPr>
          <w:rFonts w:hint="eastAsia" w:ascii="仿宋" w:hAnsi="仿宋" w:eastAsia="仿宋"/>
          <w:color w:val="000000"/>
          <w:sz w:val="32"/>
          <w:u w:color="auto"/>
          <w:lang w:val="en-US" w:eastAsia="zh-CN"/>
        </w:rPr>
        <w:t>2</w:t>
      </w:r>
      <w:r>
        <w:rPr>
          <w:rFonts w:hint="eastAsia" w:ascii="仿宋" w:hAnsi="仿宋" w:eastAsia="仿宋"/>
          <w:color w:val="000000"/>
          <w:sz w:val="32"/>
          <w:szCs w:val="32"/>
        </w:rPr>
        <w:t>辆，其中：轿车</w:t>
      </w:r>
      <w:r>
        <w:rPr>
          <w:rFonts w:hint="eastAsia" w:ascii="仿宋" w:hAnsi="仿宋" w:eastAsia="仿宋"/>
          <w:color w:val="000000"/>
          <w:sz w:val="32"/>
          <w:u w:color="auto"/>
          <w:lang w:val="en-US" w:eastAsia="zh-CN"/>
        </w:rPr>
        <w:t>1</w:t>
      </w:r>
      <w:r>
        <w:rPr>
          <w:rFonts w:ascii="仿宋" w:hAnsi="仿宋" w:eastAsia="仿宋"/>
          <w:color w:val="000000"/>
          <w:sz w:val="32"/>
          <w:u w:color="auto"/>
        </w:rPr>
        <w:t>辆、越野车</w:t>
      </w:r>
      <w:r>
        <w:rPr>
          <w:rFonts w:hint="eastAsia" w:ascii="仿宋" w:hAnsi="仿宋" w:eastAsia="仿宋"/>
          <w:color w:val="000000"/>
          <w:sz w:val="32"/>
          <w:u w:color="auto"/>
          <w:lang w:val="en-US" w:eastAsia="zh-CN"/>
        </w:rPr>
        <w:t>1</w:t>
      </w:r>
      <w:r>
        <w:rPr>
          <w:rFonts w:ascii="仿宋" w:hAnsi="仿宋" w:eastAsia="仿宋"/>
          <w:color w:val="000000"/>
          <w:sz w:val="32"/>
          <w:u w:color="auto"/>
        </w:rPr>
        <w:t>辆、载客汽车0辆。</w:t>
      </w:r>
    </w:p>
    <w:p w14:paraId="40C0E442">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公务用车运行维护费支出</w:t>
      </w:r>
      <w:r>
        <w:rPr>
          <w:rFonts w:hint="eastAsia" w:ascii="仿宋" w:hAnsi="仿宋" w:eastAsia="仿宋"/>
          <w:color w:val="000000"/>
          <w:sz w:val="32"/>
          <w:u w:color="auto"/>
          <w:lang w:val="en-US" w:eastAsia="zh-CN"/>
        </w:rPr>
        <w:t>6.78</w:t>
      </w:r>
      <w:r>
        <w:rPr>
          <w:rFonts w:hint="eastAsia" w:ascii="仿宋" w:hAnsi="仿宋" w:eastAsia="仿宋"/>
          <w:color w:val="000000"/>
          <w:sz w:val="32"/>
          <w:szCs w:val="32"/>
        </w:rPr>
        <w:t>万元。</w:t>
      </w:r>
      <w:r>
        <w:rPr>
          <w:rFonts w:ascii="仿宋" w:hAnsi="仿宋" w:eastAsia="仿宋"/>
          <w:color w:val="000000"/>
          <w:sz w:val="32"/>
          <w:u w:color="auto"/>
        </w:rPr>
        <w:t>主要用于公车维修</w:t>
      </w:r>
      <w:r>
        <w:rPr>
          <w:rFonts w:hint="eastAsia" w:ascii="仿宋" w:hAnsi="仿宋" w:eastAsia="仿宋"/>
          <w:color w:val="000000"/>
          <w:sz w:val="32"/>
          <w:u w:color="auto"/>
          <w:lang w:val="en-US" w:eastAsia="zh-CN"/>
        </w:rPr>
        <w:t>及油费</w:t>
      </w:r>
      <w:r>
        <w:rPr>
          <w:rFonts w:ascii="仿宋" w:hAnsi="仿宋" w:eastAsia="仿宋"/>
          <w:color w:val="000000"/>
          <w:sz w:val="32"/>
          <w:u w:color="auto"/>
        </w:rPr>
        <w:t xml:space="preserve">。 </w:t>
      </w:r>
    </w:p>
    <w:p w14:paraId="53D9FB95">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3.公务接待费支出</w:t>
      </w:r>
      <w:r>
        <w:rPr>
          <w:rFonts w:hint="eastAsia" w:ascii="仿宋" w:hAnsi="仿宋" w:eastAsia="仿宋"/>
          <w:color w:val="000000"/>
          <w:sz w:val="32"/>
          <w:u w:color="auto"/>
          <w:lang w:val="en-US" w:eastAsia="zh-CN"/>
        </w:rPr>
        <w:t>239.75</w:t>
      </w:r>
      <w:r>
        <w:rPr>
          <w:rFonts w:ascii="仿宋" w:hAnsi="仿宋" w:eastAsia="仿宋"/>
          <w:color w:val="000000"/>
          <w:sz w:val="32"/>
          <w:u w:color="auto"/>
        </w:rPr>
        <w:t>万元，完成预算</w:t>
      </w:r>
      <w:r>
        <w:rPr>
          <w:rFonts w:hint="eastAsia" w:ascii="仿宋" w:hAnsi="仿宋" w:eastAsia="仿宋"/>
          <w:color w:val="000000"/>
          <w:sz w:val="32"/>
          <w:u w:color="auto"/>
          <w:lang w:val="en-US" w:eastAsia="zh-CN"/>
        </w:rPr>
        <w:t>78.71</w:t>
      </w:r>
      <w:r>
        <w:rPr>
          <w:rFonts w:hint="eastAsia" w:ascii="仿宋" w:hAnsi="仿宋" w:eastAsia="仿宋"/>
          <w:color w:val="000000"/>
          <w:sz w:val="32"/>
          <w:szCs w:val="32"/>
        </w:rPr>
        <w:t>%。公务接待费支出决算比</w:t>
      </w:r>
      <w:r>
        <w:rPr>
          <w:rFonts w:ascii="仿宋" w:hAnsi="仿宋" w:eastAsia="仿宋"/>
          <w:color w:val="000000"/>
          <w:sz w:val="32"/>
          <w:u w:color="auto"/>
        </w:rPr>
        <w:t>202</w:t>
      </w:r>
      <w:r>
        <w:rPr>
          <w:rFonts w:hint="eastAsia" w:ascii="仿宋" w:hAnsi="仿宋" w:eastAsia="仿宋"/>
          <w:color w:val="000000"/>
          <w:sz w:val="32"/>
          <w:u w:color="auto"/>
          <w:lang w:val="en-US" w:eastAsia="zh-CN"/>
        </w:rPr>
        <w:t>4</w:t>
      </w:r>
      <w:r>
        <w:rPr>
          <w:rFonts w:ascii="仿宋" w:hAnsi="仿宋" w:eastAsia="仿宋"/>
          <w:color w:val="000000"/>
          <w:sz w:val="32"/>
          <w:u w:color="auto"/>
        </w:rPr>
        <w:t>年</w:t>
      </w:r>
      <w:r>
        <w:rPr>
          <w:rFonts w:hint="eastAsia" w:ascii="仿宋" w:hAnsi="仿宋" w:eastAsia="仿宋"/>
          <w:color w:val="000000"/>
          <w:sz w:val="32"/>
          <w:u w:color="auto"/>
          <w:lang w:eastAsia="zh-CN"/>
        </w:rPr>
        <w:t>增加</w:t>
      </w:r>
      <w:r>
        <w:rPr>
          <w:rFonts w:hint="eastAsia" w:ascii="仿宋" w:hAnsi="仿宋" w:eastAsia="仿宋"/>
          <w:color w:val="000000"/>
          <w:sz w:val="32"/>
          <w:u w:color="auto"/>
          <w:lang w:val="en-US" w:eastAsia="zh-CN"/>
        </w:rPr>
        <w:t>59.75</w:t>
      </w:r>
      <w:r>
        <w:rPr>
          <w:rFonts w:hint="eastAsia" w:ascii="仿宋" w:hAnsi="仿宋" w:eastAsia="仿宋"/>
          <w:color w:val="000000"/>
          <w:sz w:val="32"/>
          <w:szCs w:val="32"/>
        </w:rPr>
        <w:t>万元，</w:t>
      </w:r>
      <w:r>
        <w:rPr>
          <w:rFonts w:hint="eastAsia" w:ascii="仿宋" w:hAnsi="仿宋" w:eastAsia="仿宋"/>
          <w:color w:val="000000"/>
          <w:sz w:val="32"/>
          <w:u w:color="auto"/>
          <w:lang w:eastAsia="zh-CN"/>
        </w:rPr>
        <w:t>增加</w:t>
      </w:r>
      <w:r>
        <w:rPr>
          <w:rFonts w:hint="eastAsia" w:ascii="仿宋" w:hAnsi="仿宋" w:eastAsia="仿宋"/>
          <w:color w:val="000000"/>
          <w:sz w:val="32"/>
          <w:u w:color="auto"/>
          <w:lang w:val="en-US" w:eastAsia="zh-CN"/>
        </w:rPr>
        <w:t>33.19</w:t>
      </w:r>
      <w:r>
        <w:rPr>
          <w:rFonts w:ascii="仿宋" w:hAnsi="仿宋" w:eastAsia="仿宋"/>
          <w:color w:val="000000"/>
          <w:sz w:val="32"/>
          <w:szCs w:val="32"/>
        </w:rPr>
        <w:t>%</w:t>
      </w:r>
      <w:r>
        <w:rPr>
          <w:rFonts w:hint="eastAsia" w:ascii="仿宋" w:hAnsi="仿宋" w:eastAsia="仿宋"/>
          <w:color w:val="000000"/>
          <w:sz w:val="32"/>
          <w:szCs w:val="32"/>
        </w:rPr>
        <w:t>。</w:t>
      </w:r>
      <w:bookmarkStart w:id="59" w:name="_Toc15377218"/>
      <w:r>
        <w:rPr>
          <w:rFonts w:hint="eastAsia" w:ascii="仿宋" w:hAnsi="仿宋" w:eastAsia="仿宋"/>
          <w:color w:val="000000"/>
          <w:sz w:val="32"/>
          <w:szCs w:val="32"/>
        </w:rPr>
        <w:t>主要原因是</w:t>
      </w:r>
      <w:r>
        <w:rPr>
          <w:rFonts w:hint="eastAsia" w:ascii="仿宋" w:hAnsi="仿宋" w:eastAsia="仿宋"/>
          <w:color w:val="000000"/>
          <w:sz w:val="32"/>
          <w:szCs w:val="32"/>
          <w:lang w:eastAsia="zh-CN"/>
        </w:rPr>
        <w:t>支付了以往年度的</w:t>
      </w:r>
      <w:r>
        <w:rPr>
          <w:rFonts w:hint="eastAsia" w:ascii="仿宋" w:hAnsi="仿宋" w:eastAsia="仿宋"/>
          <w:color w:val="000000"/>
          <w:sz w:val="32"/>
          <w:szCs w:val="32"/>
        </w:rPr>
        <w:t>活动</w:t>
      </w:r>
      <w:r>
        <w:rPr>
          <w:rFonts w:hint="eastAsia" w:ascii="仿宋" w:hAnsi="仿宋" w:eastAsia="仿宋"/>
          <w:color w:val="000000"/>
          <w:sz w:val="32"/>
          <w:szCs w:val="32"/>
          <w:lang w:eastAsia="zh-CN"/>
        </w:rPr>
        <w:t>费用</w:t>
      </w:r>
      <w:r>
        <w:rPr>
          <w:rFonts w:hint="eastAsia" w:ascii="仿宋" w:hAnsi="仿宋" w:eastAsia="仿宋"/>
          <w:color w:val="000000"/>
          <w:sz w:val="32"/>
          <w:szCs w:val="32"/>
        </w:rPr>
        <w:t xml:space="preserve">。 </w:t>
      </w:r>
    </w:p>
    <w:p w14:paraId="568858AC">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国内公务接待支出</w:t>
      </w:r>
      <w:r>
        <w:rPr>
          <w:rFonts w:hint="eastAsia" w:ascii="仿宋" w:hAnsi="仿宋" w:eastAsia="仿宋"/>
          <w:color w:val="000000"/>
          <w:sz w:val="32"/>
          <w:u w:color="auto"/>
          <w:lang w:val="en-US" w:eastAsia="zh-CN"/>
        </w:rPr>
        <w:t>239.75</w:t>
      </w:r>
      <w:r>
        <w:rPr>
          <w:rFonts w:ascii="仿宋" w:hAnsi="仿宋" w:eastAsia="仿宋"/>
          <w:color w:val="000000"/>
          <w:sz w:val="32"/>
          <w:u w:color="auto"/>
        </w:rPr>
        <w:t>万元。国内公务接待</w:t>
      </w:r>
      <w:r>
        <w:rPr>
          <w:rFonts w:hint="eastAsia" w:ascii="仿宋" w:hAnsi="仿宋" w:eastAsia="仿宋"/>
          <w:color w:val="000000"/>
          <w:sz w:val="32"/>
          <w:u w:color="auto"/>
          <w:lang w:val="en-US" w:eastAsia="zh-CN"/>
        </w:rPr>
        <w:t>428</w:t>
      </w:r>
      <w:r>
        <w:rPr>
          <w:rFonts w:ascii="仿宋" w:hAnsi="仿宋" w:eastAsia="仿宋"/>
          <w:color w:val="000000"/>
          <w:sz w:val="32"/>
          <w:u w:color="auto"/>
        </w:rPr>
        <w:t>批次，</w:t>
      </w:r>
      <w:r>
        <w:rPr>
          <w:rFonts w:hint="eastAsia" w:ascii="仿宋" w:hAnsi="仿宋" w:eastAsia="仿宋"/>
          <w:color w:val="000000"/>
          <w:sz w:val="32"/>
          <w:u w:color="auto"/>
          <w:lang w:val="en-US" w:eastAsia="zh-CN"/>
        </w:rPr>
        <w:t>12978</w:t>
      </w:r>
      <w:r>
        <w:rPr>
          <w:rFonts w:ascii="仿宋" w:hAnsi="仿宋" w:eastAsia="仿宋"/>
          <w:color w:val="000000"/>
          <w:sz w:val="32"/>
          <w:u w:color="auto"/>
        </w:rPr>
        <w:t>人次（不包括陪同人员），共计支出</w:t>
      </w:r>
      <w:r>
        <w:rPr>
          <w:rFonts w:hint="eastAsia" w:ascii="仿宋" w:hAnsi="仿宋" w:eastAsia="仿宋"/>
          <w:color w:val="000000"/>
          <w:sz w:val="32"/>
          <w:u w:color="auto"/>
          <w:lang w:val="en-US" w:eastAsia="zh-CN"/>
        </w:rPr>
        <w:t>239.75</w:t>
      </w:r>
      <w:r>
        <w:rPr>
          <w:rFonts w:ascii="仿宋" w:hAnsi="仿宋" w:eastAsia="仿宋"/>
          <w:color w:val="000000"/>
          <w:sz w:val="32"/>
          <w:u w:color="auto"/>
        </w:rPr>
        <w:t>万元。</w:t>
      </w:r>
    </w:p>
    <w:p w14:paraId="5B77FDC6">
      <w:pPr>
        <w:pStyle w:val="5"/>
        <w:rPr>
          <w:rFonts w:ascii="仿宋" w:hAnsi="仿宋" w:eastAsia="仿宋"/>
          <w:color w:val="000000"/>
          <w:sz w:val="32"/>
          <w:szCs w:val="32"/>
        </w:rPr>
      </w:pPr>
      <w:r>
        <w:rPr>
          <w:rFonts w:hint="eastAsia" w:ascii="仿宋" w:hAnsi="仿宋" w:eastAsia="仿宋"/>
          <w:color w:val="000000"/>
          <w:sz w:val="32"/>
          <w:szCs w:val="32"/>
        </w:rPr>
        <w:t>外事接待支出</w:t>
      </w:r>
      <w:r>
        <w:rPr>
          <w:rFonts w:ascii="仿宋" w:hAnsi="仿宋" w:eastAsia="仿宋"/>
          <w:color w:val="000000"/>
          <w:sz w:val="32"/>
          <w:u w:color="auto"/>
        </w:rPr>
        <w:t>0.00万元，外事接待0批次，0人，共计支出0.00万元。</w:t>
      </w:r>
    </w:p>
    <w:p w14:paraId="22A537A2">
      <w:pPr>
        <w:pStyle w:val="3"/>
        <w:ind w:firstLine="643" w:firstLineChars="200"/>
        <w:rPr>
          <w:rFonts w:ascii="黑体" w:eastAsia="黑体" w:cs="Times New Roman"/>
          <w:bCs w:val="0"/>
          <w:color w:val="000000"/>
        </w:rPr>
      </w:pPr>
      <w:bookmarkStart w:id="60" w:name="_Toc111208506"/>
      <w:bookmarkStart w:id="61" w:name="_Toc20439"/>
      <w:r>
        <w:rPr>
          <w:rFonts w:hint="eastAsia" w:ascii="黑体" w:eastAsia="黑体" w:cs="Times New Roman"/>
          <w:bCs w:val="0"/>
          <w:color w:val="000000"/>
        </w:rPr>
        <w:t>八、政府性基金预算支出决算情况说明</w:t>
      </w:r>
      <w:bookmarkEnd w:id="59"/>
      <w:bookmarkEnd w:id="60"/>
      <w:bookmarkEnd w:id="61"/>
    </w:p>
    <w:p w14:paraId="40E43D2E">
      <w:pPr>
        <w:spacing w:line="600" w:lineRule="exact"/>
        <w:ind w:firstLine="640"/>
        <w:rPr>
          <w:rFonts w:ascii="仿宋" w:hAnsi="仿宋" w:eastAsia="仿宋"/>
        </w:rPr>
      </w:pPr>
      <w:r>
        <w:rPr>
          <w:rFonts w:hint="eastAsia" w:ascii="仿宋" w:hAnsi="仿宋" w:eastAsia="仿宋"/>
          <w:color w:val="000000"/>
          <w:sz w:val="32"/>
          <w:szCs w:val="32"/>
        </w:rPr>
        <w:t>202</w:t>
      </w:r>
      <w:r>
        <w:rPr>
          <w:rFonts w:hint="eastAsia" w:ascii="仿宋" w:hAnsi="仿宋" w:eastAsia="仿宋"/>
          <w:color w:val="000000"/>
          <w:sz w:val="32"/>
          <w:szCs w:val="32"/>
          <w:lang w:val="en-US" w:eastAsia="zh-CN"/>
        </w:rPr>
        <w:t>5</w:t>
      </w:r>
      <w:r>
        <w:rPr>
          <w:rFonts w:ascii="仿宋" w:hAnsi="仿宋" w:eastAsia="仿宋"/>
          <w:color w:val="000000"/>
          <w:sz w:val="32"/>
          <w:u w:color="auto"/>
        </w:rPr>
        <w:t>年政府性基金预算拨款支出0.00</w:t>
      </w:r>
      <w:r>
        <w:rPr>
          <w:rFonts w:hint="eastAsia" w:ascii="仿宋" w:hAnsi="仿宋" w:eastAsia="仿宋"/>
          <w:color w:val="000000"/>
          <w:sz w:val="32"/>
          <w:szCs w:val="32"/>
        </w:rPr>
        <w:t>万元。</w:t>
      </w:r>
      <w:bookmarkStart w:id="62" w:name="_Toc15377219"/>
    </w:p>
    <w:p w14:paraId="772C512B">
      <w:pPr>
        <w:pStyle w:val="3"/>
        <w:ind w:firstLine="643" w:firstLineChars="200"/>
        <w:rPr>
          <w:rFonts w:ascii="黑体" w:eastAsia="黑体" w:cs="Times New Roman"/>
          <w:bCs w:val="0"/>
          <w:color w:val="000000"/>
        </w:rPr>
      </w:pPr>
      <w:bookmarkStart w:id="63" w:name="_Toc23467"/>
      <w:bookmarkStart w:id="64" w:name="_Toc111208507"/>
      <w:r>
        <w:rPr>
          <w:rFonts w:hint="eastAsia" w:ascii="黑体" w:eastAsia="黑体" w:cs="Times New Roman"/>
          <w:bCs w:val="0"/>
          <w:color w:val="000000"/>
        </w:rPr>
        <w:t>九、国有资本经营预算支出决算情况说明</w:t>
      </w:r>
      <w:bookmarkEnd w:id="62"/>
      <w:bookmarkEnd w:id="63"/>
      <w:bookmarkEnd w:id="64"/>
    </w:p>
    <w:p w14:paraId="673BD4F5">
      <w:pPr>
        <w:spacing w:line="600" w:lineRule="exact"/>
        <w:ind w:firstLine="640"/>
        <w:rPr>
          <w:rFonts w:ascii="仿宋" w:hAnsi="仿宋" w:eastAsia="仿宋"/>
        </w:rPr>
      </w:pPr>
      <w:r>
        <w:rPr>
          <w:rFonts w:hint="eastAsia" w:ascii="仿宋" w:hAnsi="仿宋" w:eastAsia="仿宋"/>
          <w:color w:val="000000"/>
          <w:sz w:val="32"/>
          <w:szCs w:val="32"/>
        </w:rPr>
        <w:t>202</w:t>
      </w:r>
      <w:r>
        <w:rPr>
          <w:rFonts w:hint="eastAsia" w:ascii="仿宋" w:hAnsi="仿宋" w:eastAsia="仿宋"/>
          <w:color w:val="000000"/>
          <w:sz w:val="32"/>
          <w:szCs w:val="32"/>
          <w:lang w:val="en-US" w:eastAsia="zh-CN"/>
        </w:rPr>
        <w:t>5</w:t>
      </w:r>
      <w:r>
        <w:rPr>
          <w:rFonts w:ascii="仿宋" w:hAnsi="仿宋" w:eastAsia="仿宋"/>
          <w:color w:val="000000"/>
          <w:sz w:val="32"/>
          <w:u w:color="auto"/>
        </w:rPr>
        <w:t>年国有资本经营预算拨款支出0.00</w:t>
      </w:r>
      <w:r>
        <w:rPr>
          <w:rFonts w:hint="eastAsia" w:ascii="仿宋" w:hAnsi="仿宋" w:eastAsia="仿宋"/>
          <w:color w:val="000000"/>
          <w:sz w:val="32"/>
          <w:szCs w:val="32"/>
        </w:rPr>
        <w:t>万元。</w:t>
      </w:r>
    </w:p>
    <w:p w14:paraId="0A2ECE58">
      <w:pPr>
        <w:pStyle w:val="3"/>
        <w:ind w:firstLine="643" w:firstLineChars="200"/>
        <w:rPr>
          <w:rFonts w:ascii="黑体" w:eastAsia="黑体" w:cs="Times New Roman"/>
          <w:bCs w:val="0"/>
          <w:color w:val="000000"/>
        </w:rPr>
      </w:pPr>
      <w:bookmarkStart w:id="65" w:name="_Toc18455"/>
      <w:bookmarkStart w:id="66" w:name="_Toc15377221"/>
      <w:bookmarkStart w:id="67" w:name="_Toc111208508"/>
      <w:r>
        <w:rPr>
          <w:rFonts w:hint="eastAsia" w:ascii="黑体" w:eastAsia="黑体" w:cs="Times New Roman"/>
          <w:bCs w:val="0"/>
          <w:color w:val="000000"/>
        </w:rPr>
        <w:t>十、其他重要事项的情况说明</w:t>
      </w:r>
      <w:bookmarkEnd w:id="65"/>
      <w:bookmarkEnd w:id="66"/>
      <w:bookmarkEnd w:id="67"/>
    </w:p>
    <w:p w14:paraId="2DABD418">
      <w:pPr>
        <w:spacing w:line="600" w:lineRule="exact"/>
        <w:ind w:firstLine="643" w:firstLineChars="200"/>
        <w:outlineLvl w:val="2"/>
        <w:rPr>
          <w:rFonts w:ascii="仿宋" w:hAnsi="仿宋" w:eastAsia="仿宋"/>
          <w:b/>
          <w:color w:val="000000"/>
          <w:sz w:val="32"/>
          <w:szCs w:val="32"/>
        </w:rPr>
      </w:pPr>
      <w:bookmarkStart w:id="68" w:name="_Toc15377222"/>
      <w:r>
        <w:rPr>
          <w:rFonts w:hint="eastAsia" w:ascii="仿宋" w:hAnsi="仿宋" w:eastAsia="仿宋"/>
          <w:b/>
          <w:color w:val="000000"/>
          <w:sz w:val="32"/>
          <w:szCs w:val="32"/>
        </w:rPr>
        <w:t>（一）机关运行经费支出情况</w:t>
      </w:r>
      <w:bookmarkEnd w:id="68"/>
    </w:p>
    <w:p w14:paraId="7C70316F">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202</w:t>
      </w:r>
      <w:r>
        <w:rPr>
          <w:rFonts w:hint="eastAsia" w:ascii="仿宋" w:hAnsi="仿宋" w:eastAsia="仿宋"/>
          <w:color w:val="000000"/>
          <w:sz w:val="32"/>
          <w:szCs w:val="32"/>
          <w:lang w:val="en-US" w:eastAsia="zh-CN"/>
        </w:rPr>
        <w:t>5</w:t>
      </w:r>
      <w:r>
        <w:rPr>
          <w:rFonts w:ascii="仿宋" w:hAnsi="仿宋" w:eastAsia="仿宋"/>
          <w:color w:val="000000"/>
          <w:sz w:val="32"/>
          <w:u w:color="auto"/>
        </w:rPr>
        <w:t>年，机关运行经费支出0.00</w:t>
      </w:r>
      <w:r>
        <w:rPr>
          <w:rFonts w:hint="eastAsia" w:ascii="仿宋" w:hAnsi="仿宋" w:eastAsia="仿宋"/>
          <w:color w:val="000000"/>
          <w:sz w:val="32"/>
          <w:szCs w:val="32"/>
        </w:rPr>
        <w:t>万元，比</w:t>
      </w:r>
      <w:r>
        <w:rPr>
          <w:rFonts w:ascii="仿宋" w:hAnsi="仿宋" w:eastAsia="仿宋"/>
          <w:color w:val="000000"/>
          <w:sz w:val="32"/>
          <w:u w:color="auto"/>
        </w:rPr>
        <w:t>202</w:t>
      </w:r>
      <w:r>
        <w:rPr>
          <w:rFonts w:hint="eastAsia" w:ascii="仿宋" w:hAnsi="仿宋" w:eastAsia="仿宋"/>
          <w:color w:val="000000"/>
          <w:sz w:val="32"/>
          <w:u w:color="auto"/>
          <w:lang w:val="en-US" w:eastAsia="zh-CN"/>
        </w:rPr>
        <w:t>4</w:t>
      </w:r>
      <w:r>
        <w:rPr>
          <w:rFonts w:ascii="仿宋" w:hAnsi="仿宋" w:eastAsia="仿宋"/>
          <w:color w:val="000000"/>
          <w:sz w:val="32"/>
          <w:u w:color="auto"/>
        </w:rPr>
        <w:t>年增加0.00</w:t>
      </w:r>
      <w:r>
        <w:rPr>
          <w:rFonts w:hint="eastAsia" w:ascii="仿宋" w:hAnsi="仿宋" w:eastAsia="仿宋"/>
          <w:color w:val="000000"/>
          <w:sz w:val="32"/>
          <w:szCs w:val="32"/>
        </w:rPr>
        <w:t>万元，</w:t>
      </w:r>
      <w:r>
        <w:rPr>
          <w:rFonts w:ascii="仿宋" w:hAnsi="仿宋" w:eastAsia="仿宋"/>
          <w:color w:val="000000"/>
          <w:sz w:val="32"/>
          <w:u w:color="auto"/>
        </w:rPr>
        <w:t xml:space="preserve">增加0.00 %。 </w:t>
      </w:r>
    </w:p>
    <w:p w14:paraId="00E64FA0">
      <w:pPr>
        <w:spacing w:line="600" w:lineRule="exact"/>
        <w:ind w:firstLine="643" w:firstLineChars="200"/>
        <w:outlineLvl w:val="2"/>
        <w:rPr>
          <w:rFonts w:ascii="仿宋" w:hAnsi="仿宋" w:eastAsia="仿宋"/>
          <w:b/>
          <w:color w:val="000000"/>
          <w:sz w:val="32"/>
          <w:szCs w:val="32"/>
        </w:rPr>
      </w:pPr>
      <w:bookmarkStart w:id="69" w:name="_Toc15377223"/>
      <w:r>
        <w:rPr>
          <w:rFonts w:hint="eastAsia" w:ascii="仿宋" w:hAnsi="仿宋" w:eastAsia="仿宋"/>
          <w:b/>
          <w:color w:val="000000"/>
          <w:sz w:val="32"/>
          <w:szCs w:val="32"/>
        </w:rPr>
        <w:t>（二）政府采购支出情况</w:t>
      </w:r>
      <w:bookmarkEnd w:id="69"/>
      <w:r>
        <w:rPr>
          <w:rFonts w:hint="eastAsia" w:ascii="仿宋" w:hAnsi="仿宋" w:eastAsia="仿宋"/>
          <w:b/>
          <w:color w:val="000000"/>
          <w:sz w:val="32"/>
          <w:szCs w:val="32"/>
        </w:rPr>
        <w:t>(机构运行信息表)</w:t>
      </w:r>
    </w:p>
    <w:p w14:paraId="4473DA31">
      <w:pPr>
        <w:spacing w:line="600" w:lineRule="exact"/>
        <w:ind w:firstLine="640"/>
        <w:rPr>
          <w:rFonts w:ascii="仿宋_GB2312" w:eastAsia="仿宋_GB2312"/>
          <w:color w:val="000000"/>
          <w:sz w:val="32"/>
          <w:szCs w:val="32"/>
        </w:rPr>
      </w:pPr>
      <w:r>
        <w:rPr>
          <w:rFonts w:hint="eastAsia" w:ascii="仿宋" w:hAnsi="仿宋" w:eastAsia="仿宋"/>
          <w:color w:val="000000"/>
          <w:sz w:val="32"/>
          <w:szCs w:val="32"/>
        </w:rPr>
        <w:t>202</w:t>
      </w:r>
      <w:r>
        <w:rPr>
          <w:rFonts w:hint="eastAsia" w:ascii="仿宋" w:hAnsi="仿宋" w:eastAsia="仿宋"/>
          <w:color w:val="000000"/>
          <w:sz w:val="32"/>
          <w:szCs w:val="32"/>
          <w:lang w:val="en-US" w:eastAsia="zh-CN"/>
        </w:rPr>
        <w:t>5</w:t>
      </w:r>
      <w:r>
        <w:rPr>
          <w:rFonts w:ascii="仿宋" w:hAnsi="仿宋" w:eastAsia="仿宋"/>
          <w:color w:val="000000"/>
          <w:sz w:val="32"/>
          <w:u w:color="auto"/>
        </w:rPr>
        <w:t>年，政府采购支出总额</w:t>
      </w:r>
      <w:r>
        <w:rPr>
          <w:rFonts w:hint="eastAsia" w:ascii="仿宋" w:hAnsi="仿宋" w:eastAsia="仿宋"/>
          <w:color w:val="000000"/>
          <w:sz w:val="32"/>
          <w:u w:color="auto"/>
          <w:lang w:val="en-US" w:eastAsia="zh-CN"/>
        </w:rPr>
        <w:t>0</w:t>
      </w:r>
      <w:r>
        <w:rPr>
          <w:rFonts w:hint="eastAsia" w:ascii="仿宋" w:hAnsi="仿宋" w:eastAsia="仿宋"/>
          <w:color w:val="000000"/>
          <w:sz w:val="32"/>
          <w:szCs w:val="32"/>
        </w:rPr>
        <w:t>万元，其中：政府采购货物支出</w:t>
      </w:r>
      <w:r>
        <w:rPr>
          <w:rFonts w:hint="eastAsia" w:ascii="仿宋" w:hAnsi="仿宋" w:eastAsia="仿宋"/>
          <w:color w:val="000000"/>
          <w:sz w:val="32"/>
          <w:u w:color="auto"/>
          <w:lang w:val="en-US" w:eastAsia="zh-CN"/>
        </w:rPr>
        <w:t>0</w:t>
      </w:r>
      <w:r>
        <w:rPr>
          <w:rFonts w:hint="eastAsia" w:ascii="仿宋" w:hAnsi="仿宋" w:eastAsia="仿宋"/>
          <w:color w:val="000000"/>
          <w:sz w:val="32"/>
          <w:szCs w:val="32"/>
        </w:rPr>
        <w:t>万元、政府采购工程支出</w:t>
      </w:r>
      <w:r>
        <w:rPr>
          <w:rFonts w:ascii="仿宋" w:hAnsi="仿宋" w:eastAsia="仿宋"/>
          <w:color w:val="000000"/>
          <w:sz w:val="32"/>
          <w:u w:color="auto"/>
        </w:rPr>
        <w:t>0.00</w:t>
      </w:r>
      <w:r>
        <w:rPr>
          <w:rFonts w:hint="eastAsia" w:ascii="仿宋" w:hAnsi="仿宋" w:eastAsia="仿宋"/>
          <w:color w:val="000000"/>
          <w:sz w:val="32"/>
          <w:szCs w:val="32"/>
        </w:rPr>
        <w:t>万元、政府采购服务支出</w:t>
      </w:r>
      <w:r>
        <w:rPr>
          <w:rFonts w:ascii="仿宋" w:hAnsi="仿宋" w:eastAsia="仿宋"/>
          <w:color w:val="000000"/>
          <w:sz w:val="32"/>
          <w:u w:color="auto"/>
        </w:rPr>
        <w:t>0.00</w:t>
      </w:r>
      <w:r>
        <w:rPr>
          <w:rFonts w:hint="eastAsia" w:ascii="仿宋" w:hAnsi="仿宋" w:eastAsia="仿宋"/>
          <w:color w:val="000000"/>
          <w:sz w:val="32"/>
          <w:szCs w:val="32"/>
        </w:rPr>
        <w:t>万元。授予中小企业合同金额</w:t>
      </w:r>
      <w:r>
        <w:rPr>
          <w:rFonts w:hint="eastAsia" w:ascii="仿宋" w:hAnsi="仿宋" w:eastAsia="仿宋"/>
          <w:color w:val="000000"/>
          <w:sz w:val="32"/>
          <w:u w:color="auto"/>
          <w:lang w:val="en-US" w:eastAsia="zh-CN"/>
        </w:rPr>
        <w:t>0</w:t>
      </w:r>
      <w:r>
        <w:rPr>
          <w:rFonts w:hint="eastAsia" w:ascii="仿宋" w:hAnsi="仿宋" w:eastAsia="仿宋"/>
          <w:color w:val="000000"/>
          <w:sz w:val="32"/>
          <w:szCs w:val="32"/>
        </w:rPr>
        <w:t>万元，其中：授予小微企业合同金额</w:t>
      </w:r>
      <w:r>
        <w:rPr>
          <w:rFonts w:hint="eastAsia" w:ascii="仿宋" w:hAnsi="仿宋" w:eastAsia="仿宋"/>
          <w:color w:val="000000"/>
          <w:sz w:val="32"/>
          <w:u w:color="auto"/>
          <w:lang w:val="en-US" w:eastAsia="zh-CN"/>
        </w:rPr>
        <w:t>0</w:t>
      </w:r>
      <w:r>
        <w:rPr>
          <w:rFonts w:hint="eastAsia" w:ascii="仿宋" w:hAnsi="仿宋" w:eastAsia="仿宋"/>
          <w:color w:val="000000"/>
          <w:sz w:val="32"/>
          <w:szCs w:val="32"/>
        </w:rPr>
        <w:t>万元，占总合同的</w:t>
      </w:r>
      <w:r>
        <w:rPr>
          <w:rFonts w:hint="eastAsia" w:ascii="仿宋" w:hAnsi="仿宋" w:eastAsia="仿宋"/>
          <w:color w:val="000000"/>
          <w:sz w:val="32"/>
          <w:u w:color="auto"/>
          <w:lang w:val="en-US" w:eastAsia="zh-CN"/>
        </w:rPr>
        <w:t>0</w:t>
      </w:r>
      <w:r>
        <w:rPr>
          <w:rFonts w:hint="eastAsia" w:ascii="仿宋" w:hAnsi="仿宋" w:eastAsia="仿宋"/>
          <w:color w:val="000000"/>
          <w:sz w:val="32"/>
          <w:szCs w:val="32"/>
        </w:rPr>
        <w:t>%。</w:t>
      </w:r>
    </w:p>
    <w:p w14:paraId="0FC4FD97">
      <w:pPr>
        <w:spacing w:line="600" w:lineRule="exact"/>
        <w:ind w:firstLine="643" w:firstLineChars="200"/>
        <w:outlineLvl w:val="2"/>
        <w:rPr>
          <w:rFonts w:ascii="仿宋" w:hAnsi="仿宋" w:eastAsia="仿宋"/>
          <w:b/>
          <w:color w:val="000000"/>
          <w:sz w:val="32"/>
          <w:szCs w:val="32"/>
        </w:rPr>
      </w:pPr>
      <w:bookmarkStart w:id="70" w:name="_Toc15377224"/>
      <w:r>
        <w:rPr>
          <w:rFonts w:hint="eastAsia" w:ascii="仿宋" w:hAnsi="仿宋" w:eastAsia="仿宋"/>
          <w:b/>
          <w:color w:val="000000"/>
          <w:sz w:val="32"/>
          <w:szCs w:val="32"/>
        </w:rPr>
        <w:t>（三）国有资产占有使用情况</w:t>
      </w:r>
      <w:bookmarkEnd w:id="70"/>
    </w:p>
    <w:p w14:paraId="2273A3F0">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截至</w:t>
      </w:r>
      <w:r>
        <w:rPr>
          <w:rFonts w:ascii="仿宋" w:hAnsi="仿宋" w:eastAsia="仿宋"/>
          <w:color w:val="000000"/>
          <w:sz w:val="32"/>
          <w:u w:color="auto"/>
        </w:rPr>
        <w:t>202</w:t>
      </w:r>
      <w:r>
        <w:rPr>
          <w:rFonts w:hint="eastAsia" w:ascii="仿宋" w:hAnsi="仿宋" w:eastAsia="仿宋"/>
          <w:color w:val="000000"/>
          <w:sz w:val="32"/>
          <w:u w:color="auto"/>
          <w:lang w:val="en-US" w:eastAsia="zh-CN"/>
        </w:rPr>
        <w:t>5</w:t>
      </w:r>
      <w:r>
        <w:rPr>
          <w:rFonts w:ascii="仿宋" w:hAnsi="仿宋" w:eastAsia="仿宋"/>
          <w:color w:val="000000"/>
          <w:sz w:val="32"/>
          <w:u w:color="auto"/>
        </w:rPr>
        <w:t>年</w:t>
      </w:r>
      <w:r>
        <w:rPr>
          <w:rFonts w:ascii="仿宋" w:hAnsi="仿宋" w:eastAsia="仿宋"/>
          <w:color w:val="000000"/>
          <w:sz w:val="32"/>
          <w:szCs w:val="32"/>
        </w:rPr>
        <w:t>12</w:t>
      </w:r>
      <w:r>
        <w:rPr>
          <w:rFonts w:hint="eastAsia" w:ascii="仿宋" w:hAnsi="仿宋" w:eastAsia="仿宋"/>
          <w:color w:val="000000"/>
          <w:sz w:val="32"/>
          <w:szCs w:val="32"/>
        </w:rPr>
        <w:t>月</w:t>
      </w:r>
      <w:r>
        <w:rPr>
          <w:rFonts w:ascii="仿宋" w:hAnsi="仿宋" w:eastAsia="仿宋"/>
          <w:color w:val="000000"/>
          <w:sz w:val="32"/>
          <w:szCs w:val="32"/>
        </w:rPr>
        <w:t>31</w:t>
      </w:r>
      <w:r>
        <w:rPr>
          <w:rFonts w:hint="eastAsia" w:ascii="仿宋" w:hAnsi="仿宋" w:eastAsia="仿宋"/>
          <w:color w:val="000000"/>
          <w:sz w:val="32"/>
          <w:szCs w:val="32"/>
        </w:rPr>
        <w:t>日，共有车辆</w:t>
      </w:r>
      <w:r>
        <w:rPr>
          <w:rFonts w:hint="eastAsia" w:ascii="仿宋" w:hAnsi="仿宋" w:eastAsia="仿宋"/>
          <w:color w:val="000000"/>
          <w:sz w:val="32"/>
          <w:u w:color="auto"/>
          <w:lang w:val="en-US" w:eastAsia="zh-CN"/>
        </w:rPr>
        <w:t>2</w:t>
      </w:r>
      <w:r>
        <w:rPr>
          <w:rFonts w:ascii="仿宋" w:hAnsi="仿宋" w:eastAsia="仿宋"/>
          <w:color w:val="000000"/>
          <w:sz w:val="32"/>
          <w:u w:color="auto"/>
        </w:rPr>
        <w:t>辆，其中：主要领导干部用车0</w:t>
      </w:r>
      <w:r>
        <w:rPr>
          <w:rFonts w:hint="eastAsia" w:ascii="仿宋" w:hAnsi="仿宋" w:eastAsia="仿宋"/>
          <w:color w:val="000000"/>
          <w:sz w:val="32"/>
          <w:szCs w:val="32"/>
        </w:rPr>
        <w:t>辆、机要通信用车</w:t>
      </w:r>
      <w:r>
        <w:rPr>
          <w:rFonts w:ascii="仿宋" w:hAnsi="仿宋" w:eastAsia="仿宋"/>
          <w:color w:val="000000"/>
          <w:sz w:val="32"/>
          <w:u w:color="auto"/>
        </w:rPr>
        <w:t>0</w:t>
      </w:r>
      <w:r>
        <w:rPr>
          <w:rFonts w:hint="eastAsia" w:ascii="仿宋" w:hAnsi="仿宋" w:eastAsia="仿宋"/>
          <w:color w:val="000000"/>
          <w:sz w:val="32"/>
          <w:szCs w:val="32"/>
        </w:rPr>
        <w:t>辆、应急保障用车</w:t>
      </w:r>
      <w:r>
        <w:rPr>
          <w:rFonts w:ascii="仿宋" w:hAnsi="仿宋" w:eastAsia="仿宋"/>
          <w:color w:val="000000"/>
          <w:sz w:val="32"/>
          <w:u w:color="auto"/>
        </w:rPr>
        <w:t>1</w:t>
      </w:r>
      <w:r>
        <w:rPr>
          <w:rFonts w:hint="eastAsia" w:ascii="仿宋" w:hAnsi="仿宋" w:eastAsia="仿宋"/>
          <w:color w:val="000000"/>
          <w:sz w:val="32"/>
          <w:szCs w:val="32"/>
        </w:rPr>
        <w:t>辆、其他用车</w:t>
      </w:r>
      <w:r>
        <w:rPr>
          <w:rFonts w:hint="eastAsia" w:ascii="仿宋" w:hAnsi="仿宋" w:eastAsia="仿宋"/>
          <w:color w:val="000000"/>
          <w:sz w:val="32"/>
          <w:u w:color="auto"/>
          <w:lang w:val="en-US" w:eastAsia="zh-CN"/>
        </w:rPr>
        <w:t>1</w:t>
      </w:r>
      <w:r>
        <w:rPr>
          <w:rFonts w:hint="eastAsia" w:ascii="仿宋" w:hAnsi="仿宋" w:eastAsia="仿宋"/>
          <w:color w:val="000000"/>
          <w:sz w:val="32"/>
          <w:szCs w:val="32"/>
        </w:rPr>
        <w:t>辆。单价</w:t>
      </w:r>
      <w:r>
        <w:rPr>
          <w:rFonts w:ascii="仿宋" w:hAnsi="仿宋" w:eastAsia="仿宋"/>
          <w:color w:val="000000"/>
          <w:sz w:val="32"/>
          <w:szCs w:val="32"/>
        </w:rPr>
        <w:t>100</w:t>
      </w:r>
      <w:r>
        <w:rPr>
          <w:rFonts w:hint="eastAsia" w:ascii="仿宋" w:hAnsi="仿宋" w:eastAsia="仿宋"/>
          <w:color w:val="000000"/>
          <w:sz w:val="32"/>
          <w:szCs w:val="32"/>
        </w:rPr>
        <w:t>万元以上专用设备</w:t>
      </w:r>
      <w:r>
        <w:rPr>
          <w:rFonts w:ascii="仿宋" w:hAnsi="仿宋" w:eastAsia="仿宋"/>
          <w:color w:val="000000"/>
          <w:sz w:val="32"/>
          <w:u w:color="auto"/>
        </w:rPr>
        <w:t>0</w:t>
      </w:r>
      <w:r>
        <w:rPr>
          <w:rFonts w:hint="eastAsia" w:ascii="仿宋" w:hAnsi="仿宋" w:eastAsia="仿宋"/>
          <w:color w:val="000000"/>
          <w:sz w:val="32"/>
          <w:szCs w:val="32"/>
        </w:rPr>
        <w:t>台（套）。</w:t>
      </w:r>
    </w:p>
    <w:p w14:paraId="6FAF33F0">
      <w:pPr>
        <w:spacing w:line="600" w:lineRule="exact"/>
        <w:ind w:firstLine="643" w:firstLineChars="200"/>
        <w:outlineLvl w:val="2"/>
        <w:rPr>
          <w:rFonts w:ascii="仿宋" w:hAnsi="仿宋" w:eastAsia="仿宋"/>
          <w:b/>
          <w:color w:val="000000"/>
          <w:sz w:val="32"/>
          <w:szCs w:val="32"/>
        </w:rPr>
      </w:pPr>
      <w:r>
        <w:rPr>
          <w:rFonts w:hint="eastAsia" w:ascii="仿宋" w:hAnsi="仿宋" w:eastAsia="仿宋"/>
          <w:b/>
          <w:color w:val="000000"/>
          <w:sz w:val="32"/>
          <w:szCs w:val="32"/>
        </w:rPr>
        <w:t>（四）预算绩效管理情况</w:t>
      </w:r>
    </w:p>
    <w:p w14:paraId="6DC3C4C6">
      <w:pPr>
        <w:pStyle w:val="5"/>
      </w:pPr>
      <w:r>
        <w:rPr>
          <w:rFonts w:hint="eastAsia"/>
        </w:rPr>
        <w:t xml:space="preserve"> </w:t>
      </w:r>
    </w:p>
    <w:p w14:paraId="44B5899D">
      <w:pPr>
        <w:widowControl/>
        <w:jc w:val="left"/>
        <w:rPr>
          <w:rFonts w:ascii="仿宋_GB2312" w:eastAsia="仿宋_GB2312"/>
          <w:b/>
          <w:color w:val="000000"/>
          <w:sz w:val="32"/>
          <w:szCs w:val="32"/>
        </w:rPr>
      </w:pPr>
      <w:r>
        <w:rPr>
          <w:rFonts w:ascii="仿宋_GB2312" w:eastAsia="仿宋_GB2312"/>
          <w:b/>
          <w:color w:val="000000"/>
          <w:sz w:val="32"/>
          <w:szCs w:val="32"/>
        </w:rPr>
        <w:br w:type="page"/>
      </w:r>
    </w:p>
    <w:p w14:paraId="78407672">
      <w:pPr>
        <w:pStyle w:val="2"/>
        <w:jc w:val="center"/>
        <w:rPr>
          <w:rFonts w:ascii="黑体" w:hAnsi="黑体" w:eastAsia="黑体" w:cs="黑体"/>
        </w:rPr>
      </w:pPr>
      <w:bookmarkStart w:id="71" w:name="_Toc111208509"/>
      <w:bookmarkStart w:id="72" w:name="_Toc15377225"/>
      <w:bookmarkStart w:id="73" w:name="_Toc18122"/>
      <w:r>
        <w:rPr>
          <w:rFonts w:hint="eastAsia" w:ascii="黑体" w:hAnsi="黑体" w:eastAsia="黑体" w:cs="黑体"/>
        </w:rPr>
        <w:t>第三部分 名词解释</w:t>
      </w:r>
      <w:bookmarkEnd w:id="71"/>
      <w:bookmarkEnd w:id="72"/>
      <w:bookmarkEnd w:id="73"/>
    </w:p>
    <w:p w14:paraId="2FD5F4B1">
      <w:pPr>
        <w:spacing w:line="600" w:lineRule="exact"/>
        <w:ind w:firstLine="640"/>
        <w:rPr>
          <w:rFonts w:ascii="仿宋" w:hAnsi="仿宋" w:eastAsia="仿宋"/>
          <w:color w:val="000000"/>
          <w:sz w:val="32"/>
          <w:szCs w:val="32"/>
        </w:rPr>
      </w:pPr>
      <w:r>
        <w:rPr>
          <w:rFonts w:ascii="仿宋" w:hAnsi="仿宋" w:eastAsia="仿宋"/>
          <w:color w:val="000000"/>
          <w:sz w:val="32"/>
          <w:szCs w:val="32"/>
        </w:rPr>
        <w:t>1.</w:t>
      </w:r>
      <w:r>
        <w:rPr>
          <w:rFonts w:hint="eastAsia" w:ascii="仿宋" w:hAnsi="仿宋" w:eastAsia="仿宋"/>
          <w:color w:val="000000"/>
          <w:sz w:val="32"/>
          <w:szCs w:val="32"/>
        </w:rPr>
        <w:t>财政拨款收入：指单位从同级财政部门取得的财政预算资金。</w:t>
      </w:r>
    </w:p>
    <w:p w14:paraId="43810F6E">
      <w:pPr>
        <w:spacing w:line="600" w:lineRule="exact"/>
        <w:ind w:firstLine="640"/>
        <w:rPr>
          <w:rFonts w:ascii="仿宋" w:hAnsi="仿宋" w:eastAsia="仿宋"/>
          <w:color w:val="000000"/>
          <w:sz w:val="32"/>
          <w:szCs w:val="32"/>
        </w:rPr>
      </w:pPr>
      <w:r>
        <w:rPr>
          <w:rFonts w:ascii="仿宋" w:hAnsi="仿宋" w:eastAsia="仿宋"/>
          <w:color w:val="000000"/>
          <w:sz w:val="32"/>
          <w:szCs w:val="32"/>
        </w:rPr>
        <w:t>2.</w:t>
      </w:r>
      <w:r>
        <w:rPr>
          <w:rFonts w:hint="eastAsia" w:ascii="仿宋" w:hAnsi="仿宋" w:eastAsia="仿宋"/>
          <w:color w:val="000000"/>
          <w:sz w:val="32"/>
          <w:szCs w:val="32"/>
        </w:rPr>
        <w:t>事业收入：指事业单位开展专业业务活动及辅助活动取得的收入。</w:t>
      </w:r>
    </w:p>
    <w:p w14:paraId="234D8675">
      <w:pPr>
        <w:spacing w:line="600" w:lineRule="exact"/>
        <w:ind w:firstLine="640"/>
        <w:rPr>
          <w:rFonts w:ascii="仿宋" w:hAnsi="仿宋" w:eastAsia="仿宋"/>
          <w:color w:val="000000"/>
          <w:sz w:val="32"/>
          <w:szCs w:val="32"/>
        </w:rPr>
      </w:pPr>
      <w:r>
        <w:rPr>
          <w:rFonts w:ascii="仿宋" w:hAnsi="仿宋" w:eastAsia="仿宋"/>
          <w:color w:val="000000"/>
          <w:sz w:val="32"/>
          <w:szCs w:val="32"/>
        </w:rPr>
        <w:t>3.</w:t>
      </w:r>
      <w:r>
        <w:rPr>
          <w:rFonts w:hint="eastAsia" w:ascii="仿宋" w:hAnsi="仿宋" w:eastAsia="仿宋"/>
          <w:color w:val="000000"/>
          <w:sz w:val="32"/>
          <w:szCs w:val="32"/>
        </w:rPr>
        <w:t>经营收入：指事业单位在专业业务活动及其辅助活动之外开展非独立核算经营活动取得的收入</w:t>
      </w:r>
    </w:p>
    <w:p w14:paraId="50B3120E">
      <w:pPr>
        <w:spacing w:line="600" w:lineRule="exact"/>
        <w:ind w:firstLine="640"/>
        <w:rPr>
          <w:rFonts w:ascii="仿宋" w:hAnsi="仿宋" w:eastAsia="仿宋"/>
          <w:color w:val="000000"/>
          <w:sz w:val="32"/>
          <w:szCs w:val="32"/>
        </w:rPr>
      </w:pPr>
      <w:r>
        <w:rPr>
          <w:rFonts w:ascii="仿宋" w:hAnsi="仿宋" w:eastAsia="仿宋"/>
          <w:color w:val="000000"/>
          <w:sz w:val="32"/>
          <w:szCs w:val="32"/>
        </w:rPr>
        <w:t>4.</w:t>
      </w:r>
      <w:r>
        <w:rPr>
          <w:rFonts w:hint="eastAsia" w:ascii="仿宋" w:hAnsi="仿宋" w:eastAsia="仿宋"/>
          <w:color w:val="000000"/>
          <w:sz w:val="32"/>
          <w:szCs w:val="32"/>
        </w:rPr>
        <w:t>其他收入：指单位取得的除上述收入以外的各项收入。</w:t>
      </w:r>
    </w:p>
    <w:p w14:paraId="45DD34B0">
      <w:pPr>
        <w:spacing w:line="600" w:lineRule="exact"/>
        <w:ind w:firstLine="640"/>
        <w:rPr>
          <w:rFonts w:ascii="仿宋" w:hAnsi="仿宋" w:eastAsia="仿宋"/>
          <w:color w:val="000000"/>
          <w:sz w:val="32"/>
          <w:szCs w:val="32"/>
        </w:rPr>
      </w:pPr>
      <w:r>
        <w:rPr>
          <w:rFonts w:ascii="仿宋" w:hAnsi="仿宋" w:eastAsia="仿宋"/>
          <w:color w:val="000000"/>
          <w:sz w:val="32"/>
          <w:szCs w:val="32"/>
        </w:rPr>
        <w:t>5.</w:t>
      </w:r>
      <w:r>
        <w:rPr>
          <w:rFonts w:hint="eastAsia" w:ascii="仿宋" w:hAnsi="仿宋" w:eastAsia="仿宋"/>
          <w:color w:val="000000"/>
          <w:sz w:val="32"/>
          <w:szCs w:val="32"/>
        </w:rPr>
        <w:t>用事业基金弥补收支差额：指事业单位在当年的财政拨款收入、事业收入、经营收入、其他收入不足以安排当年支出的情况下，使用以前年度积累的事业基金（事业单位当年收支相抵后按国家规定提取、用于弥补以后年度收支差额的基金）弥补本年度收支缺口的资金。</w:t>
      </w:r>
      <w:r>
        <w:rPr>
          <w:rFonts w:ascii="仿宋" w:hAnsi="仿宋" w:eastAsia="仿宋"/>
          <w:color w:val="000000"/>
          <w:sz w:val="32"/>
          <w:szCs w:val="32"/>
        </w:rPr>
        <w:t xml:space="preserve"> </w:t>
      </w:r>
    </w:p>
    <w:p w14:paraId="2FE3A77D">
      <w:pPr>
        <w:spacing w:line="600" w:lineRule="exact"/>
        <w:ind w:firstLine="640"/>
        <w:rPr>
          <w:rFonts w:ascii="仿宋" w:hAnsi="仿宋" w:eastAsia="仿宋"/>
          <w:color w:val="000000"/>
          <w:sz w:val="32"/>
          <w:szCs w:val="32"/>
        </w:rPr>
      </w:pPr>
      <w:r>
        <w:rPr>
          <w:rFonts w:ascii="仿宋" w:hAnsi="仿宋" w:eastAsia="仿宋"/>
          <w:color w:val="000000"/>
          <w:sz w:val="32"/>
          <w:szCs w:val="32"/>
        </w:rPr>
        <w:t>6.</w:t>
      </w:r>
      <w:r>
        <w:rPr>
          <w:rFonts w:hint="eastAsia" w:ascii="仿宋" w:hAnsi="仿宋" w:eastAsia="仿宋"/>
          <w:color w:val="000000"/>
          <w:sz w:val="32"/>
          <w:szCs w:val="32"/>
        </w:rPr>
        <w:t>年初结转和结余：指以前年度尚未完成、结转到本年按有关规定继续使用的资金。</w:t>
      </w:r>
      <w:r>
        <w:rPr>
          <w:rFonts w:ascii="仿宋" w:hAnsi="仿宋" w:eastAsia="仿宋"/>
          <w:color w:val="000000"/>
          <w:sz w:val="32"/>
          <w:szCs w:val="32"/>
        </w:rPr>
        <w:t xml:space="preserve"> </w:t>
      </w:r>
    </w:p>
    <w:p w14:paraId="0ED6FFB9">
      <w:pPr>
        <w:spacing w:line="600" w:lineRule="exact"/>
        <w:ind w:firstLine="640"/>
        <w:rPr>
          <w:rFonts w:ascii="仿宋" w:hAnsi="仿宋" w:eastAsia="仿宋"/>
          <w:color w:val="000000"/>
          <w:sz w:val="32"/>
          <w:szCs w:val="32"/>
        </w:rPr>
      </w:pPr>
      <w:r>
        <w:rPr>
          <w:rFonts w:ascii="仿宋" w:hAnsi="仿宋" w:eastAsia="仿宋"/>
          <w:color w:val="000000"/>
          <w:sz w:val="32"/>
          <w:szCs w:val="32"/>
        </w:rPr>
        <w:t>7.</w:t>
      </w:r>
      <w:r>
        <w:rPr>
          <w:rFonts w:hint="eastAsia" w:ascii="仿宋" w:hAnsi="仿宋" w:eastAsia="仿宋"/>
          <w:color w:val="000000"/>
          <w:sz w:val="32"/>
          <w:szCs w:val="32"/>
        </w:rPr>
        <w:t>结余分配：指事业单位按照事业单位会计制度的规定从非财政补助结余中分配的事业基金和职工福利基金等。</w:t>
      </w:r>
    </w:p>
    <w:p w14:paraId="72BA50E5">
      <w:pPr>
        <w:spacing w:line="600" w:lineRule="exact"/>
        <w:ind w:firstLine="640"/>
        <w:rPr>
          <w:rFonts w:ascii="仿宋" w:hAnsi="仿宋" w:eastAsia="仿宋"/>
          <w:color w:val="000000"/>
          <w:sz w:val="32"/>
          <w:szCs w:val="32"/>
        </w:rPr>
      </w:pPr>
      <w:r>
        <w:rPr>
          <w:rFonts w:ascii="仿宋" w:hAnsi="仿宋" w:eastAsia="仿宋"/>
          <w:color w:val="000000"/>
          <w:sz w:val="32"/>
          <w:szCs w:val="32"/>
        </w:rPr>
        <w:t>8</w:t>
      </w:r>
      <w:r>
        <w:rPr>
          <w:rFonts w:hint="eastAsia" w:ascii="仿宋" w:hAnsi="仿宋" w:eastAsia="仿宋"/>
          <w:color w:val="000000"/>
          <w:sz w:val="32"/>
          <w:szCs w:val="32"/>
        </w:rPr>
        <w:t>.年末结转和结余：指单位按有关规定结转到下年或以后年度继续使用的资金。</w:t>
      </w:r>
    </w:p>
    <w:p w14:paraId="440F552B">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9.一般公共服务支出（201）政府办公厅（室）及相关机构事务（20103）事业运行（2010350）：反映事业单位的基本支出，不包括行政单位（包括实行公务员管理的事业单位）后勤服务中心、医务室等附属事业单位。</w:t>
      </w:r>
      <w:r>
        <w:rPr>
          <w:rFonts w:hint="eastAsia" w:ascii="仿宋" w:hAnsi="仿宋" w:eastAsia="仿宋"/>
          <w:color w:val="000000"/>
          <w:sz w:val="32"/>
          <w:szCs w:val="32"/>
        </w:rPr>
        <w:cr/>
      </w:r>
      <w:r>
        <w:rPr>
          <w:rFonts w:hint="eastAsia" w:ascii="仿宋" w:hAnsi="仿宋" w:eastAsia="仿宋"/>
          <w:color w:val="000000"/>
          <w:sz w:val="32"/>
          <w:szCs w:val="32"/>
        </w:rPr>
        <w:t xml:space="preserve">    10.一般公共服务支出（201）政府办公厅（室）及相关机构事务（20103）其他政府办公厅（室）及相关机构事务支出（2010399）：反映除上述项目以外的其他政府办公厅（室）及相关机构事务支岀。</w:t>
      </w:r>
      <w:r>
        <w:rPr>
          <w:rFonts w:hint="eastAsia" w:ascii="仿宋" w:hAnsi="仿宋" w:eastAsia="仿宋"/>
          <w:color w:val="000000"/>
          <w:sz w:val="32"/>
          <w:szCs w:val="32"/>
        </w:rPr>
        <w:cr/>
      </w:r>
      <w:r>
        <w:rPr>
          <w:rFonts w:hint="eastAsia" w:ascii="仿宋" w:hAnsi="仿宋" w:eastAsia="仿宋"/>
          <w:color w:val="000000"/>
          <w:sz w:val="32"/>
          <w:szCs w:val="32"/>
        </w:rPr>
        <w:t xml:space="preserve">    11.社会保障和就业支出（208）行政事业单位养老支出（20805）机关事业单位基本养老保险缴费支出（2080505）：反映机关事业单位实施养老保险制度由单位缴纳的基本养老保险费支出。</w:t>
      </w:r>
      <w:r>
        <w:rPr>
          <w:rFonts w:hint="eastAsia" w:ascii="仿宋" w:hAnsi="仿宋" w:eastAsia="仿宋"/>
          <w:color w:val="000000"/>
          <w:sz w:val="32"/>
          <w:szCs w:val="32"/>
        </w:rPr>
        <w:cr/>
      </w:r>
      <w:r>
        <w:rPr>
          <w:rFonts w:hint="eastAsia" w:ascii="仿宋" w:hAnsi="仿宋" w:eastAsia="仿宋"/>
          <w:color w:val="000000"/>
          <w:sz w:val="32"/>
          <w:szCs w:val="32"/>
        </w:rPr>
        <w:t xml:space="preserve">    12.社会保障和就业支出（208）行政事业单位养老支出（20805）机关事业单位职业年金缴费支出（2080506）：反映机关事业单位实施养老保险制度由单位实际缴纳的职业年金支出。</w:t>
      </w:r>
      <w:r>
        <w:rPr>
          <w:rFonts w:hint="eastAsia" w:ascii="仿宋" w:hAnsi="仿宋" w:eastAsia="仿宋"/>
          <w:color w:val="000000"/>
          <w:sz w:val="32"/>
          <w:szCs w:val="32"/>
        </w:rPr>
        <w:cr/>
      </w:r>
      <w:r>
        <w:rPr>
          <w:rFonts w:hint="eastAsia" w:ascii="仿宋" w:hAnsi="仿宋" w:eastAsia="仿宋"/>
          <w:color w:val="000000"/>
          <w:sz w:val="32"/>
          <w:szCs w:val="32"/>
        </w:rPr>
        <w:t xml:space="preserve">    13.卫生健康支出（210）行政事业单位医疗（21011）事业单位医疗（2101102）：反映财政部门安排的事业单位基本医疗保险缴费经费，未参加医疗保险的事业单位的公费医疗经费，按国家规定享受离休人员待遇的医疗经费。</w:t>
      </w:r>
      <w:r>
        <w:rPr>
          <w:rFonts w:hint="eastAsia" w:ascii="仿宋" w:hAnsi="仿宋" w:eastAsia="仿宋"/>
          <w:color w:val="000000"/>
          <w:sz w:val="32"/>
          <w:szCs w:val="32"/>
        </w:rPr>
        <w:cr/>
      </w:r>
      <w:r>
        <w:rPr>
          <w:rFonts w:hint="eastAsia" w:ascii="仿宋" w:hAnsi="仿宋" w:eastAsia="仿宋"/>
          <w:color w:val="000000"/>
          <w:sz w:val="32"/>
          <w:szCs w:val="32"/>
        </w:rPr>
        <w:t xml:space="preserve">    14.卫生健康支出（210）行政事业单位医疗（21011）其他行政事业单位医疗支出（2101199）：反映除上述项目以外的其他用于行政事业单位医疗方面的支出。</w:t>
      </w:r>
      <w:r>
        <w:rPr>
          <w:rFonts w:hint="eastAsia" w:ascii="仿宋" w:hAnsi="仿宋" w:eastAsia="仿宋"/>
          <w:color w:val="000000"/>
          <w:sz w:val="32"/>
          <w:szCs w:val="32"/>
        </w:rPr>
        <w:cr/>
      </w:r>
      <w:r>
        <w:rPr>
          <w:rFonts w:hint="eastAsia" w:ascii="仿宋" w:hAnsi="仿宋" w:eastAsia="仿宋"/>
          <w:color w:val="000000"/>
          <w:sz w:val="32"/>
          <w:szCs w:val="32"/>
        </w:rPr>
        <w:t xml:space="preserve">    15.住房保障支出（221）住房改革支出（22102）住房公积金（2210201）：反映行政事业单位按人力资源和社会保障部、财政部规定的基本工资和津贴补贴以及规定比例为职工缴纳的住房公积金。</w:t>
      </w:r>
    </w:p>
    <w:p w14:paraId="4D6FE3B4">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16.基本支出：指为保障机构正常运转、完成日常工作任务而发生的人员支出和公用支出。</w:t>
      </w:r>
    </w:p>
    <w:p w14:paraId="3A6F58A5">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 xml:space="preserve">17.项目支出：指在基本支出之外为完成特定行政任务和事业发展目标所发生的支出。 </w:t>
      </w:r>
    </w:p>
    <w:p w14:paraId="6FF54E6D">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18.经营支出：指事业单位在专业业务活动及其辅助活动之外开展非独立核算经营活动发生的支出。</w:t>
      </w:r>
    </w:p>
    <w:p w14:paraId="5B02CC42">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19.“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6ECB7902">
      <w:pPr>
        <w:spacing w:line="600" w:lineRule="exact"/>
        <w:ind w:firstLine="640"/>
        <w:rPr>
          <w:rFonts w:ascii="仿宋" w:hAnsi="仿宋" w:eastAsia="仿宋"/>
          <w:color w:val="000000"/>
          <w:sz w:val="32"/>
          <w:szCs w:val="32"/>
        </w:rPr>
      </w:pPr>
      <w:r>
        <w:rPr>
          <w:rFonts w:hint="eastAsia" w:ascii="仿宋" w:hAnsi="仿宋" w:eastAsia="仿宋"/>
          <w:color w:val="000000"/>
          <w:sz w:val="32"/>
          <w:szCs w:val="32"/>
        </w:rPr>
        <w:t>20.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184F26DA">
      <w:pPr>
        <w:spacing w:line="600" w:lineRule="exact"/>
        <w:ind w:firstLine="640"/>
        <w:rPr>
          <w:rFonts w:ascii="仿宋_GB2312" w:eastAsia="仿宋_GB2312" w:cs="黑体"/>
          <w:sz w:val="32"/>
          <w:szCs w:val="32"/>
        </w:rPr>
      </w:pPr>
      <w:r>
        <w:rPr>
          <w:rFonts w:hint="eastAsia" w:ascii="仿宋" w:hAnsi="仿宋" w:eastAsia="仿宋"/>
          <w:color w:val="000000"/>
          <w:sz w:val="32"/>
          <w:szCs w:val="32"/>
        </w:rPr>
        <w:t>.财政应返还额度：为行政事业单位会计核算科目，用于核算实行国库集中支付的行政事业单位应收财政返还的资金额度。</w:t>
      </w:r>
    </w:p>
    <w:p w14:paraId="7A2F21AC">
      <w:pPr>
        <w:widowControl/>
        <w:jc w:val="left"/>
        <w:rPr>
          <w:rStyle w:val="38"/>
          <w:rFonts w:ascii="黑体" w:hAnsi="黑体" w:eastAsia="黑体"/>
        </w:rPr>
      </w:pPr>
      <w:r>
        <w:rPr>
          <w:rStyle w:val="38"/>
          <w:rFonts w:ascii="黑体" w:hAnsi="黑体" w:eastAsia="黑体"/>
        </w:rPr>
        <w:br w:type="page"/>
      </w:r>
    </w:p>
    <w:p w14:paraId="593E8BA1">
      <w:pPr>
        <w:pStyle w:val="2"/>
        <w:jc w:val="center"/>
        <w:rPr>
          <w:rFonts w:ascii="黑体" w:hAnsi="黑体" w:eastAsia="黑体" w:cs="黑体"/>
        </w:rPr>
      </w:pPr>
      <w:bookmarkStart w:id="74" w:name="_Toc111208510"/>
      <w:bookmarkStart w:id="75" w:name="_Toc25539"/>
      <w:r>
        <w:rPr>
          <w:rFonts w:hint="eastAsia" w:ascii="黑体" w:hAnsi="黑体" w:eastAsia="黑体" w:cs="黑体"/>
        </w:rPr>
        <w:t>第四部分 附件</w:t>
      </w:r>
      <w:bookmarkEnd w:id="74"/>
      <w:bookmarkEnd w:id="75"/>
    </w:p>
    <w:p w14:paraId="24CD298F">
      <w:pPr>
        <w:pStyle w:val="21"/>
        <w:keepNext w:val="0"/>
        <w:keepLines w:val="0"/>
        <w:pageBreakBefore w:val="0"/>
        <w:kinsoku/>
        <w:wordWrap/>
        <w:overflowPunct/>
        <w:topLinePunct w:val="0"/>
        <w:autoSpaceDE/>
        <w:autoSpaceDN/>
        <w:bidi w:val="0"/>
        <w:spacing w:beforeAutospacing="0" w:afterAutospacing="0" w:line="576" w:lineRule="exact"/>
        <w:ind w:left="0" w:leftChars="0" w:firstLine="1760" w:firstLineChars="400"/>
        <w:jc w:val="both"/>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红原县公务服务中心</w:t>
      </w:r>
      <w:r>
        <w:rPr>
          <w:rFonts w:hint="eastAsia" w:ascii="方正小标宋_GBK" w:hAnsi="方正小标宋_GBK" w:eastAsia="方正小标宋_GBK" w:cs="方正小标宋_GBK"/>
          <w:sz w:val="44"/>
          <w:szCs w:val="44"/>
        </w:rPr>
        <w:t>202</w:t>
      </w:r>
      <w:r>
        <w:rPr>
          <w:rFonts w:hint="eastAsia" w:ascii="方正小标宋_GBK" w:hAnsi="方正小标宋_GBK" w:eastAsia="方正小标宋_GBK" w:cs="方正小标宋_GBK"/>
          <w:sz w:val="44"/>
          <w:szCs w:val="44"/>
          <w:lang w:val="en-US" w:eastAsia="zh-CN"/>
        </w:rPr>
        <w:t>5</w:t>
      </w:r>
      <w:r>
        <w:rPr>
          <w:rFonts w:hint="eastAsia" w:ascii="方正小标宋_GBK" w:hAnsi="方正小标宋_GBK" w:eastAsia="方正小标宋_GBK" w:cs="方正小标宋_GBK"/>
          <w:sz w:val="44"/>
          <w:szCs w:val="44"/>
        </w:rPr>
        <w:t>年</w:t>
      </w:r>
      <w:r>
        <w:rPr>
          <w:rFonts w:hint="eastAsia" w:ascii="方正小标宋_GBK" w:hAnsi="方正小标宋_GBK" w:eastAsia="方正小标宋_GBK" w:cs="方正小标宋_GBK"/>
          <w:sz w:val="44"/>
          <w:szCs w:val="44"/>
          <w:lang w:val="en-US" w:eastAsia="zh-CN"/>
        </w:rPr>
        <w:t>度</w:t>
      </w:r>
    </w:p>
    <w:p w14:paraId="0B9C45FC">
      <w:pPr>
        <w:pStyle w:val="21"/>
        <w:keepNext w:val="0"/>
        <w:keepLines w:val="0"/>
        <w:pageBreakBefore w:val="0"/>
        <w:kinsoku/>
        <w:wordWrap/>
        <w:overflowPunct/>
        <w:topLinePunct w:val="0"/>
        <w:autoSpaceDE/>
        <w:autoSpaceDN/>
        <w:bidi w:val="0"/>
        <w:spacing w:beforeAutospacing="0" w:afterAutospacing="0" w:line="576" w:lineRule="exact"/>
        <w:ind w:left="0" w:leftChars="0" w:firstLine="2640" w:firstLineChars="600"/>
        <w:jc w:val="both"/>
        <w:textAlignment w:val="auto"/>
        <w:rPr>
          <w:rFonts w:hint="eastAsia" w:ascii="方正小标宋_GBK" w:hAnsi="方正小标宋_GBK" w:eastAsia="方正小标宋_GBK" w:cs="方正小标宋_GBK"/>
          <w:sz w:val="44"/>
          <w:szCs w:val="44"/>
        </w:rPr>
      </w:pPr>
      <w:r>
        <w:rPr>
          <w:rFonts w:hint="eastAsia" w:eastAsia="方正小标宋简体" w:cs="Times New Roman"/>
          <w:b w:val="0"/>
          <w:bCs/>
          <w:sz w:val="44"/>
          <w:szCs w:val="44"/>
          <w:highlight w:val="none"/>
          <w:shd w:val="clear" w:color="auto" w:fill="FFFFFF"/>
          <w:lang w:val="en-US" w:eastAsia="zh-CN"/>
        </w:rPr>
        <w:t>部门</w:t>
      </w:r>
      <w:r>
        <w:rPr>
          <w:rFonts w:hint="default" w:ascii="Times New Roman" w:hAnsi="Times New Roman" w:eastAsia="方正小标宋简体" w:cs="Times New Roman"/>
          <w:b w:val="0"/>
          <w:bCs/>
          <w:sz w:val="44"/>
          <w:szCs w:val="44"/>
          <w:highlight w:val="none"/>
          <w:shd w:val="clear" w:color="auto" w:fill="FFFFFF"/>
          <w:lang w:eastAsia="zh-CN"/>
        </w:rPr>
        <w:t>预算</w:t>
      </w:r>
      <w:r>
        <w:rPr>
          <w:rFonts w:hint="default" w:ascii="Times New Roman" w:hAnsi="Times New Roman" w:eastAsia="方正小标宋简体" w:cs="Times New Roman"/>
          <w:b w:val="0"/>
          <w:bCs/>
          <w:sz w:val="44"/>
          <w:szCs w:val="44"/>
          <w:highlight w:val="none"/>
          <w:shd w:val="clear" w:color="auto" w:fill="FFFFFF"/>
        </w:rPr>
        <w:t>绩效</w:t>
      </w:r>
      <w:r>
        <w:rPr>
          <w:rFonts w:hint="eastAsia" w:eastAsia="方正小标宋简体" w:cs="Times New Roman"/>
          <w:b w:val="0"/>
          <w:bCs/>
          <w:sz w:val="44"/>
          <w:szCs w:val="44"/>
          <w:highlight w:val="none"/>
          <w:shd w:val="clear" w:color="auto" w:fill="FFFFFF"/>
          <w:lang w:val="en-US" w:eastAsia="zh-CN"/>
        </w:rPr>
        <w:t>自评</w:t>
      </w:r>
      <w:r>
        <w:rPr>
          <w:rFonts w:hint="default" w:ascii="Times New Roman" w:hAnsi="Times New Roman" w:eastAsia="方正小标宋简体" w:cs="Times New Roman"/>
          <w:b w:val="0"/>
          <w:bCs/>
          <w:sz w:val="44"/>
          <w:szCs w:val="44"/>
          <w:highlight w:val="none"/>
          <w:shd w:val="clear" w:color="auto" w:fill="FFFFFF"/>
        </w:rPr>
        <w:t>报告</w:t>
      </w:r>
    </w:p>
    <w:p w14:paraId="4B9309A6">
      <w:pPr>
        <w:pStyle w:val="21"/>
        <w:keepNext w:val="0"/>
        <w:keepLines w:val="0"/>
        <w:pageBreakBefore w:val="0"/>
        <w:kinsoku/>
        <w:wordWrap/>
        <w:overflowPunct/>
        <w:topLinePunct w:val="0"/>
        <w:autoSpaceDE/>
        <w:autoSpaceDN/>
        <w:bidi w:val="0"/>
        <w:spacing w:beforeAutospacing="0" w:afterAutospacing="0" w:line="576" w:lineRule="exact"/>
        <w:ind w:left="0" w:leftChars="0"/>
        <w:jc w:val="both"/>
        <w:textAlignment w:val="auto"/>
        <w:rPr>
          <w:rFonts w:hint="eastAsia" w:ascii="仿宋_GB2312" w:hAnsi="仿宋_GB2312" w:eastAsia="仿宋_GB2312" w:cs="仿宋_GB2312"/>
          <w:sz w:val="32"/>
          <w:szCs w:val="32"/>
          <w:lang w:val="en-US" w:eastAsia="zh-CN"/>
        </w:rPr>
      </w:pPr>
      <w:r>
        <w:rPr>
          <w:rFonts w:hint="eastAsia" w:ascii="仿宋_GB2312" w:hAnsi="仿宋_GB2312" w:cs="仿宋_GB2312"/>
          <w:sz w:val="32"/>
          <w:szCs w:val="32"/>
          <w:lang w:val="en-US" w:eastAsia="zh-CN"/>
        </w:rPr>
        <w:t xml:space="preserve"> </w:t>
      </w:r>
    </w:p>
    <w:p w14:paraId="3C6DC9AC">
      <w:pPr>
        <w:keepNext w:val="0"/>
        <w:keepLines w:val="0"/>
        <w:pageBreakBefore w:val="0"/>
        <w:widowControl/>
        <w:numPr>
          <w:ilvl w:val="0"/>
          <w:numId w:val="1"/>
        </w:numPr>
        <w:kinsoku/>
        <w:wordWrap/>
        <w:overflowPunct/>
        <w:topLinePunct w:val="0"/>
        <w:autoSpaceDE/>
        <w:autoSpaceDN/>
        <w:bidi w:val="0"/>
        <w:adjustRightInd w:val="0"/>
        <w:snapToGrid w:val="0"/>
        <w:spacing w:beforeAutospacing="0" w:afterAutospacing="0" w:line="576" w:lineRule="exact"/>
        <w:ind w:left="0" w:leftChars="0" w:right="0" w:rightChars="0"/>
        <w:jc w:val="left"/>
        <w:textAlignment w:val="auto"/>
        <w:outlineLvl w:val="9"/>
        <w:rPr>
          <w:rFonts w:hint="eastAsia" w:ascii="黑体" w:hAnsi="黑体" w:eastAsia="黑体" w:cs="黑体"/>
          <w:b w:val="0"/>
          <w:bCs/>
          <w:color w:val="000000"/>
          <w:kern w:val="0"/>
          <w:sz w:val="32"/>
          <w:szCs w:val="32"/>
          <w:lang w:val="zh-CN" w:bidi="ar"/>
        </w:rPr>
      </w:pPr>
      <w:r>
        <w:rPr>
          <w:rFonts w:hint="eastAsia" w:ascii="黑体" w:hAnsi="黑体" w:eastAsia="黑体" w:cs="黑体"/>
          <w:b w:val="0"/>
          <w:bCs/>
          <w:color w:val="000000"/>
          <w:kern w:val="0"/>
          <w:sz w:val="32"/>
          <w:szCs w:val="32"/>
          <w:lang w:val="zh-CN" w:bidi="ar"/>
        </w:rPr>
        <w:t>单位概况</w:t>
      </w:r>
    </w:p>
    <w:p w14:paraId="743AD723">
      <w:pPr>
        <w:keepNext w:val="0"/>
        <w:keepLines w:val="0"/>
        <w:pageBreakBefore w:val="0"/>
        <w:widowControl/>
        <w:numPr>
          <w:ilvl w:val="0"/>
          <w:numId w:val="0"/>
        </w:numPr>
        <w:kinsoku/>
        <w:wordWrap/>
        <w:overflowPunct/>
        <w:topLinePunct w:val="0"/>
        <w:autoSpaceDE/>
        <w:autoSpaceDN/>
        <w:bidi w:val="0"/>
        <w:adjustRightInd w:val="0"/>
        <w:snapToGrid w:val="0"/>
        <w:spacing w:beforeAutospacing="0" w:afterAutospacing="0" w:line="576" w:lineRule="exact"/>
        <w:ind w:left="0" w:leftChars="0" w:right="0" w:rightChars="0"/>
        <w:jc w:val="left"/>
        <w:textAlignment w:val="auto"/>
        <w:outlineLvl w:val="9"/>
        <w:rPr>
          <w:rFonts w:hint="eastAsia" w:ascii="仿宋_GB2312" w:hAnsi="仿宋_GB2312" w:eastAsia="仿宋_GB2312" w:cs="仿宋_GB2312"/>
          <w:b/>
          <w:color w:val="000000"/>
          <w:kern w:val="0"/>
          <w:sz w:val="32"/>
          <w:szCs w:val="32"/>
          <w:lang w:val="zh-CN" w:bidi="ar"/>
        </w:rPr>
      </w:pPr>
      <w:r>
        <w:rPr>
          <w:rFonts w:hint="eastAsia" w:ascii="仿宋_GB2312" w:hAnsi="仿宋_GB2312" w:eastAsia="仿宋_GB2312" w:cs="仿宋_GB2312"/>
          <w:b/>
          <w:color w:val="000000"/>
          <w:kern w:val="0"/>
          <w:sz w:val="32"/>
          <w:szCs w:val="32"/>
          <w:lang w:val="zh-CN" w:bidi="ar"/>
        </w:rPr>
        <w:t>（一）机构组成</w:t>
      </w:r>
    </w:p>
    <w:p w14:paraId="0CFB9B42">
      <w:pPr>
        <w:pStyle w:val="11"/>
        <w:keepNext w:val="0"/>
        <w:keepLines w:val="0"/>
        <w:pageBreakBefore w:val="0"/>
        <w:widowControl/>
        <w:suppressLineNumbers w:val="0"/>
        <w:kinsoku/>
        <w:wordWrap/>
        <w:overflowPunct/>
        <w:topLinePunct w:val="0"/>
        <w:autoSpaceDE/>
        <w:autoSpaceDN/>
        <w:bidi w:val="0"/>
        <w:spacing w:before="0" w:beforeAutospacing="0" w:after="0" w:afterAutospacing="0" w:line="576"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红原县公务服务中心（简称县公务服务中心），为县政府直属正科级公益一类事业单位。县公务服务中心设下列内设机构</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办公室。承担机关政务工作</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制定工作制度</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负责依法行政、文电、会务、机要、文印</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档案、信息、保密、信访、督查、规章制度建设、绩效管理、政务公开、对口接待、财务管理、固定资产管理、办公用品采购等工作；</w:t>
      </w: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公务服务股。贯彻执行中央、省、州有关公务接待工作的规定，结合我县具体实际制定公务接待办法； 完成县公务接待管理部门承担的接待任务；加强本级公务接待工作的规范管理，指导公务接待工作；负责县委县政府承办的重大接待服务工作</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 xml:space="preserve">后勤保障股。承担县级机关食堂管理工作，保障全县县级领导工作用餐及部分公务接待；承担县公务服务中心物资库房管理工作。 </w:t>
      </w:r>
    </w:p>
    <w:p w14:paraId="1BE033B8">
      <w:pPr>
        <w:pStyle w:val="47"/>
        <w:keepNext w:val="0"/>
        <w:keepLines w:val="0"/>
        <w:pageBreakBefore w:val="0"/>
        <w:widowControl/>
        <w:kinsoku/>
        <w:wordWrap/>
        <w:overflowPunct/>
        <w:topLinePunct w:val="0"/>
        <w:autoSpaceDE/>
        <w:autoSpaceDN/>
        <w:bidi w:val="0"/>
        <w:spacing w:beforeAutospacing="0" w:afterAutospacing="0" w:line="576" w:lineRule="exact"/>
        <w:ind w:left="0" w:leftChars="0" w:right="0" w:rightChars="0"/>
        <w:textAlignment w:val="auto"/>
        <w:outlineLvl w:val="9"/>
        <w:rPr>
          <w:rFonts w:hint="eastAsia" w:ascii="仿宋_GB2312" w:hAnsi="仿宋_GB2312" w:eastAsia="仿宋_GB2312" w:cs="仿宋_GB2312"/>
          <w:b/>
          <w:bCs/>
          <w:color w:val="000000"/>
          <w:sz w:val="32"/>
          <w:szCs w:val="32"/>
          <w:lang w:val="zh-CN" w:bidi="ar"/>
        </w:rPr>
      </w:pPr>
      <w:r>
        <w:rPr>
          <w:rFonts w:hint="eastAsia" w:ascii="仿宋_GB2312" w:hAnsi="仿宋_GB2312" w:eastAsia="仿宋_GB2312" w:cs="仿宋_GB2312"/>
          <w:b/>
          <w:bCs/>
          <w:color w:val="000000"/>
          <w:sz w:val="32"/>
          <w:szCs w:val="32"/>
          <w:lang w:val="zh-CN" w:bidi="ar"/>
        </w:rPr>
        <w:t>（二）机构职能</w:t>
      </w:r>
    </w:p>
    <w:p w14:paraId="7AD87E4C">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76"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cs="仿宋_GB2312"/>
          <w:sz w:val="32"/>
          <w:szCs w:val="32"/>
          <w:lang w:val="en-US" w:eastAsia="zh-CN"/>
        </w:rPr>
        <w:t>1.</w:t>
      </w:r>
      <w:r>
        <w:rPr>
          <w:rFonts w:hint="eastAsia" w:ascii="仿宋_GB2312" w:hAnsi="仿宋_GB2312" w:eastAsia="仿宋_GB2312" w:cs="仿宋_GB2312"/>
          <w:sz w:val="32"/>
          <w:szCs w:val="32"/>
        </w:rPr>
        <w:t xml:space="preserve">负责党和国家领导人（含曾经担任）、省委、省人大、省政府、省政协副省级以上、州委、州人大、州政府、州政协副厅级领导（含曾经但任）来县的服务保障。 </w:t>
      </w:r>
    </w:p>
    <w:p w14:paraId="301BC47B">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76"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cs="仿宋_GB2312"/>
          <w:sz w:val="32"/>
          <w:szCs w:val="32"/>
          <w:lang w:val="en-US" w:eastAsia="zh-CN"/>
        </w:rPr>
        <w:t>2.</w:t>
      </w:r>
      <w:r>
        <w:rPr>
          <w:rFonts w:hint="eastAsia" w:ascii="仿宋_GB2312" w:hAnsi="仿宋_GB2312" w:eastAsia="仿宋_GB2312" w:cs="仿宋_GB2312"/>
          <w:sz w:val="32"/>
          <w:szCs w:val="32"/>
        </w:rPr>
        <w:t xml:space="preserve">按照有关规定负责和参与党中央、国务院、省委、省政府、州委、州政府巡视、检查、督查（督导、督察）、考察、调研、考核、审计等工作组来县的服务保障。 </w:t>
      </w:r>
    </w:p>
    <w:p w14:paraId="5E9E05D7">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76"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cs="仿宋_GB2312"/>
          <w:sz w:val="32"/>
          <w:szCs w:val="32"/>
          <w:lang w:val="en-US" w:eastAsia="zh-CN"/>
        </w:rPr>
        <w:t>3.</w:t>
      </w:r>
      <w:r>
        <w:rPr>
          <w:rFonts w:hint="eastAsia" w:ascii="仿宋_GB2312" w:hAnsi="仿宋_GB2312" w:eastAsia="仿宋_GB2312" w:cs="仿宋_GB2312"/>
          <w:sz w:val="32"/>
          <w:szCs w:val="32"/>
        </w:rPr>
        <w:t xml:space="preserve">负责外省（州、市、区、县）党委、政府正、副县级领导干部来县的服务保障；会同县级有关部门承担中央和国家机关各部委正、副部级领导干部、省委、省政府正、副省级、州委、州政府领导干部来县的服务保障；参与县人大常委会办公室、县政协办公室牵头对口接待正、副厅级领导干部来县的服务保障。 </w:t>
      </w:r>
    </w:p>
    <w:p w14:paraId="4C61A346">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76"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cs="仿宋_GB2312"/>
          <w:sz w:val="32"/>
          <w:szCs w:val="32"/>
          <w:lang w:val="en-US" w:eastAsia="zh-CN"/>
        </w:rPr>
        <w:t>4.</w:t>
      </w:r>
      <w:r>
        <w:rPr>
          <w:rFonts w:hint="eastAsia" w:ascii="仿宋_GB2312" w:hAnsi="仿宋_GB2312" w:eastAsia="仿宋_GB2312" w:cs="仿宋_GB2312"/>
          <w:sz w:val="32"/>
          <w:szCs w:val="32"/>
        </w:rPr>
        <w:t>负责或参与外省（州</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 xml:space="preserve">市、区、县）党政代表团来县考察的协调联络和服务保障。 </w:t>
      </w:r>
    </w:p>
    <w:p w14:paraId="7CD6EE32">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76"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cs="仿宋_GB2312"/>
          <w:sz w:val="32"/>
          <w:szCs w:val="32"/>
          <w:lang w:val="en-US" w:eastAsia="zh-CN"/>
        </w:rPr>
        <w:t>5.</w:t>
      </w:r>
      <w:r>
        <w:rPr>
          <w:rFonts w:hint="eastAsia" w:ascii="仿宋_GB2312" w:hAnsi="仿宋_GB2312" w:eastAsia="仿宋_GB2312" w:cs="仿宋_GB2312"/>
          <w:sz w:val="32"/>
          <w:szCs w:val="32"/>
        </w:rPr>
        <w:t xml:space="preserve">负责我县党政代表团赴外省（州、市、区、县）考察的协调联络和服务保障。 </w:t>
      </w:r>
    </w:p>
    <w:p w14:paraId="15FF7EDF">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76" w:lineRule="exact"/>
        <w:ind w:left="0" w:leftChars="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val="en-US" w:eastAsia="zh-CN"/>
        </w:rPr>
        <w:t>6.</w:t>
      </w:r>
      <w:r>
        <w:rPr>
          <w:rFonts w:hint="eastAsia" w:ascii="仿宋_GB2312" w:hAnsi="仿宋_GB2312" w:eastAsia="仿宋_GB2312" w:cs="仿宋_GB2312"/>
          <w:sz w:val="32"/>
          <w:szCs w:val="32"/>
        </w:rPr>
        <w:t>负责县委、县政府交办的由县公务服务中心承担的外</w:t>
      </w:r>
    </w:p>
    <w:p w14:paraId="521B9139">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76"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事接待和招商引资事项的服务保障。 </w:t>
      </w:r>
    </w:p>
    <w:p w14:paraId="2140FBCD">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76" w:lineRule="exact"/>
        <w:ind w:left="0" w:leftChars="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val="en-US" w:eastAsia="zh-CN"/>
        </w:rPr>
        <w:t>7.</w:t>
      </w:r>
      <w:r>
        <w:rPr>
          <w:rFonts w:hint="eastAsia" w:ascii="仿宋_GB2312" w:hAnsi="仿宋_GB2312" w:eastAsia="仿宋_GB2312" w:cs="仿宋_GB2312"/>
          <w:sz w:val="32"/>
          <w:szCs w:val="32"/>
        </w:rPr>
        <w:t>按照中央八项规定和省委、省政府十项规定及其实施</w:t>
      </w:r>
    </w:p>
    <w:p w14:paraId="440498EF">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76" w:lineRule="exact"/>
        <w:ind w:left="0" w:leftChars="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rPr>
        <w:t>细则要求，负责联系协调县级有关部门及关联单位承办州委、州</w:t>
      </w:r>
    </w:p>
    <w:p w14:paraId="3226E77B">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76"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政府重大公务活动的服务工作。 </w:t>
      </w:r>
    </w:p>
    <w:p w14:paraId="7A58D741">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76"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cs="仿宋_GB2312"/>
          <w:sz w:val="32"/>
          <w:szCs w:val="32"/>
          <w:lang w:val="en-US" w:eastAsia="zh-CN"/>
        </w:rPr>
        <w:t>8.</w:t>
      </w:r>
      <w:r>
        <w:rPr>
          <w:rFonts w:hint="eastAsia" w:ascii="仿宋_GB2312" w:hAnsi="仿宋_GB2312" w:eastAsia="仿宋_GB2312" w:cs="仿宋_GB2312"/>
          <w:sz w:val="32"/>
          <w:szCs w:val="32"/>
        </w:rPr>
        <w:t xml:space="preserve">会同县级有关部门承担县委、县政府交办的大型会议、活动的接待服务保障工作。 </w:t>
      </w:r>
    </w:p>
    <w:p w14:paraId="2D806D66">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76" w:lineRule="exact"/>
        <w:ind w:left="0" w:leftChars="0"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val="en-US" w:eastAsia="zh-CN"/>
        </w:rPr>
        <w:t>9.</w:t>
      </w:r>
      <w:r>
        <w:rPr>
          <w:rFonts w:hint="eastAsia" w:ascii="仿宋_GB2312" w:hAnsi="仿宋_GB2312" w:eastAsia="仿宋_GB2312" w:cs="仿宋_GB2312"/>
          <w:sz w:val="32"/>
          <w:szCs w:val="32"/>
        </w:rPr>
        <w:t>指导县级部门的公务活动服务保障工作，参与拟订全</w:t>
      </w:r>
    </w:p>
    <w:p w14:paraId="0C6B4D70">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76" w:lineRule="exact"/>
        <w:ind w:left="0" w:leftChars="0"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县公务服务相关规定。 </w:t>
      </w:r>
    </w:p>
    <w:p w14:paraId="2AD7A1E5">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76" w:lineRule="exact"/>
        <w:ind w:left="0" w:leftChars="0" w:firstLine="0" w:firstLineChars="0"/>
        <w:textAlignment w:val="auto"/>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val="en-US" w:eastAsia="zh-CN"/>
        </w:rPr>
        <w:t>10.</w:t>
      </w:r>
      <w:r>
        <w:rPr>
          <w:rFonts w:hint="eastAsia" w:ascii="仿宋_GB2312" w:hAnsi="仿宋_GB2312" w:eastAsia="仿宋_GB2312" w:cs="仿宋_GB2312"/>
          <w:sz w:val="32"/>
          <w:szCs w:val="32"/>
        </w:rPr>
        <w:t xml:space="preserve">负责办理中办警卫局、省警卫局安排的有关在县事务。 </w:t>
      </w:r>
    </w:p>
    <w:p w14:paraId="719123D3">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76" w:lineRule="exact"/>
        <w:ind w:left="0" w:leftChars="0" w:firstLine="0" w:firstLineChars="0"/>
        <w:textAlignment w:val="auto"/>
        <w:rPr>
          <w:rFonts w:hint="eastAsia" w:ascii="仿宋_GB2312" w:hAnsi="仿宋_GB2312" w:eastAsia="仿宋_GB2312" w:cs="仿宋_GB2312"/>
          <w:sz w:val="32"/>
          <w:szCs w:val="32"/>
          <w:lang w:eastAsia="zh-CN"/>
        </w:rPr>
      </w:pPr>
      <w:r>
        <w:rPr>
          <w:rFonts w:hint="eastAsia" w:ascii="仿宋_GB2312" w:hAnsi="仿宋_GB2312" w:cs="仿宋_GB2312"/>
          <w:sz w:val="32"/>
          <w:szCs w:val="32"/>
          <w:lang w:val="en-US" w:eastAsia="zh-CN"/>
        </w:rPr>
        <w:t>11.</w:t>
      </w:r>
      <w:r>
        <w:rPr>
          <w:rFonts w:hint="eastAsia" w:ascii="仿宋_GB2312" w:hAnsi="仿宋_GB2312" w:eastAsia="仿宋_GB2312" w:cs="仿宋_GB2312"/>
          <w:sz w:val="32"/>
          <w:szCs w:val="32"/>
        </w:rPr>
        <w:t xml:space="preserve">负责县级机关食堂管理工作。 </w:t>
      </w:r>
    </w:p>
    <w:p w14:paraId="6621AC44">
      <w:pPr>
        <w:pStyle w:val="1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76" w:lineRule="exact"/>
        <w:ind w:left="0" w:leftChars="0" w:firstLine="0" w:firstLineChars="0"/>
        <w:textAlignment w:val="auto"/>
        <w:rPr>
          <w:rFonts w:hint="eastAsia" w:ascii="仿宋_GB2312" w:hAnsi="仿宋_GB2312" w:eastAsia="仿宋_GB2312" w:cs="仿宋_GB2312"/>
          <w:sz w:val="32"/>
          <w:szCs w:val="32"/>
        </w:rPr>
      </w:pPr>
      <w:r>
        <w:rPr>
          <w:rFonts w:hint="eastAsia" w:ascii="仿宋_GB2312" w:hAnsi="仿宋_GB2312" w:cs="仿宋_GB2312"/>
          <w:sz w:val="32"/>
          <w:szCs w:val="32"/>
          <w:lang w:val="en-US" w:eastAsia="zh-CN"/>
        </w:rPr>
        <w:t>12.</w:t>
      </w:r>
      <w:r>
        <w:rPr>
          <w:rFonts w:hint="eastAsia" w:ascii="仿宋_GB2312" w:hAnsi="仿宋_GB2312" w:eastAsia="仿宋_GB2312" w:cs="仿宋_GB2312"/>
          <w:sz w:val="32"/>
          <w:szCs w:val="32"/>
        </w:rPr>
        <w:t xml:space="preserve">完成县委、县政府交办的其他任务。 </w:t>
      </w:r>
    </w:p>
    <w:p w14:paraId="53B135BE">
      <w:pPr>
        <w:keepNext w:val="0"/>
        <w:keepLines w:val="0"/>
        <w:pageBreakBefore w:val="0"/>
        <w:kinsoku/>
        <w:wordWrap/>
        <w:overflowPunct/>
        <w:topLinePunct w:val="0"/>
        <w:autoSpaceDE/>
        <w:autoSpaceDN/>
        <w:bidi w:val="0"/>
        <w:spacing w:beforeAutospacing="0" w:afterAutospacing="0" w:line="576" w:lineRule="exact"/>
        <w:ind w:left="0" w:leftChars="0" w:right="0" w:rightChars="0"/>
        <w:jc w:val="left"/>
        <w:textAlignment w:val="auto"/>
        <w:rPr>
          <w:rFonts w:hint="eastAsia" w:ascii="仿宋_GB2312" w:hAnsi="仿宋_GB2312" w:eastAsia="仿宋_GB2312" w:cs="仿宋_GB2312"/>
          <w:b/>
          <w:bCs/>
          <w:sz w:val="32"/>
          <w:szCs w:val="32"/>
          <w:lang w:eastAsia="zh-CN"/>
        </w:rPr>
      </w:pPr>
      <w:r>
        <w:rPr>
          <w:rFonts w:hint="eastAsia" w:ascii="仿宋_GB2312" w:hAnsi="仿宋_GB2312" w:eastAsia="仿宋_GB2312" w:cs="仿宋_GB2312"/>
          <w:b/>
          <w:bCs/>
          <w:sz w:val="32"/>
          <w:szCs w:val="32"/>
          <w:lang w:eastAsia="zh-CN"/>
        </w:rPr>
        <w:t>（三）人员概况</w:t>
      </w:r>
    </w:p>
    <w:p w14:paraId="22036CB8">
      <w:pPr>
        <w:keepNext w:val="0"/>
        <w:keepLines w:val="0"/>
        <w:pageBreakBefore w:val="0"/>
        <w:kinsoku/>
        <w:wordWrap/>
        <w:overflowPunct/>
        <w:topLinePunct w:val="0"/>
        <w:autoSpaceDE/>
        <w:autoSpaceDN/>
        <w:bidi w:val="0"/>
        <w:snapToGrid w:val="0"/>
        <w:spacing w:beforeAutospacing="0" w:afterAutospacing="0" w:line="576"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截止20</w:t>
      </w:r>
      <w:r>
        <w:rPr>
          <w:rFonts w:hint="eastAsia" w:ascii="仿宋_GB2312" w:hAnsi="仿宋_GB2312" w:eastAsia="仿宋_GB2312" w:cs="仿宋_GB2312"/>
          <w:sz w:val="32"/>
          <w:szCs w:val="32"/>
          <w:lang w:val="en-US" w:eastAsia="zh-CN"/>
        </w:rPr>
        <w:t>2</w:t>
      </w:r>
      <w:r>
        <w:rPr>
          <w:rFonts w:hint="eastAsia" w:ascii="仿宋_GB2312" w:hAnsi="仿宋_GB2312" w:cs="仿宋_GB2312"/>
          <w:sz w:val="32"/>
          <w:szCs w:val="32"/>
          <w:lang w:val="en-US" w:eastAsia="zh-CN"/>
        </w:rPr>
        <w:t>5</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底</w:t>
      </w:r>
      <w:r>
        <w:rPr>
          <w:rFonts w:hint="eastAsia" w:ascii="仿宋_GB2312" w:hAnsi="仿宋_GB2312" w:eastAsia="仿宋_GB2312" w:cs="仿宋_GB2312"/>
          <w:sz w:val="32"/>
          <w:szCs w:val="32"/>
        </w:rPr>
        <w:t>我</w:t>
      </w:r>
      <w:r>
        <w:rPr>
          <w:rFonts w:hint="eastAsia" w:ascii="仿宋_GB2312" w:hAnsi="仿宋_GB2312" w:eastAsia="仿宋_GB2312" w:cs="仿宋_GB2312"/>
          <w:color w:val="000000"/>
          <w:kern w:val="0"/>
          <w:sz w:val="32"/>
          <w:szCs w:val="32"/>
          <w:lang w:val="en-US" w:eastAsia="zh-CN" w:bidi="ar-SA"/>
        </w:rPr>
        <w:t>单位</w:t>
      </w:r>
      <w:r>
        <w:rPr>
          <w:rFonts w:hint="eastAsia" w:ascii="仿宋_GB2312" w:hAnsi="仿宋_GB2312" w:eastAsia="仿宋_GB2312" w:cs="仿宋_GB2312"/>
          <w:bCs/>
          <w:sz w:val="32"/>
          <w:szCs w:val="32"/>
        </w:rPr>
        <w:t>共有</w:t>
      </w:r>
      <w:r>
        <w:rPr>
          <w:rFonts w:hint="eastAsia" w:ascii="仿宋_GB2312" w:hAnsi="仿宋_GB2312" w:cs="仿宋_GB2312"/>
          <w:bCs/>
          <w:sz w:val="32"/>
          <w:szCs w:val="32"/>
          <w:lang w:val="en-US" w:eastAsia="zh-CN"/>
        </w:rPr>
        <w:t>事业</w:t>
      </w:r>
      <w:r>
        <w:rPr>
          <w:rFonts w:hint="eastAsia" w:ascii="仿宋_GB2312" w:hAnsi="仿宋_GB2312" w:eastAsia="仿宋_GB2312" w:cs="仿宋_GB2312"/>
          <w:bCs/>
          <w:sz w:val="32"/>
          <w:szCs w:val="32"/>
        </w:rPr>
        <w:t>编制</w:t>
      </w:r>
      <w:r>
        <w:rPr>
          <w:rFonts w:hint="eastAsia" w:ascii="仿宋_GB2312" w:hAnsi="仿宋_GB2312" w:eastAsia="仿宋_GB2312" w:cs="仿宋_GB2312"/>
          <w:bCs/>
          <w:sz w:val="32"/>
          <w:szCs w:val="32"/>
          <w:lang w:val="en-US" w:eastAsia="zh-CN"/>
        </w:rPr>
        <w:t>12</w:t>
      </w:r>
      <w:r>
        <w:rPr>
          <w:rFonts w:hint="eastAsia" w:ascii="仿宋_GB2312" w:hAnsi="仿宋_GB2312" w:eastAsia="仿宋_GB2312" w:cs="仿宋_GB2312"/>
          <w:bCs/>
          <w:sz w:val="32"/>
          <w:szCs w:val="32"/>
        </w:rPr>
        <w:t>个，</w:t>
      </w:r>
      <w:r>
        <w:rPr>
          <w:rFonts w:hint="eastAsia" w:ascii="仿宋_GB2312" w:hAnsi="仿宋_GB2312" w:cs="仿宋_GB2312"/>
          <w:bCs/>
          <w:sz w:val="32"/>
          <w:szCs w:val="32"/>
          <w:lang w:val="en-US" w:eastAsia="zh-CN"/>
        </w:rPr>
        <w:t>实有在编10人。</w:t>
      </w:r>
    </w:p>
    <w:p w14:paraId="67DC78E2">
      <w:pPr>
        <w:pageBreakBefore w:val="0"/>
        <w:widowControl/>
        <w:kinsoku/>
        <w:wordWrap/>
        <w:overflowPunct/>
        <w:topLinePunct w:val="0"/>
        <w:autoSpaceDE/>
        <w:autoSpaceDN/>
        <w:bidi w:val="0"/>
        <w:adjustRightInd w:val="0"/>
        <w:snapToGrid w:val="0"/>
        <w:spacing w:beforeAutospacing="0" w:afterAutospacing="0" w:line="576" w:lineRule="exact"/>
        <w:ind w:left="0" w:leftChars="0" w:firstLine="320" w:firstLineChars="100"/>
        <w:jc w:val="left"/>
        <w:textAlignment w:val="auto"/>
        <w:rPr>
          <w:rFonts w:hint="eastAsia" w:ascii="黑体" w:hAnsi="黑体" w:eastAsia="黑体" w:cs="黑体"/>
          <w:b w:val="0"/>
          <w:bCs/>
          <w:color w:val="000000"/>
          <w:kern w:val="0"/>
          <w:sz w:val="32"/>
          <w:szCs w:val="32"/>
          <w:lang w:val="zh-CN" w:eastAsia="zh-CN" w:bidi="ar"/>
        </w:rPr>
      </w:pPr>
      <w:r>
        <w:rPr>
          <w:rFonts w:hint="eastAsia" w:ascii="黑体" w:hAnsi="黑体" w:eastAsia="黑体" w:cs="黑体"/>
          <w:kern w:val="0"/>
          <w:sz w:val="32"/>
          <w:szCs w:val="32"/>
          <w:highlight w:val="none"/>
          <w:lang w:val="zh-CN" w:eastAsia="zh-CN" w:bidi="ar-SA"/>
        </w:rPr>
        <w:t>二</w:t>
      </w:r>
      <w:r>
        <w:rPr>
          <w:rFonts w:hint="eastAsia" w:ascii="黑体" w:hAnsi="黑体" w:eastAsia="黑体" w:cs="黑体"/>
          <w:b w:val="0"/>
          <w:bCs/>
          <w:color w:val="000000"/>
          <w:kern w:val="0"/>
          <w:sz w:val="32"/>
          <w:szCs w:val="32"/>
          <w:lang w:val="zh-CN" w:eastAsia="zh-CN" w:bidi="ar"/>
        </w:rPr>
        <w:t>、部门财政资金收支情况</w:t>
      </w:r>
    </w:p>
    <w:p w14:paraId="6A90A305">
      <w:pPr>
        <w:keepNext w:val="0"/>
        <w:keepLines w:val="0"/>
        <w:pageBreakBefore w:val="0"/>
        <w:kinsoku/>
        <w:wordWrap/>
        <w:overflowPunct/>
        <w:topLinePunct w:val="0"/>
        <w:autoSpaceDE/>
        <w:autoSpaceDN/>
        <w:bidi w:val="0"/>
        <w:spacing w:beforeAutospacing="0" w:afterAutospacing="0" w:line="576" w:lineRule="exact"/>
        <w:ind w:left="0" w:leftChars="0" w:right="0" w:rightChars="0" w:firstLine="643" w:firstLineChars="200"/>
        <w:textAlignment w:val="auto"/>
        <w:outlineLvl w:val="9"/>
        <w:rPr>
          <w:rFonts w:hint="eastAsia" w:ascii="仿宋_GB2312" w:hAnsi="仿宋_GB2312" w:eastAsia="仿宋_GB2312" w:cs="仿宋_GB2312"/>
          <w:b/>
          <w:color w:val="000000"/>
          <w:kern w:val="0"/>
          <w:sz w:val="32"/>
          <w:szCs w:val="32"/>
          <w:lang w:val="zh-CN" w:bidi="ar"/>
        </w:rPr>
      </w:pPr>
      <w:r>
        <w:rPr>
          <w:rFonts w:hint="eastAsia" w:ascii="仿宋_GB2312" w:hAnsi="仿宋_GB2312" w:eastAsia="仿宋_GB2312" w:cs="仿宋_GB2312"/>
          <w:b/>
          <w:color w:val="000000"/>
          <w:kern w:val="0"/>
          <w:sz w:val="32"/>
          <w:szCs w:val="32"/>
          <w:lang w:val="zh-CN" w:bidi="ar"/>
        </w:rPr>
        <w:t>（一）部门财政资金收入情况</w:t>
      </w:r>
    </w:p>
    <w:p w14:paraId="2676428B">
      <w:pPr>
        <w:keepNext w:val="0"/>
        <w:keepLines w:val="0"/>
        <w:pageBreakBefore w:val="0"/>
        <w:kinsoku/>
        <w:wordWrap/>
        <w:overflowPunct/>
        <w:topLinePunct w:val="0"/>
        <w:autoSpaceDE/>
        <w:autoSpaceDN/>
        <w:bidi w:val="0"/>
        <w:spacing w:beforeAutospacing="0" w:afterAutospacing="0" w:line="576" w:lineRule="exact"/>
        <w:ind w:left="0" w:leftChars="0" w:right="0" w:rightChars="0" w:firstLine="640" w:firstLineChars="200"/>
        <w:textAlignment w:val="auto"/>
        <w:outlineLvl w:val="9"/>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lang w:eastAsia="zh-CN"/>
        </w:rPr>
        <w:t>202</w:t>
      </w:r>
      <w:r>
        <w:rPr>
          <w:rFonts w:hint="eastAsia" w:ascii="仿宋_GB2312" w:hAnsi="仿宋_GB2312" w:cs="仿宋_GB2312"/>
          <w:color w:val="auto"/>
          <w:sz w:val="32"/>
          <w:szCs w:val="32"/>
          <w:lang w:val="en-US" w:eastAsia="zh-CN"/>
        </w:rPr>
        <w:t>5</w:t>
      </w:r>
      <w:r>
        <w:rPr>
          <w:rFonts w:hint="eastAsia" w:ascii="仿宋_GB2312" w:hAnsi="仿宋_GB2312" w:eastAsia="仿宋_GB2312" w:cs="仿宋_GB2312"/>
          <w:color w:val="auto"/>
          <w:sz w:val="32"/>
          <w:szCs w:val="32"/>
          <w:lang w:eastAsia="zh-CN"/>
        </w:rPr>
        <w:t>年度</w:t>
      </w:r>
      <w:r>
        <w:rPr>
          <w:rFonts w:hint="eastAsia" w:ascii="仿宋_GB2312" w:hAnsi="仿宋_GB2312" w:eastAsia="仿宋_GB2312" w:cs="仿宋_GB2312"/>
          <w:color w:val="auto"/>
          <w:sz w:val="32"/>
          <w:szCs w:val="32"/>
        </w:rPr>
        <w:t>收入合计</w:t>
      </w:r>
      <w:r>
        <w:rPr>
          <w:rFonts w:hint="eastAsia" w:ascii="仿宋_GB2312" w:hAnsi="仿宋_GB2312" w:cs="仿宋_GB2312"/>
          <w:color w:val="auto"/>
          <w:sz w:val="32"/>
          <w:szCs w:val="32"/>
          <w:lang w:val="en-US" w:eastAsia="zh-CN"/>
        </w:rPr>
        <w:t>646.01</w:t>
      </w:r>
      <w:r>
        <w:rPr>
          <w:rFonts w:hint="eastAsia" w:ascii="仿宋_GB2312" w:hAnsi="仿宋_GB2312" w:eastAsia="仿宋_GB2312" w:cs="仿宋_GB2312"/>
          <w:color w:val="auto"/>
          <w:sz w:val="32"/>
          <w:szCs w:val="32"/>
          <w:lang w:val="en-US" w:eastAsia="zh-CN"/>
        </w:rPr>
        <w:t>万</w:t>
      </w:r>
      <w:r>
        <w:rPr>
          <w:rFonts w:hint="eastAsia" w:ascii="仿宋_GB2312" w:hAnsi="仿宋_GB2312" w:eastAsia="仿宋_GB2312" w:cs="仿宋_GB2312"/>
          <w:color w:val="auto"/>
          <w:sz w:val="32"/>
          <w:szCs w:val="32"/>
        </w:rPr>
        <w:t>元，其中：一般公共预算财政拨款收入</w:t>
      </w:r>
      <w:r>
        <w:rPr>
          <w:rFonts w:hint="eastAsia" w:ascii="仿宋_GB2312" w:hAnsi="仿宋_GB2312" w:cs="仿宋_GB2312"/>
          <w:color w:val="auto"/>
          <w:sz w:val="32"/>
          <w:szCs w:val="32"/>
          <w:lang w:val="en-US" w:eastAsia="zh-CN"/>
        </w:rPr>
        <w:t>646.01</w:t>
      </w:r>
      <w:r>
        <w:rPr>
          <w:rFonts w:hint="eastAsia" w:ascii="仿宋_GB2312" w:hAnsi="仿宋_GB2312" w:eastAsia="仿宋_GB2312" w:cs="仿宋_GB2312"/>
          <w:color w:val="auto"/>
          <w:sz w:val="32"/>
          <w:szCs w:val="32"/>
          <w:lang w:val="en-US" w:eastAsia="zh-CN"/>
        </w:rPr>
        <w:t>万</w:t>
      </w:r>
      <w:r>
        <w:rPr>
          <w:rFonts w:hint="eastAsia" w:ascii="仿宋_GB2312" w:hAnsi="仿宋_GB2312" w:eastAsia="仿宋_GB2312" w:cs="仿宋_GB2312"/>
          <w:color w:val="auto"/>
          <w:sz w:val="32"/>
          <w:szCs w:val="32"/>
        </w:rPr>
        <w:t>元，占</w:t>
      </w:r>
      <w:r>
        <w:rPr>
          <w:rFonts w:hint="eastAsia" w:ascii="仿宋_GB2312" w:hAnsi="仿宋_GB2312" w:eastAsia="仿宋_GB2312" w:cs="仿宋_GB2312"/>
          <w:color w:val="auto"/>
          <w:sz w:val="32"/>
          <w:szCs w:val="32"/>
          <w:lang w:val="en-US" w:eastAsia="zh-CN"/>
        </w:rPr>
        <w:t>100</w:t>
      </w:r>
      <w:r>
        <w:rPr>
          <w:rFonts w:hint="eastAsia" w:ascii="仿宋_GB2312" w:hAnsi="仿宋_GB2312" w:eastAsia="仿宋_GB2312" w:cs="仿宋_GB2312"/>
          <w:color w:val="auto"/>
          <w:sz w:val="32"/>
          <w:szCs w:val="32"/>
        </w:rPr>
        <w:t>%。</w:t>
      </w:r>
    </w:p>
    <w:p w14:paraId="13A14C59">
      <w:pPr>
        <w:keepNext w:val="0"/>
        <w:keepLines w:val="0"/>
        <w:pageBreakBefore w:val="0"/>
        <w:kinsoku/>
        <w:wordWrap/>
        <w:overflowPunct/>
        <w:topLinePunct w:val="0"/>
        <w:autoSpaceDE/>
        <w:autoSpaceDN/>
        <w:bidi w:val="0"/>
        <w:spacing w:beforeAutospacing="0" w:afterAutospacing="0" w:line="576" w:lineRule="exact"/>
        <w:ind w:left="0" w:leftChars="0" w:right="0" w:rightChars="0" w:firstLine="643" w:firstLineChars="200"/>
        <w:textAlignment w:val="auto"/>
        <w:outlineLvl w:val="9"/>
        <w:rPr>
          <w:rFonts w:hint="eastAsia" w:ascii="仿宋_GB2312" w:hAnsi="仿宋_GB2312" w:eastAsia="仿宋_GB2312" w:cs="仿宋_GB2312"/>
          <w:color w:val="000000"/>
          <w:kern w:val="0"/>
          <w:sz w:val="32"/>
          <w:szCs w:val="32"/>
          <w:lang w:eastAsia="zh-CN"/>
        </w:rPr>
      </w:pPr>
      <w:r>
        <w:rPr>
          <w:rFonts w:hint="eastAsia" w:ascii="仿宋_GB2312" w:hAnsi="仿宋_GB2312" w:eastAsia="仿宋_GB2312" w:cs="仿宋_GB2312"/>
          <w:b/>
          <w:color w:val="000000"/>
          <w:kern w:val="0"/>
          <w:sz w:val="32"/>
          <w:szCs w:val="32"/>
          <w:lang w:val="zh-CN" w:bidi="ar"/>
        </w:rPr>
        <w:t>（二）部门财政资金支出情况</w:t>
      </w:r>
    </w:p>
    <w:p w14:paraId="5001AED7">
      <w:pPr>
        <w:keepNext w:val="0"/>
        <w:keepLines w:val="0"/>
        <w:pageBreakBefore w:val="0"/>
        <w:kinsoku/>
        <w:wordWrap/>
        <w:overflowPunct/>
        <w:topLinePunct w:val="0"/>
        <w:autoSpaceDE/>
        <w:autoSpaceDN/>
        <w:bidi w:val="0"/>
        <w:spacing w:beforeAutospacing="0" w:afterAutospacing="0" w:line="576" w:lineRule="exact"/>
        <w:ind w:left="0" w:leftChars="0" w:right="0" w:rightChars="0" w:firstLine="640" w:firstLineChars="200"/>
        <w:textAlignment w:val="auto"/>
        <w:outlineLvl w:val="9"/>
        <w:rPr>
          <w:rFonts w:hint="eastAsia" w:ascii="仿宋_GB2312" w:hAnsi="仿宋_GB2312" w:eastAsia="仿宋_GB2312" w:cs="仿宋_GB2312"/>
          <w:color w:val="000000"/>
          <w:sz w:val="32"/>
          <w:szCs w:val="32"/>
          <w:lang w:bidi="ar-SA"/>
        </w:rPr>
      </w:pPr>
      <w:r>
        <w:rPr>
          <w:rFonts w:hint="eastAsia" w:ascii="仿宋_GB2312" w:hAnsi="仿宋_GB2312" w:eastAsia="仿宋_GB2312" w:cs="仿宋_GB2312"/>
          <w:color w:val="auto"/>
          <w:sz w:val="32"/>
          <w:szCs w:val="32"/>
          <w:lang w:eastAsia="zh-CN"/>
        </w:rPr>
        <w:t>202</w:t>
      </w:r>
      <w:r>
        <w:rPr>
          <w:rFonts w:hint="eastAsia" w:ascii="仿宋_GB2312" w:hAnsi="仿宋_GB2312" w:cs="仿宋_GB2312"/>
          <w:color w:val="auto"/>
          <w:sz w:val="32"/>
          <w:szCs w:val="32"/>
          <w:lang w:val="en-US" w:eastAsia="zh-CN"/>
        </w:rPr>
        <w:t>5</w:t>
      </w:r>
      <w:r>
        <w:rPr>
          <w:rFonts w:hint="eastAsia" w:ascii="仿宋_GB2312" w:hAnsi="仿宋_GB2312" w:eastAsia="仿宋_GB2312" w:cs="仿宋_GB2312"/>
          <w:color w:val="auto"/>
          <w:sz w:val="32"/>
          <w:szCs w:val="32"/>
          <w:lang w:eastAsia="zh-CN"/>
        </w:rPr>
        <w:t>年底</w:t>
      </w:r>
      <w:r>
        <w:rPr>
          <w:rFonts w:hint="eastAsia" w:ascii="仿宋_GB2312" w:hAnsi="仿宋_GB2312" w:eastAsia="仿宋_GB2312" w:cs="仿宋_GB2312"/>
          <w:color w:val="auto"/>
          <w:sz w:val="32"/>
          <w:szCs w:val="32"/>
        </w:rPr>
        <w:t>支出</w:t>
      </w:r>
      <w:r>
        <w:rPr>
          <w:rFonts w:hint="eastAsia" w:ascii="仿宋_GB2312" w:hAnsi="仿宋_GB2312" w:cs="仿宋_GB2312"/>
          <w:color w:val="auto"/>
          <w:sz w:val="32"/>
          <w:szCs w:val="32"/>
          <w:lang w:val="en-US" w:eastAsia="zh-CN"/>
        </w:rPr>
        <w:t>合计646.01</w:t>
      </w:r>
      <w:r>
        <w:rPr>
          <w:rFonts w:hint="eastAsia" w:ascii="仿宋_GB2312" w:hAnsi="仿宋_GB2312" w:eastAsia="仿宋_GB2312" w:cs="仿宋_GB2312"/>
          <w:color w:val="auto"/>
          <w:sz w:val="32"/>
          <w:szCs w:val="32"/>
          <w:lang w:val="en-US" w:eastAsia="zh-CN"/>
        </w:rPr>
        <w:t>万</w:t>
      </w:r>
      <w:r>
        <w:rPr>
          <w:rFonts w:hint="eastAsia" w:ascii="仿宋_GB2312" w:hAnsi="仿宋_GB2312" w:eastAsia="仿宋_GB2312" w:cs="仿宋_GB2312"/>
          <w:color w:val="auto"/>
          <w:sz w:val="32"/>
          <w:szCs w:val="32"/>
        </w:rPr>
        <w:t>元。</w:t>
      </w:r>
      <w:r>
        <w:rPr>
          <w:rFonts w:hint="eastAsia" w:ascii="仿宋_GB2312" w:hAnsi="仿宋_GB2312" w:eastAsia="仿宋_GB2312" w:cs="仿宋_GB2312"/>
          <w:color w:val="000000"/>
          <w:sz w:val="32"/>
          <w:szCs w:val="32"/>
          <w:lang w:bidi="ar-SA"/>
        </w:rPr>
        <w:t>其中：基本支出</w:t>
      </w:r>
      <w:r>
        <w:rPr>
          <w:rFonts w:hint="eastAsia" w:ascii="仿宋_GB2312" w:hAnsi="仿宋_GB2312" w:cs="仿宋_GB2312"/>
          <w:color w:val="000000"/>
          <w:sz w:val="32"/>
          <w:szCs w:val="32"/>
          <w:lang w:val="en-US" w:eastAsia="zh-CN" w:bidi="ar-SA"/>
        </w:rPr>
        <w:t>275.53</w:t>
      </w:r>
      <w:r>
        <w:rPr>
          <w:rFonts w:hint="eastAsia" w:ascii="仿宋_GB2312" w:hAnsi="仿宋_GB2312" w:eastAsia="仿宋_GB2312" w:cs="仿宋_GB2312"/>
          <w:color w:val="000000"/>
          <w:sz w:val="32"/>
          <w:szCs w:val="32"/>
          <w:lang w:bidi="ar-SA"/>
        </w:rPr>
        <w:t>万元，占</w:t>
      </w:r>
      <w:r>
        <w:rPr>
          <w:rFonts w:hint="eastAsia" w:ascii="仿宋_GB2312" w:hAnsi="仿宋_GB2312" w:cs="仿宋_GB2312"/>
          <w:color w:val="000000"/>
          <w:sz w:val="32"/>
          <w:szCs w:val="32"/>
          <w:lang w:val="en-US" w:eastAsia="zh-CN" w:bidi="ar-SA"/>
        </w:rPr>
        <w:t>42.65</w:t>
      </w:r>
      <w:r>
        <w:rPr>
          <w:rFonts w:hint="eastAsia" w:ascii="仿宋_GB2312" w:hAnsi="仿宋_GB2312" w:eastAsia="仿宋_GB2312" w:cs="仿宋_GB2312"/>
          <w:color w:val="000000"/>
          <w:sz w:val="32"/>
          <w:szCs w:val="32"/>
          <w:lang w:bidi="ar-SA"/>
        </w:rPr>
        <w:t>%；项目支出</w:t>
      </w:r>
      <w:r>
        <w:rPr>
          <w:rFonts w:hint="eastAsia" w:ascii="仿宋_GB2312" w:hAnsi="仿宋_GB2312" w:cs="仿宋_GB2312"/>
          <w:color w:val="000000"/>
          <w:sz w:val="32"/>
          <w:szCs w:val="32"/>
          <w:lang w:val="en-US" w:eastAsia="zh-CN" w:bidi="ar-SA"/>
        </w:rPr>
        <w:t>370.48</w:t>
      </w:r>
      <w:r>
        <w:rPr>
          <w:rFonts w:hint="eastAsia" w:ascii="仿宋_GB2312" w:hAnsi="仿宋_GB2312" w:eastAsia="仿宋_GB2312" w:cs="仿宋_GB2312"/>
          <w:color w:val="000000"/>
          <w:sz w:val="32"/>
          <w:szCs w:val="32"/>
          <w:lang w:bidi="ar-SA"/>
        </w:rPr>
        <w:t>万元，占</w:t>
      </w:r>
      <w:r>
        <w:rPr>
          <w:rFonts w:hint="eastAsia" w:ascii="仿宋_GB2312" w:hAnsi="仿宋_GB2312" w:cs="仿宋_GB2312"/>
          <w:color w:val="000000"/>
          <w:sz w:val="32"/>
          <w:szCs w:val="32"/>
          <w:lang w:val="en-US" w:eastAsia="zh-CN" w:bidi="ar-SA"/>
        </w:rPr>
        <w:t>57.35</w:t>
      </w:r>
      <w:r>
        <w:rPr>
          <w:rFonts w:hint="eastAsia" w:ascii="仿宋_GB2312" w:hAnsi="仿宋_GB2312" w:eastAsia="仿宋_GB2312" w:cs="仿宋_GB2312"/>
          <w:color w:val="000000"/>
          <w:sz w:val="32"/>
          <w:szCs w:val="32"/>
          <w:lang w:bidi="ar-SA"/>
        </w:rPr>
        <w:t>%；</w:t>
      </w:r>
    </w:p>
    <w:p w14:paraId="056D8720">
      <w:pPr>
        <w:pageBreakBefore w:val="0"/>
        <w:widowControl/>
        <w:numPr>
          <w:ilvl w:val="0"/>
          <w:numId w:val="2"/>
        </w:numPr>
        <w:kinsoku/>
        <w:wordWrap/>
        <w:overflowPunct/>
        <w:topLinePunct w:val="0"/>
        <w:autoSpaceDE/>
        <w:autoSpaceDN/>
        <w:bidi w:val="0"/>
        <w:adjustRightInd w:val="0"/>
        <w:snapToGrid w:val="0"/>
        <w:spacing w:beforeAutospacing="0" w:afterAutospacing="0" w:line="576" w:lineRule="exact"/>
        <w:ind w:left="0" w:leftChars="0" w:firstLine="720"/>
        <w:jc w:val="left"/>
        <w:textAlignment w:val="auto"/>
        <w:rPr>
          <w:rFonts w:hint="default" w:ascii="仿宋_GB2312" w:hAnsi="仿宋_GB2312" w:eastAsia="仿宋_GB2312" w:cs="仿宋_GB2312"/>
          <w:b/>
          <w:color w:val="000000"/>
          <w:kern w:val="0"/>
          <w:sz w:val="32"/>
          <w:szCs w:val="32"/>
          <w:lang w:val="zh-CN" w:eastAsia="zh-CN" w:bidi="ar"/>
        </w:rPr>
      </w:pPr>
      <w:r>
        <w:rPr>
          <w:rFonts w:hint="default" w:ascii="仿宋_GB2312" w:hAnsi="仿宋_GB2312" w:eastAsia="仿宋_GB2312" w:cs="仿宋_GB2312"/>
          <w:b/>
          <w:color w:val="000000"/>
          <w:kern w:val="0"/>
          <w:sz w:val="32"/>
          <w:szCs w:val="32"/>
          <w:lang w:val="zh-CN" w:eastAsia="zh-CN" w:bidi="ar"/>
        </w:rPr>
        <w:t>结余分配和结转结余情况</w:t>
      </w:r>
    </w:p>
    <w:p w14:paraId="65103E20">
      <w:pPr>
        <w:pageBreakBefore w:val="0"/>
        <w:widowControl/>
        <w:numPr>
          <w:ilvl w:val="0"/>
          <w:numId w:val="0"/>
        </w:numPr>
        <w:kinsoku/>
        <w:wordWrap/>
        <w:overflowPunct/>
        <w:topLinePunct w:val="0"/>
        <w:autoSpaceDE/>
        <w:autoSpaceDN/>
        <w:bidi w:val="0"/>
        <w:adjustRightInd w:val="0"/>
        <w:snapToGrid w:val="0"/>
        <w:spacing w:beforeAutospacing="0" w:afterAutospacing="0" w:line="576" w:lineRule="exact"/>
        <w:ind w:left="0" w:leftChars="0" w:firstLine="960" w:firstLineChars="300"/>
        <w:jc w:val="left"/>
        <w:textAlignment w:val="auto"/>
        <w:rPr>
          <w:rFonts w:hint="eastAsia" w:ascii="Times New Roman" w:hAnsi="Times New Roman" w:eastAsia="方正仿宋_GBK" w:cs="Times New Roman"/>
          <w:kern w:val="0"/>
          <w:sz w:val="32"/>
          <w:szCs w:val="32"/>
          <w:highlight w:val="none"/>
          <w:lang w:val="en-US" w:eastAsia="zh-CN" w:bidi="ar-SA"/>
        </w:rPr>
      </w:pPr>
      <w:r>
        <w:rPr>
          <w:rFonts w:hint="eastAsia" w:ascii="Times New Roman" w:hAnsi="Times New Roman" w:eastAsia="方正仿宋_GBK" w:cs="Times New Roman"/>
          <w:kern w:val="0"/>
          <w:sz w:val="32"/>
          <w:szCs w:val="32"/>
          <w:highlight w:val="none"/>
          <w:lang w:val="en-US" w:eastAsia="zh-CN" w:bidi="ar-SA"/>
        </w:rPr>
        <w:t>2025年决算无结余分配和结转结余.</w:t>
      </w:r>
    </w:p>
    <w:p w14:paraId="11F670F6">
      <w:pPr>
        <w:pageBreakBefore w:val="0"/>
        <w:widowControl/>
        <w:kinsoku/>
        <w:wordWrap/>
        <w:overflowPunct/>
        <w:topLinePunct w:val="0"/>
        <w:autoSpaceDE/>
        <w:autoSpaceDN/>
        <w:bidi w:val="0"/>
        <w:adjustRightInd w:val="0"/>
        <w:snapToGrid w:val="0"/>
        <w:spacing w:beforeAutospacing="0" w:afterAutospacing="0" w:line="576" w:lineRule="exact"/>
        <w:ind w:left="0" w:leftChars="0" w:firstLine="320" w:firstLineChars="100"/>
        <w:jc w:val="left"/>
        <w:textAlignment w:val="auto"/>
        <w:rPr>
          <w:rFonts w:hint="default" w:ascii="黑体" w:hAnsi="黑体" w:eastAsia="黑体" w:cs="黑体"/>
          <w:b w:val="0"/>
          <w:bCs/>
          <w:color w:val="000000"/>
          <w:kern w:val="0"/>
          <w:sz w:val="32"/>
          <w:szCs w:val="32"/>
          <w:lang w:val="zh-CN" w:eastAsia="zh-CN" w:bidi="ar"/>
        </w:rPr>
      </w:pPr>
      <w:r>
        <w:rPr>
          <w:rFonts w:hint="default" w:ascii="黑体" w:hAnsi="黑体" w:eastAsia="黑体" w:cs="黑体"/>
          <w:b w:val="0"/>
          <w:bCs/>
          <w:color w:val="000000"/>
          <w:kern w:val="0"/>
          <w:sz w:val="32"/>
          <w:szCs w:val="32"/>
          <w:lang w:val="zh-CN" w:eastAsia="zh-CN" w:bidi="ar"/>
        </w:rPr>
        <w:t>三、部门预算绩效分析</w:t>
      </w:r>
    </w:p>
    <w:p w14:paraId="7B3DD58D">
      <w:pPr>
        <w:pageBreakBefore w:val="0"/>
        <w:widowControl/>
        <w:kinsoku/>
        <w:wordWrap/>
        <w:overflowPunct/>
        <w:topLinePunct w:val="0"/>
        <w:autoSpaceDE/>
        <w:autoSpaceDN/>
        <w:bidi w:val="0"/>
        <w:adjustRightInd w:val="0"/>
        <w:snapToGrid w:val="0"/>
        <w:spacing w:beforeAutospacing="0" w:afterAutospacing="0" w:line="576" w:lineRule="exact"/>
        <w:ind w:left="0" w:leftChars="0" w:firstLine="720"/>
        <w:jc w:val="left"/>
        <w:textAlignment w:val="auto"/>
        <w:rPr>
          <w:rFonts w:hint="eastAsia" w:ascii="Times New Roman" w:hAnsi="Times New Roman" w:eastAsia="方正仿宋_GBK" w:cs="Times New Roman"/>
          <w:kern w:val="0"/>
          <w:sz w:val="32"/>
          <w:szCs w:val="32"/>
          <w:highlight w:val="none"/>
          <w:lang w:eastAsia="zh-CN" w:bidi="ar-SA"/>
        </w:rPr>
      </w:pPr>
      <w:r>
        <w:rPr>
          <w:rFonts w:hint="default" w:ascii="方正楷体_GBK" w:hAnsi="方正楷体_GBK" w:eastAsia="方正楷体_GBK" w:cs="方正楷体_GBK"/>
          <w:kern w:val="0"/>
          <w:sz w:val="32"/>
          <w:szCs w:val="32"/>
          <w:highlight w:val="none"/>
          <w:lang w:val="zh-CN" w:eastAsia="zh-CN" w:bidi="ar-SA"/>
        </w:rPr>
        <w:t>（一）</w:t>
      </w:r>
      <w:r>
        <w:rPr>
          <w:rFonts w:hint="eastAsia" w:ascii="方正楷体_GBK" w:hAnsi="方正楷体_GBK" w:eastAsia="方正楷体_GBK" w:cs="方正楷体_GBK"/>
          <w:kern w:val="0"/>
          <w:sz w:val="32"/>
          <w:szCs w:val="32"/>
          <w:highlight w:val="none"/>
          <w:lang w:val="zh-CN" w:eastAsia="zh-CN" w:bidi="ar-SA"/>
        </w:rPr>
        <w:t>部门预算</w:t>
      </w:r>
      <w:r>
        <w:rPr>
          <w:rFonts w:hint="default" w:ascii="方正楷体_GBK" w:hAnsi="方正楷体_GBK" w:eastAsia="方正楷体_GBK" w:cs="方正楷体_GBK"/>
          <w:kern w:val="0"/>
          <w:sz w:val="32"/>
          <w:szCs w:val="32"/>
          <w:highlight w:val="none"/>
          <w:lang w:val="zh-CN" w:eastAsia="zh-CN" w:bidi="ar-SA"/>
        </w:rPr>
        <w:t>总体绩效分析。</w:t>
      </w:r>
      <w:r>
        <w:rPr>
          <w:rFonts w:hint="eastAsia" w:ascii="Times New Roman" w:hAnsi="Times New Roman" w:eastAsia="方正仿宋_GBK" w:cs="Times New Roman"/>
          <w:kern w:val="0"/>
          <w:sz w:val="32"/>
          <w:szCs w:val="32"/>
          <w:highlight w:val="none"/>
          <w:lang w:eastAsia="zh-CN" w:bidi="ar-SA"/>
        </w:rPr>
        <w:t>202</w:t>
      </w:r>
      <w:r>
        <w:rPr>
          <w:rFonts w:hint="eastAsia" w:ascii="Times New Roman" w:hAnsi="Times New Roman" w:eastAsia="方正仿宋_GBK" w:cs="Times New Roman"/>
          <w:kern w:val="0"/>
          <w:sz w:val="32"/>
          <w:szCs w:val="32"/>
          <w:highlight w:val="none"/>
          <w:lang w:val="en-US" w:eastAsia="zh-CN" w:bidi="ar-SA"/>
        </w:rPr>
        <w:t>5</w:t>
      </w:r>
      <w:r>
        <w:rPr>
          <w:rFonts w:hint="eastAsia" w:ascii="Times New Roman" w:hAnsi="Times New Roman" w:eastAsia="方正仿宋_GBK" w:cs="Times New Roman"/>
          <w:kern w:val="0"/>
          <w:sz w:val="32"/>
          <w:szCs w:val="32"/>
          <w:highlight w:val="none"/>
          <w:lang w:eastAsia="zh-CN" w:bidi="ar-SA"/>
        </w:rPr>
        <w:t>年红原县</w:t>
      </w:r>
      <w:r>
        <w:rPr>
          <w:rFonts w:hint="eastAsia" w:ascii="Times New Roman" w:hAnsi="Times New Roman" w:eastAsia="方正仿宋_GBK" w:cs="Times New Roman"/>
          <w:kern w:val="0"/>
          <w:sz w:val="32"/>
          <w:szCs w:val="32"/>
          <w:highlight w:val="none"/>
          <w:lang w:val="en-US" w:eastAsia="zh-CN" w:bidi="ar-SA"/>
        </w:rPr>
        <w:t>公务服务中心</w:t>
      </w:r>
      <w:r>
        <w:rPr>
          <w:rFonts w:hint="eastAsia" w:ascii="Times New Roman" w:hAnsi="Times New Roman" w:eastAsia="方正仿宋_GBK" w:cs="Times New Roman"/>
          <w:kern w:val="0"/>
          <w:sz w:val="32"/>
          <w:szCs w:val="32"/>
          <w:highlight w:val="none"/>
          <w:lang w:eastAsia="zh-CN" w:bidi="ar-SA"/>
        </w:rPr>
        <w:t>收入预算总额为</w:t>
      </w:r>
      <w:r>
        <w:rPr>
          <w:rFonts w:hint="eastAsia" w:ascii="Times New Roman" w:hAnsi="Times New Roman" w:eastAsia="方正仿宋_GBK" w:cs="Times New Roman"/>
          <w:kern w:val="0"/>
          <w:sz w:val="32"/>
          <w:szCs w:val="32"/>
          <w:highlight w:val="none"/>
          <w:lang w:val="en-US" w:eastAsia="zh-CN" w:bidi="ar-SA"/>
        </w:rPr>
        <w:t>646.01</w:t>
      </w:r>
      <w:r>
        <w:rPr>
          <w:rFonts w:hint="eastAsia" w:ascii="Times New Roman" w:hAnsi="Times New Roman" w:eastAsia="方正仿宋_GBK" w:cs="Times New Roman"/>
          <w:kern w:val="0"/>
          <w:sz w:val="32"/>
          <w:szCs w:val="32"/>
          <w:highlight w:val="none"/>
          <w:lang w:eastAsia="zh-CN" w:bidi="ar-SA"/>
        </w:rPr>
        <w:t>元，其中：当年财政拨款收入</w:t>
      </w:r>
      <w:r>
        <w:rPr>
          <w:rFonts w:hint="eastAsia" w:ascii="Times New Roman" w:hAnsi="Times New Roman" w:eastAsia="方正仿宋_GBK" w:cs="Times New Roman"/>
          <w:kern w:val="0"/>
          <w:sz w:val="32"/>
          <w:szCs w:val="32"/>
          <w:highlight w:val="none"/>
          <w:lang w:val="en-US" w:eastAsia="zh-CN" w:bidi="ar-SA"/>
        </w:rPr>
        <w:t>646.01</w:t>
      </w:r>
      <w:r>
        <w:rPr>
          <w:rFonts w:hint="eastAsia" w:ascii="Times New Roman" w:hAnsi="Times New Roman" w:eastAsia="方正仿宋_GBK" w:cs="Times New Roman"/>
          <w:kern w:val="0"/>
          <w:sz w:val="32"/>
          <w:szCs w:val="32"/>
          <w:highlight w:val="none"/>
          <w:lang w:eastAsia="zh-CN" w:bidi="ar-SA"/>
        </w:rPr>
        <w:t>万元。相应安排支出预算</w:t>
      </w:r>
      <w:r>
        <w:rPr>
          <w:rFonts w:hint="eastAsia" w:ascii="Times New Roman" w:hAnsi="Times New Roman" w:eastAsia="方正仿宋_GBK" w:cs="Times New Roman"/>
          <w:kern w:val="0"/>
          <w:sz w:val="32"/>
          <w:szCs w:val="32"/>
          <w:highlight w:val="none"/>
          <w:lang w:val="en-US" w:eastAsia="zh-CN" w:bidi="ar-SA"/>
        </w:rPr>
        <w:t>646.01</w:t>
      </w:r>
      <w:r>
        <w:rPr>
          <w:rFonts w:hint="eastAsia" w:ascii="Times New Roman" w:hAnsi="Times New Roman" w:eastAsia="方正仿宋_GBK" w:cs="Times New Roman"/>
          <w:kern w:val="0"/>
          <w:sz w:val="32"/>
          <w:szCs w:val="32"/>
          <w:highlight w:val="none"/>
          <w:lang w:eastAsia="zh-CN" w:bidi="ar-SA"/>
        </w:rPr>
        <w:t>万元，其中：一般公共服务</w:t>
      </w:r>
      <w:r>
        <w:rPr>
          <w:rFonts w:hint="eastAsia" w:ascii="Times New Roman" w:hAnsi="Times New Roman" w:eastAsia="方正仿宋_GBK" w:cs="Times New Roman"/>
          <w:kern w:val="0"/>
          <w:sz w:val="32"/>
          <w:szCs w:val="32"/>
          <w:highlight w:val="none"/>
          <w:lang w:val="en-US" w:eastAsia="zh-CN" w:bidi="ar-SA"/>
        </w:rPr>
        <w:t>586.86</w:t>
      </w:r>
      <w:r>
        <w:rPr>
          <w:rFonts w:hint="eastAsia" w:ascii="Times New Roman" w:hAnsi="Times New Roman" w:eastAsia="方正仿宋_GBK" w:cs="Times New Roman"/>
          <w:kern w:val="0"/>
          <w:sz w:val="32"/>
          <w:szCs w:val="32"/>
          <w:highlight w:val="none"/>
          <w:lang w:eastAsia="zh-CN" w:bidi="ar-SA"/>
        </w:rPr>
        <w:t>万</w:t>
      </w:r>
      <w:r>
        <w:rPr>
          <w:rFonts w:hint="eastAsia" w:ascii="Times New Roman" w:hAnsi="Times New Roman" w:eastAsia="方正仿宋_GBK" w:cs="Times New Roman"/>
          <w:kern w:val="0"/>
          <w:sz w:val="32"/>
          <w:szCs w:val="32"/>
          <w:highlight w:val="none"/>
          <w:lang w:val="en-US" w:eastAsia="zh-CN" w:bidi="ar-SA"/>
        </w:rPr>
        <w:t>元；</w:t>
      </w:r>
      <w:r>
        <w:rPr>
          <w:rFonts w:hint="eastAsia" w:ascii="Times New Roman" w:hAnsi="Times New Roman" w:eastAsia="方正仿宋_GBK" w:cs="Times New Roman"/>
          <w:kern w:val="0"/>
          <w:sz w:val="32"/>
          <w:szCs w:val="32"/>
          <w:highlight w:val="none"/>
          <w:lang w:eastAsia="zh-CN" w:bidi="ar-SA"/>
        </w:rPr>
        <w:t>社会保障和就业</w:t>
      </w:r>
      <w:r>
        <w:rPr>
          <w:rFonts w:hint="eastAsia" w:ascii="Times New Roman" w:hAnsi="Times New Roman" w:eastAsia="方正仿宋_GBK" w:cs="Times New Roman"/>
          <w:kern w:val="0"/>
          <w:sz w:val="32"/>
          <w:szCs w:val="32"/>
          <w:highlight w:val="none"/>
          <w:lang w:val="en-US" w:eastAsia="zh-CN" w:bidi="ar-SA"/>
        </w:rPr>
        <w:t>支出31.88</w:t>
      </w:r>
      <w:r>
        <w:rPr>
          <w:rFonts w:hint="eastAsia" w:ascii="Times New Roman" w:hAnsi="Times New Roman" w:eastAsia="方正仿宋_GBK" w:cs="Times New Roman"/>
          <w:kern w:val="0"/>
          <w:sz w:val="32"/>
          <w:szCs w:val="32"/>
          <w:highlight w:val="none"/>
          <w:lang w:eastAsia="zh-CN" w:bidi="ar-SA"/>
        </w:rPr>
        <w:t>万元；</w:t>
      </w:r>
      <w:r>
        <w:rPr>
          <w:rFonts w:hint="eastAsia" w:ascii="Times New Roman" w:hAnsi="Times New Roman" w:eastAsia="方正仿宋_GBK" w:cs="Times New Roman"/>
          <w:kern w:val="0"/>
          <w:sz w:val="32"/>
          <w:szCs w:val="32"/>
          <w:highlight w:val="none"/>
          <w:lang w:val="en-US" w:eastAsia="zh-CN" w:bidi="ar-SA"/>
        </w:rPr>
        <w:t>卫生健康支出11.12</w:t>
      </w:r>
      <w:r>
        <w:rPr>
          <w:rFonts w:hint="eastAsia" w:ascii="Times New Roman" w:hAnsi="Times New Roman" w:eastAsia="方正仿宋_GBK" w:cs="Times New Roman"/>
          <w:kern w:val="0"/>
          <w:sz w:val="32"/>
          <w:szCs w:val="32"/>
          <w:highlight w:val="none"/>
          <w:lang w:eastAsia="zh-CN" w:bidi="ar-SA"/>
        </w:rPr>
        <w:t>万元；住房保障支出</w:t>
      </w:r>
      <w:r>
        <w:rPr>
          <w:rFonts w:hint="eastAsia" w:ascii="Times New Roman" w:hAnsi="Times New Roman" w:eastAsia="方正仿宋_GBK" w:cs="Times New Roman"/>
          <w:kern w:val="0"/>
          <w:sz w:val="32"/>
          <w:szCs w:val="32"/>
          <w:highlight w:val="none"/>
          <w:lang w:val="en-US" w:eastAsia="zh-CN" w:bidi="ar-SA"/>
        </w:rPr>
        <w:t>16.15</w:t>
      </w:r>
      <w:r>
        <w:rPr>
          <w:rFonts w:hint="eastAsia" w:ascii="Times New Roman" w:hAnsi="Times New Roman" w:eastAsia="方正仿宋_GBK" w:cs="Times New Roman"/>
          <w:kern w:val="0"/>
          <w:sz w:val="32"/>
          <w:szCs w:val="32"/>
          <w:highlight w:val="none"/>
          <w:lang w:eastAsia="zh-CN" w:bidi="ar-SA"/>
        </w:rPr>
        <w:t>万元。</w:t>
      </w:r>
    </w:p>
    <w:p w14:paraId="74CB4D01">
      <w:pPr>
        <w:pageBreakBefore w:val="0"/>
        <w:widowControl/>
        <w:kinsoku/>
        <w:wordWrap/>
        <w:overflowPunct/>
        <w:topLinePunct w:val="0"/>
        <w:autoSpaceDE/>
        <w:autoSpaceDN/>
        <w:bidi w:val="0"/>
        <w:adjustRightInd w:val="0"/>
        <w:snapToGrid w:val="0"/>
        <w:spacing w:beforeAutospacing="0" w:afterAutospacing="0" w:line="576" w:lineRule="exact"/>
        <w:ind w:left="0" w:leftChars="0" w:firstLine="720"/>
        <w:jc w:val="left"/>
        <w:textAlignment w:val="auto"/>
        <w:rPr>
          <w:rFonts w:hint="eastAsia" w:ascii="Times New Roman" w:hAnsi="Times New Roman" w:eastAsia="方正仿宋_GBK" w:cs="Times New Roman"/>
          <w:kern w:val="0"/>
          <w:sz w:val="32"/>
          <w:szCs w:val="32"/>
          <w:highlight w:val="none"/>
          <w:lang w:val="en-US" w:eastAsia="zh-CN" w:bidi="ar-SA"/>
        </w:rPr>
      </w:pPr>
      <w:r>
        <w:rPr>
          <w:rFonts w:hint="eastAsia" w:ascii="Times New Roman" w:hAnsi="Times New Roman" w:eastAsia="方正仿宋_GBK" w:cs="Times New Roman"/>
          <w:kern w:val="0"/>
          <w:sz w:val="32"/>
          <w:szCs w:val="32"/>
          <w:highlight w:val="none"/>
          <w:lang w:eastAsia="zh-CN" w:bidi="ar-SA"/>
        </w:rPr>
        <w:t>红原县</w:t>
      </w:r>
      <w:r>
        <w:rPr>
          <w:rFonts w:hint="eastAsia" w:ascii="Times New Roman" w:hAnsi="Times New Roman" w:eastAsia="方正仿宋_GBK" w:cs="Times New Roman"/>
          <w:kern w:val="0"/>
          <w:sz w:val="32"/>
          <w:szCs w:val="32"/>
          <w:highlight w:val="none"/>
          <w:lang w:val="en-US" w:eastAsia="zh-CN" w:bidi="ar-SA"/>
        </w:rPr>
        <w:t>公务服务中心</w:t>
      </w:r>
      <w:r>
        <w:rPr>
          <w:rFonts w:hint="eastAsia" w:ascii="Times New Roman" w:hAnsi="Times New Roman" w:eastAsia="方正仿宋_GBK" w:cs="Times New Roman"/>
          <w:kern w:val="0"/>
          <w:sz w:val="32"/>
          <w:szCs w:val="32"/>
          <w:highlight w:val="none"/>
          <w:lang w:eastAsia="zh-CN" w:bidi="ar-SA"/>
        </w:rPr>
        <w:t>预算安排支出主要用于保障该部门机构正常运转、完成日常工作任务以及承担工会事业发展相关工作。基本支出</w:t>
      </w:r>
      <w:r>
        <w:rPr>
          <w:rFonts w:hint="eastAsia" w:ascii="Times New Roman" w:hAnsi="Times New Roman" w:eastAsia="方正仿宋_GBK" w:cs="Times New Roman"/>
          <w:kern w:val="0"/>
          <w:sz w:val="32"/>
          <w:szCs w:val="32"/>
          <w:highlight w:val="none"/>
          <w:lang w:val="en-US" w:eastAsia="zh-CN" w:bidi="ar-SA"/>
        </w:rPr>
        <w:t>275.53</w:t>
      </w:r>
      <w:r>
        <w:rPr>
          <w:rFonts w:hint="eastAsia" w:ascii="Times New Roman" w:hAnsi="Times New Roman" w:eastAsia="方正仿宋_GBK" w:cs="Times New Roman"/>
          <w:kern w:val="0"/>
          <w:sz w:val="32"/>
          <w:szCs w:val="32"/>
          <w:highlight w:val="none"/>
          <w:lang w:eastAsia="zh-CN" w:bidi="ar-SA"/>
        </w:rPr>
        <w:t>万元</w:t>
      </w:r>
      <w:r>
        <w:rPr>
          <w:rFonts w:hint="eastAsia" w:ascii="Times New Roman" w:hAnsi="Times New Roman" w:eastAsia="方正仿宋_GBK" w:cs="Times New Roman"/>
          <w:kern w:val="0"/>
          <w:sz w:val="32"/>
          <w:szCs w:val="32"/>
          <w:highlight w:val="none"/>
          <w:lang w:val="en-US" w:eastAsia="zh-CN" w:bidi="ar-SA"/>
        </w:rPr>
        <w:t>。</w:t>
      </w:r>
      <w:r>
        <w:rPr>
          <w:rFonts w:hint="eastAsia" w:ascii="Times New Roman" w:hAnsi="Times New Roman" w:eastAsia="方正仿宋_GBK" w:cs="Times New Roman"/>
          <w:kern w:val="0"/>
          <w:sz w:val="32"/>
          <w:szCs w:val="32"/>
          <w:highlight w:val="none"/>
          <w:lang w:eastAsia="zh-CN" w:bidi="ar-SA"/>
        </w:rPr>
        <w:t>其中人员经费支出</w:t>
      </w:r>
      <w:r>
        <w:rPr>
          <w:rFonts w:hint="eastAsia" w:ascii="Times New Roman" w:hAnsi="Times New Roman" w:eastAsia="方正仿宋_GBK" w:cs="Times New Roman"/>
          <w:kern w:val="0"/>
          <w:sz w:val="32"/>
          <w:szCs w:val="32"/>
          <w:highlight w:val="none"/>
          <w:lang w:val="en-US" w:eastAsia="zh-CN" w:bidi="ar-SA"/>
        </w:rPr>
        <w:t>256.04万元，机关运行经费19.49万元。</w:t>
      </w:r>
    </w:p>
    <w:p w14:paraId="37D2E956">
      <w:pPr>
        <w:pageBreakBefore w:val="0"/>
        <w:widowControl/>
        <w:kinsoku/>
        <w:wordWrap/>
        <w:overflowPunct/>
        <w:topLinePunct w:val="0"/>
        <w:autoSpaceDE/>
        <w:autoSpaceDN/>
        <w:bidi w:val="0"/>
        <w:adjustRightInd w:val="0"/>
        <w:snapToGrid w:val="0"/>
        <w:spacing w:beforeAutospacing="0" w:afterAutospacing="0" w:line="576" w:lineRule="exact"/>
        <w:ind w:left="0" w:leftChars="0" w:firstLine="720"/>
        <w:jc w:val="left"/>
        <w:textAlignment w:val="auto"/>
        <w:rPr>
          <w:rFonts w:hint="eastAsia" w:ascii="Times New Roman" w:hAnsi="Times New Roman" w:eastAsia="方正仿宋_GBK" w:cs="Times New Roman"/>
          <w:kern w:val="0"/>
          <w:sz w:val="32"/>
          <w:szCs w:val="32"/>
          <w:highlight w:val="none"/>
          <w:lang w:eastAsia="zh-CN" w:bidi="ar-SA"/>
        </w:rPr>
      </w:pPr>
      <w:r>
        <w:rPr>
          <w:rFonts w:hint="eastAsia" w:ascii="Times New Roman" w:hAnsi="Times New Roman" w:eastAsia="方正仿宋_GBK" w:cs="Times New Roman"/>
          <w:kern w:val="0"/>
          <w:sz w:val="32"/>
          <w:szCs w:val="32"/>
          <w:highlight w:val="none"/>
          <w:lang w:eastAsia="zh-CN" w:bidi="ar-SA"/>
        </w:rPr>
        <w:t>按支出功能分类主要用于以下方面:</w:t>
      </w:r>
    </w:p>
    <w:p w14:paraId="629FC988">
      <w:pPr>
        <w:pageBreakBefore w:val="0"/>
        <w:widowControl/>
        <w:kinsoku/>
        <w:wordWrap/>
        <w:overflowPunct/>
        <w:topLinePunct w:val="0"/>
        <w:autoSpaceDE/>
        <w:autoSpaceDN/>
        <w:bidi w:val="0"/>
        <w:adjustRightInd w:val="0"/>
        <w:snapToGrid w:val="0"/>
        <w:spacing w:beforeAutospacing="0" w:afterAutospacing="0" w:line="576" w:lineRule="exact"/>
        <w:ind w:left="0" w:leftChars="0" w:firstLine="720"/>
        <w:jc w:val="left"/>
        <w:textAlignment w:val="auto"/>
        <w:rPr>
          <w:rFonts w:hint="eastAsia" w:ascii="Times New Roman" w:hAnsi="Times New Roman" w:eastAsia="方正仿宋_GBK" w:cs="Times New Roman"/>
          <w:kern w:val="0"/>
          <w:sz w:val="32"/>
          <w:szCs w:val="32"/>
          <w:highlight w:val="none"/>
          <w:lang w:eastAsia="zh-CN" w:bidi="ar-SA"/>
        </w:rPr>
      </w:pPr>
      <w:r>
        <w:rPr>
          <w:rFonts w:hint="eastAsia" w:ascii="Times New Roman" w:hAnsi="Times New Roman" w:eastAsia="方正仿宋_GBK" w:cs="Times New Roman"/>
          <w:kern w:val="0"/>
          <w:sz w:val="32"/>
          <w:szCs w:val="32"/>
          <w:highlight w:val="none"/>
          <w:lang w:val="en-US" w:eastAsia="zh-CN" w:bidi="ar-SA"/>
        </w:rPr>
        <w:t>1</w:t>
      </w:r>
      <w:r>
        <w:rPr>
          <w:rFonts w:hint="default" w:ascii="Times New Roman" w:hAnsi="Times New Roman" w:eastAsia="方正仿宋_GBK" w:cs="Times New Roman"/>
          <w:kern w:val="0"/>
          <w:sz w:val="32"/>
          <w:szCs w:val="32"/>
          <w:highlight w:val="none"/>
          <w:lang w:val="en-US" w:eastAsia="zh-CN" w:bidi="ar-SA"/>
        </w:rPr>
        <w:t>.</w:t>
      </w:r>
      <w:r>
        <w:rPr>
          <w:rFonts w:hint="eastAsia" w:ascii="Times New Roman" w:hAnsi="Times New Roman" w:eastAsia="方正仿宋_GBK" w:cs="Times New Roman"/>
          <w:kern w:val="0"/>
          <w:sz w:val="32"/>
          <w:szCs w:val="32"/>
          <w:highlight w:val="none"/>
          <w:lang w:eastAsia="zh-CN" w:bidi="ar-SA"/>
        </w:rPr>
        <w:t>一般公共服务</w:t>
      </w:r>
      <w:r>
        <w:rPr>
          <w:rFonts w:hint="eastAsia" w:ascii="Times New Roman" w:hAnsi="Times New Roman" w:eastAsia="方正仿宋_GBK" w:cs="Times New Roman"/>
          <w:kern w:val="0"/>
          <w:sz w:val="32"/>
          <w:szCs w:val="32"/>
          <w:highlight w:val="none"/>
          <w:lang w:val="en-US" w:eastAsia="zh-CN" w:bidi="ar-SA"/>
        </w:rPr>
        <w:t>支出586.86</w:t>
      </w:r>
      <w:r>
        <w:rPr>
          <w:rFonts w:hint="eastAsia" w:ascii="Times New Roman" w:hAnsi="Times New Roman" w:eastAsia="方正仿宋_GBK" w:cs="Times New Roman"/>
          <w:kern w:val="0"/>
          <w:sz w:val="32"/>
          <w:szCs w:val="32"/>
          <w:highlight w:val="none"/>
          <w:lang w:eastAsia="zh-CN" w:bidi="ar-SA"/>
        </w:rPr>
        <w:t>万元，主要用于机关及下属事业单位人员工资、日常运转以及为完成特定行政工作任务和事业发展目标而安排的年度项目支出。</w:t>
      </w:r>
    </w:p>
    <w:p w14:paraId="6D4C6CDE">
      <w:pPr>
        <w:pageBreakBefore w:val="0"/>
        <w:widowControl/>
        <w:kinsoku/>
        <w:wordWrap/>
        <w:overflowPunct/>
        <w:topLinePunct w:val="0"/>
        <w:autoSpaceDE/>
        <w:autoSpaceDN/>
        <w:bidi w:val="0"/>
        <w:adjustRightInd w:val="0"/>
        <w:snapToGrid w:val="0"/>
        <w:spacing w:beforeAutospacing="0" w:afterAutospacing="0" w:line="576" w:lineRule="exact"/>
        <w:ind w:left="0" w:leftChars="0" w:firstLine="720"/>
        <w:jc w:val="left"/>
        <w:textAlignment w:val="auto"/>
        <w:rPr>
          <w:rFonts w:hint="eastAsia" w:ascii="Times New Roman" w:hAnsi="Times New Roman" w:eastAsia="方正仿宋_GBK" w:cs="Times New Roman"/>
          <w:kern w:val="0"/>
          <w:sz w:val="32"/>
          <w:szCs w:val="32"/>
          <w:highlight w:val="none"/>
          <w:lang w:eastAsia="zh-CN" w:bidi="ar-SA"/>
        </w:rPr>
      </w:pPr>
      <w:r>
        <w:rPr>
          <w:rFonts w:hint="eastAsia" w:ascii="Times New Roman" w:hAnsi="Times New Roman" w:eastAsia="方正仿宋_GBK" w:cs="Times New Roman"/>
          <w:kern w:val="0"/>
          <w:sz w:val="32"/>
          <w:szCs w:val="32"/>
          <w:highlight w:val="none"/>
          <w:lang w:val="en-US" w:eastAsia="zh-CN" w:bidi="ar-SA"/>
        </w:rPr>
        <w:t>2</w:t>
      </w:r>
      <w:r>
        <w:rPr>
          <w:rFonts w:hint="default" w:ascii="Times New Roman" w:hAnsi="Times New Roman" w:eastAsia="方正仿宋_GBK" w:cs="Times New Roman"/>
          <w:kern w:val="0"/>
          <w:sz w:val="32"/>
          <w:szCs w:val="32"/>
          <w:highlight w:val="none"/>
          <w:lang w:val="en-US" w:eastAsia="zh-CN" w:bidi="ar-SA"/>
        </w:rPr>
        <w:t>.</w:t>
      </w:r>
      <w:r>
        <w:rPr>
          <w:rFonts w:hint="eastAsia" w:ascii="Times New Roman" w:hAnsi="Times New Roman" w:eastAsia="方正仿宋_GBK" w:cs="Times New Roman"/>
          <w:kern w:val="0"/>
          <w:sz w:val="32"/>
          <w:szCs w:val="32"/>
          <w:highlight w:val="none"/>
          <w:lang w:eastAsia="zh-CN" w:bidi="ar-SA"/>
        </w:rPr>
        <w:t>社会保障和就业</w:t>
      </w:r>
      <w:r>
        <w:rPr>
          <w:rFonts w:hint="eastAsia" w:ascii="Times New Roman" w:hAnsi="Times New Roman" w:eastAsia="方正仿宋_GBK" w:cs="Times New Roman"/>
          <w:kern w:val="0"/>
          <w:sz w:val="32"/>
          <w:szCs w:val="32"/>
          <w:highlight w:val="none"/>
          <w:lang w:val="en-US" w:eastAsia="zh-CN" w:bidi="ar-SA"/>
        </w:rPr>
        <w:t>支出31.88</w:t>
      </w:r>
      <w:r>
        <w:rPr>
          <w:rFonts w:hint="eastAsia" w:ascii="Times New Roman" w:hAnsi="Times New Roman" w:eastAsia="方正仿宋_GBK" w:cs="Times New Roman"/>
          <w:kern w:val="0"/>
          <w:sz w:val="32"/>
          <w:szCs w:val="32"/>
          <w:highlight w:val="none"/>
          <w:lang w:eastAsia="zh-CN" w:bidi="ar-SA"/>
        </w:rPr>
        <w:t>万元，主要用于机关及下属事业单位养老保险及职业年金缴费。</w:t>
      </w:r>
    </w:p>
    <w:p w14:paraId="2EBB13CC">
      <w:pPr>
        <w:pageBreakBefore w:val="0"/>
        <w:widowControl/>
        <w:kinsoku/>
        <w:wordWrap/>
        <w:overflowPunct/>
        <w:topLinePunct w:val="0"/>
        <w:autoSpaceDE/>
        <w:autoSpaceDN/>
        <w:bidi w:val="0"/>
        <w:adjustRightInd w:val="0"/>
        <w:snapToGrid w:val="0"/>
        <w:spacing w:beforeAutospacing="0" w:afterAutospacing="0" w:line="576" w:lineRule="exact"/>
        <w:ind w:left="0" w:leftChars="0" w:firstLine="720"/>
        <w:jc w:val="left"/>
        <w:textAlignment w:val="auto"/>
        <w:rPr>
          <w:rFonts w:hint="eastAsia" w:ascii="Times New Roman" w:hAnsi="Times New Roman" w:eastAsia="方正仿宋_GBK" w:cs="Times New Roman"/>
          <w:kern w:val="0"/>
          <w:sz w:val="32"/>
          <w:szCs w:val="32"/>
          <w:highlight w:val="none"/>
          <w:lang w:eastAsia="zh-CN" w:bidi="ar-SA"/>
        </w:rPr>
      </w:pPr>
      <w:r>
        <w:rPr>
          <w:rFonts w:hint="eastAsia" w:ascii="Times New Roman" w:hAnsi="Times New Roman" w:eastAsia="方正仿宋_GBK" w:cs="Times New Roman"/>
          <w:kern w:val="0"/>
          <w:sz w:val="32"/>
          <w:szCs w:val="32"/>
          <w:highlight w:val="none"/>
          <w:lang w:val="en-US" w:eastAsia="zh-CN" w:bidi="ar-SA"/>
        </w:rPr>
        <w:t>3</w:t>
      </w:r>
      <w:r>
        <w:rPr>
          <w:rFonts w:hint="default" w:ascii="Times New Roman" w:hAnsi="Times New Roman" w:eastAsia="方正仿宋_GBK" w:cs="Times New Roman"/>
          <w:kern w:val="0"/>
          <w:sz w:val="32"/>
          <w:szCs w:val="32"/>
          <w:highlight w:val="none"/>
          <w:lang w:val="en-US" w:eastAsia="zh-CN" w:bidi="ar-SA"/>
        </w:rPr>
        <w:t>.</w:t>
      </w:r>
      <w:r>
        <w:rPr>
          <w:rFonts w:hint="eastAsia" w:ascii="Times New Roman" w:hAnsi="Times New Roman" w:eastAsia="方正仿宋_GBK" w:cs="Times New Roman"/>
          <w:kern w:val="0"/>
          <w:sz w:val="32"/>
          <w:szCs w:val="32"/>
          <w:highlight w:val="none"/>
          <w:lang w:val="en-US" w:eastAsia="zh-CN" w:bidi="ar-SA"/>
        </w:rPr>
        <w:t>卫生健康支出11.12</w:t>
      </w:r>
      <w:r>
        <w:rPr>
          <w:rFonts w:hint="eastAsia" w:ascii="Times New Roman" w:hAnsi="Times New Roman" w:eastAsia="方正仿宋_GBK" w:cs="Times New Roman"/>
          <w:kern w:val="0"/>
          <w:sz w:val="32"/>
          <w:szCs w:val="32"/>
          <w:highlight w:val="none"/>
          <w:lang w:eastAsia="zh-CN" w:bidi="ar-SA"/>
        </w:rPr>
        <w:t>万元，主要用于机关及下属事业单位按照规定标准为职工缴纳的基本医疗保险及公务员医疗补助等支出。</w:t>
      </w:r>
    </w:p>
    <w:p w14:paraId="2F3E89A3">
      <w:pPr>
        <w:pageBreakBefore w:val="0"/>
        <w:widowControl/>
        <w:kinsoku/>
        <w:wordWrap/>
        <w:overflowPunct/>
        <w:topLinePunct w:val="0"/>
        <w:autoSpaceDE/>
        <w:autoSpaceDN/>
        <w:bidi w:val="0"/>
        <w:adjustRightInd w:val="0"/>
        <w:snapToGrid w:val="0"/>
        <w:spacing w:beforeAutospacing="0" w:afterAutospacing="0" w:line="576" w:lineRule="exact"/>
        <w:ind w:left="0" w:leftChars="0" w:firstLine="720"/>
        <w:jc w:val="left"/>
        <w:textAlignment w:val="auto"/>
        <w:rPr>
          <w:rFonts w:hint="eastAsia" w:ascii="Times New Roman" w:hAnsi="Times New Roman" w:eastAsia="方正仿宋_GBK" w:cs="Times New Roman"/>
          <w:kern w:val="0"/>
          <w:sz w:val="32"/>
          <w:szCs w:val="32"/>
          <w:highlight w:val="none"/>
          <w:lang w:val="en-US" w:eastAsia="zh-CN" w:bidi="ar-SA"/>
        </w:rPr>
      </w:pPr>
      <w:r>
        <w:rPr>
          <w:rFonts w:hint="eastAsia" w:ascii="Times New Roman" w:hAnsi="Times New Roman" w:eastAsia="方正仿宋_GBK" w:cs="Times New Roman"/>
          <w:kern w:val="0"/>
          <w:sz w:val="32"/>
          <w:szCs w:val="32"/>
          <w:highlight w:val="none"/>
          <w:lang w:val="en-US" w:eastAsia="zh-CN" w:bidi="ar-SA"/>
        </w:rPr>
        <w:t>4</w:t>
      </w:r>
      <w:r>
        <w:rPr>
          <w:rFonts w:hint="default" w:ascii="Times New Roman" w:hAnsi="Times New Roman" w:eastAsia="方正仿宋_GBK" w:cs="Times New Roman"/>
          <w:kern w:val="0"/>
          <w:sz w:val="32"/>
          <w:szCs w:val="32"/>
          <w:highlight w:val="none"/>
          <w:lang w:val="en-US" w:eastAsia="zh-CN" w:bidi="ar-SA"/>
        </w:rPr>
        <w:t>.</w:t>
      </w:r>
      <w:r>
        <w:rPr>
          <w:rFonts w:hint="eastAsia" w:ascii="Times New Roman" w:hAnsi="Times New Roman" w:eastAsia="方正仿宋_GBK" w:cs="Times New Roman"/>
          <w:kern w:val="0"/>
          <w:sz w:val="32"/>
          <w:szCs w:val="32"/>
          <w:highlight w:val="none"/>
          <w:lang w:eastAsia="zh-CN" w:bidi="ar-SA"/>
        </w:rPr>
        <w:t>住房保障支出</w:t>
      </w:r>
      <w:r>
        <w:rPr>
          <w:rFonts w:hint="eastAsia" w:ascii="Times New Roman" w:hAnsi="Times New Roman" w:eastAsia="方正仿宋_GBK" w:cs="Times New Roman"/>
          <w:kern w:val="0"/>
          <w:sz w:val="32"/>
          <w:szCs w:val="32"/>
          <w:highlight w:val="none"/>
          <w:lang w:val="en-US" w:eastAsia="zh-CN" w:bidi="ar-SA"/>
        </w:rPr>
        <w:t>16.15</w:t>
      </w:r>
      <w:r>
        <w:rPr>
          <w:rFonts w:hint="eastAsia" w:ascii="Times New Roman" w:hAnsi="Times New Roman" w:eastAsia="方正仿宋_GBK" w:cs="Times New Roman"/>
          <w:kern w:val="0"/>
          <w:sz w:val="32"/>
          <w:szCs w:val="32"/>
          <w:highlight w:val="none"/>
          <w:lang w:eastAsia="zh-CN" w:bidi="ar-SA"/>
        </w:rPr>
        <w:t>万元，用于机关及下属事业单位按照规定标准为职工缴纳住房公积金等支出。</w:t>
      </w:r>
    </w:p>
    <w:p w14:paraId="7459CBD5">
      <w:pPr>
        <w:pageBreakBefore w:val="0"/>
        <w:widowControl/>
        <w:kinsoku/>
        <w:wordWrap/>
        <w:overflowPunct/>
        <w:topLinePunct w:val="0"/>
        <w:autoSpaceDE/>
        <w:autoSpaceDN/>
        <w:bidi w:val="0"/>
        <w:adjustRightInd w:val="0"/>
        <w:snapToGrid w:val="0"/>
        <w:spacing w:beforeAutospacing="0" w:afterAutospacing="0" w:line="576" w:lineRule="exact"/>
        <w:ind w:left="0" w:leftChars="0" w:firstLine="720"/>
        <w:jc w:val="left"/>
        <w:textAlignment w:val="auto"/>
        <w:rPr>
          <w:rFonts w:hint="eastAsia" w:ascii="Times New Roman" w:hAnsi="Times New Roman" w:eastAsia="方正仿宋_GBK" w:cs="Times New Roman"/>
          <w:kern w:val="0"/>
          <w:sz w:val="32"/>
          <w:szCs w:val="32"/>
          <w:highlight w:val="none"/>
          <w:lang w:val="en-US" w:eastAsia="zh-CN" w:bidi="ar-SA"/>
        </w:rPr>
      </w:pPr>
      <w:r>
        <w:rPr>
          <w:rFonts w:hint="eastAsia" w:ascii="Times New Roman" w:hAnsi="Times New Roman" w:eastAsia="方正仿宋_GBK" w:cs="Times New Roman"/>
          <w:kern w:val="0"/>
          <w:sz w:val="32"/>
          <w:szCs w:val="32"/>
          <w:highlight w:val="none"/>
          <w:lang w:val="en-US" w:eastAsia="zh-CN" w:bidi="ar-SA"/>
        </w:rPr>
        <w:t>“三公”经费支出情况：本单位本年度“三公”经费支出决算数为246.53万元。其中:因公出国（境）费支出决算数为0.00万元，相比上年度减少0.00万元，公务用车购置及运行维护费支出决算数为6.78万元，公务接待费支出决算数为239.75万元。对比上年增加</w:t>
      </w:r>
      <w:r>
        <w:rPr>
          <w:rFonts w:hint="eastAsia" w:ascii="仿宋" w:hAnsi="仿宋" w:eastAsia="仿宋"/>
          <w:color w:val="000000"/>
          <w:sz w:val="32"/>
          <w:u w:color="auto"/>
          <w:lang w:val="en-US" w:eastAsia="zh-CN"/>
        </w:rPr>
        <w:t>59.75</w:t>
      </w:r>
      <w:r>
        <w:rPr>
          <w:rFonts w:hint="eastAsia" w:ascii="仿宋" w:hAnsi="仿宋" w:eastAsia="仿宋"/>
          <w:color w:val="000000"/>
          <w:sz w:val="32"/>
          <w:szCs w:val="32"/>
        </w:rPr>
        <w:t>万元，</w:t>
      </w:r>
      <w:r>
        <w:rPr>
          <w:rFonts w:hint="eastAsia" w:ascii="仿宋" w:hAnsi="仿宋" w:eastAsia="仿宋"/>
          <w:color w:val="000000"/>
          <w:sz w:val="32"/>
          <w:u w:color="auto"/>
          <w:lang w:eastAsia="zh-CN"/>
        </w:rPr>
        <w:t>增加</w:t>
      </w:r>
      <w:r>
        <w:rPr>
          <w:rFonts w:hint="eastAsia" w:ascii="仿宋" w:hAnsi="仿宋" w:eastAsia="仿宋"/>
          <w:color w:val="000000"/>
          <w:sz w:val="32"/>
          <w:u w:color="auto"/>
          <w:lang w:val="en-US" w:eastAsia="zh-CN"/>
        </w:rPr>
        <w:t>33.19</w:t>
      </w:r>
      <w:r>
        <w:rPr>
          <w:rFonts w:ascii="仿宋" w:hAnsi="仿宋" w:eastAsia="仿宋"/>
          <w:color w:val="000000"/>
          <w:sz w:val="32"/>
          <w:szCs w:val="32"/>
        </w:rPr>
        <w:t>%</w:t>
      </w:r>
      <w:r>
        <w:rPr>
          <w:rFonts w:hint="eastAsia" w:ascii="仿宋" w:hAnsi="仿宋" w:eastAsia="仿宋"/>
          <w:color w:val="000000"/>
          <w:sz w:val="32"/>
          <w:szCs w:val="32"/>
        </w:rPr>
        <w:t>。主要原因是</w:t>
      </w:r>
      <w:r>
        <w:rPr>
          <w:rFonts w:hint="eastAsia" w:ascii="仿宋" w:hAnsi="仿宋" w:eastAsia="仿宋"/>
          <w:color w:val="000000"/>
          <w:sz w:val="32"/>
          <w:szCs w:val="32"/>
          <w:lang w:eastAsia="zh-CN"/>
        </w:rPr>
        <w:t>支付了以往年度的</w:t>
      </w:r>
      <w:r>
        <w:rPr>
          <w:rFonts w:hint="eastAsia" w:ascii="仿宋" w:hAnsi="仿宋" w:eastAsia="仿宋"/>
          <w:color w:val="000000"/>
          <w:sz w:val="32"/>
          <w:szCs w:val="32"/>
        </w:rPr>
        <w:t>活动</w:t>
      </w:r>
      <w:r>
        <w:rPr>
          <w:rFonts w:hint="eastAsia" w:ascii="仿宋" w:hAnsi="仿宋" w:eastAsia="仿宋"/>
          <w:color w:val="000000"/>
          <w:sz w:val="32"/>
          <w:szCs w:val="32"/>
          <w:lang w:eastAsia="zh-CN"/>
        </w:rPr>
        <w:t>费用</w:t>
      </w:r>
      <w:r>
        <w:rPr>
          <w:rFonts w:hint="eastAsia" w:ascii="仿宋" w:hAnsi="仿宋" w:eastAsia="仿宋"/>
          <w:color w:val="000000"/>
          <w:sz w:val="32"/>
          <w:szCs w:val="32"/>
        </w:rPr>
        <w:t>。</w:t>
      </w:r>
      <w:r>
        <w:rPr>
          <w:rFonts w:hint="eastAsia" w:ascii="Times New Roman" w:hAnsi="Times New Roman" w:eastAsia="方正仿宋_GBK" w:cs="Times New Roman"/>
          <w:kern w:val="0"/>
          <w:sz w:val="32"/>
          <w:szCs w:val="32"/>
          <w:highlight w:val="none"/>
          <w:lang w:val="en-US" w:eastAsia="zh-CN" w:bidi="ar-SA"/>
        </w:rPr>
        <w:t>。</w:t>
      </w:r>
    </w:p>
    <w:p w14:paraId="15A5B7AD">
      <w:pPr>
        <w:pageBreakBefore w:val="0"/>
        <w:widowControl/>
        <w:kinsoku/>
        <w:wordWrap/>
        <w:overflowPunct/>
        <w:topLinePunct w:val="0"/>
        <w:autoSpaceDE/>
        <w:autoSpaceDN/>
        <w:bidi w:val="0"/>
        <w:adjustRightInd w:val="0"/>
        <w:snapToGrid w:val="0"/>
        <w:spacing w:beforeAutospacing="0" w:afterAutospacing="0" w:line="576" w:lineRule="exact"/>
        <w:ind w:left="0" w:leftChars="0" w:firstLine="720"/>
        <w:jc w:val="left"/>
        <w:textAlignment w:val="auto"/>
        <w:rPr>
          <w:rFonts w:hint="default" w:ascii="Times New Roman" w:hAnsi="Times New Roman" w:eastAsia="方正仿宋_GBK" w:cs="Times New Roman"/>
          <w:kern w:val="0"/>
          <w:sz w:val="32"/>
          <w:szCs w:val="32"/>
          <w:highlight w:val="none"/>
          <w:lang w:val="zh-CN" w:eastAsia="zh-CN" w:bidi="ar-SA"/>
        </w:rPr>
      </w:pPr>
      <w:r>
        <w:rPr>
          <w:rFonts w:hint="default" w:ascii="方正楷体_GBK" w:hAnsi="方正楷体_GBK" w:eastAsia="方正楷体_GBK" w:cs="方正楷体_GBK"/>
          <w:kern w:val="0"/>
          <w:sz w:val="32"/>
          <w:szCs w:val="32"/>
          <w:highlight w:val="none"/>
          <w:lang w:val="zh-CN" w:eastAsia="zh-CN" w:bidi="ar-SA"/>
        </w:rPr>
        <w:t>（二）部门预算项目绩效分析。</w:t>
      </w:r>
      <w:r>
        <w:rPr>
          <w:rFonts w:hint="default" w:ascii="Times New Roman" w:hAnsi="Times New Roman" w:eastAsia="方正仿宋_GBK" w:cs="Times New Roman"/>
          <w:kern w:val="0"/>
          <w:sz w:val="32"/>
          <w:szCs w:val="32"/>
          <w:highlight w:val="none"/>
          <w:lang w:val="en-US" w:eastAsia="zh-CN" w:bidi="ar-SA"/>
        </w:rPr>
        <w:t>常年项目绩效分析。</w:t>
      </w:r>
      <w:r>
        <w:rPr>
          <w:rFonts w:hint="default" w:ascii="Times New Roman" w:hAnsi="Times New Roman" w:eastAsia="方正仿宋_GBK" w:cs="Times New Roman"/>
          <w:kern w:val="0"/>
          <w:sz w:val="32"/>
          <w:szCs w:val="32"/>
          <w:highlight w:val="none"/>
          <w:lang w:val="zh-CN" w:eastAsia="zh-CN" w:bidi="ar-SA"/>
        </w:rPr>
        <w:t>该类项目总数</w:t>
      </w:r>
      <w:r>
        <w:rPr>
          <w:rFonts w:hint="eastAsia" w:ascii="Times New Roman" w:hAnsi="Times New Roman" w:eastAsia="方正仿宋_GBK" w:cs="Times New Roman"/>
          <w:kern w:val="0"/>
          <w:sz w:val="32"/>
          <w:szCs w:val="32"/>
          <w:highlight w:val="none"/>
          <w:lang w:val="en-US" w:eastAsia="zh-CN" w:bidi="ar-SA"/>
        </w:rPr>
        <w:t>5</w:t>
      </w:r>
      <w:r>
        <w:rPr>
          <w:rFonts w:hint="default" w:ascii="Times New Roman" w:hAnsi="Times New Roman" w:eastAsia="方正仿宋_GBK" w:cs="Times New Roman"/>
          <w:kern w:val="0"/>
          <w:sz w:val="32"/>
          <w:szCs w:val="32"/>
          <w:highlight w:val="none"/>
          <w:lang w:val="zh-CN" w:eastAsia="zh-CN" w:bidi="ar-SA"/>
        </w:rPr>
        <w:t>个，涉及预算总金额</w:t>
      </w:r>
      <w:r>
        <w:rPr>
          <w:rFonts w:hint="eastAsia" w:ascii="Times New Roman" w:hAnsi="Times New Roman" w:eastAsia="方正仿宋_GBK" w:cs="Times New Roman"/>
          <w:kern w:val="0"/>
          <w:sz w:val="32"/>
          <w:szCs w:val="32"/>
          <w:highlight w:val="none"/>
          <w:lang w:val="en-US" w:eastAsia="zh-CN" w:bidi="ar-SA"/>
        </w:rPr>
        <w:t>370.48</w:t>
      </w:r>
      <w:r>
        <w:rPr>
          <w:rFonts w:hint="default" w:ascii="Times New Roman" w:hAnsi="Times New Roman" w:eastAsia="方正仿宋_GBK" w:cs="Times New Roman"/>
          <w:kern w:val="0"/>
          <w:sz w:val="32"/>
          <w:szCs w:val="32"/>
          <w:highlight w:val="none"/>
          <w:lang w:val="zh-CN" w:eastAsia="zh-CN" w:bidi="ar-SA"/>
        </w:rPr>
        <w:t>万元，1</w:t>
      </w:r>
      <w:r>
        <w:rPr>
          <w:rFonts w:hint="eastAsia" w:ascii="Times New Roman" w:hAnsi="Times New Roman" w:eastAsia="方正仿宋_GBK" w:cs="Times New Roman"/>
          <w:kern w:val="0"/>
          <w:sz w:val="32"/>
          <w:szCs w:val="32"/>
          <w:highlight w:val="none"/>
          <w:lang w:val="zh-CN" w:eastAsia="zh-CN" w:bidi="ar-SA"/>
        </w:rPr>
        <w:t>—</w:t>
      </w:r>
      <w:r>
        <w:rPr>
          <w:rFonts w:hint="default" w:ascii="Times New Roman" w:hAnsi="Times New Roman" w:eastAsia="方正仿宋_GBK" w:cs="Times New Roman"/>
          <w:kern w:val="0"/>
          <w:sz w:val="32"/>
          <w:szCs w:val="32"/>
          <w:highlight w:val="none"/>
          <w:lang w:val="zh-CN" w:eastAsia="zh-CN" w:bidi="ar-SA"/>
        </w:rPr>
        <w:t>1</w:t>
      </w:r>
      <w:r>
        <w:rPr>
          <w:rFonts w:hint="default" w:ascii="Times New Roman" w:hAnsi="Times New Roman" w:eastAsia="方正仿宋_GBK" w:cs="Times New Roman"/>
          <w:kern w:val="0"/>
          <w:sz w:val="32"/>
          <w:szCs w:val="32"/>
          <w:highlight w:val="none"/>
          <w:lang w:val="en-US" w:eastAsia="zh-CN" w:bidi="ar-SA"/>
        </w:rPr>
        <w:t>2</w:t>
      </w:r>
      <w:r>
        <w:rPr>
          <w:rFonts w:hint="default" w:ascii="Times New Roman" w:hAnsi="Times New Roman" w:eastAsia="方正仿宋_GBK" w:cs="Times New Roman"/>
          <w:kern w:val="0"/>
          <w:sz w:val="32"/>
          <w:szCs w:val="32"/>
          <w:highlight w:val="none"/>
          <w:lang w:val="zh-CN" w:eastAsia="zh-CN" w:bidi="ar-SA"/>
        </w:rPr>
        <w:t>月预算执行总体进度为</w:t>
      </w:r>
      <w:r>
        <w:rPr>
          <w:rFonts w:hint="eastAsia" w:ascii="Times New Roman" w:hAnsi="Times New Roman" w:eastAsia="方正仿宋_GBK" w:cs="Times New Roman"/>
          <w:kern w:val="0"/>
          <w:sz w:val="32"/>
          <w:szCs w:val="32"/>
          <w:highlight w:val="none"/>
          <w:lang w:val="en-US" w:eastAsia="zh-CN" w:bidi="ar-SA"/>
        </w:rPr>
        <w:t>100</w:t>
      </w:r>
      <w:r>
        <w:rPr>
          <w:rFonts w:hint="default" w:ascii="Times New Roman" w:hAnsi="Times New Roman" w:eastAsia="方正仿宋_GBK" w:cs="Times New Roman"/>
          <w:kern w:val="0"/>
          <w:sz w:val="32"/>
          <w:szCs w:val="32"/>
          <w:highlight w:val="none"/>
          <w:lang w:val="zh-CN" w:eastAsia="zh-CN" w:bidi="ar-SA"/>
        </w:rPr>
        <w:t>%，其中：预算结余率大于</w:t>
      </w:r>
      <w:r>
        <w:rPr>
          <w:rFonts w:hint="default" w:ascii="Times New Roman" w:hAnsi="Times New Roman" w:eastAsia="方正仿宋_GBK" w:cs="Times New Roman"/>
          <w:kern w:val="0"/>
          <w:sz w:val="32"/>
          <w:szCs w:val="32"/>
          <w:highlight w:val="none"/>
          <w:lang w:val="en-US" w:eastAsia="zh-CN" w:bidi="ar-SA"/>
        </w:rPr>
        <w:t>10%</w:t>
      </w:r>
      <w:r>
        <w:rPr>
          <w:rFonts w:hint="default" w:ascii="Times New Roman" w:hAnsi="Times New Roman" w:eastAsia="方正仿宋_GBK" w:cs="Times New Roman"/>
          <w:kern w:val="0"/>
          <w:sz w:val="32"/>
          <w:szCs w:val="32"/>
          <w:highlight w:val="none"/>
          <w:lang w:val="zh-CN" w:eastAsia="zh-CN" w:bidi="ar-SA"/>
        </w:rPr>
        <w:t>的项目共计</w:t>
      </w:r>
      <w:r>
        <w:rPr>
          <w:rFonts w:hint="eastAsia" w:ascii="Times New Roman" w:hAnsi="Times New Roman" w:eastAsia="方正仿宋_GBK" w:cs="Times New Roman"/>
          <w:kern w:val="0"/>
          <w:sz w:val="32"/>
          <w:szCs w:val="32"/>
          <w:highlight w:val="none"/>
          <w:lang w:val="en-US" w:eastAsia="zh-CN" w:bidi="ar-SA"/>
        </w:rPr>
        <w:t>0</w:t>
      </w:r>
      <w:r>
        <w:rPr>
          <w:rFonts w:hint="default" w:ascii="Times New Roman" w:hAnsi="Times New Roman" w:eastAsia="方正仿宋_GBK" w:cs="Times New Roman"/>
          <w:kern w:val="0"/>
          <w:sz w:val="32"/>
          <w:szCs w:val="32"/>
          <w:highlight w:val="none"/>
          <w:lang w:val="zh-CN" w:eastAsia="zh-CN" w:bidi="ar-SA"/>
        </w:rPr>
        <w:t>个。</w:t>
      </w:r>
    </w:p>
    <w:p w14:paraId="7A2A3D53">
      <w:pPr>
        <w:pageBreakBefore w:val="0"/>
        <w:widowControl/>
        <w:kinsoku/>
        <w:wordWrap/>
        <w:overflowPunct/>
        <w:topLinePunct w:val="0"/>
        <w:autoSpaceDE/>
        <w:autoSpaceDN/>
        <w:bidi w:val="0"/>
        <w:adjustRightInd w:val="0"/>
        <w:snapToGrid w:val="0"/>
        <w:spacing w:beforeAutospacing="0" w:afterAutospacing="0" w:line="576" w:lineRule="exact"/>
        <w:ind w:left="0" w:leftChars="0" w:firstLine="720"/>
        <w:jc w:val="left"/>
        <w:textAlignment w:val="auto"/>
        <w:rPr>
          <w:rFonts w:hint="default" w:ascii="Times New Roman" w:hAnsi="Times New Roman" w:eastAsia="方正仿宋_GBK" w:cs="Times New Roman"/>
          <w:kern w:val="0"/>
          <w:sz w:val="32"/>
          <w:szCs w:val="32"/>
          <w:highlight w:val="none"/>
          <w:lang w:val="zh-CN" w:eastAsia="zh-CN" w:bidi="ar-SA"/>
        </w:rPr>
      </w:pPr>
      <w:r>
        <w:rPr>
          <w:rFonts w:hint="default" w:ascii="Times New Roman" w:hAnsi="Times New Roman" w:eastAsia="方正仿宋_GBK" w:cs="Times New Roman"/>
          <w:kern w:val="0"/>
          <w:sz w:val="32"/>
          <w:szCs w:val="32"/>
          <w:highlight w:val="none"/>
          <w:lang w:val="en-US" w:eastAsia="zh-CN" w:bidi="ar-SA"/>
        </w:rPr>
        <w:t>阶段（</w:t>
      </w:r>
      <w:r>
        <w:rPr>
          <w:rFonts w:hint="eastAsia" w:ascii="Times New Roman" w:hAnsi="Times New Roman" w:eastAsia="方正仿宋_GBK" w:cs="Times New Roman"/>
          <w:kern w:val="0"/>
          <w:sz w:val="32"/>
          <w:szCs w:val="32"/>
          <w:highlight w:val="none"/>
          <w:lang w:val="en-US" w:eastAsia="zh-CN" w:bidi="ar-SA"/>
        </w:rPr>
        <w:t>含</w:t>
      </w:r>
      <w:r>
        <w:rPr>
          <w:rFonts w:hint="default" w:ascii="Times New Roman" w:hAnsi="Times New Roman" w:eastAsia="方正仿宋_GBK" w:cs="Times New Roman"/>
          <w:kern w:val="0"/>
          <w:sz w:val="32"/>
          <w:szCs w:val="32"/>
          <w:highlight w:val="none"/>
          <w:lang w:val="en-US" w:eastAsia="zh-CN" w:bidi="ar-SA"/>
        </w:rPr>
        <w:t>一次性）项目绩效分析。</w:t>
      </w:r>
      <w:r>
        <w:rPr>
          <w:rFonts w:hint="default" w:ascii="Times New Roman" w:hAnsi="Times New Roman" w:eastAsia="方正仿宋_GBK" w:cs="Times New Roman"/>
          <w:kern w:val="0"/>
          <w:sz w:val="32"/>
          <w:szCs w:val="32"/>
          <w:highlight w:val="none"/>
          <w:lang w:val="zh-CN" w:eastAsia="zh-CN" w:bidi="ar-SA"/>
        </w:rPr>
        <w:t>该类项目总数</w:t>
      </w:r>
      <w:r>
        <w:rPr>
          <w:rFonts w:hint="eastAsia" w:ascii="Times New Roman" w:hAnsi="Times New Roman" w:eastAsia="方正仿宋_GBK" w:cs="Times New Roman"/>
          <w:kern w:val="0"/>
          <w:sz w:val="32"/>
          <w:szCs w:val="32"/>
          <w:highlight w:val="none"/>
          <w:lang w:val="en-US" w:eastAsia="zh-CN" w:bidi="ar-SA"/>
        </w:rPr>
        <w:t>5</w:t>
      </w:r>
      <w:r>
        <w:rPr>
          <w:rFonts w:hint="default" w:ascii="Times New Roman" w:hAnsi="Times New Roman" w:eastAsia="方正仿宋_GBK" w:cs="Times New Roman"/>
          <w:kern w:val="0"/>
          <w:sz w:val="32"/>
          <w:szCs w:val="32"/>
          <w:highlight w:val="none"/>
          <w:lang w:val="zh-CN" w:eastAsia="zh-CN" w:bidi="ar-SA"/>
        </w:rPr>
        <w:t>个，涉及预算总金额</w:t>
      </w:r>
      <w:r>
        <w:rPr>
          <w:rFonts w:hint="eastAsia" w:ascii="Times New Roman" w:hAnsi="Times New Roman" w:eastAsia="方正仿宋_GBK" w:cs="Times New Roman"/>
          <w:kern w:val="0"/>
          <w:sz w:val="32"/>
          <w:szCs w:val="32"/>
          <w:highlight w:val="none"/>
          <w:lang w:val="en-US" w:eastAsia="zh-CN" w:bidi="ar-SA"/>
        </w:rPr>
        <w:t>370.48</w:t>
      </w:r>
      <w:r>
        <w:rPr>
          <w:rFonts w:hint="default" w:ascii="Times New Roman" w:hAnsi="Times New Roman" w:eastAsia="方正仿宋_GBK" w:cs="Times New Roman"/>
          <w:kern w:val="0"/>
          <w:sz w:val="32"/>
          <w:szCs w:val="32"/>
          <w:highlight w:val="none"/>
          <w:lang w:val="zh-CN" w:eastAsia="zh-CN" w:bidi="ar-SA"/>
        </w:rPr>
        <w:t>万元，1</w:t>
      </w:r>
      <w:r>
        <w:rPr>
          <w:rFonts w:hint="eastAsia" w:ascii="Times New Roman" w:hAnsi="Times New Roman" w:eastAsia="方正仿宋_GBK" w:cs="Times New Roman"/>
          <w:kern w:val="0"/>
          <w:sz w:val="32"/>
          <w:szCs w:val="32"/>
          <w:highlight w:val="none"/>
          <w:lang w:val="zh-CN" w:eastAsia="zh-CN" w:bidi="ar-SA"/>
        </w:rPr>
        <w:t>—</w:t>
      </w:r>
      <w:r>
        <w:rPr>
          <w:rFonts w:hint="default" w:ascii="Times New Roman" w:hAnsi="Times New Roman" w:eastAsia="方正仿宋_GBK" w:cs="Times New Roman"/>
          <w:kern w:val="0"/>
          <w:sz w:val="32"/>
          <w:szCs w:val="32"/>
          <w:highlight w:val="none"/>
          <w:lang w:val="zh-CN" w:eastAsia="zh-CN" w:bidi="ar-SA"/>
        </w:rPr>
        <w:t>1</w:t>
      </w:r>
      <w:r>
        <w:rPr>
          <w:rFonts w:hint="default" w:ascii="Times New Roman" w:hAnsi="Times New Roman" w:eastAsia="方正仿宋_GBK" w:cs="Times New Roman"/>
          <w:kern w:val="0"/>
          <w:sz w:val="32"/>
          <w:szCs w:val="32"/>
          <w:highlight w:val="none"/>
          <w:lang w:val="en-US" w:eastAsia="zh-CN" w:bidi="ar-SA"/>
        </w:rPr>
        <w:t>2</w:t>
      </w:r>
      <w:r>
        <w:rPr>
          <w:rFonts w:hint="default" w:ascii="Times New Roman" w:hAnsi="Times New Roman" w:eastAsia="方正仿宋_GBK" w:cs="Times New Roman"/>
          <w:kern w:val="0"/>
          <w:sz w:val="32"/>
          <w:szCs w:val="32"/>
          <w:highlight w:val="none"/>
          <w:lang w:val="zh-CN" w:eastAsia="zh-CN" w:bidi="ar-SA"/>
        </w:rPr>
        <w:t>月预算执行总体进度为</w:t>
      </w:r>
      <w:r>
        <w:rPr>
          <w:rFonts w:hint="eastAsia" w:ascii="Times New Roman" w:hAnsi="Times New Roman" w:eastAsia="方正仿宋_GBK" w:cs="Times New Roman"/>
          <w:kern w:val="0"/>
          <w:sz w:val="32"/>
          <w:szCs w:val="32"/>
          <w:highlight w:val="none"/>
          <w:lang w:val="en-US" w:eastAsia="zh-CN" w:bidi="ar-SA"/>
        </w:rPr>
        <w:t>100</w:t>
      </w:r>
      <w:r>
        <w:rPr>
          <w:rFonts w:hint="default" w:ascii="Times New Roman" w:hAnsi="Times New Roman" w:eastAsia="方正仿宋_GBK" w:cs="Times New Roman"/>
          <w:kern w:val="0"/>
          <w:sz w:val="32"/>
          <w:szCs w:val="32"/>
          <w:highlight w:val="none"/>
          <w:lang w:val="zh-CN" w:eastAsia="zh-CN" w:bidi="ar-SA"/>
        </w:rPr>
        <w:t>%，其中：预算结余率大于</w:t>
      </w:r>
      <w:r>
        <w:rPr>
          <w:rFonts w:hint="default" w:ascii="Times New Roman" w:hAnsi="Times New Roman" w:eastAsia="方正仿宋_GBK" w:cs="Times New Roman"/>
          <w:kern w:val="0"/>
          <w:sz w:val="32"/>
          <w:szCs w:val="32"/>
          <w:highlight w:val="none"/>
          <w:lang w:val="en-US" w:eastAsia="zh-CN" w:bidi="ar-SA"/>
        </w:rPr>
        <w:t>10%</w:t>
      </w:r>
      <w:r>
        <w:rPr>
          <w:rFonts w:hint="default" w:ascii="Times New Roman" w:hAnsi="Times New Roman" w:eastAsia="方正仿宋_GBK" w:cs="Times New Roman"/>
          <w:kern w:val="0"/>
          <w:sz w:val="32"/>
          <w:szCs w:val="32"/>
          <w:highlight w:val="none"/>
          <w:lang w:val="zh-CN" w:eastAsia="zh-CN" w:bidi="ar-SA"/>
        </w:rPr>
        <w:t>的项目共计</w:t>
      </w:r>
      <w:r>
        <w:rPr>
          <w:rFonts w:hint="eastAsia" w:ascii="Times New Roman" w:hAnsi="Times New Roman" w:eastAsia="方正仿宋_GBK" w:cs="Times New Roman"/>
          <w:kern w:val="0"/>
          <w:sz w:val="32"/>
          <w:szCs w:val="32"/>
          <w:highlight w:val="none"/>
          <w:lang w:val="en-US" w:eastAsia="zh-CN" w:bidi="ar-SA"/>
        </w:rPr>
        <w:t>0</w:t>
      </w:r>
      <w:r>
        <w:rPr>
          <w:rFonts w:hint="default" w:ascii="Times New Roman" w:hAnsi="Times New Roman" w:eastAsia="方正仿宋_GBK" w:cs="Times New Roman"/>
          <w:kern w:val="0"/>
          <w:sz w:val="32"/>
          <w:szCs w:val="32"/>
          <w:highlight w:val="none"/>
          <w:lang w:val="zh-CN" w:eastAsia="zh-CN" w:bidi="ar-SA"/>
        </w:rPr>
        <w:t>个。</w:t>
      </w:r>
    </w:p>
    <w:p w14:paraId="6623313E">
      <w:pPr>
        <w:pageBreakBefore w:val="0"/>
        <w:widowControl/>
        <w:kinsoku/>
        <w:wordWrap/>
        <w:overflowPunct/>
        <w:topLinePunct w:val="0"/>
        <w:autoSpaceDE/>
        <w:autoSpaceDN/>
        <w:bidi w:val="0"/>
        <w:adjustRightInd w:val="0"/>
        <w:snapToGrid w:val="0"/>
        <w:spacing w:beforeAutospacing="0" w:afterAutospacing="0" w:line="576" w:lineRule="exact"/>
        <w:ind w:left="0" w:leftChars="0" w:firstLine="720"/>
        <w:jc w:val="left"/>
        <w:textAlignment w:val="auto"/>
        <w:rPr>
          <w:rFonts w:hint="eastAsia" w:ascii="Times New Roman" w:hAnsi="Times New Roman" w:eastAsia="方正仿宋_GBK" w:cs="Times New Roman"/>
          <w:kern w:val="0"/>
          <w:sz w:val="32"/>
          <w:szCs w:val="32"/>
          <w:highlight w:val="none"/>
          <w:lang w:val="en-US" w:eastAsia="zh-CN" w:bidi="ar-SA"/>
        </w:rPr>
      </w:pPr>
      <w:r>
        <w:rPr>
          <w:rFonts w:hint="eastAsia" w:ascii="Times New Roman" w:hAnsi="Times New Roman" w:eastAsia="方正仿宋_GBK" w:cs="Times New Roman"/>
          <w:kern w:val="0"/>
          <w:sz w:val="32"/>
          <w:szCs w:val="32"/>
          <w:highlight w:val="none"/>
          <w:lang w:val="en-US" w:eastAsia="zh-CN" w:bidi="ar-SA"/>
        </w:rPr>
        <w:t>1</w:t>
      </w:r>
      <w:r>
        <w:rPr>
          <w:rFonts w:hint="default" w:ascii="Times New Roman" w:hAnsi="Times New Roman" w:eastAsia="方正仿宋_GBK" w:cs="Times New Roman"/>
          <w:kern w:val="0"/>
          <w:sz w:val="32"/>
          <w:szCs w:val="32"/>
          <w:highlight w:val="none"/>
          <w:lang w:val="en-US" w:eastAsia="zh-CN" w:bidi="ar-SA"/>
        </w:rPr>
        <w:t>.</w:t>
      </w:r>
      <w:r>
        <w:rPr>
          <w:rFonts w:hint="default" w:ascii="Times New Roman" w:hAnsi="Times New Roman" w:eastAsia="方正仿宋_GBK" w:cs="Times New Roman"/>
          <w:kern w:val="0"/>
          <w:sz w:val="32"/>
          <w:szCs w:val="32"/>
          <w:highlight w:val="none"/>
          <w:lang w:val="zh-CN" w:eastAsia="zh-CN" w:bidi="ar-SA"/>
        </w:rPr>
        <w:t>项目决策。</w:t>
      </w:r>
      <w:r>
        <w:rPr>
          <w:rFonts w:hint="eastAsia" w:ascii="Times New Roman" w:hAnsi="Times New Roman" w:eastAsia="方正仿宋_GBK" w:cs="Times New Roman"/>
          <w:kern w:val="0"/>
          <w:sz w:val="32"/>
          <w:szCs w:val="32"/>
          <w:highlight w:val="none"/>
          <w:lang w:val="en-US" w:eastAsia="zh-CN" w:bidi="ar-SA"/>
        </w:rPr>
        <w:t>2025年我单位10个部门预算项目设立按规定履行了评估论证和申报程序。并设定了部门预算项目绩效目标与计划期内的任务量、预算安排的资金量匹配情况，绩效目标设置科学合理、规范完整、量化细化。10个部门预算项目在规定时间完成了项目入库。</w:t>
      </w:r>
    </w:p>
    <w:p w14:paraId="6784A236">
      <w:pPr>
        <w:pageBreakBefore w:val="0"/>
        <w:widowControl/>
        <w:kinsoku/>
        <w:wordWrap/>
        <w:overflowPunct/>
        <w:topLinePunct w:val="0"/>
        <w:autoSpaceDE/>
        <w:autoSpaceDN/>
        <w:bidi w:val="0"/>
        <w:adjustRightInd w:val="0"/>
        <w:snapToGrid w:val="0"/>
        <w:spacing w:beforeAutospacing="0" w:afterAutospacing="0" w:line="576" w:lineRule="exact"/>
        <w:ind w:left="0" w:leftChars="0" w:firstLine="720"/>
        <w:jc w:val="left"/>
        <w:textAlignment w:val="auto"/>
        <w:rPr>
          <w:rFonts w:hint="default" w:ascii="Times New Roman" w:hAnsi="Times New Roman" w:eastAsia="方正仿宋_GBK" w:cs="Times New Roman"/>
          <w:kern w:val="0"/>
          <w:sz w:val="32"/>
          <w:szCs w:val="32"/>
          <w:highlight w:val="none"/>
          <w:lang w:val="zh-CN" w:eastAsia="zh-CN" w:bidi="ar-SA"/>
        </w:rPr>
      </w:pPr>
      <w:r>
        <w:rPr>
          <w:rFonts w:hint="default" w:ascii="Times New Roman" w:hAnsi="Times New Roman" w:eastAsia="方正仿宋_GBK" w:cs="Times New Roman"/>
          <w:kern w:val="0"/>
          <w:sz w:val="32"/>
          <w:szCs w:val="32"/>
          <w:highlight w:val="none"/>
          <w:lang w:val="en-US" w:eastAsia="zh-CN" w:bidi="ar-SA"/>
        </w:rPr>
        <w:t>2.项目执行</w:t>
      </w:r>
      <w:r>
        <w:rPr>
          <w:rFonts w:hint="default" w:ascii="Times New Roman" w:hAnsi="Times New Roman" w:eastAsia="方正仿宋_GBK" w:cs="Times New Roman"/>
          <w:kern w:val="0"/>
          <w:sz w:val="32"/>
          <w:szCs w:val="32"/>
          <w:highlight w:val="none"/>
          <w:lang w:val="zh-CN" w:eastAsia="zh-CN" w:bidi="ar-SA"/>
        </w:rPr>
        <w:t>。</w:t>
      </w:r>
      <w:r>
        <w:rPr>
          <w:rFonts w:hint="eastAsia" w:ascii="Times New Roman" w:hAnsi="Times New Roman" w:eastAsia="方正仿宋_GBK" w:cs="Times New Roman"/>
          <w:kern w:val="0"/>
          <w:sz w:val="32"/>
          <w:szCs w:val="32"/>
          <w:highlight w:val="none"/>
          <w:lang w:val="en-US" w:eastAsia="zh-CN" w:bidi="ar-SA"/>
        </w:rPr>
        <w:t>部门预算项目实际列支内容与绩效目标设置方向相符；部门预算项目采取了对应调整措施；</w:t>
      </w:r>
      <w:r>
        <w:rPr>
          <w:rFonts w:hint="default" w:ascii="Times New Roman" w:hAnsi="Times New Roman" w:eastAsia="方正仿宋_GBK" w:cs="Times New Roman"/>
          <w:kern w:val="0"/>
          <w:sz w:val="32"/>
          <w:szCs w:val="32"/>
          <w:highlight w:val="none"/>
          <w:lang w:val="zh-CN" w:eastAsia="zh-CN" w:bidi="ar-SA"/>
        </w:rPr>
        <w:t>1</w:t>
      </w:r>
      <w:r>
        <w:rPr>
          <w:rFonts w:hint="eastAsia" w:ascii="Times New Roman" w:hAnsi="Times New Roman" w:eastAsia="方正仿宋_GBK" w:cs="Times New Roman"/>
          <w:kern w:val="0"/>
          <w:sz w:val="32"/>
          <w:szCs w:val="32"/>
          <w:highlight w:val="none"/>
          <w:lang w:val="zh-CN" w:eastAsia="zh-CN" w:bidi="ar-SA"/>
        </w:rPr>
        <w:t>—</w:t>
      </w:r>
      <w:r>
        <w:rPr>
          <w:rFonts w:hint="default" w:ascii="Times New Roman" w:hAnsi="Times New Roman" w:eastAsia="方正仿宋_GBK" w:cs="Times New Roman"/>
          <w:kern w:val="0"/>
          <w:sz w:val="32"/>
          <w:szCs w:val="32"/>
          <w:highlight w:val="none"/>
          <w:lang w:val="zh-CN" w:eastAsia="zh-CN" w:bidi="ar-SA"/>
        </w:rPr>
        <w:t>1</w:t>
      </w:r>
      <w:r>
        <w:rPr>
          <w:rFonts w:hint="default" w:ascii="Times New Roman" w:hAnsi="Times New Roman" w:eastAsia="方正仿宋_GBK" w:cs="Times New Roman"/>
          <w:kern w:val="0"/>
          <w:sz w:val="32"/>
          <w:szCs w:val="32"/>
          <w:highlight w:val="none"/>
          <w:lang w:val="en-US" w:eastAsia="zh-CN" w:bidi="ar-SA"/>
        </w:rPr>
        <w:t>2</w:t>
      </w:r>
      <w:r>
        <w:rPr>
          <w:rFonts w:hint="default" w:ascii="Times New Roman" w:hAnsi="Times New Roman" w:eastAsia="方正仿宋_GBK" w:cs="Times New Roman"/>
          <w:kern w:val="0"/>
          <w:sz w:val="32"/>
          <w:szCs w:val="32"/>
          <w:highlight w:val="none"/>
          <w:lang w:val="zh-CN" w:eastAsia="zh-CN" w:bidi="ar-SA"/>
        </w:rPr>
        <w:t>月预算执行总体进度为</w:t>
      </w:r>
      <w:r>
        <w:rPr>
          <w:rFonts w:hint="eastAsia" w:ascii="Times New Roman" w:hAnsi="Times New Roman" w:eastAsia="方正仿宋_GBK" w:cs="Times New Roman"/>
          <w:kern w:val="0"/>
          <w:sz w:val="32"/>
          <w:szCs w:val="32"/>
          <w:highlight w:val="none"/>
          <w:lang w:val="en-US" w:eastAsia="zh-CN" w:bidi="ar-SA"/>
        </w:rPr>
        <w:t>100</w:t>
      </w:r>
      <w:r>
        <w:rPr>
          <w:rFonts w:hint="default" w:ascii="Times New Roman" w:hAnsi="Times New Roman" w:eastAsia="方正仿宋_GBK" w:cs="Times New Roman"/>
          <w:kern w:val="0"/>
          <w:sz w:val="32"/>
          <w:szCs w:val="32"/>
          <w:highlight w:val="none"/>
          <w:lang w:val="zh-CN" w:eastAsia="zh-CN" w:bidi="ar-SA"/>
        </w:rPr>
        <w:t>%。</w:t>
      </w:r>
    </w:p>
    <w:p w14:paraId="0D3F421F">
      <w:pPr>
        <w:pageBreakBefore w:val="0"/>
        <w:widowControl/>
        <w:kinsoku/>
        <w:wordWrap/>
        <w:overflowPunct/>
        <w:topLinePunct w:val="0"/>
        <w:autoSpaceDE/>
        <w:autoSpaceDN/>
        <w:bidi w:val="0"/>
        <w:adjustRightInd w:val="0"/>
        <w:snapToGrid w:val="0"/>
        <w:spacing w:beforeAutospacing="0" w:afterAutospacing="0" w:line="576" w:lineRule="exact"/>
        <w:ind w:left="0" w:leftChars="0" w:firstLine="720"/>
        <w:jc w:val="left"/>
        <w:textAlignment w:val="auto"/>
        <w:rPr>
          <w:rFonts w:hint="eastAsia" w:ascii="Times New Roman" w:hAnsi="Times New Roman" w:eastAsia="方正仿宋_GBK" w:cs="Times New Roman"/>
          <w:kern w:val="0"/>
          <w:sz w:val="32"/>
          <w:szCs w:val="32"/>
          <w:highlight w:val="none"/>
          <w:lang w:val="en-US" w:eastAsia="zh-CN" w:bidi="ar-SA"/>
        </w:rPr>
      </w:pPr>
      <w:r>
        <w:rPr>
          <w:rFonts w:hint="default" w:ascii="Times New Roman" w:hAnsi="Times New Roman" w:eastAsia="方正仿宋_GBK" w:cs="Times New Roman"/>
          <w:kern w:val="0"/>
          <w:sz w:val="32"/>
          <w:szCs w:val="32"/>
          <w:highlight w:val="none"/>
          <w:lang w:val="en-US" w:eastAsia="zh-CN" w:bidi="ar-SA"/>
        </w:rPr>
        <w:t>3.</w:t>
      </w:r>
      <w:r>
        <w:rPr>
          <w:rFonts w:hint="default" w:ascii="Times New Roman" w:hAnsi="Times New Roman" w:eastAsia="方正仿宋_GBK" w:cs="Times New Roman"/>
          <w:kern w:val="0"/>
          <w:sz w:val="32"/>
          <w:szCs w:val="32"/>
          <w:highlight w:val="none"/>
          <w:lang w:val="zh-CN" w:eastAsia="zh-CN" w:bidi="ar-SA"/>
        </w:rPr>
        <w:t>目标实现。</w:t>
      </w:r>
      <w:r>
        <w:rPr>
          <w:rFonts w:hint="eastAsia" w:ascii="Times New Roman" w:hAnsi="Times New Roman" w:eastAsia="方正仿宋_GBK" w:cs="Times New Roman"/>
          <w:kern w:val="0"/>
          <w:sz w:val="32"/>
          <w:szCs w:val="32"/>
          <w:highlight w:val="none"/>
          <w:lang w:val="en-US" w:eastAsia="zh-CN" w:bidi="ar-SA"/>
        </w:rPr>
        <w:t>2025年部门预算项目绩效目标数量指标完成100%；部门预算项目绩效目标数量指标实现程度与预期目标无偏离情况；部门预算项目绩效目标效益指标实施效果较好。</w:t>
      </w:r>
    </w:p>
    <w:p w14:paraId="6953F194">
      <w:pPr>
        <w:pageBreakBefore w:val="0"/>
        <w:widowControl/>
        <w:kinsoku/>
        <w:wordWrap/>
        <w:overflowPunct/>
        <w:topLinePunct w:val="0"/>
        <w:autoSpaceDE/>
        <w:autoSpaceDN/>
        <w:bidi w:val="0"/>
        <w:adjustRightInd w:val="0"/>
        <w:snapToGrid w:val="0"/>
        <w:spacing w:beforeAutospacing="0" w:afterAutospacing="0" w:line="576" w:lineRule="exact"/>
        <w:ind w:left="0" w:leftChars="0" w:firstLine="320" w:firstLineChars="100"/>
        <w:jc w:val="left"/>
        <w:textAlignment w:val="auto"/>
        <w:rPr>
          <w:rFonts w:hint="eastAsia" w:ascii="黑体" w:hAnsi="黑体" w:eastAsia="黑体" w:cs="黑体"/>
          <w:b w:val="0"/>
          <w:bCs/>
          <w:color w:val="000000"/>
          <w:kern w:val="0"/>
          <w:sz w:val="32"/>
          <w:szCs w:val="32"/>
          <w:lang w:val="zh-CN" w:eastAsia="zh-CN" w:bidi="ar"/>
        </w:rPr>
      </w:pPr>
      <w:r>
        <w:rPr>
          <w:rFonts w:hint="eastAsia" w:ascii="黑体" w:hAnsi="黑体" w:eastAsia="黑体" w:cs="黑体"/>
          <w:b w:val="0"/>
          <w:bCs/>
          <w:color w:val="000000"/>
          <w:kern w:val="0"/>
          <w:sz w:val="32"/>
          <w:szCs w:val="32"/>
          <w:lang w:val="zh-CN" w:eastAsia="zh-CN" w:bidi="ar"/>
        </w:rPr>
        <w:t>四、评价结论及建议</w:t>
      </w:r>
    </w:p>
    <w:p w14:paraId="4AA5AA3A">
      <w:pPr>
        <w:keepNext w:val="0"/>
        <w:keepLines w:val="0"/>
        <w:pageBreakBefore w:val="0"/>
        <w:widowControl/>
        <w:kinsoku/>
        <w:wordWrap/>
        <w:overflowPunct/>
        <w:topLinePunct w:val="0"/>
        <w:autoSpaceDE/>
        <w:autoSpaceDN/>
        <w:bidi w:val="0"/>
        <w:adjustRightInd w:val="0"/>
        <w:snapToGrid w:val="0"/>
        <w:spacing w:beforeAutospacing="0" w:afterAutospacing="0" w:line="576" w:lineRule="exact"/>
        <w:ind w:left="0" w:leftChars="0" w:right="0" w:rightChars="0" w:firstLine="321" w:firstLineChars="100"/>
        <w:jc w:val="left"/>
        <w:textAlignment w:val="auto"/>
        <w:outlineLvl w:val="9"/>
        <w:rPr>
          <w:rFonts w:hint="eastAsia" w:ascii="仿宋_GB2312" w:hAnsi="仿宋_GB2312" w:eastAsia="仿宋_GB2312" w:cs="仿宋_GB2312"/>
          <w:color w:val="000000"/>
          <w:kern w:val="0"/>
          <w:sz w:val="32"/>
          <w:szCs w:val="32"/>
          <w:lang w:val="zh-CN" w:bidi="ar"/>
        </w:rPr>
      </w:pPr>
      <w:r>
        <w:rPr>
          <w:rFonts w:hint="eastAsia" w:ascii="仿宋_GB2312" w:hAnsi="仿宋_GB2312" w:eastAsia="仿宋_GB2312" w:cs="仿宋_GB2312"/>
          <w:b/>
          <w:bCs/>
          <w:color w:val="000000"/>
          <w:kern w:val="0"/>
          <w:sz w:val="32"/>
          <w:szCs w:val="32"/>
          <w:lang w:val="zh-CN" w:bidi="ar"/>
        </w:rPr>
        <w:t>（一）评价结论</w:t>
      </w:r>
    </w:p>
    <w:p w14:paraId="021707CE">
      <w:pPr>
        <w:keepNext w:val="0"/>
        <w:keepLines w:val="0"/>
        <w:pageBreakBefore w:val="0"/>
        <w:widowControl/>
        <w:kinsoku/>
        <w:wordWrap/>
        <w:overflowPunct/>
        <w:topLinePunct w:val="0"/>
        <w:autoSpaceDE/>
        <w:autoSpaceDN/>
        <w:bidi w:val="0"/>
        <w:adjustRightInd w:val="0"/>
        <w:snapToGrid w:val="0"/>
        <w:spacing w:beforeAutospacing="0" w:afterAutospacing="0" w:line="576" w:lineRule="exact"/>
        <w:ind w:left="0" w:leftChars="0" w:right="0" w:rightChars="0" w:firstLine="720"/>
        <w:jc w:val="left"/>
        <w:textAlignment w:val="auto"/>
        <w:outlineLvl w:val="9"/>
        <w:rPr>
          <w:rFonts w:hint="eastAsia" w:ascii="仿宋_GB2312" w:hAnsi="仿宋_GB2312" w:eastAsia="仿宋_GB2312" w:cs="仿宋_GB2312"/>
          <w:color w:val="000000"/>
          <w:kern w:val="0"/>
          <w:sz w:val="32"/>
          <w:szCs w:val="32"/>
          <w:lang w:val="zh-CN"/>
        </w:rPr>
      </w:pPr>
      <w:r>
        <w:rPr>
          <w:rFonts w:hint="eastAsia" w:ascii="仿宋_GB2312" w:hAnsi="仿宋_GB2312" w:eastAsia="仿宋_GB2312" w:cs="仿宋_GB2312"/>
          <w:color w:val="000000"/>
          <w:kern w:val="0"/>
          <w:sz w:val="32"/>
          <w:szCs w:val="32"/>
          <w:lang w:val="zh-CN" w:bidi="ar"/>
        </w:rPr>
        <w:t>根据《202</w:t>
      </w:r>
      <w:r>
        <w:rPr>
          <w:rFonts w:hint="eastAsia" w:ascii="仿宋_GB2312" w:hAnsi="仿宋_GB2312" w:cs="仿宋_GB2312"/>
          <w:color w:val="000000"/>
          <w:kern w:val="0"/>
          <w:sz w:val="32"/>
          <w:szCs w:val="32"/>
          <w:lang w:val="en-US" w:eastAsia="zh-CN" w:bidi="ar"/>
        </w:rPr>
        <w:t>5</w:t>
      </w:r>
      <w:r>
        <w:rPr>
          <w:rFonts w:hint="eastAsia" w:ascii="仿宋_GB2312" w:hAnsi="仿宋_GB2312" w:eastAsia="仿宋_GB2312" w:cs="仿宋_GB2312"/>
          <w:color w:val="000000"/>
          <w:kern w:val="0"/>
          <w:sz w:val="32"/>
          <w:szCs w:val="32"/>
          <w:lang w:val="zh-CN" w:bidi="ar"/>
        </w:rPr>
        <w:t>年红原县部门支出绩效评价指标体系》评分得分</w:t>
      </w:r>
      <w:r>
        <w:rPr>
          <w:rFonts w:hint="eastAsia" w:ascii="仿宋_GB2312" w:hAnsi="仿宋_GB2312" w:cs="仿宋_GB2312"/>
          <w:color w:val="000000"/>
          <w:kern w:val="0"/>
          <w:sz w:val="32"/>
          <w:szCs w:val="32"/>
          <w:lang w:val="en-US" w:eastAsia="zh-CN" w:bidi="ar"/>
        </w:rPr>
        <w:t>98</w:t>
      </w:r>
      <w:r>
        <w:rPr>
          <w:rFonts w:hint="eastAsia" w:ascii="仿宋_GB2312" w:hAnsi="仿宋_GB2312" w:eastAsia="仿宋_GB2312" w:cs="仿宋_GB2312"/>
          <w:color w:val="000000"/>
          <w:kern w:val="0"/>
          <w:sz w:val="32"/>
          <w:szCs w:val="32"/>
          <w:lang w:val="zh-CN" w:bidi="ar"/>
        </w:rPr>
        <w:t>分，部门整体支出绩效为“好”。</w:t>
      </w:r>
    </w:p>
    <w:p w14:paraId="465407A0">
      <w:pPr>
        <w:keepNext w:val="0"/>
        <w:keepLines w:val="0"/>
        <w:pageBreakBefore w:val="0"/>
        <w:widowControl/>
        <w:numPr>
          <w:ilvl w:val="0"/>
          <w:numId w:val="3"/>
        </w:numPr>
        <w:kinsoku/>
        <w:wordWrap/>
        <w:overflowPunct/>
        <w:topLinePunct w:val="0"/>
        <w:autoSpaceDE/>
        <w:autoSpaceDN/>
        <w:bidi w:val="0"/>
        <w:adjustRightInd w:val="0"/>
        <w:snapToGrid w:val="0"/>
        <w:spacing w:beforeAutospacing="0" w:afterAutospacing="0" w:line="576" w:lineRule="exact"/>
        <w:ind w:left="0" w:leftChars="0" w:right="0" w:rightChars="0"/>
        <w:jc w:val="left"/>
        <w:textAlignment w:val="auto"/>
        <w:outlineLvl w:val="9"/>
        <w:rPr>
          <w:rFonts w:hint="eastAsia" w:ascii="仿宋_GB2312" w:hAnsi="仿宋_GB2312" w:eastAsia="仿宋_GB2312" w:cs="仿宋_GB2312"/>
          <w:b/>
          <w:color w:val="000000"/>
          <w:kern w:val="0"/>
          <w:sz w:val="32"/>
          <w:szCs w:val="32"/>
          <w:lang w:val="zh-CN" w:bidi="ar"/>
        </w:rPr>
      </w:pPr>
      <w:r>
        <w:rPr>
          <w:rFonts w:hint="eastAsia" w:ascii="仿宋_GB2312" w:hAnsi="仿宋_GB2312" w:eastAsia="仿宋_GB2312" w:cs="仿宋_GB2312"/>
          <w:b/>
          <w:color w:val="000000"/>
          <w:kern w:val="0"/>
          <w:sz w:val="32"/>
          <w:szCs w:val="32"/>
          <w:lang w:val="zh-CN" w:bidi="ar"/>
        </w:rPr>
        <w:t>存在问题</w:t>
      </w:r>
      <w:bookmarkStart w:id="93" w:name="_GoBack"/>
      <w:bookmarkEnd w:id="93"/>
    </w:p>
    <w:p w14:paraId="69A2F054">
      <w:pPr>
        <w:keepNext w:val="0"/>
        <w:keepLines w:val="0"/>
        <w:pageBreakBefore w:val="0"/>
        <w:widowControl/>
        <w:numPr>
          <w:ilvl w:val="0"/>
          <w:numId w:val="0"/>
        </w:numPr>
        <w:kinsoku/>
        <w:wordWrap/>
        <w:overflowPunct/>
        <w:topLinePunct w:val="0"/>
        <w:autoSpaceDE/>
        <w:autoSpaceDN/>
        <w:bidi w:val="0"/>
        <w:adjustRightInd w:val="0"/>
        <w:snapToGrid w:val="0"/>
        <w:spacing w:beforeAutospacing="0" w:afterAutospacing="0" w:line="576" w:lineRule="exact"/>
        <w:ind w:left="0" w:leftChars="0" w:right="0" w:rightChars="0" w:firstLine="960" w:firstLineChars="300"/>
        <w:jc w:val="left"/>
        <w:textAlignment w:val="auto"/>
        <w:outlineLvl w:val="9"/>
        <w:rPr>
          <w:rFonts w:hint="eastAsia" w:ascii="仿宋_GB2312" w:hAnsi="仿宋_GB2312" w:eastAsia="仿宋_GB2312" w:cs="仿宋_GB2312"/>
          <w:color w:val="000000"/>
          <w:kern w:val="0"/>
          <w:sz w:val="32"/>
          <w:szCs w:val="32"/>
          <w:lang w:val="zh-CN"/>
        </w:rPr>
      </w:pPr>
      <w:r>
        <w:rPr>
          <w:rFonts w:hint="eastAsia" w:ascii="仿宋_GB2312" w:hAnsi="仿宋_GB2312" w:eastAsia="仿宋_GB2312" w:cs="仿宋_GB2312"/>
          <w:color w:val="000000"/>
          <w:kern w:val="0"/>
          <w:sz w:val="32"/>
          <w:szCs w:val="32"/>
          <w:lang w:val="zh-CN" w:bidi="ar"/>
        </w:rPr>
        <w:t>预算时工作考虑不全面，部分工作开展所需经费未纳入预算，导致中途追加预算。</w:t>
      </w:r>
    </w:p>
    <w:p w14:paraId="0EC10790">
      <w:pPr>
        <w:keepNext w:val="0"/>
        <w:keepLines w:val="0"/>
        <w:pageBreakBefore w:val="0"/>
        <w:widowControl/>
        <w:kinsoku/>
        <w:wordWrap/>
        <w:overflowPunct/>
        <w:topLinePunct w:val="0"/>
        <w:autoSpaceDE/>
        <w:autoSpaceDN/>
        <w:bidi w:val="0"/>
        <w:adjustRightInd w:val="0"/>
        <w:snapToGrid w:val="0"/>
        <w:spacing w:beforeAutospacing="0" w:afterAutospacing="0" w:line="576" w:lineRule="exact"/>
        <w:ind w:left="0" w:leftChars="0" w:right="0" w:rightChars="0"/>
        <w:jc w:val="left"/>
        <w:textAlignment w:val="auto"/>
        <w:outlineLvl w:val="9"/>
        <w:rPr>
          <w:rFonts w:hint="eastAsia" w:ascii="仿宋_GB2312" w:hAnsi="仿宋_GB2312" w:eastAsia="仿宋_GB2312" w:cs="仿宋_GB2312"/>
          <w:b/>
          <w:color w:val="000000"/>
          <w:kern w:val="0"/>
          <w:sz w:val="32"/>
          <w:szCs w:val="32"/>
          <w:lang w:val="zh-CN" w:bidi="ar"/>
        </w:rPr>
      </w:pPr>
      <w:r>
        <w:rPr>
          <w:rFonts w:hint="eastAsia" w:ascii="仿宋_GB2312" w:hAnsi="仿宋_GB2312" w:eastAsia="仿宋_GB2312" w:cs="仿宋_GB2312"/>
          <w:b/>
          <w:color w:val="000000"/>
          <w:kern w:val="0"/>
          <w:sz w:val="32"/>
          <w:szCs w:val="32"/>
          <w:lang w:val="zh-CN" w:bidi="ar"/>
        </w:rPr>
        <w:t>（三）改进建议</w:t>
      </w:r>
    </w:p>
    <w:p w14:paraId="29AFFACF">
      <w:pPr>
        <w:keepNext w:val="0"/>
        <w:keepLines w:val="0"/>
        <w:pageBreakBefore w:val="0"/>
        <w:widowControl/>
        <w:kinsoku/>
        <w:wordWrap/>
        <w:overflowPunct/>
        <w:topLinePunct w:val="0"/>
        <w:autoSpaceDE/>
        <w:autoSpaceDN/>
        <w:bidi w:val="0"/>
        <w:adjustRightInd w:val="0"/>
        <w:snapToGrid w:val="0"/>
        <w:spacing w:beforeAutospacing="0" w:afterAutospacing="0" w:line="576" w:lineRule="exact"/>
        <w:ind w:left="0" w:leftChars="0" w:right="0" w:rightChars="0" w:firstLine="720"/>
        <w:jc w:val="left"/>
        <w:textAlignment w:val="auto"/>
        <w:outlineLvl w:val="9"/>
        <w:rPr>
          <w:rFonts w:hint="eastAsia" w:ascii="仿宋_GB2312" w:hAnsi="仿宋_GB2312" w:eastAsia="仿宋_GB2312" w:cs="仿宋_GB2312"/>
          <w:color w:val="000000"/>
          <w:kern w:val="0"/>
          <w:sz w:val="32"/>
          <w:szCs w:val="32"/>
          <w:lang w:val="zh-CN" w:bidi="ar"/>
        </w:rPr>
      </w:pPr>
      <w:r>
        <w:rPr>
          <w:rFonts w:hint="eastAsia" w:ascii="仿宋_GB2312" w:hAnsi="仿宋_GB2312" w:eastAsia="仿宋_GB2312" w:cs="仿宋_GB2312"/>
          <w:color w:val="000000"/>
          <w:kern w:val="0"/>
          <w:sz w:val="32"/>
          <w:szCs w:val="32"/>
          <w:lang w:val="zh-CN" w:bidi="ar"/>
        </w:rPr>
        <w:t>1.沟通交流，增强预算编制的准确性和全面性。</w:t>
      </w:r>
    </w:p>
    <w:p w14:paraId="765437FC">
      <w:pPr>
        <w:keepNext w:val="0"/>
        <w:keepLines w:val="0"/>
        <w:pageBreakBefore w:val="0"/>
        <w:widowControl/>
        <w:kinsoku/>
        <w:wordWrap/>
        <w:overflowPunct/>
        <w:topLinePunct w:val="0"/>
        <w:autoSpaceDE/>
        <w:autoSpaceDN/>
        <w:bidi w:val="0"/>
        <w:adjustRightInd w:val="0"/>
        <w:snapToGrid w:val="0"/>
        <w:spacing w:beforeAutospacing="0" w:afterAutospacing="0" w:line="576" w:lineRule="exact"/>
        <w:ind w:left="0" w:leftChars="0" w:right="0" w:rightChars="0" w:firstLine="720"/>
        <w:jc w:val="left"/>
        <w:textAlignment w:val="auto"/>
        <w:outlineLvl w:val="9"/>
        <w:rPr>
          <w:rFonts w:hint="eastAsia" w:ascii="仿宋_GB2312" w:hAnsi="仿宋_GB2312" w:eastAsia="仿宋_GB2312" w:cs="仿宋_GB2312"/>
          <w:color w:val="000000"/>
          <w:kern w:val="0"/>
          <w:sz w:val="32"/>
          <w:szCs w:val="32"/>
          <w:lang w:val="zh-CN" w:bidi="ar"/>
        </w:rPr>
      </w:pPr>
      <w:r>
        <w:rPr>
          <w:rFonts w:hint="eastAsia" w:ascii="仿宋_GB2312" w:hAnsi="仿宋_GB2312" w:eastAsia="仿宋_GB2312" w:cs="仿宋_GB2312"/>
          <w:color w:val="000000"/>
          <w:kern w:val="0"/>
          <w:sz w:val="32"/>
          <w:szCs w:val="32"/>
          <w:lang w:val="zh-CN" w:bidi="ar"/>
        </w:rPr>
        <w:t>2.加强管理，提高整体支出绩效成果。</w:t>
      </w:r>
    </w:p>
    <w:p w14:paraId="4441F300">
      <w:pPr>
        <w:pageBreakBefore w:val="0"/>
        <w:kinsoku/>
        <w:wordWrap/>
        <w:overflowPunct/>
        <w:topLinePunct w:val="0"/>
        <w:autoSpaceDE/>
        <w:autoSpaceDN/>
        <w:bidi w:val="0"/>
        <w:spacing w:beforeAutospacing="0" w:afterAutospacing="0" w:line="576" w:lineRule="exact"/>
        <w:ind w:left="0" w:leftChars="0"/>
        <w:textAlignment w:val="auto"/>
        <w:rPr>
          <w:rFonts w:hint="eastAsia" w:ascii="仿宋_GB2312" w:hAnsi="仿宋_GB2312" w:eastAsia="仿宋_GB2312" w:cs="仿宋_GB2312"/>
          <w:color w:val="000000"/>
          <w:kern w:val="0"/>
          <w:sz w:val="32"/>
          <w:szCs w:val="32"/>
          <w:lang w:val="zh-CN" w:bidi="ar"/>
        </w:rPr>
      </w:pPr>
    </w:p>
    <w:p w14:paraId="136F4A16">
      <w:pPr>
        <w:pStyle w:val="28"/>
        <w:pageBreakBefore w:val="0"/>
        <w:kinsoku/>
        <w:wordWrap/>
        <w:overflowPunct/>
        <w:topLinePunct w:val="0"/>
        <w:autoSpaceDE/>
        <w:autoSpaceDN/>
        <w:bidi w:val="0"/>
        <w:spacing w:before="0" w:beforeAutospacing="0" w:after="0" w:afterAutospacing="0" w:line="576" w:lineRule="exact"/>
        <w:ind w:left="0" w:leftChars="0"/>
        <w:textAlignment w:val="auto"/>
        <w:rPr>
          <w:rFonts w:hint="eastAsia"/>
          <w:lang w:val="zh-CN"/>
        </w:rPr>
      </w:pPr>
    </w:p>
    <w:p w14:paraId="6EDB79F4">
      <w:pPr>
        <w:pageBreakBefore w:val="0"/>
        <w:kinsoku/>
        <w:wordWrap/>
        <w:overflowPunct/>
        <w:topLinePunct w:val="0"/>
        <w:autoSpaceDE/>
        <w:autoSpaceDN/>
        <w:bidi w:val="0"/>
        <w:spacing w:beforeAutospacing="0" w:afterAutospacing="0" w:line="576" w:lineRule="exact"/>
        <w:ind w:left="0" w:leftChars="0"/>
        <w:textAlignment w:val="auto"/>
        <w:rPr>
          <w:rFonts w:hint="eastAsia"/>
          <w:lang w:val="zh-CN"/>
        </w:rPr>
      </w:pPr>
    </w:p>
    <w:p w14:paraId="06420DC8">
      <w:pPr>
        <w:spacing w:line="440" w:lineRule="exact"/>
        <w:rPr>
          <w:rFonts w:hint="eastAsia" w:ascii="仿宋_GB2312" w:hAnsi="仿宋_GB2312" w:eastAsia="仿宋_GB2312" w:cs="仿宋_GB2312"/>
          <w:sz w:val="32"/>
          <w:szCs w:val="32"/>
        </w:rPr>
        <w:sectPr>
          <w:pgSz w:w="11906" w:h="16838"/>
          <w:pgMar w:top="2211" w:right="1531" w:bottom="1871" w:left="1531" w:header="851" w:footer="992" w:gutter="0"/>
          <w:cols w:space="720" w:num="1"/>
          <w:docGrid w:type="lines" w:linePitch="312" w:charSpace="0"/>
        </w:sectPr>
      </w:pPr>
      <w:r>
        <w:rPr>
          <w:rFonts w:hint="eastAsia" w:ascii="仿宋_GB2312" w:hAnsi="仿宋_GB2312" w:eastAsia="仿宋_GB2312" w:cs="仿宋_GB2312"/>
          <w:color w:val="000000"/>
          <w:kern w:val="0"/>
          <w:sz w:val="32"/>
          <w:szCs w:val="32"/>
          <w:lang w:val="en-US" w:eastAsia="zh-CN" w:bidi="ar"/>
        </w:rPr>
        <w:t xml:space="preserve">                                  </w:t>
      </w:r>
    </w:p>
    <w:p w14:paraId="40FE7913">
      <w:pPr>
        <w:keepNext w:val="0"/>
        <w:keepLines w:val="0"/>
        <w:pageBreakBefore w:val="0"/>
        <w:kinsoku/>
        <w:wordWrap/>
        <w:overflowPunct/>
        <w:topLinePunct w:val="0"/>
        <w:autoSpaceDE/>
        <w:autoSpaceDN/>
        <w:bidi w:val="0"/>
        <w:spacing w:before="0" w:beforeLines="0" w:after="0" w:afterLines="0" w:line="560" w:lineRule="exact"/>
        <w:ind w:left="0" w:leftChars="0" w:right="0" w:rightChars="0"/>
        <w:textAlignment w:val="auto"/>
        <w:outlineLvl w:val="9"/>
        <w:rPr>
          <w:rFonts w:ascii="仿宋" w:hAnsi="仿宋" w:eastAsia="仿宋" w:cs="黑体"/>
          <w:szCs w:val="32"/>
        </w:rPr>
      </w:pPr>
    </w:p>
    <w:p w14:paraId="0F0B9B9F"/>
    <w:p w14:paraId="5E0800E2">
      <w:pPr>
        <w:pStyle w:val="2"/>
        <w:jc w:val="center"/>
        <w:rPr>
          <w:rFonts w:ascii="黑体" w:hAnsi="黑体" w:eastAsia="黑体" w:cs="黑体"/>
        </w:rPr>
      </w:pPr>
      <w:bookmarkStart w:id="76" w:name="_Toc21200"/>
      <w:bookmarkStart w:id="77" w:name="_Toc79163885"/>
      <w:bookmarkStart w:id="78" w:name="_Toc79163635"/>
      <w:bookmarkStart w:id="79" w:name="_Toc111208512"/>
      <w:r>
        <w:rPr>
          <w:rFonts w:hint="eastAsia" w:ascii="黑体" w:hAnsi="黑体" w:eastAsia="黑体" w:cs="黑体"/>
        </w:rPr>
        <w:t>第五部分 附表</w:t>
      </w:r>
      <w:bookmarkEnd w:id="76"/>
      <w:bookmarkEnd w:id="77"/>
      <w:bookmarkEnd w:id="78"/>
      <w:bookmarkEnd w:id="79"/>
    </w:p>
    <w:p w14:paraId="3BAFCC9B">
      <w:pPr>
        <w:pStyle w:val="3"/>
        <w:ind w:firstLine="643" w:firstLineChars="200"/>
        <w:rPr>
          <w:rFonts w:ascii="黑体" w:eastAsia="黑体" w:cs="Times New Roman"/>
          <w:bCs w:val="0"/>
          <w:color w:val="000000"/>
        </w:rPr>
      </w:pPr>
      <w:bookmarkStart w:id="80" w:name="_Toc16431"/>
      <w:r>
        <w:rPr>
          <w:rFonts w:hint="eastAsia" w:ascii="黑体" w:eastAsia="黑体" w:cs="Times New Roman"/>
          <w:bCs w:val="0"/>
          <w:color w:val="000000"/>
        </w:rPr>
        <w:t>一、收入支出决算总表</w:t>
      </w:r>
      <w:bookmarkEnd w:id="80"/>
    </w:p>
    <w:p w14:paraId="172CFCF9">
      <w:pPr>
        <w:pStyle w:val="3"/>
        <w:ind w:firstLine="643" w:firstLineChars="200"/>
        <w:rPr>
          <w:rFonts w:ascii="黑体" w:eastAsia="黑体" w:cs="Times New Roman"/>
          <w:bCs w:val="0"/>
          <w:color w:val="000000"/>
        </w:rPr>
      </w:pPr>
      <w:bookmarkStart w:id="81" w:name="_Toc25389"/>
      <w:r>
        <w:rPr>
          <w:rFonts w:hint="eastAsia" w:ascii="黑体" w:eastAsia="黑体" w:cs="Times New Roman"/>
          <w:bCs w:val="0"/>
          <w:color w:val="000000"/>
        </w:rPr>
        <w:t>二、收入决算表</w:t>
      </w:r>
      <w:bookmarkEnd w:id="81"/>
    </w:p>
    <w:p w14:paraId="36F36F2E">
      <w:pPr>
        <w:pStyle w:val="3"/>
        <w:ind w:firstLine="643" w:firstLineChars="200"/>
        <w:rPr>
          <w:rFonts w:ascii="黑体" w:eastAsia="黑体" w:cs="Times New Roman"/>
          <w:bCs w:val="0"/>
          <w:color w:val="000000"/>
        </w:rPr>
      </w:pPr>
      <w:bookmarkStart w:id="82" w:name="_Toc10450"/>
      <w:r>
        <w:rPr>
          <w:rFonts w:hint="eastAsia" w:ascii="黑体" w:eastAsia="黑体" w:cs="Times New Roman"/>
          <w:bCs w:val="0"/>
          <w:color w:val="000000"/>
        </w:rPr>
        <w:t>三、支出决算表</w:t>
      </w:r>
      <w:bookmarkEnd w:id="82"/>
    </w:p>
    <w:p w14:paraId="17371956">
      <w:pPr>
        <w:pStyle w:val="3"/>
        <w:ind w:firstLine="643" w:firstLineChars="200"/>
        <w:rPr>
          <w:rFonts w:ascii="黑体" w:eastAsia="黑体" w:cs="Times New Roman"/>
          <w:bCs w:val="0"/>
          <w:color w:val="000000"/>
        </w:rPr>
      </w:pPr>
      <w:bookmarkStart w:id="83" w:name="_Toc15415"/>
      <w:r>
        <w:rPr>
          <w:rFonts w:hint="eastAsia" w:ascii="黑体" w:eastAsia="黑体" w:cs="Times New Roman"/>
          <w:bCs w:val="0"/>
          <w:color w:val="000000"/>
        </w:rPr>
        <w:t>四、财政拨款收入支出决算总表</w:t>
      </w:r>
      <w:bookmarkEnd w:id="83"/>
    </w:p>
    <w:p w14:paraId="20DF85B9">
      <w:pPr>
        <w:pStyle w:val="3"/>
        <w:ind w:firstLine="643" w:firstLineChars="200"/>
        <w:rPr>
          <w:rFonts w:ascii="黑体" w:eastAsia="黑体" w:cs="Times New Roman"/>
          <w:bCs w:val="0"/>
          <w:color w:val="000000"/>
        </w:rPr>
      </w:pPr>
      <w:bookmarkStart w:id="84" w:name="_Toc17530"/>
      <w:r>
        <w:rPr>
          <w:rFonts w:hint="eastAsia" w:ascii="黑体" w:eastAsia="黑体" w:cs="Times New Roman"/>
          <w:bCs w:val="0"/>
          <w:color w:val="000000"/>
        </w:rPr>
        <w:t>五、财政拨款支出决算明细表</w:t>
      </w:r>
      <w:bookmarkEnd w:id="84"/>
    </w:p>
    <w:p w14:paraId="2160FC8C">
      <w:pPr>
        <w:pStyle w:val="3"/>
        <w:ind w:firstLine="643" w:firstLineChars="200"/>
        <w:rPr>
          <w:rFonts w:ascii="黑体" w:eastAsia="黑体" w:cs="Times New Roman"/>
          <w:bCs w:val="0"/>
          <w:color w:val="000000"/>
        </w:rPr>
      </w:pPr>
      <w:bookmarkStart w:id="85" w:name="_Toc22032"/>
      <w:r>
        <w:rPr>
          <w:rFonts w:hint="eastAsia" w:ascii="黑体" w:eastAsia="黑体" w:cs="Times New Roman"/>
          <w:bCs w:val="0"/>
          <w:color w:val="000000"/>
        </w:rPr>
        <w:t>六、一般公共预算财政拨款支出决算表</w:t>
      </w:r>
      <w:bookmarkEnd w:id="85"/>
    </w:p>
    <w:p w14:paraId="07A6DD77">
      <w:pPr>
        <w:pStyle w:val="3"/>
        <w:ind w:firstLine="643" w:firstLineChars="200"/>
        <w:rPr>
          <w:rFonts w:ascii="黑体" w:eastAsia="黑体" w:cs="Times New Roman"/>
          <w:bCs w:val="0"/>
          <w:color w:val="000000"/>
        </w:rPr>
      </w:pPr>
      <w:bookmarkStart w:id="86" w:name="_Toc3364"/>
      <w:r>
        <w:rPr>
          <w:rFonts w:hint="eastAsia" w:ascii="黑体" w:eastAsia="黑体" w:cs="Times New Roman"/>
          <w:bCs w:val="0"/>
          <w:color w:val="000000"/>
        </w:rPr>
        <w:t>七、一般公共预算财政拨款支出决算明细表</w:t>
      </w:r>
      <w:bookmarkEnd w:id="86"/>
    </w:p>
    <w:p w14:paraId="2A7CDD42">
      <w:pPr>
        <w:pStyle w:val="3"/>
        <w:ind w:firstLine="643" w:firstLineChars="200"/>
        <w:rPr>
          <w:rFonts w:ascii="黑体" w:eastAsia="黑体" w:cs="Times New Roman"/>
          <w:bCs w:val="0"/>
          <w:color w:val="000000"/>
        </w:rPr>
      </w:pPr>
      <w:bookmarkStart w:id="87" w:name="_Toc9110"/>
      <w:r>
        <w:rPr>
          <w:rFonts w:hint="eastAsia" w:ascii="黑体" w:eastAsia="黑体" w:cs="Times New Roman"/>
          <w:bCs w:val="0"/>
          <w:color w:val="000000"/>
        </w:rPr>
        <w:t>八、一般公共预算财政拨款基本支出决算表</w:t>
      </w:r>
      <w:bookmarkEnd w:id="87"/>
    </w:p>
    <w:p w14:paraId="1D73D331">
      <w:pPr>
        <w:pStyle w:val="3"/>
        <w:ind w:firstLine="643" w:firstLineChars="200"/>
        <w:rPr>
          <w:rFonts w:ascii="黑体" w:eastAsia="黑体" w:cs="Times New Roman"/>
          <w:bCs w:val="0"/>
          <w:color w:val="000000"/>
        </w:rPr>
      </w:pPr>
      <w:bookmarkStart w:id="88" w:name="_Toc28582"/>
      <w:r>
        <w:rPr>
          <w:rFonts w:hint="eastAsia" w:ascii="黑体" w:eastAsia="黑体" w:cs="Times New Roman"/>
          <w:bCs w:val="0"/>
          <w:color w:val="000000"/>
        </w:rPr>
        <w:t>九、一般公共预算财政拨款项目支出决算表</w:t>
      </w:r>
      <w:bookmarkEnd w:id="88"/>
    </w:p>
    <w:p w14:paraId="40F88092">
      <w:pPr>
        <w:pStyle w:val="3"/>
        <w:ind w:firstLine="643" w:firstLineChars="200"/>
        <w:rPr>
          <w:rFonts w:ascii="黑体" w:eastAsia="黑体" w:cs="Times New Roman"/>
          <w:bCs w:val="0"/>
          <w:color w:val="000000"/>
        </w:rPr>
      </w:pPr>
      <w:bookmarkStart w:id="89" w:name="_Toc22001"/>
      <w:r>
        <w:rPr>
          <w:rFonts w:hint="eastAsia" w:ascii="黑体" w:eastAsia="黑体" w:cs="Times New Roman"/>
          <w:bCs w:val="0"/>
          <w:color w:val="000000"/>
        </w:rPr>
        <w:t>十、政府性基金预算财政拨款收入支出决算表</w:t>
      </w:r>
      <w:bookmarkEnd w:id="89"/>
    </w:p>
    <w:p w14:paraId="62BB9466">
      <w:pPr>
        <w:pStyle w:val="3"/>
        <w:ind w:firstLine="643" w:firstLineChars="200"/>
        <w:rPr>
          <w:rFonts w:ascii="黑体" w:eastAsia="黑体" w:cs="Times New Roman"/>
          <w:bCs w:val="0"/>
          <w:color w:val="000000"/>
        </w:rPr>
      </w:pPr>
      <w:bookmarkStart w:id="90" w:name="_Toc6538"/>
      <w:r>
        <w:rPr>
          <w:rFonts w:hint="eastAsia" w:ascii="黑体" w:eastAsia="黑体" w:cs="Times New Roman"/>
          <w:bCs w:val="0"/>
          <w:color w:val="000000"/>
        </w:rPr>
        <w:t>十一、国有资本经营预算财政拨款收入支出决算表</w:t>
      </w:r>
      <w:bookmarkEnd w:id="90"/>
    </w:p>
    <w:p w14:paraId="3B1C1136">
      <w:pPr>
        <w:pStyle w:val="3"/>
        <w:ind w:firstLine="643" w:firstLineChars="200"/>
        <w:rPr>
          <w:rFonts w:ascii="黑体" w:eastAsia="黑体" w:cs="Times New Roman"/>
          <w:bCs w:val="0"/>
          <w:color w:val="000000"/>
        </w:rPr>
      </w:pPr>
      <w:bookmarkStart w:id="91" w:name="_Toc10625"/>
      <w:r>
        <w:rPr>
          <w:rFonts w:hint="eastAsia" w:ascii="黑体" w:eastAsia="黑体" w:cs="Times New Roman"/>
          <w:bCs w:val="0"/>
          <w:color w:val="000000"/>
        </w:rPr>
        <w:t>十二、国有资本经营预算财政拨款支出决算表</w:t>
      </w:r>
      <w:bookmarkEnd w:id="91"/>
    </w:p>
    <w:p w14:paraId="5F00765F">
      <w:pPr>
        <w:pStyle w:val="3"/>
        <w:ind w:firstLine="643" w:firstLineChars="200"/>
        <w:rPr>
          <w:rFonts w:ascii="黑体" w:eastAsia="黑体" w:cs="Times New Roman"/>
          <w:b w:val="0"/>
          <w:color w:val="000000"/>
        </w:rPr>
      </w:pPr>
      <w:bookmarkStart w:id="92" w:name="_Toc28356"/>
      <w:r>
        <w:rPr>
          <w:rFonts w:hint="eastAsia" w:ascii="黑体" w:eastAsia="黑体" w:cs="Times New Roman"/>
          <w:bCs w:val="0"/>
          <w:color w:val="000000"/>
        </w:rPr>
        <w:t>十三、财政拨款“三公”经费支出决算表</w:t>
      </w:r>
      <w:bookmarkEnd w:id="92"/>
    </w:p>
    <w:sectPr>
      <w:headerReference r:id="rId3" w:type="default"/>
      <w:footerReference r:id="rId4" w:type="default"/>
      <w:pgSz w:w="11906" w:h="16838"/>
      <w:pgMar w:top="144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Unicode MS">
    <w:altName w:val="Arial"/>
    <w:panose1 w:val="00000000000000000000"/>
    <w:charset w:val="00"/>
    <w:family w:val="auto"/>
    <w:pitch w:val="default"/>
    <w:sig w:usb0="00000000" w:usb1="00000000" w:usb2="00000000" w:usb3="00000000" w:csb0="00000000" w:csb1="00000000"/>
  </w:font>
  <w:font w:name="Cambria">
    <w:panose1 w:val="02040503050406030204"/>
    <w:charset w:val="00"/>
    <w:family w:val="roman"/>
    <w:pitch w:val="default"/>
    <w:sig w:usb0="A00002EF" w:usb1="4000004B" w:usb2="00000000" w:usb3="00000000" w:csb0="2000019F"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1" w:csb1="00000000"/>
  </w:font>
  <w:font w:name="方正仿宋_GBK">
    <w:panose1 w:val="03000509000000000000"/>
    <w:charset w:val="86"/>
    <w:family w:val="auto"/>
    <w:pitch w:val="default"/>
    <w:sig w:usb0="00000001" w:usb1="080E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94781956"/>
    </w:sdtPr>
    <w:sdtContent>
      <w:p w14:paraId="72B325CB">
        <w:pPr>
          <w:pStyle w:val="15"/>
          <w:jc w:val="center"/>
        </w:pPr>
        <w:r>
          <w:fldChar w:fldCharType="begin"/>
        </w:r>
        <w:r>
          <w:instrText xml:space="preserve">PAGE   \* MERGEFORMAT</w:instrText>
        </w:r>
        <w:r>
          <w:fldChar w:fldCharType="separate"/>
        </w:r>
        <w:r>
          <w:rPr>
            <w:lang w:val="zh-CN"/>
          </w:rPr>
          <w:t>4</w:t>
        </w:r>
        <w:r>
          <w:fldChar w:fldCharType="end"/>
        </w:r>
      </w:p>
    </w:sdtContent>
  </w:sdt>
  <w:p w14:paraId="72AC0DE6">
    <w:pPr>
      <w:pStyle w:val="1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11C72C">
    <w:pPr>
      <w:pStyle w:val="1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8988A14"/>
    <w:multiLevelType w:val="singleLevel"/>
    <w:tmpl w:val="E8988A14"/>
    <w:lvl w:ilvl="0" w:tentative="0">
      <w:start w:val="2"/>
      <w:numFmt w:val="chineseCounting"/>
      <w:suff w:val="nothing"/>
      <w:lvlText w:val="（%1）"/>
      <w:lvlJc w:val="left"/>
      <w:rPr>
        <w:rFonts w:hint="eastAsia"/>
      </w:rPr>
    </w:lvl>
  </w:abstractNum>
  <w:abstractNum w:abstractNumId="1">
    <w:nsid w:val="55E8A359"/>
    <w:multiLevelType w:val="singleLevel"/>
    <w:tmpl w:val="55E8A359"/>
    <w:lvl w:ilvl="0" w:tentative="0">
      <w:start w:val="1"/>
      <w:numFmt w:val="chineseCounting"/>
      <w:suff w:val="nothing"/>
      <w:lvlText w:val="%1、"/>
      <w:lvlJc w:val="left"/>
      <w:rPr>
        <w:rFonts w:hint="eastAsia"/>
      </w:rPr>
    </w:lvl>
  </w:abstractNum>
  <w:abstractNum w:abstractNumId="2">
    <w:nsid w:val="59E38D28"/>
    <w:multiLevelType w:val="singleLevel"/>
    <w:tmpl w:val="59E38D28"/>
    <w:lvl w:ilvl="0" w:tentative="0">
      <w:start w:val="3"/>
      <w:numFmt w:val="chineseCounting"/>
      <w:suff w:val="nothing"/>
      <w:lvlText w:val="（%1）"/>
      <w:lvlJc w:val="left"/>
      <w:rPr>
        <w:rFonts w:hint="eastAsia"/>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A0Nzg3YTJhM2Q4NGFlOTIzYzA3NzkwMDEyZjNlNmYifQ=="/>
  </w:docVars>
  <w:rsids>
    <w:rsidRoot w:val="00F1361C"/>
    <w:rsid w:val="000000BC"/>
    <w:rsid w:val="00000665"/>
    <w:rsid w:val="00000B38"/>
    <w:rsid w:val="000015A2"/>
    <w:rsid w:val="00002628"/>
    <w:rsid w:val="00003E5B"/>
    <w:rsid w:val="00004806"/>
    <w:rsid w:val="00007EA6"/>
    <w:rsid w:val="00012FB7"/>
    <w:rsid w:val="00013357"/>
    <w:rsid w:val="00013C9E"/>
    <w:rsid w:val="00015450"/>
    <w:rsid w:val="000175E6"/>
    <w:rsid w:val="00017F98"/>
    <w:rsid w:val="00020F07"/>
    <w:rsid w:val="000222C6"/>
    <w:rsid w:val="00022FC0"/>
    <w:rsid w:val="000230B2"/>
    <w:rsid w:val="0002359B"/>
    <w:rsid w:val="00023DEB"/>
    <w:rsid w:val="00025226"/>
    <w:rsid w:val="0002549F"/>
    <w:rsid w:val="00025F1E"/>
    <w:rsid w:val="0002749D"/>
    <w:rsid w:val="0003013F"/>
    <w:rsid w:val="00031598"/>
    <w:rsid w:val="00031926"/>
    <w:rsid w:val="000326D5"/>
    <w:rsid w:val="00033414"/>
    <w:rsid w:val="00034ABC"/>
    <w:rsid w:val="00034D1D"/>
    <w:rsid w:val="00034D24"/>
    <w:rsid w:val="00035A69"/>
    <w:rsid w:val="000366B3"/>
    <w:rsid w:val="00036E57"/>
    <w:rsid w:val="00047195"/>
    <w:rsid w:val="00047C09"/>
    <w:rsid w:val="00052D93"/>
    <w:rsid w:val="000551CF"/>
    <w:rsid w:val="000571AC"/>
    <w:rsid w:val="00063AA8"/>
    <w:rsid w:val="0006487A"/>
    <w:rsid w:val="00065F8F"/>
    <w:rsid w:val="00066365"/>
    <w:rsid w:val="00066A65"/>
    <w:rsid w:val="00070C93"/>
    <w:rsid w:val="00070D58"/>
    <w:rsid w:val="00070F40"/>
    <w:rsid w:val="00071796"/>
    <w:rsid w:val="00072BEC"/>
    <w:rsid w:val="00073345"/>
    <w:rsid w:val="000768F2"/>
    <w:rsid w:val="00077C80"/>
    <w:rsid w:val="00081156"/>
    <w:rsid w:val="000815F6"/>
    <w:rsid w:val="00083B72"/>
    <w:rsid w:val="000846FF"/>
    <w:rsid w:val="0008503A"/>
    <w:rsid w:val="000851B4"/>
    <w:rsid w:val="000859F0"/>
    <w:rsid w:val="00087C06"/>
    <w:rsid w:val="00090134"/>
    <w:rsid w:val="00090DB7"/>
    <w:rsid w:val="0009184B"/>
    <w:rsid w:val="00091AAC"/>
    <w:rsid w:val="000921CB"/>
    <w:rsid w:val="000925CB"/>
    <w:rsid w:val="0009389E"/>
    <w:rsid w:val="0009593C"/>
    <w:rsid w:val="000A1370"/>
    <w:rsid w:val="000A17C4"/>
    <w:rsid w:val="000A37A2"/>
    <w:rsid w:val="000A500C"/>
    <w:rsid w:val="000B007F"/>
    <w:rsid w:val="000B047F"/>
    <w:rsid w:val="000B071C"/>
    <w:rsid w:val="000B1716"/>
    <w:rsid w:val="000B202D"/>
    <w:rsid w:val="000B26BE"/>
    <w:rsid w:val="000B2D44"/>
    <w:rsid w:val="000B2FD8"/>
    <w:rsid w:val="000B44F0"/>
    <w:rsid w:val="000B5923"/>
    <w:rsid w:val="000B5A48"/>
    <w:rsid w:val="000B6FF3"/>
    <w:rsid w:val="000C0A06"/>
    <w:rsid w:val="000C148A"/>
    <w:rsid w:val="000C2B6A"/>
    <w:rsid w:val="000C3467"/>
    <w:rsid w:val="000C3CA6"/>
    <w:rsid w:val="000C4E3D"/>
    <w:rsid w:val="000C7136"/>
    <w:rsid w:val="000D1267"/>
    <w:rsid w:val="000D17A8"/>
    <w:rsid w:val="000D1D50"/>
    <w:rsid w:val="000D304F"/>
    <w:rsid w:val="000D4033"/>
    <w:rsid w:val="000D5782"/>
    <w:rsid w:val="000D620F"/>
    <w:rsid w:val="000D74AA"/>
    <w:rsid w:val="000E3AC5"/>
    <w:rsid w:val="000E4C84"/>
    <w:rsid w:val="000E6613"/>
    <w:rsid w:val="000E6663"/>
    <w:rsid w:val="000E7119"/>
    <w:rsid w:val="000E75B2"/>
    <w:rsid w:val="000F0D1B"/>
    <w:rsid w:val="000F3E1D"/>
    <w:rsid w:val="000F7336"/>
    <w:rsid w:val="00101546"/>
    <w:rsid w:val="00106B75"/>
    <w:rsid w:val="0010727E"/>
    <w:rsid w:val="00107CCA"/>
    <w:rsid w:val="00110310"/>
    <w:rsid w:val="0011211B"/>
    <w:rsid w:val="00112787"/>
    <w:rsid w:val="00114E9B"/>
    <w:rsid w:val="0011649B"/>
    <w:rsid w:val="00116E5E"/>
    <w:rsid w:val="0012218E"/>
    <w:rsid w:val="0012398F"/>
    <w:rsid w:val="00124113"/>
    <w:rsid w:val="00124BFE"/>
    <w:rsid w:val="0012516D"/>
    <w:rsid w:val="00125224"/>
    <w:rsid w:val="00130F18"/>
    <w:rsid w:val="00133C7A"/>
    <w:rsid w:val="0013434B"/>
    <w:rsid w:val="00137E3C"/>
    <w:rsid w:val="001418EE"/>
    <w:rsid w:val="00142F42"/>
    <w:rsid w:val="00143AE1"/>
    <w:rsid w:val="00143C8F"/>
    <w:rsid w:val="001446FE"/>
    <w:rsid w:val="00144A59"/>
    <w:rsid w:val="00146A3D"/>
    <w:rsid w:val="0014729F"/>
    <w:rsid w:val="00147410"/>
    <w:rsid w:val="001506F6"/>
    <w:rsid w:val="00151128"/>
    <w:rsid w:val="0015213E"/>
    <w:rsid w:val="001544D9"/>
    <w:rsid w:val="00156D25"/>
    <w:rsid w:val="00156D5D"/>
    <w:rsid w:val="00157BAB"/>
    <w:rsid w:val="0016151A"/>
    <w:rsid w:val="00163B54"/>
    <w:rsid w:val="00163F03"/>
    <w:rsid w:val="001654D1"/>
    <w:rsid w:val="00166A14"/>
    <w:rsid w:val="00166F25"/>
    <w:rsid w:val="0016730C"/>
    <w:rsid w:val="00167FD7"/>
    <w:rsid w:val="0017190C"/>
    <w:rsid w:val="00174145"/>
    <w:rsid w:val="0018106D"/>
    <w:rsid w:val="0018125C"/>
    <w:rsid w:val="00181856"/>
    <w:rsid w:val="00183B64"/>
    <w:rsid w:val="00184B52"/>
    <w:rsid w:val="001877A7"/>
    <w:rsid w:val="00187CD2"/>
    <w:rsid w:val="00191536"/>
    <w:rsid w:val="00191B2C"/>
    <w:rsid w:val="001927B3"/>
    <w:rsid w:val="00193E73"/>
    <w:rsid w:val="00193FE2"/>
    <w:rsid w:val="001959D9"/>
    <w:rsid w:val="00195AB7"/>
    <w:rsid w:val="00196687"/>
    <w:rsid w:val="001A0107"/>
    <w:rsid w:val="001A0B9F"/>
    <w:rsid w:val="001A0EA2"/>
    <w:rsid w:val="001A1DBF"/>
    <w:rsid w:val="001A41F1"/>
    <w:rsid w:val="001A5CF3"/>
    <w:rsid w:val="001A63BB"/>
    <w:rsid w:val="001B1840"/>
    <w:rsid w:val="001B1FA9"/>
    <w:rsid w:val="001B2FB3"/>
    <w:rsid w:val="001B5F65"/>
    <w:rsid w:val="001B6640"/>
    <w:rsid w:val="001B7FF7"/>
    <w:rsid w:val="001C0962"/>
    <w:rsid w:val="001C1941"/>
    <w:rsid w:val="001C1A81"/>
    <w:rsid w:val="001C38A5"/>
    <w:rsid w:val="001C597C"/>
    <w:rsid w:val="001C6464"/>
    <w:rsid w:val="001C746B"/>
    <w:rsid w:val="001D14B6"/>
    <w:rsid w:val="001D342B"/>
    <w:rsid w:val="001D6C1E"/>
    <w:rsid w:val="001D7531"/>
    <w:rsid w:val="001E0A1B"/>
    <w:rsid w:val="001E1402"/>
    <w:rsid w:val="001E2922"/>
    <w:rsid w:val="001E3680"/>
    <w:rsid w:val="001E6926"/>
    <w:rsid w:val="001E737D"/>
    <w:rsid w:val="001F0592"/>
    <w:rsid w:val="001F0C89"/>
    <w:rsid w:val="001F7506"/>
    <w:rsid w:val="002006CD"/>
    <w:rsid w:val="0020075A"/>
    <w:rsid w:val="00202B36"/>
    <w:rsid w:val="00202C44"/>
    <w:rsid w:val="00202F80"/>
    <w:rsid w:val="002030A5"/>
    <w:rsid w:val="00204B7A"/>
    <w:rsid w:val="00206616"/>
    <w:rsid w:val="0020689D"/>
    <w:rsid w:val="00206B0E"/>
    <w:rsid w:val="00207949"/>
    <w:rsid w:val="0021101A"/>
    <w:rsid w:val="0021190F"/>
    <w:rsid w:val="0021334C"/>
    <w:rsid w:val="00216B50"/>
    <w:rsid w:val="00220536"/>
    <w:rsid w:val="00220C02"/>
    <w:rsid w:val="00224F1D"/>
    <w:rsid w:val="00225CB7"/>
    <w:rsid w:val="0023060C"/>
    <w:rsid w:val="00234E40"/>
    <w:rsid w:val="00235629"/>
    <w:rsid w:val="00237409"/>
    <w:rsid w:val="00237AE4"/>
    <w:rsid w:val="00240C43"/>
    <w:rsid w:val="00240C5D"/>
    <w:rsid w:val="00243589"/>
    <w:rsid w:val="002527B1"/>
    <w:rsid w:val="0025301B"/>
    <w:rsid w:val="00253FF8"/>
    <w:rsid w:val="00260A32"/>
    <w:rsid w:val="00260C38"/>
    <w:rsid w:val="00260F84"/>
    <w:rsid w:val="002616C0"/>
    <w:rsid w:val="002620C0"/>
    <w:rsid w:val="002662AA"/>
    <w:rsid w:val="00267E1C"/>
    <w:rsid w:val="00272FB2"/>
    <w:rsid w:val="0027313F"/>
    <w:rsid w:val="00273F8B"/>
    <w:rsid w:val="002740FA"/>
    <w:rsid w:val="0027692F"/>
    <w:rsid w:val="0027703A"/>
    <w:rsid w:val="00277BF4"/>
    <w:rsid w:val="002803BD"/>
    <w:rsid w:val="00280496"/>
    <w:rsid w:val="00283D63"/>
    <w:rsid w:val="00283E91"/>
    <w:rsid w:val="002856F9"/>
    <w:rsid w:val="002866CA"/>
    <w:rsid w:val="00286C21"/>
    <w:rsid w:val="002875BF"/>
    <w:rsid w:val="0029076F"/>
    <w:rsid w:val="0029094E"/>
    <w:rsid w:val="00291DC2"/>
    <w:rsid w:val="00292626"/>
    <w:rsid w:val="00292E6B"/>
    <w:rsid w:val="00295495"/>
    <w:rsid w:val="002A0D55"/>
    <w:rsid w:val="002A0E88"/>
    <w:rsid w:val="002A1940"/>
    <w:rsid w:val="002A3F4C"/>
    <w:rsid w:val="002A70D7"/>
    <w:rsid w:val="002A77B7"/>
    <w:rsid w:val="002A7AE1"/>
    <w:rsid w:val="002B133E"/>
    <w:rsid w:val="002B1B6D"/>
    <w:rsid w:val="002B2613"/>
    <w:rsid w:val="002B2C2A"/>
    <w:rsid w:val="002B2F51"/>
    <w:rsid w:val="002B44FC"/>
    <w:rsid w:val="002B5438"/>
    <w:rsid w:val="002B544A"/>
    <w:rsid w:val="002B5F40"/>
    <w:rsid w:val="002B79B7"/>
    <w:rsid w:val="002C00BF"/>
    <w:rsid w:val="002C0137"/>
    <w:rsid w:val="002C1004"/>
    <w:rsid w:val="002C1E97"/>
    <w:rsid w:val="002C4022"/>
    <w:rsid w:val="002C5275"/>
    <w:rsid w:val="002C6074"/>
    <w:rsid w:val="002D1F9E"/>
    <w:rsid w:val="002D30E8"/>
    <w:rsid w:val="002E0F9C"/>
    <w:rsid w:val="002E1F75"/>
    <w:rsid w:val="002E202A"/>
    <w:rsid w:val="002E5C3A"/>
    <w:rsid w:val="002E64D0"/>
    <w:rsid w:val="002F1818"/>
    <w:rsid w:val="002F1A28"/>
    <w:rsid w:val="002F2C84"/>
    <w:rsid w:val="002F335F"/>
    <w:rsid w:val="002F567B"/>
    <w:rsid w:val="002F66D8"/>
    <w:rsid w:val="002F7353"/>
    <w:rsid w:val="0030080A"/>
    <w:rsid w:val="0030298F"/>
    <w:rsid w:val="00302AF1"/>
    <w:rsid w:val="00305126"/>
    <w:rsid w:val="0030593B"/>
    <w:rsid w:val="00310306"/>
    <w:rsid w:val="0031156F"/>
    <w:rsid w:val="00317FD1"/>
    <w:rsid w:val="00321358"/>
    <w:rsid w:val="003216A9"/>
    <w:rsid w:val="00322D89"/>
    <w:rsid w:val="00325332"/>
    <w:rsid w:val="00325856"/>
    <w:rsid w:val="00325985"/>
    <w:rsid w:val="003278AA"/>
    <w:rsid w:val="00332726"/>
    <w:rsid w:val="0033309F"/>
    <w:rsid w:val="00335ED6"/>
    <w:rsid w:val="00337694"/>
    <w:rsid w:val="003431B7"/>
    <w:rsid w:val="0034381A"/>
    <w:rsid w:val="003440C6"/>
    <w:rsid w:val="00350C26"/>
    <w:rsid w:val="003515CF"/>
    <w:rsid w:val="00353569"/>
    <w:rsid w:val="00354D51"/>
    <w:rsid w:val="0035612F"/>
    <w:rsid w:val="00356A32"/>
    <w:rsid w:val="0035779A"/>
    <w:rsid w:val="00360394"/>
    <w:rsid w:val="0036392A"/>
    <w:rsid w:val="003663FE"/>
    <w:rsid w:val="0036688B"/>
    <w:rsid w:val="00366A86"/>
    <w:rsid w:val="00367683"/>
    <w:rsid w:val="00367B91"/>
    <w:rsid w:val="0037013F"/>
    <w:rsid w:val="00373FCE"/>
    <w:rsid w:val="00377A4C"/>
    <w:rsid w:val="003802FF"/>
    <w:rsid w:val="00380C92"/>
    <w:rsid w:val="00383877"/>
    <w:rsid w:val="00385025"/>
    <w:rsid w:val="00386455"/>
    <w:rsid w:val="00390D36"/>
    <w:rsid w:val="00390F3B"/>
    <w:rsid w:val="0039111A"/>
    <w:rsid w:val="003936B4"/>
    <w:rsid w:val="00393AFD"/>
    <w:rsid w:val="003A079E"/>
    <w:rsid w:val="003A10FA"/>
    <w:rsid w:val="003A163E"/>
    <w:rsid w:val="003A32EC"/>
    <w:rsid w:val="003A36AE"/>
    <w:rsid w:val="003A3ACA"/>
    <w:rsid w:val="003A4404"/>
    <w:rsid w:val="003A484F"/>
    <w:rsid w:val="003A4F96"/>
    <w:rsid w:val="003A5540"/>
    <w:rsid w:val="003B0BE0"/>
    <w:rsid w:val="003B0C1A"/>
    <w:rsid w:val="003B0C1B"/>
    <w:rsid w:val="003B5601"/>
    <w:rsid w:val="003B688C"/>
    <w:rsid w:val="003C0291"/>
    <w:rsid w:val="003C2ECB"/>
    <w:rsid w:val="003C350E"/>
    <w:rsid w:val="003C39AE"/>
    <w:rsid w:val="003C6D0D"/>
    <w:rsid w:val="003C76CC"/>
    <w:rsid w:val="003C7B60"/>
    <w:rsid w:val="003D0821"/>
    <w:rsid w:val="003D1FB2"/>
    <w:rsid w:val="003D2303"/>
    <w:rsid w:val="003D3CC9"/>
    <w:rsid w:val="003D4221"/>
    <w:rsid w:val="003D644D"/>
    <w:rsid w:val="003D66DA"/>
    <w:rsid w:val="003E10D3"/>
    <w:rsid w:val="003E1310"/>
    <w:rsid w:val="003E2E1C"/>
    <w:rsid w:val="003E5BD3"/>
    <w:rsid w:val="003E6348"/>
    <w:rsid w:val="003E6F55"/>
    <w:rsid w:val="003F133D"/>
    <w:rsid w:val="003F2794"/>
    <w:rsid w:val="003F339D"/>
    <w:rsid w:val="003F363F"/>
    <w:rsid w:val="003F3A2A"/>
    <w:rsid w:val="003F3DED"/>
    <w:rsid w:val="003F3E94"/>
    <w:rsid w:val="003F44B8"/>
    <w:rsid w:val="003F7CD6"/>
    <w:rsid w:val="00400549"/>
    <w:rsid w:val="00401C71"/>
    <w:rsid w:val="004026F9"/>
    <w:rsid w:val="00402FCE"/>
    <w:rsid w:val="00405639"/>
    <w:rsid w:val="00406254"/>
    <w:rsid w:val="004071E0"/>
    <w:rsid w:val="00407AD0"/>
    <w:rsid w:val="00410C16"/>
    <w:rsid w:val="00422023"/>
    <w:rsid w:val="004223DE"/>
    <w:rsid w:val="004234B2"/>
    <w:rsid w:val="00426FA8"/>
    <w:rsid w:val="00427162"/>
    <w:rsid w:val="0043341C"/>
    <w:rsid w:val="004343F3"/>
    <w:rsid w:val="00434489"/>
    <w:rsid w:val="0043475E"/>
    <w:rsid w:val="0043497B"/>
    <w:rsid w:val="00435137"/>
    <w:rsid w:val="00436E88"/>
    <w:rsid w:val="00437085"/>
    <w:rsid w:val="004370D1"/>
    <w:rsid w:val="00440872"/>
    <w:rsid w:val="00440A29"/>
    <w:rsid w:val="00441C18"/>
    <w:rsid w:val="004422EF"/>
    <w:rsid w:val="00443880"/>
    <w:rsid w:val="00444CE1"/>
    <w:rsid w:val="0044578E"/>
    <w:rsid w:val="0044581C"/>
    <w:rsid w:val="004464F4"/>
    <w:rsid w:val="00446FA9"/>
    <w:rsid w:val="00447035"/>
    <w:rsid w:val="00450BFF"/>
    <w:rsid w:val="00454FA9"/>
    <w:rsid w:val="004571F2"/>
    <w:rsid w:val="0045723A"/>
    <w:rsid w:val="00460A67"/>
    <w:rsid w:val="00461A98"/>
    <w:rsid w:val="00462B33"/>
    <w:rsid w:val="0046346E"/>
    <w:rsid w:val="004700E2"/>
    <w:rsid w:val="004708B9"/>
    <w:rsid w:val="00471401"/>
    <w:rsid w:val="00471CBB"/>
    <w:rsid w:val="00473F31"/>
    <w:rsid w:val="00474218"/>
    <w:rsid w:val="004750E8"/>
    <w:rsid w:val="00476F1B"/>
    <w:rsid w:val="0047729B"/>
    <w:rsid w:val="0048263A"/>
    <w:rsid w:val="0048368B"/>
    <w:rsid w:val="0048372E"/>
    <w:rsid w:val="00483F46"/>
    <w:rsid w:val="00484CD3"/>
    <w:rsid w:val="004857E4"/>
    <w:rsid w:val="00486073"/>
    <w:rsid w:val="0048694C"/>
    <w:rsid w:val="00486E3E"/>
    <w:rsid w:val="00487E5D"/>
    <w:rsid w:val="00491181"/>
    <w:rsid w:val="00492070"/>
    <w:rsid w:val="004941B6"/>
    <w:rsid w:val="00497E59"/>
    <w:rsid w:val="004A2A48"/>
    <w:rsid w:val="004A4A66"/>
    <w:rsid w:val="004A4B01"/>
    <w:rsid w:val="004A5576"/>
    <w:rsid w:val="004A6B85"/>
    <w:rsid w:val="004A711F"/>
    <w:rsid w:val="004A7B2B"/>
    <w:rsid w:val="004B01AE"/>
    <w:rsid w:val="004B199D"/>
    <w:rsid w:val="004B2279"/>
    <w:rsid w:val="004B25B9"/>
    <w:rsid w:val="004B3F00"/>
    <w:rsid w:val="004B4690"/>
    <w:rsid w:val="004B7108"/>
    <w:rsid w:val="004B778F"/>
    <w:rsid w:val="004B785F"/>
    <w:rsid w:val="004C01B1"/>
    <w:rsid w:val="004C062D"/>
    <w:rsid w:val="004C4638"/>
    <w:rsid w:val="004C5745"/>
    <w:rsid w:val="004C5DBD"/>
    <w:rsid w:val="004C62FA"/>
    <w:rsid w:val="004C6FB9"/>
    <w:rsid w:val="004D1DC6"/>
    <w:rsid w:val="004D31FB"/>
    <w:rsid w:val="004D4BB1"/>
    <w:rsid w:val="004D4D6E"/>
    <w:rsid w:val="004D4DA3"/>
    <w:rsid w:val="004D798C"/>
    <w:rsid w:val="004D7AEF"/>
    <w:rsid w:val="004E028C"/>
    <w:rsid w:val="004E0815"/>
    <w:rsid w:val="004E0A2D"/>
    <w:rsid w:val="004E206B"/>
    <w:rsid w:val="004E3DEC"/>
    <w:rsid w:val="004E67E0"/>
    <w:rsid w:val="004E6DF7"/>
    <w:rsid w:val="004F0FBD"/>
    <w:rsid w:val="00501436"/>
    <w:rsid w:val="00501B3E"/>
    <w:rsid w:val="00502053"/>
    <w:rsid w:val="005020BB"/>
    <w:rsid w:val="00505843"/>
    <w:rsid w:val="00505A47"/>
    <w:rsid w:val="0050679E"/>
    <w:rsid w:val="0051166F"/>
    <w:rsid w:val="0051173A"/>
    <w:rsid w:val="00512FDA"/>
    <w:rsid w:val="00513ED7"/>
    <w:rsid w:val="0051467D"/>
    <w:rsid w:val="00520DA0"/>
    <w:rsid w:val="005225FC"/>
    <w:rsid w:val="00524AC4"/>
    <w:rsid w:val="0052729E"/>
    <w:rsid w:val="0052733D"/>
    <w:rsid w:val="00530E19"/>
    <w:rsid w:val="00530F71"/>
    <w:rsid w:val="005322EB"/>
    <w:rsid w:val="0053459C"/>
    <w:rsid w:val="00550726"/>
    <w:rsid w:val="00550F95"/>
    <w:rsid w:val="0055106D"/>
    <w:rsid w:val="005559A4"/>
    <w:rsid w:val="0056304B"/>
    <w:rsid w:val="005651E3"/>
    <w:rsid w:val="00565D17"/>
    <w:rsid w:val="005664BB"/>
    <w:rsid w:val="00566C08"/>
    <w:rsid w:val="0056722F"/>
    <w:rsid w:val="00567B67"/>
    <w:rsid w:val="00570C62"/>
    <w:rsid w:val="00572EB1"/>
    <w:rsid w:val="00572EC9"/>
    <w:rsid w:val="00573576"/>
    <w:rsid w:val="0057481D"/>
    <w:rsid w:val="0057798B"/>
    <w:rsid w:val="00577A75"/>
    <w:rsid w:val="00577DF2"/>
    <w:rsid w:val="00580D35"/>
    <w:rsid w:val="0058486E"/>
    <w:rsid w:val="00584F2B"/>
    <w:rsid w:val="005935E9"/>
    <w:rsid w:val="005939BC"/>
    <w:rsid w:val="00593D4E"/>
    <w:rsid w:val="005975DB"/>
    <w:rsid w:val="00597919"/>
    <w:rsid w:val="005A0204"/>
    <w:rsid w:val="005A0CF8"/>
    <w:rsid w:val="005A324B"/>
    <w:rsid w:val="005B186A"/>
    <w:rsid w:val="005B553C"/>
    <w:rsid w:val="005B57DB"/>
    <w:rsid w:val="005B58F9"/>
    <w:rsid w:val="005B5ACB"/>
    <w:rsid w:val="005B76E6"/>
    <w:rsid w:val="005C0AF7"/>
    <w:rsid w:val="005C0B82"/>
    <w:rsid w:val="005C0D5C"/>
    <w:rsid w:val="005C4A4C"/>
    <w:rsid w:val="005C52C6"/>
    <w:rsid w:val="005C7204"/>
    <w:rsid w:val="005D1C8B"/>
    <w:rsid w:val="005D5CED"/>
    <w:rsid w:val="005D6054"/>
    <w:rsid w:val="005E1522"/>
    <w:rsid w:val="005E3365"/>
    <w:rsid w:val="005E5517"/>
    <w:rsid w:val="005F0705"/>
    <w:rsid w:val="005F0C83"/>
    <w:rsid w:val="005F1A4C"/>
    <w:rsid w:val="005F1F76"/>
    <w:rsid w:val="005F2C70"/>
    <w:rsid w:val="005F32B6"/>
    <w:rsid w:val="005F4162"/>
    <w:rsid w:val="005F44C7"/>
    <w:rsid w:val="005F632F"/>
    <w:rsid w:val="00600946"/>
    <w:rsid w:val="006044AC"/>
    <w:rsid w:val="00604551"/>
    <w:rsid w:val="00605688"/>
    <w:rsid w:val="006070AF"/>
    <w:rsid w:val="00607816"/>
    <w:rsid w:val="00607E6C"/>
    <w:rsid w:val="006101B1"/>
    <w:rsid w:val="00611AD3"/>
    <w:rsid w:val="00612209"/>
    <w:rsid w:val="00614423"/>
    <w:rsid w:val="00614E44"/>
    <w:rsid w:val="006155B0"/>
    <w:rsid w:val="006205F4"/>
    <w:rsid w:val="00620717"/>
    <w:rsid w:val="00622830"/>
    <w:rsid w:val="006256DB"/>
    <w:rsid w:val="00630AEF"/>
    <w:rsid w:val="00630BB3"/>
    <w:rsid w:val="006325F8"/>
    <w:rsid w:val="00633AE4"/>
    <w:rsid w:val="006348B1"/>
    <w:rsid w:val="00634C9A"/>
    <w:rsid w:val="00635FC7"/>
    <w:rsid w:val="00636040"/>
    <w:rsid w:val="00642529"/>
    <w:rsid w:val="0064301E"/>
    <w:rsid w:val="00643322"/>
    <w:rsid w:val="00643C0A"/>
    <w:rsid w:val="006440E4"/>
    <w:rsid w:val="00645301"/>
    <w:rsid w:val="00645F78"/>
    <w:rsid w:val="0064753B"/>
    <w:rsid w:val="00650D36"/>
    <w:rsid w:val="00650F17"/>
    <w:rsid w:val="006511E7"/>
    <w:rsid w:val="0065182B"/>
    <w:rsid w:val="00660339"/>
    <w:rsid w:val="00660F57"/>
    <w:rsid w:val="00661830"/>
    <w:rsid w:val="0066343B"/>
    <w:rsid w:val="00663BDD"/>
    <w:rsid w:val="00664777"/>
    <w:rsid w:val="00664ED7"/>
    <w:rsid w:val="0066615D"/>
    <w:rsid w:val="00666366"/>
    <w:rsid w:val="0066748A"/>
    <w:rsid w:val="0067155A"/>
    <w:rsid w:val="00671D25"/>
    <w:rsid w:val="00672345"/>
    <w:rsid w:val="00673381"/>
    <w:rsid w:val="006740AB"/>
    <w:rsid w:val="00674446"/>
    <w:rsid w:val="006748A4"/>
    <w:rsid w:val="006757D8"/>
    <w:rsid w:val="00680EF7"/>
    <w:rsid w:val="00683E73"/>
    <w:rsid w:val="0068590F"/>
    <w:rsid w:val="00686CF0"/>
    <w:rsid w:val="00687CAC"/>
    <w:rsid w:val="00691D82"/>
    <w:rsid w:val="006931FE"/>
    <w:rsid w:val="006947FC"/>
    <w:rsid w:val="006950FD"/>
    <w:rsid w:val="00695AD3"/>
    <w:rsid w:val="00696ACE"/>
    <w:rsid w:val="006A01D3"/>
    <w:rsid w:val="006A04FE"/>
    <w:rsid w:val="006A0C2C"/>
    <w:rsid w:val="006A0C51"/>
    <w:rsid w:val="006A1E7E"/>
    <w:rsid w:val="006A2BCD"/>
    <w:rsid w:val="006A3141"/>
    <w:rsid w:val="006A5E34"/>
    <w:rsid w:val="006A75B7"/>
    <w:rsid w:val="006B0ABA"/>
    <w:rsid w:val="006B2422"/>
    <w:rsid w:val="006B2B9A"/>
    <w:rsid w:val="006B2E2F"/>
    <w:rsid w:val="006B471C"/>
    <w:rsid w:val="006B4C59"/>
    <w:rsid w:val="006B533E"/>
    <w:rsid w:val="006C04D7"/>
    <w:rsid w:val="006C1937"/>
    <w:rsid w:val="006C397F"/>
    <w:rsid w:val="006C6427"/>
    <w:rsid w:val="006C76DB"/>
    <w:rsid w:val="006D1F0B"/>
    <w:rsid w:val="006D42C6"/>
    <w:rsid w:val="006E0081"/>
    <w:rsid w:val="006E0706"/>
    <w:rsid w:val="006E3700"/>
    <w:rsid w:val="006E6C66"/>
    <w:rsid w:val="006F020C"/>
    <w:rsid w:val="006F3DF7"/>
    <w:rsid w:val="006F7849"/>
    <w:rsid w:val="006F7CBD"/>
    <w:rsid w:val="0070094B"/>
    <w:rsid w:val="007040F2"/>
    <w:rsid w:val="00705B7C"/>
    <w:rsid w:val="00705E24"/>
    <w:rsid w:val="00707EEC"/>
    <w:rsid w:val="007115FE"/>
    <w:rsid w:val="007127B7"/>
    <w:rsid w:val="00713977"/>
    <w:rsid w:val="00714DBE"/>
    <w:rsid w:val="007220F2"/>
    <w:rsid w:val="007231D9"/>
    <w:rsid w:val="007244D2"/>
    <w:rsid w:val="00725B08"/>
    <w:rsid w:val="007355BA"/>
    <w:rsid w:val="0074019B"/>
    <w:rsid w:val="007403C2"/>
    <w:rsid w:val="007410FA"/>
    <w:rsid w:val="007416B6"/>
    <w:rsid w:val="007426C0"/>
    <w:rsid w:val="00746F48"/>
    <w:rsid w:val="0074730D"/>
    <w:rsid w:val="0075129E"/>
    <w:rsid w:val="00751951"/>
    <w:rsid w:val="00751EE9"/>
    <w:rsid w:val="007522D6"/>
    <w:rsid w:val="007525C3"/>
    <w:rsid w:val="007537B3"/>
    <w:rsid w:val="00753DC2"/>
    <w:rsid w:val="0075404D"/>
    <w:rsid w:val="0075503D"/>
    <w:rsid w:val="0076078E"/>
    <w:rsid w:val="00760D5E"/>
    <w:rsid w:val="0076182A"/>
    <w:rsid w:val="00763BC1"/>
    <w:rsid w:val="0076499D"/>
    <w:rsid w:val="007656DB"/>
    <w:rsid w:val="007676D8"/>
    <w:rsid w:val="00767A7D"/>
    <w:rsid w:val="00767B7E"/>
    <w:rsid w:val="00767BE6"/>
    <w:rsid w:val="00775A39"/>
    <w:rsid w:val="00776900"/>
    <w:rsid w:val="007770C3"/>
    <w:rsid w:val="00780AAA"/>
    <w:rsid w:val="00781060"/>
    <w:rsid w:val="0078143E"/>
    <w:rsid w:val="0078201F"/>
    <w:rsid w:val="007820E1"/>
    <w:rsid w:val="00784D24"/>
    <w:rsid w:val="00784D4C"/>
    <w:rsid w:val="00784E42"/>
    <w:rsid w:val="00785FBA"/>
    <w:rsid w:val="00786E4A"/>
    <w:rsid w:val="007875EB"/>
    <w:rsid w:val="00787E51"/>
    <w:rsid w:val="00792C26"/>
    <w:rsid w:val="0079426B"/>
    <w:rsid w:val="00794D8C"/>
    <w:rsid w:val="00794F74"/>
    <w:rsid w:val="0079655C"/>
    <w:rsid w:val="007A0619"/>
    <w:rsid w:val="007A762F"/>
    <w:rsid w:val="007B0CA2"/>
    <w:rsid w:val="007B5C15"/>
    <w:rsid w:val="007B6032"/>
    <w:rsid w:val="007B6B9B"/>
    <w:rsid w:val="007C014E"/>
    <w:rsid w:val="007C0C20"/>
    <w:rsid w:val="007C0E0A"/>
    <w:rsid w:val="007C2008"/>
    <w:rsid w:val="007C26C9"/>
    <w:rsid w:val="007C57E7"/>
    <w:rsid w:val="007C6362"/>
    <w:rsid w:val="007C70B5"/>
    <w:rsid w:val="007C72D0"/>
    <w:rsid w:val="007D028D"/>
    <w:rsid w:val="007D0AE2"/>
    <w:rsid w:val="007D0C80"/>
    <w:rsid w:val="007D312A"/>
    <w:rsid w:val="007D3F19"/>
    <w:rsid w:val="007D40BF"/>
    <w:rsid w:val="007D598F"/>
    <w:rsid w:val="007D7F29"/>
    <w:rsid w:val="007E0391"/>
    <w:rsid w:val="007E2118"/>
    <w:rsid w:val="007E23B0"/>
    <w:rsid w:val="007E30F0"/>
    <w:rsid w:val="007E4E9E"/>
    <w:rsid w:val="007E4F63"/>
    <w:rsid w:val="007E5C1C"/>
    <w:rsid w:val="007E6821"/>
    <w:rsid w:val="007E6A33"/>
    <w:rsid w:val="007E6D1B"/>
    <w:rsid w:val="007F0CD6"/>
    <w:rsid w:val="007F0EAA"/>
    <w:rsid w:val="007F1991"/>
    <w:rsid w:val="007F1E4C"/>
    <w:rsid w:val="007F2C2F"/>
    <w:rsid w:val="007F2D6D"/>
    <w:rsid w:val="007F55FC"/>
    <w:rsid w:val="007F5665"/>
    <w:rsid w:val="007F57B1"/>
    <w:rsid w:val="007F5B1E"/>
    <w:rsid w:val="007F703A"/>
    <w:rsid w:val="007F772D"/>
    <w:rsid w:val="007F78DE"/>
    <w:rsid w:val="00800112"/>
    <w:rsid w:val="0080112E"/>
    <w:rsid w:val="008014B3"/>
    <w:rsid w:val="008031B0"/>
    <w:rsid w:val="008068DA"/>
    <w:rsid w:val="00806B6F"/>
    <w:rsid w:val="00807797"/>
    <w:rsid w:val="0081195D"/>
    <w:rsid w:val="00811C29"/>
    <w:rsid w:val="00812255"/>
    <w:rsid w:val="00813AEF"/>
    <w:rsid w:val="00815AF8"/>
    <w:rsid w:val="008169F8"/>
    <w:rsid w:val="00820AF4"/>
    <w:rsid w:val="008212F9"/>
    <w:rsid w:val="008244FA"/>
    <w:rsid w:val="008248EC"/>
    <w:rsid w:val="00824C90"/>
    <w:rsid w:val="00824CEE"/>
    <w:rsid w:val="008253BB"/>
    <w:rsid w:val="008273C2"/>
    <w:rsid w:val="00830A33"/>
    <w:rsid w:val="00830F24"/>
    <w:rsid w:val="0083234B"/>
    <w:rsid w:val="00833D7A"/>
    <w:rsid w:val="008347A0"/>
    <w:rsid w:val="00835B31"/>
    <w:rsid w:val="00836025"/>
    <w:rsid w:val="0083706E"/>
    <w:rsid w:val="00840550"/>
    <w:rsid w:val="008423A5"/>
    <w:rsid w:val="00843431"/>
    <w:rsid w:val="00845501"/>
    <w:rsid w:val="008503A5"/>
    <w:rsid w:val="00850625"/>
    <w:rsid w:val="008511F3"/>
    <w:rsid w:val="00851894"/>
    <w:rsid w:val="0085265B"/>
    <w:rsid w:val="00852C5C"/>
    <w:rsid w:val="00853718"/>
    <w:rsid w:val="00855221"/>
    <w:rsid w:val="00855AF5"/>
    <w:rsid w:val="00855E16"/>
    <w:rsid w:val="00857B79"/>
    <w:rsid w:val="00860645"/>
    <w:rsid w:val="00860C44"/>
    <w:rsid w:val="0086131A"/>
    <w:rsid w:val="00862A9D"/>
    <w:rsid w:val="00863483"/>
    <w:rsid w:val="00863CF0"/>
    <w:rsid w:val="00863D72"/>
    <w:rsid w:val="00865F20"/>
    <w:rsid w:val="00867695"/>
    <w:rsid w:val="00870000"/>
    <w:rsid w:val="00870C33"/>
    <w:rsid w:val="00871F71"/>
    <w:rsid w:val="008722FB"/>
    <w:rsid w:val="00872F95"/>
    <w:rsid w:val="00873D8F"/>
    <w:rsid w:val="0087464B"/>
    <w:rsid w:val="00875814"/>
    <w:rsid w:val="00877427"/>
    <w:rsid w:val="0088122F"/>
    <w:rsid w:val="00885AF4"/>
    <w:rsid w:val="00886435"/>
    <w:rsid w:val="008875FA"/>
    <w:rsid w:val="00887A58"/>
    <w:rsid w:val="008918AA"/>
    <w:rsid w:val="008918C9"/>
    <w:rsid w:val="008920D1"/>
    <w:rsid w:val="008939CD"/>
    <w:rsid w:val="00893E7C"/>
    <w:rsid w:val="00895862"/>
    <w:rsid w:val="00896814"/>
    <w:rsid w:val="00897199"/>
    <w:rsid w:val="008A04BB"/>
    <w:rsid w:val="008A6293"/>
    <w:rsid w:val="008A6BC0"/>
    <w:rsid w:val="008A7CE3"/>
    <w:rsid w:val="008B045D"/>
    <w:rsid w:val="008B2B26"/>
    <w:rsid w:val="008B5614"/>
    <w:rsid w:val="008B6287"/>
    <w:rsid w:val="008B69A5"/>
    <w:rsid w:val="008B768C"/>
    <w:rsid w:val="008B7992"/>
    <w:rsid w:val="008C1D33"/>
    <w:rsid w:val="008C33D9"/>
    <w:rsid w:val="008C4DB1"/>
    <w:rsid w:val="008C4EAF"/>
    <w:rsid w:val="008C5176"/>
    <w:rsid w:val="008C7FD0"/>
    <w:rsid w:val="008D06D5"/>
    <w:rsid w:val="008D08E5"/>
    <w:rsid w:val="008D2C92"/>
    <w:rsid w:val="008D2DE2"/>
    <w:rsid w:val="008D55A6"/>
    <w:rsid w:val="008E0EF3"/>
    <w:rsid w:val="008E1DC6"/>
    <w:rsid w:val="008E1DE7"/>
    <w:rsid w:val="008E2847"/>
    <w:rsid w:val="008E380B"/>
    <w:rsid w:val="008E707C"/>
    <w:rsid w:val="008E7651"/>
    <w:rsid w:val="008F24AB"/>
    <w:rsid w:val="00900B08"/>
    <w:rsid w:val="00901E1C"/>
    <w:rsid w:val="00902155"/>
    <w:rsid w:val="00902BCF"/>
    <w:rsid w:val="00902FA3"/>
    <w:rsid w:val="009109D0"/>
    <w:rsid w:val="00910FAA"/>
    <w:rsid w:val="00912DEB"/>
    <w:rsid w:val="00913706"/>
    <w:rsid w:val="00913A29"/>
    <w:rsid w:val="00915BE4"/>
    <w:rsid w:val="009205F5"/>
    <w:rsid w:val="009215C3"/>
    <w:rsid w:val="00923564"/>
    <w:rsid w:val="0092392E"/>
    <w:rsid w:val="00923F58"/>
    <w:rsid w:val="00924FB0"/>
    <w:rsid w:val="00930109"/>
    <w:rsid w:val="00930E8F"/>
    <w:rsid w:val="009315F9"/>
    <w:rsid w:val="009337F3"/>
    <w:rsid w:val="009339C3"/>
    <w:rsid w:val="00934AB8"/>
    <w:rsid w:val="00935D57"/>
    <w:rsid w:val="00936283"/>
    <w:rsid w:val="00940B88"/>
    <w:rsid w:val="00940F73"/>
    <w:rsid w:val="0094526A"/>
    <w:rsid w:val="00945399"/>
    <w:rsid w:val="00945492"/>
    <w:rsid w:val="00945EEC"/>
    <w:rsid w:val="009461EE"/>
    <w:rsid w:val="00946945"/>
    <w:rsid w:val="00947929"/>
    <w:rsid w:val="00947BF1"/>
    <w:rsid w:val="009500E2"/>
    <w:rsid w:val="00951248"/>
    <w:rsid w:val="0095152F"/>
    <w:rsid w:val="009534A8"/>
    <w:rsid w:val="009540C0"/>
    <w:rsid w:val="00954C49"/>
    <w:rsid w:val="00955EAD"/>
    <w:rsid w:val="0095708C"/>
    <w:rsid w:val="00957098"/>
    <w:rsid w:val="00960F20"/>
    <w:rsid w:val="009620B2"/>
    <w:rsid w:val="00962131"/>
    <w:rsid w:val="00962556"/>
    <w:rsid w:val="00964305"/>
    <w:rsid w:val="0096477D"/>
    <w:rsid w:val="00964EBA"/>
    <w:rsid w:val="0097099F"/>
    <w:rsid w:val="009710DA"/>
    <w:rsid w:val="00971997"/>
    <w:rsid w:val="00971FFC"/>
    <w:rsid w:val="00972A49"/>
    <w:rsid w:val="00973726"/>
    <w:rsid w:val="00974188"/>
    <w:rsid w:val="0098033F"/>
    <w:rsid w:val="00985645"/>
    <w:rsid w:val="0098595E"/>
    <w:rsid w:val="00985C49"/>
    <w:rsid w:val="0098660A"/>
    <w:rsid w:val="009869AA"/>
    <w:rsid w:val="009931C3"/>
    <w:rsid w:val="00995CE3"/>
    <w:rsid w:val="009B2C43"/>
    <w:rsid w:val="009B4EAE"/>
    <w:rsid w:val="009B6C92"/>
    <w:rsid w:val="009B7573"/>
    <w:rsid w:val="009C0EF0"/>
    <w:rsid w:val="009C1B2D"/>
    <w:rsid w:val="009C22F4"/>
    <w:rsid w:val="009C2AE3"/>
    <w:rsid w:val="009C2E98"/>
    <w:rsid w:val="009C5896"/>
    <w:rsid w:val="009C6399"/>
    <w:rsid w:val="009D3447"/>
    <w:rsid w:val="009D3AA6"/>
    <w:rsid w:val="009D4711"/>
    <w:rsid w:val="009D5EF4"/>
    <w:rsid w:val="009E0018"/>
    <w:rsid w:val="009E2320"/>
    <w:rsid w:val="009E2C7B"/>
    <w:rsid w:val="009E576A"/>
    <w:rsid w:val="009E7FBF"/>
    <w:rsid w:val="009F1185"/>
    <w:rsid w:val="009F178D"/>
    <w:rsid w:val="009F18CD"/>
    <w:rsid w:val="009F2021"/>
    <w:rsid w:val="009F2A13"/>
    <w:rsid w:val="009F4A42"/>
    <w:rsid w:val="009F4D78"/>
    <w:rsid w:val="009F6A87"/>
    <w:rsid w:val="009F6B63"/>
    <w:rsid w:val="009F6F4A"/>
    <w:rsid w:val="00A02DD4"/>
    <w:rsid w:val="00A04EB0"/>
    <w:rsid w:val="00A05E7E"/>
    <w:rsid w:val="00A06741"/>
    <w:rsid w:val="00A06EF8"/>
    <w:rsid w:val="00A07DE7"/>
    <w:rsid w:val="00A07E24"/>
    <w:rsid w:val="00A1247B"/>
    <w:rsid w:val="00A13443"/>
    <w:rsid w:val="00A13CC1"/>
    <w:rsid w:val="00A15286"/>
    <w:rsid w:val="00A1571F"/>
    <w:rsid w:val="00A1637E"/>
    <w:rsid w:val="00A16684"/>
    <w:rsid w:val="00A16847"/>
    <w:rsid w:val="00A1745F"/>
    <w:rsid w:val="00A2301F"/>
    <w:rsid w:val="00A237D8"/>
    <w:rsid w:val="00A25634"/>
    <w:rsid w:val="00A268C4"/>
    <w:rsid w:val="00A27771"/>
    <w:rsid w:val="00A300FE"/>
    <w:rsid w:val="00A307CD"/>
    <w:rsid w:val="00A3233A"/>
    <w:rsid w:val="00A35068"/>
    <w:rsid w:val="00A3556D"/>
    <w:rsid w:val="00A35870"/>
    <w:rsid w:val="00A35FE0"/>
    <w:rsid w:val="00A40A00"/>
    <w:rsid w:val="00A4142F"/>
    <w:rsid w:val="00A41D4A"/>
    <w:rsid w:val="00A43522"/>
    <w:rsid w:val="00A4622C"/>
    <w:rsid w:val="00A462AA"/>
    <w:rsid w:val="00A46A63"/>
    <w:rsid w:val="00A47A0F"/>
    <w:rsid w:val="00A50F96"/>
    <w:rsid w:val="00A514F8"/>
    <w:rsid w:val="00A52260"/>
    <w:rsid w:val="00A53D20"/>
    <w:rsid w:val="00A54687"/>
    <w:rsid w:val="00A54CE0"/>
    <w:rsid w:val="00A55073"/>
    <w:rsid w:val="00A55447"/>
    <w:rsid w:val="00A55ED8"/>
    <w:rsid w:val="00A56DF2"/>
    <w:rsid w:val="00A56E1B"/>
    <w:rsid w:val="00A57F63"/>
    <w:rsid w:val="00A61738"/>
    <w:rsid w:val="00A62ECF"/>
    <w:rsid w:val="00A63814"/>
    <w:rsid w:val="00A64138"/>
    <w:rsid w:val="00A64421"/>
    <w:rsid w:val="00A659FC"/>
    <w:rsid w:val="00A65DE6"/>
    <w:rsid w:val="00A67AB5"/>
    <w:rsid w:val="00A70317"/>
    <w:rsid w:val="00A72FA8"/>
    <w:rsid w:val="00A76B3A"/>
    <w:rsid w:val="00A77CB7"/>
    <w:rsid w:val="00A804D8"/>
    <w:rsid w:val="00A85003"/>
    <w:rsid w:val="00A85A0C"/>
    <w:rsid w:val="00A91460"/>
    <w:rsid w:val="00A91760"/>
    <w:rsid w:val="00A93902"/>
    <w:rsid w:val="00A93B00"/>
    <w:rsid w:val="00A93C21"/>
    <w:rsid w:val="00A94004"/>
    <w:rsid w:val="00A95D33"/>
    <w:rsid w:val="00A96D42"/>
    <w:rsid w:val="00AA1212"/>
    <w:rsid w:val="00AA14EC"/>
    <w:rsid w:val="00AA2E83"/>
    <w:rsid w:val="00AA6693"/>
    <w:rsid w:val="00AA6D23"/>
    <w:rsid w:val="00AA7B07"/>
    <w:rsid w:val="00AB1A65"/>
    <w:rsid w:val="00AB26EC"/>
    <w:rsid w:val="00AB2A36"/>
    <w:rsid w:val="00AB5E60"/>
    <w:rsid w:val="00AB5E86"/>
    <w:rsid w:val="00AB6DD7"/>
    <w:rsid w:val="00AC20D9"/>
    <w:rsid w:val="00AC3237"/>
    <w:rsid w:val="00AC3A9E"/>
    <w:rsid w:val="00AC3C6A"/>
    <w:rsid w:val="00AC40DA"/>
    <w:rsid w:val="00AC6A20"/>
    <w:rsid w:val="00AD013F"/>
    <w:rsid w:val="00AD1561"/>
    <w:rsid w:val="00AD1E04"/>
    <w:rsid w:val="00AD4E89"/>
    <w:rsid w:val="00AD5090"/>
    <w:rsid w:val="00AD55F4"/>
    <w:rsid w:val="00AD5620"/>
    <w:rsid w:val="00AD654C"/>
    <w:rsid w:val="00AD712A"/>
    <w:rsid w:val="00AD7C1B"/>
    <w:rsid w:val="00AE16BA"/>
    <w:rsid w:val="00AE1B18"/>
    <w:rsid w:val="00AE1EBE"/>
    <w:rsid w:val="00AE3F47"/>
    <w:rsid w:val="00AE5217"/>
    <w:rsid w:val="00AE57E5"/>
    <w:rsid w:val="00AE5ACD"/>
    <w:rsid w:val="00AE7003"/>
    <w:rsid w:val="00AE78D4"/>
    <w:rsid w:val="00AF334F"/>
    <w:rsid w:val="00AF567D"/>
    <w:rsid w:val="00B03C9D"/>
    <w:rsid w:val="00B03D45"/>
    <w:rsid w:val="00B03DEF"/>
    <w:rsid w:val="00B04041"/>
    <w:rsid w:val="00B046DB"/>
    <w:rsid w:val="00B059FA"/>
    <w:rsid w:val="00B060AE"/>
    <w:rsid w:val="00B06286"/>
    <w:rsid w:val="00B06EEB"/>
    <w:rsid w:val="00B07376"/>
    <w:rsid w:val="00B10406"/>
    <w:rsid w:val="00B10517"/>
    <w:rsid w:val="00B1323D"/>
    <w:rsid w:val="00B1364D"/>
    <w:rsid w:val="00B13D51"/>
    <w:rsid w:val="00B13F34"/>
    <w:rsid w:val="00B14E76"/>
    <w:rsid w:val="00B15718"/>
    <w:rsid w:val="00B15757"/>
    <w:rsid w:val="00B161B8"/>
    <w:rsid w:val="00B2048C"/>
    <w:rsid w:val="00B22224"/>
    <w:rsid w:val="00B22E19"/>
    <w:rsid w:val="00B268D9"/>
    <w:rsid w:val="00B30B06"/>
    <w:rsid w:val="00B310B9"/>
    <w:rsid w:val="00B3183E"/>
    <w:rsid w:val="00B330FA"/>
    <w:rsid w:val="00B35211"/>
    <w:rsid w:val="00B35F3F"/>
    <w:rsid w:val="00B3648A"/>
    <w:rsid w:val="00B36CBB"/>
    <w:rsid w:val="00B370EB"/>
    <w:rsid w:val="00B40532"/>
    <w:rsid w:val="00B425E0"/>
    <w:rsid w:val="00B440AA"/>
    <w:rsid w:val="00B44B70"/>
    <w:rsid w:val="00B47B8F"/>
    <w:rsid w:val="00B50563"/>
    <w:rsid w:val="00B507B7"/>
    <w:rsid w:val="00B51BBE"/>
    <w:rsid w:val="00B53703"/>
    <w:rsid w:val="00B53C56"/>
    <w:rsid w:val="00B53E4F"/>
    <w:rsid w:val="00B54341"/>
    <w:rsid w:val="00B545A6"/>
    <w:rsid w:val="00B5556B"/>
    <w:rsid w:val="00B60A7E"/>
    <w:rsid w:val="00B6427E"/>
    <w:rsid w:val="00B67CE3"/>
    <w:rsid w:val="00B706F1"/>
    <w:rsid w:val="00B725E6"/>
    <w:rsid w:val="00B736DE"/>
    <w:rsid w:val="00B74FE7"/>
    <w:rsid w:val="00B753E0"/>
    <w:rsid w:val="00B7569F"/>
    <w:rsid w:val="00B75C09"/>
    <w:rsid w:val="00B76674"/>
    <w:rsid w:val="00B77EA6"/>
    <w:rsid w:val="00B80439"/>
    <w:rsid w:val="00B80BAB"/>
    <w:rsid w:val="00B81598"/>
    <w:rsid w:val="00B82F7D"/>
    <w:rsid w:val="00B839DA"/>
    <w:rsid w:val="00B83EE2"/>
    <w:rsid w:val="00B841F1"/>
    <w:rsid w:val="00B8480B"/>
    <w:rsid w:val="00B91D3E"/>
    <w:rsid w:val="00B92400"/>
    <w:rsid w:val="00B93AA8"/>
    <w:rsid w:val="00B944D6"/>
    <w:rsid w:val="00B96CD2"/>
    <w:rsid w:val="00BA054C"/>
    <w:rsid w:val="00BA0777"/>
    <w:rsid w:val="00BA0AED"/>
    <w:rsid w:val="00BA22CD"/>
    <w:rsid w:val="00BA3028"/>
    <w:rsid w:val="00BA3356"/>
    <w:rsid w:val="00BA49E7"/>
    <w:rsid w:val="00BA5298"/>
    <w:rsid w:val="00BB1990"/>
    <w:rsid w:val="00BB2D7E"/>
    <w:rsid w:val="00BB4C52"/>
    <w:rsid w:val="00BB4DF0"/>
    <w:rsid w:val="00BC0AE4"/>
    <w:rsid w:val="00BC1202"/>
    <w:rsid w:val="00BC1A97"/>
    <w:rsid w:val="00BC2731"/>
    <w:rsid w:val="00BC289F"/>
    <w:rsid w:val="00BC5361"/>
    <w:rsid w:val="00BC5460"/>
    <w:rsid w:val="00BC6B50"/>
    <w:rsid w:val="00BD0E25"/>
    <w:rsid w:val="00BD2458"/>
    <w:rsid w:val="00BD5121"/>
    <w:rsid w:val="00BD6D67"/>
    <w:rsid w:val="00BD6E57"/>
    <w:rsid w:val="00BE01DE"/>
    <w:rsid w:val="00BE218A"/>
    <w:rsid w:val="00BE39F0"/>
    <w:rsid w:val="00BE5FB5"/>
    <w:rsid w:val="00BE7259"/>
    <w:rsid w:val="00BF060C"/>
    <w:rsid w:val="00BF2962"/>
    <w:rsid w:val="00BF2E85"/>
    <w:rsid w:val="00BF5BD6"/>
    <w:rsid w:val="00BF6316"/>
    <w:rsid w:val="00BF718F"/>
    <w:rsid w:val="00C01DBE"/>
    <w:rsid w:val="00C03E31"/>
    <w:rsid w:val="00C05BAF"/>
    <w:rsid w:val="00C05CAD"/>
    <w:rsid w:val="00C05F29"/>
    <w:rsid w:val="00C06A2B"/>
    <w:rsid w:val="00C11626"/>
    <w:rsid w:val="00C137AD"/>
    <w:rsid w:val="00C13B26"/>
    <w:rsid w:val="00C1480D"/>
    <w:rsid w:val="00C1658B"/>
    <w:rsid w:val="00C23BFD"/>
    <w:rsid w:val="00C24603"/>
    <w:rsid w:val="00C259D0"/>
    <w:rsid w:val="00C30983"/>
    <w:rsid w:val="00C30D73"/>
    <w:rsid w:val="00C313B9"/>
    <w:rsid w:val="00C31B41"/>
    <w:rsid w:val="00C33276"/>
    <w:rsid w:val="00C33E72"/>
    <w:rsid w:val="00C3423D"/>
    <w:rsid w:val="00C342CE"/>
    <w:rsid w:val="00C34C84"/>
    <w:rsid w:val="00C34EED"/>
    <w:rsid w:val="00C354B2"/>
    <w:rsid w:val="00C35554"/>
    <w:rsid w:val="00C36831"/>
    <w:rsid w:val="00C4133E"/>
    <w:rsid w:val="00C41611"/>
    <w:rsid w:val="00C41EB1"/>
    <w:rsid w:val="00C426CE"/>
    <w:rsid w:val="00C42709"/>
    <w:rsid w:val="00C516E5"/>
    <w:rsid w:val="00C5216D"/>
    <w:rsid w:val="00C533CC"/>
    <w:rsid w:val="00C54531"/>
    <w:rsid w:val="00C5751C"/>
    <w:rsid w:val="00C61BFC"/>
    <w:rsid w:val="00C62B85"/>
    <w:rsid w:val="00C634C6"/>
    <w:rsid w:val="00C63DE6"/>
    <w:rsid w:val="00C65438"/>
    <w:rsid w:val="00C65FA1"/>
    <w:rsid w:val="00C663B4"/>
    <w:rsid w:val="00C66789"/>
    <w:rsid w:val="00C677E0"/>
    <w:rsid w:val="00C71C3C"/>
    <w:rsid w:val="00C73C9E"/>
    <w:rsid w:val="00C77033"/>
    <w:rsid w:val="00C77575"/>
    <w:rsid w:val="00C77955"/>
    <w:rsid w:val="00C77D11"/>
    <w:rsid w:val="00C80BE1"/>
    <w:rsid w:val="00C80E5E"/>
    <w:rsid w:val="00C87773"/>
    <w:rsid w:val="00C91BEF"/>
    <w:rsid w:val="00C91CBB"/>
    <w:rsid w:val="00C94460"/>
    <w:rsid w:val="00C94755"/>
    <w:rsid w:val="00C9494C"/>
    <w:rsid w:val="00C976D8"/>
    <w:rsid w:val="00C9779E"/>
    <w:rsid w:val="00CA1D7E"/>
    <w:rsid w:val="00CA4889"/>
    <w:rsid w:val="00CA6417"/>
    <w:rsid w:val="00CA7A47"/>
    <w:rsid w:val="00CA7CBE"/>
    <w:rsid w:val="00CB2258"/>
    <w:rsid w:val="00CB37D6"/>
    <w:rsid w:val="00CB5AA7"/>
    <w:rsid w:val="00CC09B6"/>
    <w:rsid w:val="00CC2ECC"/>
    <w:rsid w:val="00CC42AE"/>
    <w:rsid w:val="00CC5828"/>
    <w:rsid w:val="00CC666F"/>
    <w:rsid w:val="00CD0159"/>
    <w:rsid w:val="00CD1E3F"/>
    <w:rsid w:val="00CD2CD4"/>
    <w:rsid w:val="00CD2F8E"/>
    <w:rsid w:val="00CD33CA"/>
    <w:rsid w:val="00CD41F7"/>
    <w:rsid w:val="00CD7039"/>
    <w:rsid w:val="00CE07D1"/>
    <w:rsid w:val="00CE10F5"/>
    <w:rsid w:val="00CE245D"/>
    <w:rsid w:val="00CE298B"/>
    <w:rsid w:val="00CE41E9"/>
    <w:rsid w:val="00CE4476"/>
    <w:rsid w:val="00CE44F6"/>
    <w:rsid w:val="00CE49DA"/>
    <w:rsid w:val="00CE6166"/>
    <w:rsid w:val="00CE7B61"/>
    <w:rsid w:val="00CF0C95"/>
    <w:rsid w:val="00CF303D"/>
    <w:rsid w:val="00CF32A8"/>
    <w:rsid w:val="00CF47D0"/>
    <w:rsid w:val="00CF537A"/>
    <w:rsid w:val="00CF5A38"/>
    <w:rsid w:val="00D00095"/>
    <w:rsid w:val="00D007A3"/>
    <w:rsid w:val="00D00CD9"/>
    <w:rsid w:val="00D01872"/>
    <w:rsid w:val="00D01D1C"/>
    <w:rsid w:val="00D03F76"/>
    <w:rsid w:val="00D07457"/>
    <w:rsid w:val="00D120DF"/>
    <w:rsid w:val="00D12260"/>
    <w:rsid w:val="00D14981"/>
    <w:rsid w:val="00D17582"/>
    <w:rsid w:val="00D20620"/>
    <w:rsid w:val="00D21AB8"/>
    <w:rsid w:val="00D21B96"/>
    <w:rsid w:val="00D21FCA"/>
    <w:rsid w:val="00D23CC1"/>
    <w:rsid w:val="00D253CD"/>
    <w:rsid w:val="00D26091"/>
    <w:rsid w:val="00D26765"/>
    <w:rsid w:val="00D30031"/>
    <w:rsid w:val="00D34E7C"/>
    <w:rsid w:val="00D35489"/>
    <w:rsid w:val="00D41FB4"/>
    <w:rsid w:val="00D42D3C"/>
    <w:rsid w:val="00D43BB3"/>
    <w:rsid w:val="00D4531F"/>
    <w:rsid w:val="00D5056E"/>
    <w:rsid w:val="00D51276"/>
    <w:rsid w:val="00D577F9"/>
    <w:rsid w:val="00D6086D"/>
    <w:rsid w:val="00D60B63"/>
    <w:rsid w:val="00D6672E"/>
    <w:rsid w:val="00D66F3E"/>
    <w:rsid w:val="00D67949"/>
    <w:rsid w:val="00D70080"/>
    <w:rsid w:val="00D7035F"/>
    <w:rsid w:val="00D70D9E"/>
    <w:rsid w:val="00D7255A"/>
    <w:rsid w:val="00D729A5"/>
    <w:rsid w:val="00D7311E"/>
    <w:rsid w:val="00D74434"/>
    <w:rsid w:val="00D74948"/>
    <w:rsid w:val="00D75E52"/>
    <w:rsid w:val="00D769DB"/>
    <w:rsid w:val="00D8058B"/>
    <w:rsid w:val="00D811F1"/>
    <w:rsid w:val="00D81CF0"/>
    <w:rsid w:val="00D86259"/>
    <w:rsid w:val="00D87885"/>
    <w:rsid w:val="00D9128F"/>
    <w:rsid w:val="00D938FB"/>
    <w:rsid w:val="00D95A81"/>
    <w:rsid w:val="00DA2414"/>
    <w:rsid w:val="00DA2E7B"/>
    <w:rsid w:val="00DA376F"/>
    <w:rsid w:val="00DA4CF4"/>
    <w:rsid w:val="00DA517E"/>
    <w:rsid w:val="00DA64CE"/>
    <w:rsid w:val="00DA65AC"/>
    <w:rsid w:val="00DA73F4"/>
    <w:rsid w:val="00DB1913"/>
    <w:rsid w:val="00DB23A2"/>
    <w:rsid w:val="00DB31AE"/>
    <w:rsid w:val="00DB469B"/>
    <w:rsid w:val="00DB6217"/>
    <w:rsid w:val="00DB6D81"/>
    <w:rsid w:val="00DB7682"/>
    <w:rsid w:val="00DB774B"/>
    <w:rsid w:val="00DB7B27"/>
    <w:rsid w:val="00DB7ED3"/>
    <w:rsid w:val="00DC1D19"/>
    <w:rsid w:val="00DC29F0"/>
    <w:rsid w:val="00DC410D"/>
    <w:rsid w:val="00DC482F"/>
    <w:rsid w:val="00DC4E3B"/>
    <w:rsid w:val="00DC53AB"/>
    <w:rsid w:val="00DC68CA"/>
    <w:rsid w:val="00DC7CBA"/>
    <w:rsid w:val="00DD0F4D"/>
    <w:rsid w:val="00DD109B"/>
    <w:rsid w:val="00DD2D64"/>
    <w:rsid w:val="00DD73B7"/>
    <w:rsid w:val="00DE28E8"/>
    <w:rsid w:val="00DE57ED"/>
    <w:rsid w:val="00DE6D3D"/>
    <w:rsid w:val="00DF0369"/>
    <w:rsid w:val="00DF256A"/>
    <w:rsid w:val="00DF28BC"/>
    <w:rsid w:val="00DF2BBE"/>
    <w:rsid w:val="00DF34B9"/>
    <w:rsid w:val="00DF36DA"/>
    <w:rsid w:val="00DF4EE4"/>
    <w:rsid w:val="00DF69F2"/>
    <w:rsid w:val="00E00C0C"/>
    <w:rsid w:val="00E01053"/>
    <w:rsid w:val="00E032C4"/>
    <w:rsid w:val="00E03AB5"/>
    <w:rsid w:val="00E04FF6"/>
    <w:rsid w:val="00E07ACF"/>
    <w:rsid w:val="00E07C49"/>
    <w:rsid w:val="00E1142E"/>
    <w:rsid w:val="00E11EA9"/>
    <w:rsid w:val="00E13C23"/>
    <w:rsid w:val="00E17451"/>
    <w:rsid w:val="00E176E0"/>
    <w:rsid w:val="00E20F23"/>
    <w:rsid w:val="00E21189"/>
    <w:rsid w:val="00E22344"/>
    <w:rsid w:val="00E22D73"/>
    <w:rsid w:val="00E24A28"/>
    <w:rsid w:val="00E2598A"/>
    <w:rsid w:val="00E26D43"/>
    <w:rsid w:val="00E2719A"/>
    <w:rsid w:val="00E331A1"/>
    <w:rsid w:val="00E33202"/>
    <w:rsid w:val="00E336A9"/>
    <w:rsid w:val="00E339F9"/>
    <w:rsid w:val="00E34D61"/>
    <w:rsid w:val="00E352AD"/>
    <w:rsid w:val="00E35DF9"/>
    <w:rsid w:val="00E36162"/>
    <w:rsid w:val="00E4020E"/>
    <w:rsid w:val="00E41572"/>
    <w:rsid w:val="00E42E24"/>
    <w:rsid w:val="00E4326C"/>
    <w:rsid w:val="00E43716"/>
    <w:rsid w:val="00E43E83"/>
    <w:rsid w:val="00E4418C"/>
    <w:rsid w:val="00E442E7"/>
    <w:rsid w:val="00E47FEC"/>
    <w:rsid w:val="00E50624"/>
    <w:rsid w:val="00E50EC1"/>
    <w:rsid w:val="00E559C8"/>
    <w:rsid w:val="00E559F4"/>
    <w:rsid w:val="00E568DF"/>
    <w:rsid w:val="00E6091E"/>
    <w:rsid w:val="00E63E1C"/>
    <w:rsid w:val="00E64269"/>
    <w:rsid w:val="00E648BF"/>
    <w:rsid w:val="00E67B9B"/>
    <w:rsid w:val="00E70395"/>
    <w:rsid w:val="00E71182"/>
    <w:rsid w:val="00E7180C"/>
    <w:rsid w:val="00E71EE8"/>
    <w:rsid w:val="00E759C7"/>
    <w:rsid w:val="00E778AF"/>
    <w:rsid w:val="00E82267"/>
    <w:rsid w:val="00E82D19"/>
    <w:rsid w:val="00E8382C"/>
    <w:rsid w:val="00E84714"/>
    <w:rsid w:val="00E879E6"/>
    <w:rsid w:val="00E9375F"/>
    <w:rsid w:val="00E938AA"/>
    <w:rsid w:val="00E95984"/>
    <w:rsid w:val="00E96D03"/>
    <w:rsid w:val="00EA010F"/>
    <w:rsid w:val="00EA039B"/>
    <w:rsid w:val="00EA2455"/>
    <w:rsid w:val="00EA262D"/>
    <w:rsid w:val="00EA4AA3"/>
    <w:rsid w:val="00EA4BCA"/>
    <w:rsid w:val="00EA545A"/>
    <w:rsid w:val="00EA5E4F"/>
    <w:rsid w:val="00EB2461"/>
    <w:rsid w:val="00EC1C2C"/>
    <w:rsid w:val="00EC25B6"/>
    <w:rsid w:val="00EC38BD"/>
    <w:rsid w:val="00EC3F04"/>
    <w:rsid w:val="00ED1B63"/>
    <w:rsid w:val="00ED29E6"/>
    <w:rsid w:val="00ED29EA"/>
    <w:rsid w:val="00ED360C"/>
    <w:rsid w:val="00ED3C1F"/>
    <w:rsid w:val="00ED4085"/>
    <w:rsid w:val="00ED420E"/>
    <w:rsid w:val="00ED6AD8"/>
    <w:rsid w:val="00ED71DF"/>
    <w:rsid w:val="00EE0963"/>
    <w:rsid w:val="00EE1FC9"/>
    <w:rsid w:val="00EE24E3"/>
    <w:rsid w:val="00EE2F57"/>
    <w:rsid w:val="00EE6332"/>
    <w:rsid w:val="00EF132A"/>
    <w:rsid w:val="00EF4C34"/>
    <w:rsid w:val="00EF5291"/>
    <w:rsid w:val="00EF64E8"/>
    <w:rsid w:val="00EF659B"/>
    <w:rsid w:val="00EF77C6"/>
    <w:rsid w:val="00EF7BDE"/>
    <w:rsid w:val="00EF7CA7"/>
    <w:rsid w:val="00F022B4"/>
    <w:rsid w:val="00F0292C"/>
    <w:rsid w:val="00F05438"/>
    <w:rsid w:val="00F0746A"/>
    <w:rsid w:val="00F110A1"/>
    <w:rsid w:val="00F113D8"/>
    <w:rsid w:val="00F118C3"/>
    <w:rsid w:val="00F1361C"/>
    <w:rsid w:val="00F14902"/>
    <w:rsid w:val="00F160C7"/>
    <w:rsid w:val="00F16FDE"/>
    <w:rsid w:val="00F20320"/>
    <w:rsid w:val="00F20532"/>
    <w:rsid w:val="00F21001"/>
    <w:rsid w:val="00F228F9"/>
    <w:rsid w:val="00F248A8"/>
    <w:rsid w:val="00F24E3F"/>
    <w:rsid w:val="00F26D60"/>
    <w:rsid w:val="00F30138"/>
    <w:rsid w:val="00F301B6"/>
    <w:rsid w:val="00F31EA1"/>
    <w:rsid w:val="00F3294D"/>
    <w:rsid w:val="00F354A9"/>
    <w:rsid w:val="00F36D8F"/>
    <w:rsid w:val="00F3744E"/>
    <w:rsid w:val="00F40698"/>
    <w:rsid w:val="00F406E9"/>
    <w:rsid w:val="00F417B1"/>
    <w:rsid w:val="00F460AB"/>
    <w:rsid w:val="00F50AC5"/>
    <w:rsid w:val="00F53E68"/>
    <w:rsid w:val="00F5454E"/>
    <w:rsid w:val="00F559FA"/>
    <w:rsid w:val="00F57903"/>
    <w:rsid w:val="00F602DF"/>
    <w:rsid w:val="00F6390A"/>
    <w:rsid w:val="00F6529E"/>
    <w:rsid w:val="00F6641D"/>
    <w:rsid w:val="00F75CC0"/>
    <w:rsid w:val="00F75CCC"/>
    <w:rsid w:val="00F75F9D"/>
    <w:rsid w:val="00F81FD9"/>
    <w:rsid w:val="00F82490"/>
    <w:rsid w:val="00F8281D"/>
    <w:rsid w:val="00F835D4"/>
    <w:rsid w:val="00F841AA"/>
    <w:rsid w:val="00F845B5"/>
    <w:rsid w:val="00F86932"/>
    <w:rsid w:val="00F875DB"/>
    <w:rsid w:val="00F87E73"/>
    <w:rsid w:val="00F905A4"/>
    <w:rsid w:val="00F92C70"/>
    <w:rsid w:val="00F93633"/>
    <w:rsid w:val="00F93DF5"/>
    <w:rsid w:val="00FA0947"/>
    <w:rsid w:val="00FA23E8"/>
    <w:rsid w:val="00FA2F5B"/>
    <w:rsid w:val="00FA4421"/>
    <w:rsid w:val="00FA4B00"/>
    <w:rsid w:val="00FA525F"/>
    <w:rsid w:val="00FA77AD"/>
    <w:rsid w:val="00FB0BBA"/>
    <w:rsid w:val="00FB1FF4"/>
    <w:rsid w:val="00FB55E6"/>
    <w:rsid w:val="00FC124C"/>
    <w:rsid w:val="00FC1E02"/>
    <w:rsid w:val="00FC3048"/>
    <w:rsid w:val="00FC4660"/>
    <w:rsid w:val="00FC46BC"/>
    <w:rsid w:val="00FC7DEF"/>
    <w:rsid w:val="00FD020D"/>
    <w:rsid w:val="00FD3016"/>
    <w:rsid w:val="00FD3828"/>
    <w:rsid w:val="00FD3CC1"/>
    <w:rsid w:val="00FD5BFE"/>
    <w:rsid w:val="00FE17BC"/>
    <w:rsid w:val="00FE2AD1"/>
    <w:rsid w:val="00FE4DB0"/>
    <w:rsid w:val="00FE5493"/>
    <w:rsid w:val="00FE625C"/>
    <w:rsid w:val="00FF1E02"/>
    <w:rsid w:val="00FF30B4"/>
    <w:rsid w:val="00FF66E8"/>
    <w:rsid w:val="01CF32DE"/>
    <w:rsid w:val="01D74DB7"/>
    <w:rsid w:val="01D86637"/>
    <w:rsid w:val="01F04616"/>
    <w:rsid w:val="037A757D"/>
    <w:rsid w:val="03F359AA"/>
    <w:rsid w:val="045647CC"/>
    <w:rsid w:val="0463543B"/>
    <w:rsid w:val="048D6B52"/>
    <w:rsid w:val="04A56E6E"/>
    <w:rsid w:val="04D550AF"/>
    <w:rsid w:val="051A6F96"/>
    <w:rsid w:val="05C25E8C"/>
    <w:rsid w:val="06951176"/>
    <w:rsid w:val="07001BE1"/>
    <w:rsid w:val="07267DE7"/>
    <w:rsid w:val="073E1733"/>
    <w:rsid w:val="088F55D5"/>
    <w:rsid w:val="089C4B49"/>
    <w:rsid w:val="09081517"/>
    <w:rsid w:val="091B747D"/>
    <w:rsid w:val="09823BAD"/>
    <w:rsid w:val="09A572B6"/>
    <w:rsid w:val="0A19737C"/>
    <w:rsid w:val="0B7218AA"/>
    <w:rsid w:val="0B99373B"/>
    <w:rsid w:val="0BA37CB5"/>
    <w:rsid w:val="0D0429D6"/>
    <w:rsid w:val="0D093B48"/>
    <w:rsid w:val="0D322E51"/>
    <w:rsid w:val="0D6C338E"/>
    <w:rsid w:val="0DB37F58"/>
    <w:rsid w:val="0E6D2010"/>
    <w:rsid w:val="0F5E6610"/>
    <w:rsid w:val="0FB52B86"/>
    <w:rsid w:val="0FDB629D"/>
    <w:rsid w:val="10C055FF"/>
    <w:rsid w:val="11761AF6"/>
    <w:rsid w:val="11851C0B"/>
    <w:rsid w:val="11D56DF6"/>
    <w:rsid w:val="11ED6591"/>
    <w:rsid w:val="13367661"/>
    <w:rsid w:val="14D728AA"/>
    <w:rsid w:val="15F1786F"/>
    <w:rsid w:val="16157184"/>
    <w:rsid w:val="16BB723D"/>
    <w:rsid w:val="17283764"/>
    <w:rsid w:val="17BC7656"/>
    <w:rsid w:val="17EA348C"/>
    <w:rsid w:val="1840212F"/>
    <w:rsid w:val="184656CF"/>
    <w:rsid w:val="193C261A"/>
    <w:rsid w:val="19943114"/>
    <w:rsid w:val="19DE22C0"/>
    <w:rsid w:val="1AB026BC"/>
    <w:rsid w:val="1ABB32B6"/>
    <w:rsid w:val="1BF70747"/>
    <w:rsid w:val="1C06153F"/>
    <w:rsid w:val="1C986C96"/>
    <w:rsid w:val="1D7371C3"/>
    <w:rsid w:val="1DDC2BB3"/>
    <w:rsid w:val="1E34479D"/>
    <w:rsid w:val="1EF81F78"/>
    <w:rsid w:val="1F620905"/>
    <w:rsid w:val="201A6AB0"/>
    <w:rsid w:val="203B66A0"/>
    <w:rsid w:val="211A679A"/>
    <w:rsid w:val="22857975"/>
    <w:rsid w:val="23902475"/>
    <w:rsid w:val="23FA0B3C"/>
    <w:rsid w:val="240371BF"/>
    <w:rsid w:val="2435534E"/>
    <w:rsid w:val="24534F10"/>
    <w:rsid w:val="24DF6C66"/>
    <w:rsid w:val="253D03DB"/>
    <w:rsid w:val="253F66D1"/>
    <w:rsid w:val="25A20B86"/>
    <w:rsid w:val="25B1070F"/>
    <w:rsid w:val="25DD571A"/>
    <w:rsid w:val="265C1D1F"/>
    <w:rsid w:val="26BB36DB"/>
    <w:rsid w:val="271C5A93"/>
    <w:rsid w:val="276F1834"/>
    <w:rsid w:val="27B459F9"/>
    <w:rsid w:val="27C51E91"/>
    <w:rsid w:val="28513369"/>
    <w:rsid w:val="28BF6D42"/>
    <w:rsid w:val="28C822A0"/>
    <w:rsid w:val="29FD04D3"/>
    <w:rsid w:val="2C1E1BB4"/>
    <w:rsid w:val="2CAE1BBE"/>
    <w:rsid w:val="2CCF04B2"/>
    <w:rsid w:val="2DF079DB"/>
    <w:rsid w:val="2E4C04E0"/>
    <w:rsid w:val="2F803D16"/>
    <w:rsid w:val="30BC6FA0"/>
    <w:rsid w:val="30CB71E3"/>
    <w:rsid w:val="30E36C85"/>
    <w:rsid w:val="31810DA9"/>
    <w:rsid w:val="31903F88"/>
    <w:rsid w:val="319F7F4E"/>
    <w:rsid w:val="32004B5E"/>
    <w:rsid w:val="323A1C2F"/>
    <w:rsid w:val="329448A6"/>
    <w:rsid w:val="32F45598"/>
    <w:rsid w:val="33204932"/>
    <w:rsid w:val="33447C07"/>
    <w:rsid w:val="35244754"/>
    <w:rsid w:val="364D41F6"/>
    <w:rsid w:val="36FD0156"/>
    <w:rsid w:val="38207F4E"/>
    <w:rsid w:val="38F8371D"/>
    <w:rsid w:val="39226F5F"/>
    <w:rsid w:val="39902098"/>
    <w:rsid w:val="3A3A0F35"/>
    <w:rsid w:val="3A4E1148"/>
    <w:rsid w:val="3AF15A98"/>
    <w:rsid w:val="3C8D2F9D"/>
    <w:rsid w:val="3CE0510E"/>
    <w:rsid w:val="3D0E3B71"/>
    <w:rsid w:val="3D1927CA"/>
    <w:rsid w:val="3D1E4B3E"/>
    <w:rsid w:val="3D8344ED"/>
    <w:rsid w:val="3D8D6CE2"/>
    <w:rsid w:val="3E03620E"/>
    <w:rsid w:val="3E343C22"/>
    <w:rsid w:val="3F512FA9"/>
    <w:rsid w:val="3FAC4683"/>
    <w:rsid w:val="3FEA5DFB"/>
    <w:rsid w:val="401C35B7"/>
    <w:rsid w:val="4119235A"/>
    <w:rsid w:val="41677310"/>
    <w:rsid w:val="422C2C46"/>
    <w:rsid w:val="4251506E"/>
    <w:rsid w:val="42B75819"/>
    <w:rsid w:val="43684120"/>
    <w:rsid w:val="444F07DA"/>
    <w:rsid w:val="44601E28"/>
    <w:rsid w:val="465F3E3E"/>
    <w:rsid w:val="475E72DC"/>
    <w:rsid w:val="47F514AF"/>
    <w:rsid w:val="4839282C"/>
    <w:rsid w:val="48FD75BD"/>
    <w:rsid w:val="4A745623"/>
    <w:rsid w:val="4B187071"/>
    <w:rsid w:val="4C7555EC"/>
    <w:rsid w:val="4D135D42"/>
    <w:rsid w:val="4D846266"/>
    <w:rsid w:val="4D8D78A2"/>
    <w:rsid w:val="4DF123A8"/>
    <w:rsid w:val="4E832A53"/>
    <w:rsid w:val="4EBC1A30"/>
    <w:rsid w:val="4F6F7A34"/>
    <w:rsid w:val="4FBC392B"/>
    <w:rsid w:val="4FD74194"/>
    <w:rsid w:val="4FDA49F5"/>
    <w:rsid w:val="50AE413E"/>
    <w:rsid w:val="51E1640E"/>
    <w:rsid w:val="51EE42CA"/>
    <w:rsid w:val="52302EF2"/>
    <w:rsid w:val="52ED6284"/>
    <w:rsid w:val="5322283B"/>
    <w:rsid w:val="532B0C13"/>
    <w:rsid w:val="53BA6F17"/>
    <w:rsid w:val="53BE2B80"/>
    <w:rsid w:val="541505F1"/>
    <w:rsid w:val="54992FD0"/>
    <w:rsid w:val="55872E29"/>
    <w:rsid w:val="56D0674C"/>
    <w:rsid w:val="57D23F06"/>
    <w:rsid w:val="58BA52C3"/>
    <w:rsid w:val="58BC5D23"/>
    <w:rsid w:val="59E11CD3"/>
    <w:rsid w:val="5A857BDE"/>
    <w:rsid w:val="5B2A4567"/>
    <w:rsid w:val="5BE202EA"/>
    <w:rsid w:val="5BFE5E0F"/>
    <w:rsid w:val="5CFA7F1D"/>
    <w:rsid w:val="5E2506F8"/>
    <w:rsid w:val="5E5E7F75"/>
    <w:rsid w:val="5EA316D6"/>
    <w:rsid w:val="5ECE1AC8"/>
    <w:rsid w:val="5F3A07D2"/>
    <w:rsid w:val="5F593A88"/>
    <w:rsid w:val="5FF901AE"/>
    <w:rsid w:val="60651EAC"/>
    <w:rsid w:val="607C4DAE"/>
    <w:rsid w:val="60BB3927"/>
    <w:rsid w:val="62A42EE2"/>
    <w:rsid w:val="62F14F12"/>
    <w:rsid w:val="630D013F"/>
    <w:rsid w:val="63347FC4"/>
    <w:rsid w:val="63604CB9"/>
    <w:rsid w:val="64A36D0B"/>
    <w:rsid w:val="64C656C1"/>
    <w:rsid w:val="64F77166"/>
    <w:rsid w:val="657F4183"/>
    <w:rsid w:val="658466A7"/>
    <w:rsid w:val="6596487B"/>
    <w:rsid w:val="65DF63C9"/>
    <w:rsid w:val="662A7F2C"/>
    <w:rsid w:val="66D65FFA"/>
    <w:rsid w:val="67EB36EB"/>
    <w:rsid w:val="68DA2DB6"/>
    <w:rsid w:val="69725134"/>
    <w:rsid w:val="6B4666B6"/>
    <w:rsid w:val="6CC85DA9"/>
    <w:rsid w:val="6D2A5F93"/>
    <w:rsid w:val="6D8F2D6B"/>
    <w:rsid w:val="6DB91990"/>
    <w:rsid w:val="6DC31436"/>
    <w:rsid w:val="6E6F4E2B"/>
    <w:rsid w:val="6ECB49CF"/>
    <w:rsid w:val="6ECB5A2B"/>
    <w:rsid w:val="6F806E0F"/>
    <w:rsid w:val="70202A42"/>
    <w:rsid w:val="70ED3F4C"/>
    <w:rsid w:val="71770A1B"/>
    <w:rsid w:val="72227D09"/>
    <w:rsid w:val="72E476B5"/>
    <w:rsid w:val="72F22338"/>
    <w:rsid w:val="73BE3A62"/>
    <w:rsid w:val="746C7E4B"/>
    <w:rsid w:val="750E6C6B"/>
    <w:rsid w:val="755E374E"/>
    <w:rsid w:val="75B310E7"/>
    <w:rsid w:val="75B318F4"/>
    <w:rsid w:val="76377F56"/>
    <w:rsid w:val="764B35A7"/>
    <w:rsid w:val="769E6A57"/>
    <w:rsid w:val="77B238DE"/>
    <w:rsid w:val="78A4106B"/>
    <w:rsid w:val="79975481"/>
    <w:rsid w:val="79F60BE5"/>
    <w:rsid w:val="7A0762BD"/>
    <w:rsid w:val="7A1B4027"/>
    <w:rsid w:val="7A965738"/>
    <w:rsid w:val="7ABC1C9C"/>
    <w:rsid w:val="7B022DCE"/>
    <w:rsid w:val="7B272834"/>
    <w:rsid w:val="7B8F71DF"/>
    <w:rsid w:val="7C1568F9"/>
    <w:rsid w:val="7CB2612E"/>
    <w:rsid w:val="7CC25607"/>
    <w:rsid w:val="7DE859ED"/>
    <w:rsid w:val="7E4C610E"/>
    <w:rsid w:val="7F09108F"/>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qFormat="1" w:unhideWhenUsed="0" w:uiPriority="0" w:semiHidden="0"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nhideWhenUsed="0" w:uiPriority="0" w:semiHidden="0"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qFormat="1" w:uiPriority="99" w:name="Salutation"/>
    <w:lsdException w:qFormat="1"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Calibri" w:hAnsi="Calibri" w:eastAsia="宋体" w:cs="Arial Unicode MS"/>
      <w:kern w:val="2"/>
      <w:sz w:val="21"/>
      <w:szCs w:val="24"/>
      <w:lang w:val="en-US" w:eastAsia="zh-CN" w:bidi="bo-CN"/>
    </w:rPr>
  </w:style>
  <w:style w:type="paragraph" w:styleId="2">
    <w:name w:val="heading 1"/>
    <w:basedOn w:val="1"/>
    <w:next w:val="1"/>
    <w:link w:val="43"/>
    <w:autoRedefine/>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39"/>
    <w:autoRedefine/>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44"/>
    <w:autoRedefine/>
    <w:unhideWhenUsed/>
    <w:qFormat/>
    <w:uiPriority w:val="9"/>
    <w:pPr>
      <w:keepNext/>
      <w:keepLines/>
      <w:spacing w:before="260" w:after="260" w:line="416" w:lineRule="auto"/>
      <w:outlineLvl w:val="2"/>
    </w:pPr>
    <w:rPr>
      <w:b/>
      <w:bCs/>
      <w:sz w:val="32"/>
      <w:szCs w:val="32"/>
    </w:rPr>
  </w:style>
  <w:style w:type="character" w:default="1" w:styleId="23">
    <w:name w:val="Default Paragraph Font"/>
    <w:autoRedefine/>
    <w:semiHidden/>
    <w:unhideWhenUsed/>
    <w:qFormat/>
    <w:uiPriority w:val="1"/>
  </w:style>
  <w:style w:type="table" w:default="1" w:styleId="22">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unhideWhenUsed/>
    <w:qFormat/>
    <w:uiPriority w:val="99"/>
    <w:pPr>
      <w:ind w:firstLine="680"/>
    </w:pPr>
  </w:style>
  <w:style w:type="paragraph" w:styleId="6">
    <w:name w:val="annotation text"/>
    <w:basedOn w:val="1"/>
    <w:link w:val="46"/>
    <w:autoRedefine/>
    <w:semiHidden/>
    <w:unhideWhenUsed/>
    <w:qFormat/>
    <w:uiPriority w:val="99"/>
    <w:pPr>
      <w:jc w:val="left"/>
    </w:pPr>
  </w:style>
  <w:style w:type="paragraph" w:styleId="7">
    <w:name w:val="index 6"/>
    <w:basedOn w:val="1"/>
    <w:next w:val="1"/>
    <w:qFormat/>
    <w:uiPriority w:val="0"/>
    <w:pPr>
      <w:ind w:left="2100"/>
    </w:pPr>
  </w:style>
  <w:style w:type="paragraph" w:styleId="8">
    <w:name w:val="Salutation"/>
    <w:basedOn w:val="1"/>
    <w:next w:val="1"/>
    <w:autoRedefine/>
    <w:semiHidden/>
    <w:unhideWhenUsed/>
    <w:qFormat/>
    <w:uiPriority w:val="99"/>
  </w:style>
  <w:style w:type="paragraph" w:styleId="9">
    <w:name w:val="Body Text"/>
    <w:basedOn w:val="1"/>
    <w:next w:val="1"/>
    <w:link w:val="45"/>
    <w:autoRedefine/>
    <w:qFormat/>
    <w:uiPriority w:val="0"/>
  </w:style>
  <w:style w:type="paragraph" w:styleId="10">
    <w:name w:val="Body Text Indent"/>
    <w:basedOn w:val="1"/>
    <w:next w:val="11"/>
    <w:autoRedefine/>
    <w:qFormat/>
    <w:uiPriority w:val="0"/>
    <w:pPr>
      <w:tabs>
        <w:tab w:val="left" w:pos="960"/>
      </w:tabs>
      <w:spacing w:line="540" w:lineRule="exact"/>
      <w:ind w:firstLine="5440" w:firstLineChars="1700"/>
    </w:pPr>
    <w:rPr>
      <w:sz w:val="32"/>
      <w:szCs w:val="32"/>
    </w:rPr>
  </w:style>
  <w:style w:type="paragraph" w:styleId="11">
    <w:name w:val="Normal (Web)"/>
    <w:basedOn w:val="1"/>
    <w:next w:val="7"/>
    <w:autoRedefine/>
    <w:qFormat/>
    <w:uiPriority w:val="0"/>
    <w:pPr>
      <w:spacing w:before="100" w:beforeAutospacing="1" w:after="100" w:afterAutospacing="1"/>
      <w:ind w:left="0" w:right="0"/>
      <w:jc w:val="left"/>
    </w:pPr>
    <w:rPr>
      <w:kern w:val="0"/>
      <w:sz w:val="24"/>
      <w:lang w:val="en-US" w:eastAsia="zh-CN" w:bidi="ar"/>
    </w:rPr>
  </w:style>
  <w:style w:type="paragraph" w:styleId="12">
    <w:name w:val="toc 3"/>
    <w:basedOn w:val="1"/>
    <w:next w:val="1"/>
    <w:autoRedefine/>
    <w:unhideWhenUsed/>
    <w:qFormat/>
    <w:uiPriority w:val="39"/>
    <w:pPr>
      <w:tabs>
        <w:tab w:val="right" w:leader="dot" w:pos="8296"/>
      </w:tabs>
      <w:ind w:left="840" w:leftChars="400"/>
    </w:pPr>
  </w:style>
  <w:style w:type="paragraph" w:styleId="13">
    <w:name w:val="Date"/>
    <w:basedOn w:val="1"/>
    <w:next w:val="1"/>
    <w:autoRedefine/>
    <w:semiHidden/>
    <w:unhideWhenUsed/>
    <w:qFormat/>
    <w:uiPriority w:val="99"/>
    <w:pPr>
      <w:ind w:left="100" w:leftChars="2500"/>
    </w:pPr>
  </w:style>
  <w:style w:type="paragraph" w:styleId="14">
    <w:name w:val="Balloon Text"/>
    <w:basedOn w:val="1"/>
    <w:link w:val="41"/>
    <w:autoRedefine/>
    <w:semiHidden/>
    <w:unhideWhenUsed/>
    <w:qFormat/>
    <w:uiPriority w:val="99"/>
    <w:rPr>
      <w:sz w:val="18"/>
      <w:szCs w:val="18"/>
    </w:rPr>
  </w:style>
  <w:style w:type="paragraph" w:styleId="15">
    <w:name w:val="footer"/>
    <w:basedOn w:val="1"/>
    <w:link w:val="34"/>
    <w:autoRedefine/>
    <w:unhideWhenUsed/>
    <w:qFormat/>
    <w:uiPriority w:val="99"/>
    <w:pPr>
      <w:tabs>
        <w:tab w:val="center" w:pos="4153"/>
        <w:tab w:val="right" w:pos="8306"/>
      </w:tabs>
      <w:snapToGrid w:val="0"/>
      <w:jc w:val="left"/>
    </w:pPr>
    <w:rPr>
      <w:sz w:val="18"/>
      <w:szCs w:val="26"/>
    </w:rPr>
  </w:style>
  <w:style w:type="paragraph" w:styleId="16">
    <w:name w:val="header"/>
    <w:basedOn w:val="1"/>
    <w:link w:val="32"/>
    <w:autoRedefine/>
    <w:unhideWhenUsed/>
    <w:qFormat/>
    <w:uiPriority w:val="99"/>
    <w:pPr>
      <w:pBdr>
        <w:bottom w:val="single" w:color="auto" w:sz="6" w:space="1"/>
      </w:pBdr>
      <w:tabs>
        <w:tab w:val="center" w:pos="4153"/>
        <w:tab w:val="right" w:pos="8306"/>
      </w:tabs>
      <w:snapToGrid w:val="0"/>
      <w:jc w:val="center"/>
    </w:pPr>
    <w:rPr>
      <w:sz w:val="18"/>
      <w:szCs w:val="26"/>
    </w:rPr>
  </w:style>
  <w:style w:type="paragraph" w:styleId="17">
    <w:name w:val="toc 1"/>
    <w:basedOn w:val="1"/>
    <w:next w:val="1"/>
    <w:autoRedefine/>
    <w:unhideWhenUsed/>
    <w:qFormat/>
    <w:uiPriority w:val="39"/>
    <w:pPr>
      <w:tabs>
        <w:tab w:val="right" w:leader="dot" w:pos="8296"/>
      </w:tabs>
      <w:spacing w:before="93"/>
      <w:jc w:val="center"/>
    </w:pPr>
    <w:rPr>
      <w:rFonts w:ascii="仿宋" w:hAnsi="仿宋" w:eastAsia="仿宋"/>
      <w:sz w:val="28"/>
      <w:szCs w:val="28"/>
    </w:rPr>
  </w:style>
  <w:style w:type="paragraph" w:styleId="18">
    <w:name w:val="table of figures"/>
    <w:basedOn w:val="1"/>
    <w:next w:val="1"/>
    <w:autoRedefine/>
    <w:qFormat/>
    <w:uiPriority w:val="0"/>
    <w:pPr>
      <w:ind w:left="200" w:leftChars="200" w:hanging="200" w:hangingChars="200"/>
    </w:pPr>
  </w:style>
  <w:style w:type="paragraph" w:styleId="19">
    <w:name w:val="toc 2"/>
    <w:basedOn w:val="1"/>
    <w:next w:val="1"/>
    <w:autoRedefine/>
    <w:unhideWhenUsed/>
    <w:qFormat/>
    <w:uiPriority w:val="39"/>
    <w:pPr>
      <w:tabs>
        <w:tab w:val="right" w:leader="dot" w:pos="8296"/>
      </w:tabs>
      <w:ind w:left="420" w:leftChars="200"/>
    </w:pPr>
  </w:style>
  <w:style w:type="paragraph" w:styleId="20">
    <w:name w:val="Body Text First Indent"/>
    <w:basedOn w:val="9"/>
    <w:qFormat/>
    <w:uiPriority w:val="0"/>
    <w:pPr>
      <w:ind w:firstLine="100" w:firstLineChars="100"/>
    </w:pPr>
    <w:rPr>
      <w:rFonts w:ascii="Calibri" w:hAnsi="Calibri" w:eastAsia="宋体"/>
    </w:rPr>
  </w:style>
  <w:style w:type="paragraph" w:styleId="21">
    <w:name w:val="Body Text First Indent 2"/>
    <w:basedOn w:val="10"/>
    <w:next w:val="1"/>
    <w:autoRedefine/>
    <w:qFormat/>
    <w:uiPriority w:val="0"/>
    <w:pPr>
      <w:ind w:firstLine="420" w:firstLineChars="200"/>
    </w:pPr>
  </w:style>
  <w:style w:type="character" w:styleId="24">
    <w:name w:val="Strong"/>
    <w:basedOn w:val="23"/>
    <w:autoRedefine/>
    <w:qFormat/>
    <w:uiPriority w:val="99"/>
    <w:rPr>
      <w:b/>
    </w:rPr>
  </w:style>
  <w:style w:type="character" w:styleId="25">
    <w:name w:val="page number"/>
    <w:basedOn w:val="23"/>
    <w:autoRedefine/>
    <w:qFormat/>
    <w:uiPriority w:val="0"/>
  </w:style>
  <w:style w:type="character" w:styleId="26">
    <w:name w:val="Hyperlink"/>
    <w:basedOn w:val="23"/>
    <w:autoRedefine/>
    <w:unhideWhenUsed/>
    <w:qFormat/>
    <w:uiPriority w:val="99"/>
    <w:rPr>
      <w:color w:val="0000FF" w:themeColor="hyperlink"/>
      <w:u w:val="single"/>
      <w14:textFill>
        <w14:solidFill>
          <w14:schemeClr w14:val="hlink"/>
        </w14:solidFill>
      </w14:textFill>
    </w:rPr>
  </w:style>
  <w:style w:type="character" w:styleId="27">
    <w:name w:val="annotation reference"/>
    <w:basedOn w:val="23"/>
    <w:autoRedefine/>
    <w:semiHidden/>
    <w:unhideWhenUsed/>
    <w:qFormat/>
    <w:uiPriority w:val="99"/>
    <w:rPr>
      <w:sz w:val="21"/>
      <w:szCs w:val="21"/>
    </w:rPr>
  </w:style>
  <w:style w:type="paragraph" w:customStyle="1" w:styleId="28">
    <w:name w:val="标题 5（有编号）（绿盟科技）"/>
    <w:next w:val="1"/>
    <w:qFormat/>
    <w:uiPriority w:val="99"/>
    <w:pPr>
      <w:keepNext/>
      <w:keepLines/>
      <w:widowControl w:val="0"/>
      <w:spacing w:before="280" w:after="156" w:line="377" w:lineRule="auto"/>
      <w:outlineLvl w:val="4"/>
    </w:pPr>
    <w:rPr>
      <w:rFonts w:ascii="Arial" w:hAnsi="Arial" w:eastAsia="黑体" w:cs="Times New Roman"/>
      <w:b/>
      <w:kern w:val="2"/>
      <w:sz w:val="24"/>
      <w:szCs w:val="28"/>
      <w:lang w:val="en-US" w:eastAsia="zh-CN" w:bidi="ar-SA"/>
    </w:rPr>
  </w:style>
  <w:style w:type="paragraph" w:customStyle="1" w:styleId="29">
    <w:name w:val="Body Text Indent 2_2f75ddf9-7586-465d-b894-cacca03ef0a7"/>
    <w:basedOn w:val="1"/>
    <w:qFormat/>
    <w:uiPriority w:val="0"/>
    <w:pPr>
      <w:spacing w:line="19997" w:lineRule="auto"/>
      <w:ind w:left="420" w:leftChars="200"/>
    </w:pPr>
  </w:style>
  <w:style w:type="paragraph" w:customStyle="1" w:styleId="30">
    <w:name w:val="Default"/>
    <w:autoRedefine/>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character" w:customStyle="1" w:styleId="31">
    <w:name w:val="Header Char"/>
    <w:basedOn w:val="23"/>
    <w:autoRedefine/>
    <w:semiHidden/>
    <w:qFormat/>
    <w:uiPriority w:val="99"/>
    <w:rPr>
      <w:rFonts w:ascii="Times New Roman" w:hAnsi="Times New Roman"/>
      <w:sz w:val="18"/>
      <w:szCs w:val="18"/>
    </w:rPr>
  </w:style>
  <w:style w:type="character" w:customStyle="1" w:styleId="32">
    <w:name w:val="页眉 字符"/>
    <w:link w:val="16"/>
    <w:autoRedefine/>
    <w:semiHidden/>
    <w:qFormat/>
    <w:locked/>
    <w:uiPriority w:val="99"/>
    <w:rPr>
      <w:sz w:val="18"/>
    </w:rPr>
  </w:style>
  <w:style w:type="character" w:customStyle="1" w:styleId="33">
    <w:name w:val="Footer Char"/>
    <w:basedOn w:val="23"/>
    <w:autoRedefine/>
    <w:semiHidden/>
    <w:qFormat/>
    <w:uiPriority w:val="99"/>
    <w:rPr>
      <w:rFonts w:ascii="Times New Roman" w:hAnsi="Times New Roman"/>
      <w:sz w:val="18"/>
      <w:szCs w:val="18"/>
    </w:rPr>
  </w:style>
  <w:style w:type="character" w:customStyle="1" w:styleId="34">
    <w:name w:val="页脚 字符"/>
    <w:link w:val="15"/>
    <w:autoRedefine/>
    <w:qFormat/>
    <w:locked/>
    <w:uiPriority w:val="99"/>
    <w:rPr>
      <w:sz w:val="18"/>
    </w:rPr>
  </w:style>
  <w:style w:type="character" w:customStyle="1" w:styleId="35">
    <w:name w:val="Body Text Char"/>
    <w:basedOn w:val="23"/>
    <w:autoRedefine/>
    <w:semiHidden/>
    <w:qFormat/>
    <w:uiPriority w:val="99"/>
    <w:rPr>
      <w:rFonts w:ascii="Times New Roman" w:hAnsi="Times New Roman"/>
      <w:szCs w:val="24"/>
    </w:rPr>
  </w:style>
  <w:style w:type="character" w:customStyle="1" w:styleId="36">
    <w:name w:val="正文文本 字符"/>
    <w:link w:val="9"/>
    <w:autoRedefine/>
    <w:qFormat/>
    <w:locked/>
    <w:uiPriority w:val="99"/>
    <w:rPr>
      <w:rFonts w:ascii="仿宋_GB2312" w:hAnsi="Times New Roman" w:eastAsia="仿宋_GB2312"/>
      <w:sz w:val="24"/>
    </w:rPr>
  </w:style>
  <w:style w:type="paragraph" w:styleId="37">
    <w:name w:val="List Paragraph"/>
    <w:basedOn w:val="1"/>
    <w:autoRedefine/>
    <w:qFormat/>
    <w:uiPriority w:val="34"/>
    <w:pPr>
      <w:ind w:firstLine="420" w:firstLineChars="200"/>
    </w:pPr>
  </w:style>
  <w:style w:type="character" w:customStyle="1" w:styleId="38">
    <w:name w:val="标题 1 字符"/>
    <w:basedOn w:val="23"/>
    <w:link w:val="2"/>
    <w:autoRedefine/>
    <w:qFormat/>
    <w:uiPriority w:val="9"/>
    <w:rPr>
      <w:rFonts w:ascii="Times New Roman" w:hAnsi="Times New Roman"/>
      <w:b/>
      <w:bCs/>
      <w:kern w:val="44"/>
      <w:sz w:val="44"/>
      <w:szCs w:val="44"/>
    </w:rPr>
  </w:style>
  <w:style w:type="character" w:customStyle="1" w:styleId="39">
    <w:name w:val="标题 2 字符"/>
    <w:basedOn w:val="23"/>
    <w:link w:val="3"/>
    <w:autoRedefine/>
    <w:qFormat/>
    <w:uiPriority w:val="9"/>
    <w:rPr>
      <w:rFonts w:asciiTheme="majorHAnsi" w:hAnsiTheme="majorHAnsi" w:eastAsiaTheme="majorEastAsia" w:cstheme="majorBidi"/>
      <w:b/>
      <w:bCs/>
      <w:kern w:val="2"/>
      <w:sz w:val="32"/>
      <w:szCs w:val="32"/>
    </w:rPr>
  </w:style>
  <w:style w:type="paragraph" w:customStyle="1" w:styleId="40">
    <w:name w:val="TOC 标题1"/>
    <w:basedOn w:val="2"/>
    <w:next w:val="1"/>
    <w:autoRedefine/>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41">
    <w:name w:val="批注框文本 字符"/>
    <w:basedOn w:val="23"/>
    <w:link w:val="14"/>
    <w:autoRedefine/>
    <w:semiHidden/>
    <w:qFormat/>
    <w:uiPriority w:val="99"/>
    <w:rPr>
      <w:rFonts w:ascii="Times New Roman" w:hAnsi="Times New Roman"/>
      <w:kern w:val="2"/>
      <w:sz w:val="18"/>
      <w:szCs w:val="18"/>
    </w:rPr>
  </w:style>
  <w:style w:type="character" w:customStyle="1" w:styleId="42">
    <w:name w:val="标题 3 字符"/>
    <w:basedOn w:val="23"/>
    <w:link w:val="4"/>
    <w:autoRedefine/>
    <w:qFormat/>
    <w:uiPriority w:val="9"/>
    <w:rPr>
      <w:rFonts w:ascii="Times New Roman" w:hAnsi="Times New Roman"/>
      <w:b/>
      <w:bCs/>
      <w:kern w:val="2"/>
      <w:sz w:val="32"/>
      <w:szCs w:val="32"/>
    </w:rPr>
  </w:style>
  <w:style w:type="character" w:customStyle="1" w:styleId="43">
    <w:name w:val="称呼 Char"/>
    <w:basedOn w:val="23"/>
    <w:link w:val="2"/>
    <w:autoRedefine/>
    <w:semiHidden/>
    <w:qFormat/>
    <w:uiPriority w:val="99"/>
    <w:rPr>
      <w:rFonts w:ascii="Calibri" w:hAnsi="Calibri" w:eastAsia="宋体" w:cs="Arial Unicode MS"/>
      <w:szCs w:val="24"/>
      <w:lang w:bidi="bo-CN"/>
    </w:rPr>
  </w:style>
  <w:style w:type="character" w:customStyle="1" w:styleId="44">
    <w:name w:val="日期 Char"/>
    <w:basedOn w:val="23"/>
    <w:link w:val="4"/>
    <w:autoRedefine/>
    <w:semiHidden/>
    <w:qFormat/>
    <w:uiPriority w:val="99"/>
    <w:rPr>
      <w:rFonts w:ascii="Calibri" w:hAnsi="Calibri" w:eastAsia="宋体" w:cs="Arial Unicode MS"/>
      <w:szCs w:val="24"/>
      <w:lang w:bidi="bo-CN"/>
    </w:rPr>
  </w:style>
  <w:style w:type="character" w:customStyle="1" w:styleId="45">
    <w:name w:val="页眉 Char"/>
    <w:basedOn w:val="23"/>
    <w:link w:val="9"/>
    <w:autoRedefine/>
    <w:qFormat/>
    <w:uiPriority w:val="99"/>
    <w:rPr>
      <w:rFonts w:ascii="Calibri" w:hAnsi="Calibri" w:eastAsia="宋体" w:cs="Arial Unicode MS"/>
      <w:sz w:val="18"/>
      <w:szCs w:val="26"/>
      <w:lang w:bidi="bo-CN"/>
    </w:rPr>
  </w:style>
  <w:style w:type="character" w:customStyle="1" w:styleId="46">
    <w:name w:val="页脚 Char"/>
    <w:basedOn w:val="23"/>
    <w:link w:val="6"/>
    <w:autoRedefine/>
    <w:qFormat/>
    <w:uiPriority w:val="99"/>
    <w:rPr>
      <w:rFonts w:ascii="Calibri" w:hAnsi="Calibri" w:eastAsia="宋体" w:cs="Arial Unicode MS"/>
      <w:sz w:val="18"/>
      <w:szCs w:val="26"/>
      <w:lang w:bidi="bo-CN"/>
    </w:rPr>
  </w:style>
  <w:style w:type="paragraph" w:customStyle="1" w:styleId="47">
    <w:name w:val="p0"/>
    <w:basedOn w:val="1"/>
    <w:autoRedefine/>
    <w:qFormat/>
    <w:uiPriority w:val="0"/>
    <w:pPr>
      <w:widowControl/>
      <w:jc w:val="left"/>
    </w:pPr>
    <w:rPr>
      <w:rFonts w:ascii="Times New Roman" w:hAnsi="Times New Roman" w:eastAsia="宋体"/>
      <w:kern w:val="0"/>
      <w:sz w:val="21"/>
      <w:szCs w:val="21"/>
    </w:r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chart" Target="charts/chart7.xml"/><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Workbook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Workbook5.xlsx"/></Relationships>
</file>

<file path=word/charts/_rels/chart5.xml.rels><?xml version="1.0" encoding="UTF-8" standalone="yes"?>
<Relationships xmlns="http://schemas.openxmlformats.org/package/2006/relationships"><Relationship Id="rId1" Type="http://schemas.openxmlformats.org/officeDocument/2006/relationships/package" Target="../embeddings/Workbook4.xlsx"/></Relationships>
</file>

<file path=word/charts/_rels/chart6.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Workbook7.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rtlCol="0" anchor="t" anchorCtr="1"/>
          <a:lstStyle/>
          <a:p>
            <a:pPr algn="l">
              <a:defRPr lang="zh-CN" sz="1800" b="1" i="0" u="none" strike="noStrike" kern="1200" baseline="0">
                <a:solidFill>
                  <a:schemeClr val="tx1"/>
                </a:solidFill>
                <a:latin typeface="+mn-lt"/>
                <a:ea typeface="+mn-ea"/>
                <a:cs typeface="+mn-cs"/>
              </a:defRPr>
            </a:pPr>
            <a:r>
              <a:rPr lang="zh-CN"/>
              <a:t>收、支决算总计变动情况图</a:t>
            </a:r>
            <a:endParaRPr lang="en-US" sz="1100"/>
          </a:p>
        </c:rich>
      </c:tx>
      <c:layout/>
      <c:overlay val="0"/>
    </c:title>
    <c:autoTitleDeleted val="0"/>
    <c:plotArea>
      <c:layout>
        <c:manualLayout>
          <c:layoutTarget val="inner"/>
          <c:xMode val="edge"/>
          <c:yMode val="edge"/>
          <c:x val="0.0559816218099468"/>
          <c:y val="0.247865112907836"/>
          <c:w val="0.800713012477719"/>
          <c:h val="0.654027777777778"/>
        </c:manualLayout>
      </c:layout>
      <c:barChart>
        <c:barDir val="col"/>
        <c:grouping val="clustered"/>
        <c:varyColors val="0"/>
        <c:ser>
          <c:idx val="1"/>
          <c:order val="0"/>
          <c:tx>
            <c:strRef>
              <c:f>"收入"</c:f>
              <c:strCache>
                <c:ptCount val="1"/>
                <c:pt idx="0">
                  <c:v>收入</c:v>
                </c:pt>
              </c:strCache>
            </c:strRef>
          </c:tx>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{"2024","2025"}</c:f>
              <c:numCache>
                <c:formatCode>General</c:formatCode>
                <c:ptCount val="2"/>
                <c:pt idx="0">
                  <c:v>2024</c:v>
                </c:pt>
                <c:pt idx="1">
                  <c:v>2025</c:v>
                </c:pt>
              </c:numCache>
            </c:numRef>
          </c:cat>
          <c:val>
            <c:numRef>
              <c:f>{683.69,646.01}</c:f>
              <c:numCache>
                <c:formatCode>General</c:formatCode>
                <c:ptCount val="2"/>
                <c:pt idx="0">
                  <c:v>683.69</c:v>
                </c:pt>
                <c:pt idx="1">
                  <c:v>646.01</c:v>
                </c:pt>
              </c:numCache>
            </c:numRef>
          </c:val>
        </c:ser>
        <c:ser>
          <c:idx val="2"/>
          <c:order val="1"/>
          <c:tx>
            <c:strRef>
              <c:f>"支出"</c:f>
              <c:strCache>
                <c:ptCount val="1"/>
                <c:pt idx="0">
                  <c:v>支出</c:v>
                </c:pt>
              </c:strCache>
            </c:strRef>
          </c:tx>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{"2024","2025"}</c:f>
              <c:numCache>
                <c:formatCode>General</c:formatCode>
                <c:ptCount val="2"/>
                <c:pt idx="0">
                  <c:v>2024</c:v>
                </c:pt>
                <c:pt idx="1">
                  <c:v>2025</c:v>
                </c:pt>
              </c:numCache>
            </c:numRef>
          </c:cat>
          <c:val>
            <c:numRef>
              <c:f>{683.69,646.01}</c:f>
              <c:numCache>
                <c:formatCode>General</c:formatCode>
                <c:ptCount val="2"/>
                <c:pt idx="0">
                  <c:v>683.69</c:v>
                </c:pt>
                <c:pt idx="1">
                  <c:v>646.01</c:v>
                </c:pt>
              </c:numCache>
            </c:numRef>
          </c:val>
        </c:ser>
        <c:dLbls>
          <c:showLegendKey val="0"/>
          <c:showVal val="1"/>
          <c:showCatName val="0"/>
          <c:showSerName val="0"/>
          <c:showPercent val="0"/>
          <c:showBubbleSize val="0"/>
        </c:dLbls>
        <c:gapWidth val="41"/>
        <c:axId val="261387392"/>
        <c:axId val="261388928"/>
      </c:barChart>
      <c:catAx>
        <c:axId val="261387392"/>
        <c:scaling>
          <c:orientation val="minMax"/>
        </c:scaling>
        <c:delete val="0"/>
        <c:axPos val="b"/>
        <c:title>
          <c:tx>
            <c:rich>
              <a:bodyPr rot="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单位：万元</a:t>
                </a:r>
                <a:endParaRPr lang="en-US" sz="1100"/>
              </a:p>
            </c:rich>
          </c:tx>
          <c:layout/>
          <c:overlay val="0"/>
        </c:title>
        <c:numFmt formatCode="General" sourceLinked="0"/>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zh-CN" sz="900" b="0" i="0" u="none" strike="noStrike" kern="1200" baseline="0">
                <a:solidFill>
                  <a:schemeClr val="dk1">
                    <a:lumMod val="65000"/>
                    <a:lumOff val="35000"/>
                  </a:schemeClr>
                </a:solidFill>
                <a:effectLst/>
                <a:latin typeface="+mn-lt"/>
                <a:ea typeface="+mn-ea"/>
                <a:cs typeface="+mn-cs"/>
              </a:defRPr>
            </a:pPr>
          </a:p>
        </c:txPr>
        <c:crossAx val="261388928"/>
        <c:crosses val="autoZero"/>
        <c:auto val="1"/>
        <c:lblAlgn val="ctr"/>
        <c:lblOffset val="100"/>
        <c:noMultiLvlLbl val="0"/>
      </c:catAx>
      <c:valAx>
        <c:axId val="261388928"/>
        <c:scaling>
          <c:orientation val="minMax"/>
        </c:scaling>
        <c:delete val="1"/>
        <c:axPos val="l"/>
        <c:title>
          <c:tx>
            <c:rich>
              <a:bodyPr rot="-540000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 </a:t>
                </a:r>
                <a:endParaRPr lang="en-US" sz="1100"/>
              </a:p>
            </c:rich>
          </c:tx>
          <c:layout/>
          <c:overlay val="0"/>
        </c:title>
        <c:numFmt formatCode="General" sourceLinked="1"/>
        <c:majorTickMark val="none"/>
        <c:minorTickMark val="none"/>
        <c:tickLblPos val="none"/>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261387392"/>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dk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63f8846c-3a43-4853-b6cb-89ec2653b900}"/>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prstDash val="solid"/>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rtlCol="0" anchor="t" anchorCtr="1"/>
          <a:lstStyle/>
          <a:p>
            <a:pPr algn="l">
              <a:defRPr lang="zh-CN" sz="1800" b="1" i="0" u="none" strike="noStrike" kern="1200" baseline="0">
                <a:solidFill>
                  <a:schemeClr val="tx1"/>
                </a:solidFill>
                <a:latin typeface="+mn-lt"/>
                <a:ea typeface="+mn-ea"/>
                <a:cs typeface="+mn-cs"/>
              </a:defRPr>
            </a:pPr>
            <a:r>
              <a:rPr lang="zh-CN"/>
              <a:t>收入决算结构图</a:t>
            </a:r>
            <a:endParaRPr lang="en-US" sz="1100"/>
          </a:p>
        </c:rich>
      </c:tx>
      <c:layout/>
      <c:overlay val="0"/>
    </c:title>
    <c:autoTitleDeleted val="0"/>
    <c:plotArea>
      <c:layout/>
      <c:pieChart>
        <c:varyColors val="1"/>
        <c:ser>
          <c:idx val="1"/>
          <c:order val="0"/>
          <c:explosion val="0"/>
          <c:dPt>
            <c:idx val="0"/>
            <c:bubble3D val="0"/>
          </c:dPt>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ext>
            </c:extLst>
          </c:dLbls>
          <c:cat>
            <c:strRef>
              <c:f>{"一般公共预算财政拨款收入"}</c:f>
              <c:strCache>
                <c:ptCount val="1"/>
                <c:pt idx="0">
                  <c:v>一般公共预算财政拨款收入</c:v>
                </c:pt>
              </c:strCache>
            </c:strRef>
          </c:cat>
          <c:val>
            <c:numRef>
              <c:f>{950.6}</c:f>
              <c:numCache>
                <c:formatCode>General</c:formatCode>
                <c:ptCount val="1"/>
                <c:pt idx="0">
                  <c:v>950.6</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0" vertOverflow="ellipsis" vert="horz" wrap="square" anchor="ctr" anchorCtr="1"/>
        <a:lstStyle/>
        <a:p>
          <a:pPr>
            <a:defRPr lang="zh-CN" sz="900" b="0" i="0" u="none" strike="noStrike" kern="1200" baseline="0">
              <a:solidFill>
                <a:schemeClr val="dk1">
                  <a:lumMod val="75000"/>
                  <a:lumOff val="25000"/>
                </a:schemeClr>
              </a:solidFill>
              <a:latin typeface="+mn-lt"/>
              <a:ea typeface="+mn-ea"/>
              <a:cs typeface="+mn-cs"/>
            </a:defRPr>
          </a:pPr>
        </a:p>
      </c:txPr>
    </c:legend>
    <c:plotVisOnly val="1"/>
    <c:dispBlanksAs val="zero"/>
    <c:showDLblsOverMax val="0"/>
    <c:extLst>
      <c:ext uri="{0b15fc19-7d7d-44ad-8c2d-2c3a37ce22c3}">
        <chartProps xmlns="https://web.wps.cn/et/2018/main" chartId="{03a81e3c-b368-4c02-9ede-3bf68f23344d}"/>
      </c:ext>
    </c:extLst>
  </c:chart>
  <c: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prstDash val="solid"/>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rtlCol="0" anchor="t" anchorCtr="1"/>
          <a:lstStyle/>
          <a:p>
            <a:pPr algn="l">
              <a:defRPr lang="zh-CN" sz="1800" b="1" i="0" u="none" strike="noStrike" kern="1200" baseline="0">
                <a:solidFill>
                  <a:schemeClr val="tx1"/>
                </a:solidFill>
                <a:latin typeface="+mn-lt"/>
                <a:ea typeface="+mn-ea"/>
                <a:cs typeface="+mn-cs"/>
              </a:defRPr>
            </a:pPr>
            <a:r>
              <a:rPr lang="zh-CN"/>
              <a:t>支出决算结构图</a:t>
            </a:r>
            <a:endParaRPr lang="en-US" sz="1100"/>
          </a:p>
        </c:rich>
      </c:tx>
      <c:layout/>
      <c:overlay val="0"/>
    </c:title>
    <c:autoTitleDeleted val="0"/>
    <c:plotArea>
      <c:layout/>
      <c:pieChart>
        <c:varyColors val="1"/>
        <c:ser>
          <c:idx val="1"/>
          <c:order val="0"/>
          <c:explosion val="0"/>
          <c:dPt>
            <c:idx val="0"/>
            <c:bubble3D val="0"/>
          </c:dPt>
          <c:dPt>
            <c:idx val="1"/>
            <c:bubble3D val="0"/>
          </c:dPt>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ext>
            </c:extLst>
          </c:dLbls>
          <c:cat>
            <c:strRef>
              <c:f>{"基本支出","项目支出"}</c:f>
              <c:strCache>
                <c:ptCount val="2"/>
                <c:pt idx="0">
                  <c:v>基本支出</c:v>
                </c:pt>
                <c:pt idx="1">
                  <c:v>项目支出</c:v>
                </c:pt>
              </c:strCache>
            </c:strRef>
          </c:cat>
          <c:val>
            <c:numRef>
              <c:f>{275.53,370.48}</c:f>
              <c:numCache>
                <c:formatCode>General</c:formatCode>
                <c:ptCount val="2"/>
                <c:pt idx="0">
                  <c:v>275.53</c:v>
                </c:pt>
                <c:pt idx="1">
                  <c:v>370.48</c:v>
                </c:pt>
              </c:numCache>
            </c:numRef>
          </c:val>
        </c:ser>
        <c:dLbls>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0" vertOverflow="ellipsis" vert="horz" wrap="square" anchor="ctr" anchorCtr="1"/>
        <a:lstStyle/>
        <a:p>
          <a:pPr>
            <a:defRPr lang="zh-CN" sz="900" b="0" i="0" u="none" strike="noStrike" kern="1200" baseline="0">
              <a:solidFill>
                <a:schemeClr val="dk1">
                  <a:lumMod val="75000"/>
                  <a:lumOff val="25000"/>
                </a:schemeClr>
              </a:solidFill>
              <a:latin typeface="+mn-lt"/>
              <a:ea typeface="+mn-ea"/>
              <a:cs typeface="+mn-cs"/>
            </a:defRPr>
          </a:pPr>
        </a:p>
      </c:txPr>
    </c:legend>
    <c:plotVisOnly val="1"/>
    <c:dispBlanksAs val="zero"/>
    <c:showDLblsOverMax val="0"/>
    <c:extLst>
      <c:ext uri="{0b15fc19-7d7d-44ad-8c2d-2c3a37ce22c3}">
        <chartProps xmlns="https://web.wps.cn/et/2018/main" chartId="{0d8a02ee-ee16-449e-a792-68994d290951}"/>
      </c:ext>
    </c:extLst>
  </c:chart>
  <c:spPr>
    <a:gradFill flip="none" rotWithShape="1">
      <a:gsLst>
        <a:gs pos="0">
          <a:schemeClr val="lt1"/>
        </a:gs>
        <a:gs pos="39000">
          <a:schemeClr val="lt1"/>
        </a:gs>
        <a:gs pos="100000">
          <a:schemeClr val="lt1">
            <a:lumMod val="75000"/>
          </a:schemeClr>
        </a:gs>
      </a:gsLst>
      <a:path path="circle">
        <a:fillToRect l="50000" t="-80000" r="50000" b="180000"/>
      </a:path>
    </a:gradFill>
    <a:ln w="9525" cap="flat" cmpd="sng" algn="ctr">
      <a:solidFill>
        <a:schemeClr val="dk1">
          <a:lumMod val="25000"/>
          <a:lumOff val="75000"/>
        </a:schemeClr>
      </a:solidFill>
      <a:prstDash val="solid"/>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zh-CN" sz="1600" b="1" i="0" u="none" strike="noStrike" kern="1200" baseline="0">
                <a:solidFill>
                  <a:schemeClr val="tx2"/>
                </a:solidFill>
                <a:latin typeface="+mn-lt"/>
                <a:ea typeface="+mn-ea"/>
                <a:cs typeface="+mn-cs"/>
              </a:defRPr>
            </a:pPr>
            <a:r>
              <a:rPr lang="en-US" altLang="zh-CN"/>
              <a:t>财政拨款收、支决算总计变动情况</a:t>
            </a:r>
            <a:endParaRPr lang="en-US" altLang="zh-CN"/>
          </a:p>
        </c:rich>
      </c:tx>
      <c:layout/>
      <c:overlay val="0"/>
      <c:spPr>
        <a:noFill/>
        <a:ln>
          <a:noFill/>
        </a:ln>
        <a:effectLst/>
      </c:spPr>
    </c:title>
    <c:autoTitleDeleted val="0"/>
    <c:plotArea>
      <c:layout/>
      <c:barChart>
        <c:barDir val="col"/>
        <c:grouping val="clustered"/>
        <c:varyColors val="0"/>
        <c:ser>
          <c:idx val="1"/>
          <c:order val="0"/>
          <c:tx>
            <c:strRef>
              <c:f>"收入"</c:f>
              <c:strCache>
                <c:ptCount val="1"/>
                <c:pt idx="0">
                  <c:v>收入</c:v>
                </c:pt>
              </c:strCache>
            </c:strRef>
          </c:tx>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{"2024","2025"}</c:f>
              <c:numCache>
                <c:formatCode>General</c:formatCode>
                <c:ptCount val="2"/>
                <c:pt idx="0">
                  <c:v>2024</c:v>
                </c:pt>
                <c:pt idx="1">
                  <c:v>2025</c:v>
                </c:pt>
              </c:numCache>
            </c:numRef>
          </c:cat>
          <c:val>
            <c:numRef>
              <c:f>{683.69,646.01}</c:f>
              <c:numCache>
                <c:formatCode>General</c:formatCode>
                <c:ptCount val="2"/>
                <c:pt idx="0">
                  <c:v>683.69</c:v>
                </c:pt>
                <c:pt idx="1">
                  <c:v>646.01</c:v>
                </c:pt>
              </c:numCache>
            </c:numRef>
          </c:val>
        </c:ser>
        <c:ser>
          <c:idx val="2"/>
          <c:order val="1"/>
          <c:tx>
            <c:strRef>
              <c:f>"支出"</c:f>
              <c:strCache>
                <c:ptCount val="1"/>
                <c:pt idx="0">
                  <c:v>支出</c:v>
                </c:pt>
              </c:strCache>
            </c:strRef>
          </c:tx>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numRef>
              <c:f>{"2024","2025"}</c:f>
              <c:numCache>
                <c:formatCode>General</c:formatCode>
                <c:ptCount val="2"/>
                <c:pt idx="0">
                  <c:v>2024</c:v>
                </c:pt>
                <c:pt idx="1">
                  <c:v>2025</c:v>
                </c:pt>
              </c:numCache>
            </c:numRef>
          </c:cat>
          <c:val>
            <c:numRef>
              <c:f>{683.69,646.01}</c:f>
              <c:numCache>
                <c:formatCode>General</c:formatCode>
                <c:ptCount val="2"/>
                <c:pt idx="0">
                  <c:v>683.69</c:v>
                </c:pt>
                <c:pt idx="1">
                  <c:v>646.01</c:v>
                </c:pt>
              </c:numCache>
            </c:numRef>
          </c:val>
        </c:ser>
        <c:dLbls>
          <c:showLegendKey val="0"/>
          <c:showVal val="1"/>
          <c:showCatName val="0"/>
          <c:showSerName val="0"/>
          <c:showPercent val="0"/>
          <c:showBubbleSize val="0"/>
        </c:dLbls>
        <c:gapWidth val="100"/>
        <c:overlap val="-24"/>
        <c:axId val="263359104"/>
        <c:axId val="263373184"/>
      </c:barChart>
      <c:catAx>
        <c:axId val="263359104"/>
        <c:scaling>
          <c:orientation val="minMax"/>
        </c:scaling>
        <c:delete val="0"/>
        <c:axPos val="b"/>
        <c:title>
          <c:tx>
            <c:rich>
              <a:bodyPr rot="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单位：万元</a:t>
                </a:r>
                <a:endParaRPr lang="en-US" sz="1100"/>
              </a:p>
            </c:rich>
          </c:tx>
          <c:layout/>
          <c:overlay val="0"/>
        </c:title>
        <c:numFmt formatCode="General" sourceLinked="0"/>
        <c:majorTickMark val="none"/>
        <c:minorTickMark val="none"/>
        <c:tickLblPos val="nextTo"/>
        <c:spPr>
          <a:noFill/>
          <a:ln w="9525" cap="flat" cmpd="sng" algn="ctr">
            <a:solidFill>
              <a:schemeClr val="tx2">
                <a:lumMod val="15000"/>
                <a:lumOff val="85000"/>
              </a:schemeClr>
            </a:solidFill>
            <a:prstDash val="solid"/>
            <a:round/>
          </a:ln>
          <a:effectLst/>
        </c:spPr>
        <c:txPr>
          <a:bodyPr rot="-60000000" spcFirstLastPara="1" vertOverflow="ellipsis" vert="horz" wrap="square" anchor="ctr" anchorCtr="1"/>
          <a:lstStyle/>
          <a:p>
            <a:pPr>
              <a:defRPr lang="zh-CN" sz="900" b="0" i="0" u="none" strike="noStrike" kern="1200" baseline="0">
                <a:solidFill>
                  <a:schemeClr val="tx2"/>
                </a:solidFill>
                <a:latin typeface="+mn-lt"/>
                <a:ea typeface="+mn-ea"/>
                <a:cs typeface="+mn-cs"/>
              </a:defRPr>
            </a:pPr>
          </a:p>
        </c:txPr>
        <c:crossAx val="263373184"/>
        <c:crosses val="autoZero"/>
        <c:auto val="1"/>
        <c:lblAlgn val="ctr"/>
        <c:lblOffset val="100"/>
        <c:noMultiLvlLbl val="0"/>
      </c:catAx>
      <c:valAx>
        <c:axId val="263373184"/>
        <c:scaling>
          <c:orientation val="minMax"/>
        </c:scaling>
        <c:delete val="0"/>
        <c:axPos val="l"/>
        <c:majorGridlines>
          <c:spPr>
            <a:ln w="9525" cap="flat" cmpd="sng" algn="ctr">
              <a:solidFill>
                <a:schemeClr val="tx2">
                  <a:lumMod val="15000"/>
                  <a:lumOff val="85000"/>
                </a:schemeClr>
              </a:solidFill>
              <a:prstDash val="solid"/>
              <a:round/>
            </a:ln>
            <a:effectLst/>
          </c:spPr>
        </c:majorGridlines>
        <c:title>
          <c:tx>
            <c:rich>
              <a:bodyPr rot="-540000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 </a:t>
                </a:r>
                <a:endParaRPr lang="en-US" sz="1100"/>
              </a:p>
            </c:rich>
          </c:tx>
          <c:layout/>
          <c:overlay val="0"/>
        </c:title>
        <c:numFmt formatCode="General"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zh-CN" sz="900" b="0" i="0" u="none" strike="noStrike" kern="1200" baseline="0">
                <a:solidFill>
                  <a:schemeClr val="tx2"/>
                </a:solidFill>
                <a:latin typeface="+mn-lt"/>
                <a:ea typeface="+mn-ea"/>
                <a:cs typeface="+mn-cs"/>
              </a:defRPr>
            </a:pPr>
          </a:p>
        </c:txPr>
        <c:crossAx val="263359104"/>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2"/>
              </a:solidFill>
              <a:latin typeface="+mn-lt"/>
              <a:ea typeface="+mn-ea"/>
              <a:cs typeface="+mn-cs"/>
            </a:defRPr>
          </a:pPr>
        </a:p>
      </c:txPr>
    </c:legend>
    <c:plotVisOnly val="1"/>
    <c:dispBlanksAs val="gap"/>
    <c:showDLblsOverMax val="0"/>
    <c:extLst>
      <c:ext uri="{0b15fc19-7d7d-44ad-8c2d-2c3a37ce22c3}">
        <chartProps xmlns="https://web.wps.cn/et/2018/main" chartId="{b26c03c3-b333-4e1a-afd5-0d4b8af22890}"/>
      </c:ext>
    </c:extLst>
  </c:chart>
  <c:spPr>
    <a:solidFill>
      <a:schemeClr val="bg1"/>
    </a:solidFill>
    <a:ln w="9525" cap="flat" cmpd="sng" algn="ctr">
      <a:solidFill>
        <a:schemeClr val="tx2">
          <a:lumMod val="15000"/>
          <a:lumOff val="85000"/>
        </a:schemeClr>
      </a:solidFill>
      <a:prstDash val="solid"/>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zh-CN" sz="1600" b="1" i="0" u="none" strike="noStrike" kern="1200" baseline="0">
                <a:solidFill>
                  <a:schemeClr val="tx1">
                    <a:lumMod val="65000"/>
                    <a:lumOff val="35000"/>
                  </a:schemeClr>
                </a:solidFill>
                <a:latin typeface="+mn-lt"/>
                <a:ea typeface="+mn-ea"/>
                <a:cs typeface="+mn-cs"/>
              </a:defRPr>
            </a:pPr>
            <a:r>
              <a:rPr lang="zh-CN" altLang="en-US" sz="1200"/>
              <a:t>一般公共预算财政拨款支出</a:t>
            </a:r>
            <a:endParaRPr lang="zh-CN" altLang="en-US" sz="1200"/>
          </a:p>
        </c:rich>
      </c:tx>
      <c:layout/>
      <c:overlay val="0"/>
      <c:spPr>
        <a:noFill/>
        <a:ln>
          <a:noFill/>
        </a:ln>
        <a:effectLst/>
      </c:spPr>
    </c:title>
    <c:autoTitleDeleted val="0"/>
    <c:plotArea>
      <c:layout>
        <c:manualLayout>
          <c:layoutTarget val="inner"/>
          <c:xMode val="edge"/>
          <c:yMode val="edge"/>
          <c:x val="0.0736333103993069"/>
          <c:y val="0.199582873033408"/>
          <c:w val="0.767623678108199"/>
          <c:h val="0.708506514060342"/>
        </c:manualLayout>
      </c:layout>
      <c:barChart>
        <c:barDir val="col"/>
        <c:grouping val="clustered"/>
        <c:varyColors val="0"/>
        <c:ser>
          <c:idx val="1"/>
          <c:order val="0"/>
          <c:tx>
            <c:strRef>
              <c:f>"2024"</c:f>
              <c:strCache>
                <c:ptCount val="1"/>
                <c:pt idx="0">
                  <c:v>2024</c:v>
                </c:pt>
              </c:strCache>
            </c:strRef>
          </c:tx>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{"一般公共预算财政拨款支出"}</c:f>
              <c:strCache>
                <c:ptCount val="1"/>
                <c:pt idx="0">
                  <c:v>一般公共预算财政拨款支出</c:v>
                </c:pt>
              </c:strCache>
            </c:strRef>
          </c:cat>
          <c:val>
            <c:numRef>
              <c:f>{683.69}</c:f>
              <c:numCache>
                <c:formatCode>General</c:formatCode>
                <c:ptCount val="1"/>
                <c:pt idx="0">
                  <c:v>683.69</c:v>
                </c:pt>
              </c:numCache>
            </c:numRef>
          </c:val>
        </c:ser>
        <c:ser>
          <c:idx val="2"/>
          <c:order val="1"/>
          <c:tx>
            <c:strRef>
              <c:f>"2025"</c:f>
              <c:strCache>
                <c:ptCount val="1"/>
                <c:pt idx="0">
                  <c:v>2025</c:v>
                </c:pt>
              </c:strCache>
            </c:strRef>
          </c:tx>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{"一般公共预算财政拨款支出"}</c:f>
              <c:strCache>
                <c:ptCount val="1"/>
                <c:pt idx="0">
                  <c:v>一般公共预算财政拨款支出</c:v>
                </c:pt>
              </c:strCache>
            </c:strRef>
          </c:cat>
          <c:val>
            <c:numRef>
              <c:f>{646.01}</c:f>
              <c:numCache>
                <c:formatCode>General</c:formatCode>
                <c:ptCount val="1"/>
                <c:pt idx="0">
                  <c:v>646.01</c:v>
                </c:pt>
              </c:numCache>
            </c:numRef>
          </c:val>
        </c:ser>
        <c:dLbls>
          <c:showLegendKey val="0"/>
          <c:showVal val="1"/>
          <c:showCatName val="0"/>
          <c:showSerName val="0"/>
          <c:showPercent val="0"/>
          <c:showBubbleSize val="0"/>
        </c:dLbls>
        <c:gapWidth val="100"/>
        <c:overlap val="-24"/>
        <c:axId val="263440640"/>
        <c:axId val="263135232"/>
      </c:barChart>
      <c:catAx>
        <c:axId val="263440640"/>
        <c:scaling>
          <c:orientation val="minMax"/>
        </c:scaling>
        <c:delete val="1"/>
        <c:axPos val="b"/>
        <c:title>
          <c:tx>
            <c:rich>
              <a:bodyPr rot="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单位：万元</a:t>
                </a:r>
                <a:endParaRPr lang="en-US" sz="1100"/>
              </a:p>
            </c:rich>
          </c:tx>
          <c:layout/>
          <c:overlay val="0"/>
        </c:title>
        <c:numFmt formatCode="General" sourceLinked="0"/>
        <c:majorTickMark val="none"/>
        <c:minorTickMark val="none"/>
        <c:tickLblPos val="none"/>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263135232"/>
        <c:crosses val="autoZero"/>
        <c:auto val="1"/>
        <c:lblAlgn val="ctr"/>
        <c:lblOffset val="100"/>
        <c:noMultiLvlLbl val="0"/>
      </c:catAx>
      <c:valAx>
        <c:axId val="263135232"/>
        <c:scaling>
          <c:orientation val="minMax"/>
        </c:scaling>
        <c:delete val="0"/>
        <c:axPos val="l"/>
        <c:majorGridlines>
          <c:spPr>
            <a:ln w="9525" cap="flat" cmpd="sng" algn="ctr">
              <a:solidFill>
                <a:schemeClr val="tx1">
                  <a:lumMod val="15000"/>
                  <a:lumOff val="85000"/>
                </a:schemeClr>
              </a:solidFill>
              <a:prstDash val="solid"/>
              <a:round/>
            </a:ln>
            <a:effectLst/>
          </c:spPr>
        </c:majorGridlines>
        <c:title>
          <c:tx>
            <c:rich>
              <a:bodyPr rot="-5400000" spcFirstLastPara="0" vertOverflow="ellipsis" vert="horz" wrap="square" rtlCol="0" anchor="t" anchorCtr="1"/>
              <a:lstStyle/>
              <a:p>
                <a:pPr algn="l">
                  <a:defRPr lang="zh-CN" sz="1000" b="1" i="0" u="none" strike="noStrike" kern="1200" baseline="0">
                    <a:solidFill>
                      <a:schemeClr val="tx1"/>
                    </a:solidFill>
                    <a:latin typeface="+mn-lt"/>
                    <a:ea typeface="+mn-ea"/>
                    <a:cs typeface="+mn-cs"/>
                  </a:defRPr>
                </a:pPr>
                <a:r>
                  <a:rPr lang="zh-CN"/>
                  <a:t> </a:t>
                </a:r>
                <a:endParaRPr lang="en-US" sz="1100"/>
              </a:p>
            </c:rich>
          </c:tx>
          <c:layout/>
          <c:overlay val="0"/>
        </c:title>
        <c:numFmt formatCode="General"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63440640"/>
        <c:crosses val="autoZero"/>
        <c:crossBetween val="between"/>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a18be2a1-d4f2-4b64-933b-41bea2d67710}"/>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一般公共预算财政拨款支出决算结构图</a:t>
            </a:r>
          </a:p>
        </c:rich>
      </c:tx>
      <c:layout/>
      <c:overlay val="0"/>
      <c:spPr>
        <a:noFill/>
        <a:ln>
          <a:noFill/>
        </a:ln>
        <a:effectLst/>
      </c:spPr>
    </c:title>
    <c:autoTitleDeleted val="0"/>
    <c:plotArea>
      <c:layout/>
      <c:pieChart>
        <c:varyColors val="1"/>
        <c:ser>
          <c:idx val="0"/>
          <c:order val="0"/>
          <c:tx>
            <c:strRef>
              <c:f>"2025"</c:f>
              <c:strCache>
                <c:ptCount val="1"/>
                <c:pt idx="0">
                  <c:v>2025</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Lbls>
            <c:dLbl>
              <c:idx val="1"/>
              <c:layout>
                <c:manualLayout>
                  <c:x val="0.0492481216135493"/>
                  <c:y val="0.0258358994736868"/>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dLbl>
              <c:idx val="2"/>
              <c:layout>
                <c:manualLayout>
                  <c:x val="0.0192173988312722"/>
                  <c:y val="0.0205283823744269"/>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dLbl>
              <c:idx val="3"/>
              <c:layout>
                <c:manualLayout>
                  <c:x val="0.0249333972689862"/>
                  <c:y val="0.0249233648501759"/>
                </c:manualLayout>
              </c:layout>
              <c:dLblPos val="bestFit"/>
              <c:showLegendKey val="0"/>
              <c:showVal val="1"/>
              <c:showCatName val="0"/>
              <c:showSerName val="0"/>
              <c:showPercent val="0"/>
              <c:showBubbleSize val="0"/>
              <c:extLst>
                <c:ext xmlns:c15="http://schemas.microsoft.com/office/drawing/2012/chart" uri="{CE6537A1-D6FC-4f65-9D91-7224C49458BB}">
                  <c15:layout/>
                </c:ext>
              </c:extLst>
            </c:dLbl>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extLst>
                <c:ext xmlns:c15="http://schemas.microsoft.com/office/drawing/2012/chart" uri="{02D57815-91ED-43cb-92C2-25804820EDAC}">
                  <c15:fullRef>
                    <c15:sqref>Sheet1!$A$2:$A$5</c15:sqref>
                  </c15:fullRef>
                </c:ext>
              </c:extLst>
              <c:f>Sheet1!$A$2:$A$5</c:f>
              <c:strCache>
                <c:ptCount val="4"/>
                <c:pt idx="0">
                  <c:v>一般公共服务支出</c:v>
                </c:pt>
                <c:pt idx="1">
                  <c:v>社会保障和就业支出</c:v>
                </c:pt>
                <c:pt idx="2">
                  <c:v>卫生健康支出</c:v>
                </c:pt>
                <c:pt idx="3">
                  <c:v>住房保障支出</c:v>
                </c:pt>
              </c:strCache>
            </c:strRef>
          </c:cat>
          <c:val>
            <c:numRef>
              <c:extLst>
                <c:ext xmlns:c15="http://schemas.microsoft.com/office/drawing/2012/chart" uri="{02D57815-91ED-43cb-92C2-25804820EDAC}">
                  <c15:fullRef>
                    <c15:sqref>Sheet1!$B$2:$B$5</c15:sqref>
                  </c15:fullRef>
                </c:ext>
              </c:extLst>
              <c:f>Sheet1!$B$2:$B$5</c:f>
              <c:numCache>
                <c:formatCode>General</c:formatCode>
                <c:ptCount val="4"/>
                <c:pt idx="0">
                  <c:v>586.86</c:v>
                </c:pt>
                <c:pt idx="1">
                  <c:v>31.88</c:v>
                </c:pt>
                <c:pt idx="2">
                  <c:v>11.12</c:v>
                </c:pt>
                <c:pt idx="3">
                  <c:v>16.15</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11145966709347"/>
          <c:y val="0.870128240139246"/>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5900077e-c8ef-4c6d-9060-02dd9df21f99}"/>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rtlCol="0" anchor="t" anchorCtr="1"/>
          <a:lstStyle/>
          <a:p>
            <a:pPr algn="l">
              <a:defRPr lang="zh-CN" sz="1800" b="1" i="0" u="none" strike="noStrike" kern="1200" baseline="0">
                <a:solidFill>
                  <a:schemeClr val="tx1"/>
                </a:solidFill>
                <a:latin typeface="+mn-lt"/>
                <a:ea typeface="+mn-ea"/>
                <a:cs typeface="+mn-cs"/>
              </a:defRPr>
            </a:pPr>
            <a:r>
              <a:rPr lang="zh-CN"/>
              <a:t>三公经费</a:t>
            </a:r>
            <a:endParaRPr lang="en-US" sz="1100"/>
          </a:p>
        </c:rich>
      </c:tx>
      <c:layout/>
      <c:overlay val="0"/>
    </c:title>
    <c:autoTitleDeleted val="0"/>
    <c:plotArea>
      <c:layout/>
      <c:pieChart>
        <c:varyColors val="1"/>
        <c:ser>
          <c:idx val="1"/>
          <c:order val="0"/>
          <c:explosion val="0"/>
          <c:dPt>
            <c:idx val="0"/>
            <c:bubble3D val="0"/>
          </c:dPt>
          <c:dPt>
            <c:idx val="1"/>
            <c:bubble3D val="0"/>
          </c:dPt>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ext>
            </c:extLst>
          </c:dLbls>
          <c:cat>
            <c:strRef>
              <c:f>{"因公出国（境）费","公务用车购置及运行维护费","公务接待费"}</c:f>
              <c:strCache>
                <c:ptCount val="3"/>
                <c:pt idx="0">
                  <c:v>因公出国（境）费</c:v>
                </c:pt>
                <c:pt idx="1">
                  <c:v>公务用车购置及运行维护费</c:v>
                </c:pt>
                <c:pt idx="2">
                  <c:v>公务接待费</c:v>
                </c:pt>
              </c:strCache>
            </c:strRef>
          </c:cat>
          <c:val>
            <c:numRef>
              <c:f>{6.78,239.75}</c:f>
              <c:numCache>
                <c:formatCode>General</c:formatCode>
                <c:ptCount val="2"/>
                <c:pt idx="0">
                  <c:v>6.78</c:v>
                </c:pt>
                <c:pt idx="1">
                  <c:v>239.75</c:v>
                </c:pt>
              </c:numCache>
            </c:numRef>
          </c:val>
        </c:ser>
        <c:dLbls>
          <c:showLegendKey val="0"/>
          <c:showVal val="1"/>
          <c:showCatName val="0"/>
          <c:showSerName val="0"/>
          <c:showPercent val="0"/>
          <c:showBubbleSize val="0"/>
          <c:showLeaderLines val="1"/>
        </c:dLbls>
        <c:firstSliceAng val="0"/>
      </c:pieChart>
    </c:plotArea>
    <c:legend>
      <c:legendPos val="r"/>
      <c:layout/>
      <c:overlay val="0"/>
      <c:txPr>
        <a:bodyPr rot="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legend>
    <c:plotVisOnly val="1"/>
    <c:dispBlanksAs val="zero"/>
    <c:showDLblsOverMax val="0"/>
    <c:extLst>
      <c:ext uri="{0b15fc19-7d7d-44ad-8c2d-2c3a37ce22c3}">
        <chartProps xmlns="https://web.wps.cn/et/2018/main" chartId="{2d551882-3347-4d03-b4dc-dde2130515b9}"/>
      </c:ext>
    </c:extLst>
  </c:chart>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4FC5A5-8DE4-4565-B639-6D345C1D7E6D}">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29</Pages>
  <Words>8649</Words>
  <Characters>9619</Characters>
  <Lines>48</Lines>
  <Paragraphs>13</Paragraphs>
  <TotalTime>86</TotalTime>
  <ScaleCrop>false</ScaleCrop>
  <LinksUpToDate>false</LinksUpToDate>
  <CharactersWithSpaces>9772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2023-08-18T07:28:00Z</dcterms:created>
  <dc:creator>pjf</dc:creator>
  <cp:lastModifiedBy>2046.</cp:lastModifiedBy>
  <cp:lastPrinted>2021-09-26T08:39:00Z</cp:lastPrinted>
  <dcterms:modified xsi:type="dcterms:W3CDTF">2026-10-27T04:14:52Z</dcterms:modified>
  <dc:title>四川省决算编制说明</dc:title>
  <cp:revision>48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B93CA6F4BEAD4F359769D1203595D585</vt:lpwstr>
  </property>
  <property fmtid="{D5CDD505-2E9C-101B-9397-08002B2CF9AE}" pid="4" name="KSOTemplateDocerSaveRecord">
    <vt:lpwstr>eyJoZGlkIjoiMDYxNTExODc5ZjI0OWY0NGM0MzhkMmU0NmVmNTRmODkiLCJ1c2VySWQiOiI0NzE1NTYwODYifQ==</vt:lpwstr>
  </property>
</Properties>
</file>