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rPr>
          <w:rFonts w:ascii="黑体" w:hAnsi="黑体" w:eastAsia="黑体" w:cs="黑体"/>
          <w:kern w:val="2"/>
          <w:sz w:val="32"/>
          <w:szCs w:val="32"/>
        </w:rPr>
      </w:pPr>
      <w:bookmarkStart w:id="0" w:name="_Toc15377193"/>
      <w:bookmarkStart w:id="1" w:name="_Toc15396475"/>
      <w:bookmarkStart w:id="2" w:name="_Toc15378441"/>
      <w:bookmarkStart w:id="3" w:name="_Toc15396597"/>
      <w:bookmarkStart w:id="4" w:name="_Toc15306267"/>
      <w:bookmarkStart w:id="5" w:name="_Toc15377425"/>
    </w:p>
    <w:p>
      <w:pPr>
        <w:pStyle w:val="8"/>
        <w:rPr>
          <w:rFonts w:ascii="Times New Roman" w:hAnsi="Times New Roman" w:eastAsia="方正小标宋简体"/>
          <w:kern w:val="2"/>
          <w:sz w:val="72"/>
          <w:szCs w:val="72"/>
        </w:rPr>
      </w:pPr>
    </w:p>
    <w:p>
      <w:pPr>
        <w:pStyle w:val="8"/>
        <w:rPr>
          <w:rFonts w:ascii="Times New Roman" w:hAnsi="Times New Roman" w:eastAsia="方正小标宋简体"/>
          <w:kern w:val="2"/>
          <w:sz w:val="72"/>
          <w:szCs w:val="72"/>
        </w:rPr>
      </w:pPr>
    </w:p>
    <w:p>
      <w:pPr>
        <w:pStyle w:val="8"/>
        <w:rPr>
          <w:rFonts w:ascii="Times New Roman" w:hAnsi="Times New Roman" w:eastAsia="方正小标宋简体"/>
          <w:kern w:val="2"/>
          <w:sz w:val="72"/>
          <w:szCs w:val="72"/>
        </w:rPr>
      </w:pPr>
    </w:p>
    <w:p>
      <w:pPr>
        <w:pStyle w:val="8"/>
        <w:rPr>
          <w:rFonts w:ascii="Times New Roman" w:hAnsi="Times New Roman" w:eastAsia="方正小标宋简体"/>
          <w:kern w:val="2"/>
          <w:sz w:val="72"/>
          <w:szCs w:val="72"/>
        </w:rPr>
      </w:pPr>
    </w:p>
    <w:p>
      <w:pPr>
        <w:pStyle w:val="15"/>
        <w:keepNext w:val="0"/>
        <w:keepLines w:val="0"/>
        <w:pageBreakBefore w:val="0"/>
        <w:widowControl/>
        <w:shd w:val="clear" w:color="auto" w:fill="FFFFFF"/>
        <w:kinsoku/>
        <w:wordWrap/>
        <w:overflowPunct/>
        <w:topLinePunct w:val="0"/>
        <w:autoSpaceDE/>
        <w:autoSpaceDN/>
        <w:adjustRightInd/>
        <w:snapToGrid w:val="0"/>
        <w:spacing w:line="576" w:lineRule="exact"/>
        <w:ind w:firstLine="3080" w:firstLineChars="700"/>
        <w:jc w:val="both"/>
        <w:outlineLvl w:val="0"/>
        <w:rPr>
          <w:rFonts w:hint="eastAsia" w:ascii="方正小标宋_GBK" w:hAnsi="方正小标宋_GBK" w:eastAsia="方正小标宋_GBK" w:cs="方正小标宋_GBK"/>
          <w:sz w:val="44"/>
          <w:szCs w:val="44"/>
          <w:shd w:val="clear" w:color="auto" w:fill="FFFFFF"/>
          <w:lang w:eastAsia="zh-CN"/>
        </w:rPr>
      </w:pPr>
      <w:bookmarkStart w:id="6" w:name="_Toc12780"/>
      <w:r>
        <w:rPr>
          <w:rFonts w:hint="eastAsia" w:ascii="方正小标宋_GBK" w:hAnsi="方正小标宋_GBK" w:eastAsia="方正小标宋_GBK" w:cs="方正小标宋_GBK"/>
          <w:sz w:val="44"/>
          <w:szCs w:val="44"/>
          <w:shd w:val="clear" w:color="auto" w:fill="FFFFFF"/>
          <w:lang w:val="en-US" w:eastAsia="zh-CN"/>
        </w:rPr>
        <w:t>202</w:t>
      </w:r>
      <w:r>
        <w:rPr>
          <w:rFonts w:ascii="方正小标宋_GBK" w:hAnsi="方正小标宋_GBK" w:eastAsia="方正小标宋_GBK" w:cs="方正小标宋_GBK"/>
          <w:sz w:val="44"/>
          <w:szCs w:val="44"/>
          <w:shd w:val="clear" w:color="auto" w:fill="FFFFFF"/>
          <w:lang w:val="en-US" w:eastAsia="zh-CN"/>
        </w:rPr>
        <w:t>5</w:t>
      </w:r>
      <w:r>
        <w:rPr>
          <w:rFonts w:hint="eastAsia" w:ascii="方正小标宋_GBK" w:hAnsi="方正小标宋_GBK" w:eastAsia="方正小标宋_GBK" w:cs="方正小标宋_GBK"/>
          <w:sz w:val="44"/>
          <w:szCs w:val="44"/>
          <w:shd w:val="clear" w:color="auto" w:fill="FFFFFF"/>
          <w:lang w:eastAsia="zh-CN"/>
        </w:rPr>
        <w:t>年度</w:t>
      </w:r>
      <w:bookmarkEnd w:id="6"/>
    </w:p>
    <w:p>
      <w:pPr>
        <w:pStyle w:val="15"/>
        <w:keepNext w:val="0"/>
        <w:keepLines w:val="0"/>
        <w:pageBreakBefore w:val="0"/>
        <w:widowControl/>
        <w:shd w:val="clear" w:color="auto" w:fill="FFFFFF"/>
        <w:kinsoku/>
        <w:wordWrap/>
        <w:overflowPunct/>
        <w:topLinePunct w:val="0"/>
        <w:autoSpaceDE/>
        <w:autoSpaceDN/>
        <w:adjustRightInd/>
        <w:snapToGrid w:val="0"/>
        <w:spacing w:line="576" w:lineRule="exact"/>
        <w:jc w:val="center"/>
        <w:outlineLvl w:val="0"/>
        <w:rPr>
          <w:rFonts w:hint="eastAsia" w:ascii="方正小标宋_GBK" w:hAnsi="方正小标宋_GBK" w:eastAsia="方正小标宋_GBK" w:cs="方正小标宋_GBK"/>
          <w:sz w:val="44"/>
          <w:szCs w:val="44"/>
          <w:shd w:val="clear" w:color="auto" w:fill="FFFFFF"/>
          <w:lang w:eastAsia="zh-CN"/>
        </w:rPr>
      </w:pPr>
      <w:bookmarkStart w:id="7" w:name="_Toc41"/>
      <w:bookmarkStart w:id="8" w:name="_Toc7086"/>
      <w:r>
        <w:rPr>
          <w:rFonts w:hint="eastAsia" w:ascii="方正小标宋_GBK" w:hAnsi="方正小标宋_GBK" w:eastAsia="方正小标宋_GBK" w:cs="方正小标宋_GBK"/>
          <w:sz w:val="44"/>
          <w:szCs w:val="44"/>
          <w:shd w:val="clear" w:color="auto" w:fill="FFFFFF"/>
          <w:lang w:eastAsia="zh-CN"/>
        </w:rPr>
        <w:t>中共阿坝州红原县党史研究和地方志</w:t>
      </w:r>
      <w:bookmarkEnd w:id="7"/>
    </w:p>
    <w:p>
      <w:pPr>
        <w:pStyle w:val="15"/>
        <w:keepNext w:val="0"/>
        <w:keepLines w:val="0"/>
        <w:pageBreakBefore w:val="0"/>
        <w:widowControl/>
        <w:shd w:val="clear" w:color="auto" w:fill="FFFFFF"/>
        <w:kinsoku/>
        <w:wordWrap/>
        <w:overflowPunct/>
        <w:topLinePunct w:val="0"/>
        <w:autoSpaceDE/>
        <w:autoSpaceDN/>
        <w:adjustRightInd/>
        <w:snapToGrid w:val="0"/>
        <w:spacing w:line="576" w:lineRule="exact"/>
        <w:jc w:val="center"/>
        <w:outlineLvl w:val="0"/>
        <w:rPr>
          <w:rFonts w:hint="eastAsia" w:ascii="方正小标宋_GBK" w:hAnsi="方正小标宋_GBK" w:eastAsia="方正小标宋_GBK" w:cs="方正小标宋_GBK"/>
          <w:sz w:val="44"/>
          <w:szCs w:val="44"/>
        </w:rPr>
      </w:pPr>
      <w:bookmarkStart w:id="9" w:name="_Toc1175"/>
      <w:r>
        <w:rPr>
          <w:rFonts w:hint="eastAsia" w:ascii="方正小标宋_GBK" w:hAnsi="方正小标宋_GBK" w:eastAsia="方正小标宋_GBK" w:cs="方正小标宋_GBK"/>
          <w:sz w:val="44"/>
          <w:szCs w:val="44"/>
          <w:shd w:val="clear" w:color="auto" w:fill="FFFFFF"/>
          <w:lang w:eastAsia="zh-CN"/>
        </w:rPr>
        <w:t>编纂中心部门决算</w:t>
      </w:r>
      <w:bookmarkEnd w:id="8"/>
      <w:bookmarkEnd w:id="9"/>
    </w:p>
    <w:p>
      <w:pPr>
        <w:pStyle w:val="15"/>
        <w:shd w:val="clear" w:color="auto" w:fill="FFFFFF"/>
        <w:snapToGrid w:val="0"/>
        <w:ind w:firstLine="900" w:firstLineChars="300"/>
        <w:jc w:val="both"/>
        <w:rPr>
          <w:rFonts w:hint="eastAsia" w:ascii="仿宋_GB2312" w:hAnsi="仿宋_GB2312" w:eastAsia="仿宋_GB2312" w:cs="仿宋_GB2312"/>
          <w:snapToGrid w:val="0"/>
          <w:sz w:val="30"/>
          <w:szCs w:val="30"/>
          <w:shd w:val="clear" w:color="auto" w:fill="FFFFFF"/>
          <w:lang w:eastAsia="zh-CN"/>
        </w:rPr>
      </w:pPr>
    </w:p>
    <w:p>
      <w:pPr>
        <w:pStyle w:val="15"/>
        <w:shd w:val="clear" w:color="auto" w:fill="FFFFFF"/>
        <w:snapToGrid w:val="0"/>
        <w:ind w:firstLine="900" w:firstLineChars="300"/>
        <w:jc w:val="both"/>
        <w:rPr>
          <w:rFonts w:hint="eastAsia" w:ascii="仿宋_GB2312" w:hAnsi="仿宋_GB2312" w:eastAsia="仿宋_GB2312" w:cs="仿宋_GB2312"/>
          <w:snapToGrid w:val="0"/>
          <w:sz w:val="30"/>
          <w:szCs w:val="30"/>
          <w:shd w:val="clear" w:color="auto" w:fill="FFFFFF"/>
          <w:lang w:eastAsia="zh-CN"/>
        </w:rPr>
      </w:pPr>
    </w:p>
    <w:p>
      <w:pPr>
        <w:pStyle w:val="15"/>
        <w:shd w:val="clear" w:color="auto" w:fill="FFFFFF"/>
        <w:snapToGrid w:val="0"/>
        <w:ind w:firstLine="1280" w:firstLineChars="400"/>
        <w:jc w:val="both"/>
        <w:rPr>
          <w:rFonts w:hint="eastAsia" w:ascii="仿宋_GB2312" w:hAnsi="仿宋_GB2312" w:eastAsia="仿宋_GB2312" w:cs="仿宋_GB2312"/>
          <w:sz w:val="32"/>
          <w:szCs w:val="32"/>
        </w:rPr>
      </w:pPr>
    </w:p>
    <w:p>
      <w:pPr>
        <w:widowControl/>
        <w:jc w:val="center"/>
        <w:rPr>
          <w:rFonts w:hint="eastAsia" w:ascii="仿宋" w:hAnsi="仿宋" w:eastAsia="仿宋" w:cs="仿宋"/>
          <w:sz w:val="30"/>
          <w:szCs w:val="30"/>
        </w:rPr>
      </w:pPr>
    </w:p>
    <w:p>
      <w:pPr>
        <w:widowControl/>
        <w:jc w:val="center"/>
        <w:rPr>
          <w:rFonts w:hint="eastAsia" w:ascii="仿宋" w:hAnsi="仿宋" w:eastAsia="仿宋" w:cs="仿宋"/>
          <w:sz w:val="30"/>
          <w:szCs w:val="30"/>
        </w:rPr>
      </w:pPr>
    </w:p>
    <w:p>
      <w:pPr>
        <w:widowControl/>
        <w:jc w:val="center"/>
        <w:rPr>
          <w:rFonts w:hint="eastAsia" w:ascii="仿宋" w:hAnsi="仿宋" w:eastAsia="仿宋" w:cs="仿宋"/>
          <w:sz w:val="30"/>
          <w:szCs w:val="30"/>
        </w:rPr>
      </w:pPr>
    </w:p>
    <w:p>
      <w:pPr>
        <w:pStyle w:val="13"/>
        <w:ind w:firstLine="1800" w:firstLineChars="600"/>
        <w:jc w:val="both"/>
        <w:rPr>
          <w:rFonts w:ascii="Times New Roman" w:hAnsi="Times New Roman"/>
        </w:rPr>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pPr>
      <w:r>
        <w:rPr>
          <w:rFonts w:hint="eastAsia" w:ascii="仿宋" w:hAnsi="仿宋" w:eastAsia="仿宋" w:cs="仿宋"/>
          <w:sz w:val="30"/>
          <w:szCs w:val="30"/>
        </w:rPr>
        <w:t>公开时间：202</w:t>
      </w:r>
      <w:r>
        <w:rPr>
          <w:rFonts w:ascii="仿宋" w:hAnsi="仿宋" w:eastAsia="仿宋" w:cs="仿宋"/>
          <w:sz w:val="30"/>
          <w:szCs w:val="30"/>
        </w:rPr>
        <w:t>6</w:t>
      </w:r>
      <w:r>
        <w:rPr>
          <w:rFonts w:hint="eastAsia" w:ascii="仿宋" w:hAnsi="仿宋" w:eastAsia="仿宋" w:cs="仿宋"/>
          <w:sz w:val="30"/>
          <w:szCs w:val="30"/>
        </w:rPr>
        <w:t>年</w:t>
      </w:r>
      <w:r>
        <w:rPr>
          <w:rFonts w:ascii="仿宋" w:hAnsi="仿宋" w:eastAsia="仿宋" w:cs="仿宋"/>
          <w:sz w:val="30"/>
          <w:szCs w:val="30"/>
        </w:rPr>
        <w:t>10</w:t>
      </w:r>
      <w:r>
        <w:rPr>
          <w:rFonts w:hint="eastAsia" w:ascii="仿宋" w:hAnsi="仿宋" w:eastAsia="仿宋" w:cs="仿宋"/>
          <w:sz w:val="30"/>
          <w:szCs w:val="30"/>
        </w:rPr>
        <w:t>月</w:t>
      </w:r>
      <w:r>
        <w:rPr>
          <w:rFonts w:hint="eastAsia" w:cs="仿宋"/>
          <w:sz w:val="30"/>
          <w:szCs w:val="30"/>
          <w:lang w:val="en-US" w:eastAsia="zh-CN"/>
        </w:rPr>
        <w:t>2</w:t>
      </w:r>
      <w:r>
        <w:rPr>
          <w:rFonts w:cs="仿宋"/>
          <w:sz w:val="30"/>
          <w:szCs w:val="30"/>
          <w:lang w:val="en-US" w:eastAsia="zh-CN"/>
        </w:rPr>
        <w:t>6</w:t>
      </w:r>
      <w:r>
        <w:rPr>
          <w:rFonts w:hint="eastAsia" w:ascii="仿宋" w:hAnsi="仿宋" w:eastAsia="仿宋" w:cs="仿宋"/>
          <w:sz w:val="30"/>
          <w:szCs w:val="30"/>
        </w:rPr>
        <w:t>日</w:t>
      </w:r>
    </w:p>
    <w:bookmarkEnd w:id="0"/>
    <w:bookmarkEnd w:id="1"/>
    <w:bookmarkEnd w:id="2"/>
    <w:bookmarkEnd w:id="3"/>
    <w:bookmarkEnd w:id="4"/>
    <w:bookmarkEnd w:id="5"/>
    <w:p>
      <w:pPr>
        <w:pStyle w:val="5"/>
        <w:jc w:val="center"/>
        <w:rPr>
          <w:rStyle w:val="20"/>
          <w:rFonts w:eastAsia="方正小标宋简体" w:cs="方正小标宋简体"/>
          <w:b/>
          <w:bCs w:val="0"/>
        </w:rPr>
      </w:pPr>
      <w:bookmarkStart w:id="10" w:name="_Toc15396599"/>
      <w:bookmarkStart w:id="11" w:name="_Toc15377196"/>
      <w:r>
        <w:rPr>
          <w:rFonts w:hint="eastAsia" w:eastAsia="方正小标宋简体" w:cs="方正小标宋简体"/>
          <w:b w:val="0"/>
        </w:rPr>
        <w:t xml:space="preserve">第一部分  </w:t>
      </w:r>
      <w:r>
        <w:rPr>
          <w:rStyle w:val="20"/>
          <w:rFonts w:hint="eastAsia" w:eastAsia="方正小标宋简体" w:cs="方正小标宋简体"/>
          <w:b w:val="0"/>
          <w:bCs w:val="0"/>
        </w:rPr>
        <w:t>部门概况</w:t>
      </w:r>
      <w:bookmarkEnd w:id="10"/>
      <w:bookmarkEnd w:id="11"/>
    </w:p>
    <w:p>
      <w:pPr>
        <w:widowControl/>
        <w:jc w:val="left"/>
        <w:rPr>
          <w:rFonts w:eastAsia="黑体"/>
          <w:sz w:val="32"/>
          <w:szCs w:val="32"/>
        </w:rPr>
      </w:pPr>
    </w:p>
    <w:p>
      <w:pPr>
        <w:spacing w:line="600" w:lineRule="exact"/>
        <w:ind w:firstLine="640" w:firstLineChars="200"/>
        <w:outlineLvl w:val="1"/>
        <w:rPr>
          <w:rFonts w:hint="eastAsia" w:ascii="Times New Roman" w:hAnsi="Times New Roman" w:eastAsia="黑体" w:cs="Times New Roman"/>
          <w:sz w:val="32"/>
          <w:szCs w:val="32"/>
        </w:rPr>
      </w:pPr>
      <w:r>
        <w:rPr>
          <w:rFonts w:hint="eastAsia" w:ascii="Times New Roman" w:hAnsi="Times New Roman" w:eastAsia="黑体" w:cs="Times New Roman"/>
          <w:sz w:val="32"/>
          <w:szCs w:val="32"/>
        </w:rPr>
        <w:t>一、部门职责</w:t>
      </w:r>
    </w:p>
    <w:p>
      <w:pPr>
        <w:spacing w:line="560" w:lineRule="atLeast"/>
        <w:ind w:firstLine="640" w:firstLineChars="200"/>
        <w:rPr>
          <w:rFonts w:hint="eastAsia" w:ascii="仿宋_GB2312" w:hAnsi="仿宋_GB2312" w:eastAsia="仿宋_GB2312" w:cs="仿宋_GB2312"/>
          <w:sz w:val="32"/>
          <w:szCs w:val="32"/>
          <w:shd w:val="clear" w:color="auto" w:fill="auto"/>
        </w:rPr>
      </w:pPr>
      <w:r>
        <w:rPr>
          <w:rFonts w:hint="eastAsia" w:ascii="仿宋_GB2312" w:hAnsi="仿宋_GB2312" w:eastAsia="仿宋_GB2312" w:cs="仿宋_GB2312"/>
          <w:sz w:val="32"/>
          <w:szCs w:val="32"/>
          <w:shd w:val="clear" w:color="auto" w:fill="auto"/>
        </w:rPr>
        <w:t>贯彻执行国家和省、州有关党史研究和地方志工作的方针、政策和法规；制定我县党史研究和地方志工作、综合年鉴的具体规划、管理办法，并组织实施。负责收集、整理党的文献、资料和文物，指导乡镇和县直各部门做好党史资料的收集和整理工作。负责编写我县各个历史时期的党史大事记、专题材料和党史人物传等。负责全县党史和地情资料收集、地情咨询服务。负责组织、协调，指导全县地方志和综合年鉴编修和检查、督促工，负责乡镇志业务指导和验收工作等，同是完成县委县政府交办的其他工作。</w:t>
      </w:r>
      <w:bookmarkStart w:id="12" w:name="_Toc15377200"/>
      <w:bookmarkStart w:id="13" w:name="_Toc15396601"/>
    </w:p>
    <w:p>
      <w:pPr>
        <w:spacing w:line="600" w:lineRule="exact"/>
        <w:ind w:firstLine="640" w:firstLineChars="200"/>
        <w:outlineLvl w:val="1"/>
        <w:rPr>
          <w:rFonts w:hint="eastAsia" w:ascii="Times New Roman" w:hAnsi="Times New Roman" w:eastAsia="黑体" w:cs="Times New Roman"/>
          <w:sz w:val="32"/>
          <w:szCs w:val="32"/>
        </w:rPr>
      </w:pPr>
      <w:r>
        <w:rPr>
          <w:rFonts w:hint="eastAsia" w:ascii="Times New Roman" w:hAnsi="Times New Roman" w:eastAsia="黑体" w:cs="Times New Roman"/>
          <w:sz w:val="32"/>
          <w:szCs w:val="32"/>
        </w:rPr>
        <w:t>二、机构设置</w:t>
      </w:r>
      <w:bookmarkEnd w:id="12"/>
      <w:bookmarkEnd w:id="13"/>
    </w:p>
    <w:p>
      <w:pPr>
        <w:spacing w:line="560" w:lineRule="atLeast"/>
        <w:ind w:firstLine="640" w:firstLineChars="200"/>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rPr>
        <w:t>红原县党史研究和地方志编纂中心下属二级预算单位</w:t>
      </w:r>
      <w:r>
        <w:rPr>
          <w:rFonts w:hint="eastAsia" w:ascii="仿宋_GB2312" w:hAnsi="仿宋_GB2312" w:eastAsia="仿宋_GB2312" w:cs="仿宋_GB2312"/>
          <w:sz w:val="32"/>
          <w:szCs w:val="32"/>
          <w:shd w:val="clear" w:color="auto" w:fill="auto"/>
          <w:lang w:val="en-US"/>
        </w:rPr>
        <w:t>0</w:t>
      </w:r>
      <w:r>
        <w:rPr>
          <w:rFonts w:hint="eastAsia" w:ascii="仿宋_GB2312" w:hAnsi="仿宋_GB2312" w:eastAsia="仿宋_GB2312" w:cs="仿宋_GB2312"/>
          <w:sz w:val="32"/>
          <w:szCs w:val="32"/>
          <w:shd w:val="clear" w:color="auto" w:fill="auto"/>
        </w:rPr>
        <w:t>个，其中行政单位</w:t>
      </w:r>
      <w:r>
        <w:rPr>
          <w:rFonts w:hint="eastAsia" w:ascii="仿宋_GB2312" w:hAnsi="仿宋_GB2312" w:eastAsia="仿宋_GB2312" w:cs="仿宋_GB2312"/>
          <w:sz w:val="32"/>
          <w:szCs w:val="32"/>
          <w:shd w:val="clear" w:color="auto" w:fill="auto"/>
          <w:lang w:val="en-US"/>
        </w:rPr>
        <w:t>0</w:t>
      </w:r>
      <w:r>
        <w:rPr>
          <w:rFonts w:hint="eastAsia" w:ascii="仿宋_GB2312" w:hAnsi="仿宋_GB2312" w:eastAsia="仿宋_GB2312" w:cs="仿宋_GB2312"/>
          <w:sz w:val="32"/>
          <w:szCs w:val="32"/>
          <w:shd w:val="clear" w:color="auto" w:fill="auto"/>
        </w:rPr>
        <w:t>个，参照公务员法管理的事业单</w:t>
      </w:r>
      <w:r>
        <w:rPr>
          <w:rFonts w:hint="eastAsia" w:ascii="仿宋_GB2312" w:hAnsi="仿宋_GB2312" w:eastAsia="仿宋_GB2312" w:cs="仿宋_GB2312"/>
          <w:sz w:val="32"/>
          <w:szCs w:val="32"/>
          <w:shd w:val="clear" w:color="auto" w:fill="auto"/>
          <w:lang w:val="en-US"/>
        </w:rPr>
        <w:t>0</w:t>
      </w:r>
      <w:r>
        <w:rPr>
          <w:rFonts w:hint="eastAsia" w:ascii="仿宋_GB2312" w:hAnsi="仿宋_GB2312" w:eastAsia="仿宋_GB2312" w:cs="仿宋_GB2312"/>
          <w:sz w:val="32"/>
          <w:szCs w:val="32"/>
          <w:shd w:val="clear" w:color="auto" w:fill="auto"/>
        </w:rPr>
        <w:t>个，其他事业单位</w:t>
      </w:r>
      <w:r>
        <w:rPr>
          <w:rFonts w:hint="eastAsia" w:ascii="仿宋_GB2312" w:hAnsi="仿宋_GB2312" w:eastAsia="仿宋_GB2312" w:cs="仿宋_GB2312"/>
          <w:sz w:val="32"/>
          <w:szCs w:val="32"/>
          <w:shd w:val="clear" w:color="auto" w:fill="auto"/>
          <w:lang w:val="en-US"/>
        </w:rPr>
        <w:t>0</w:t>
      </w:r>
      <w:r>
        <w:rPr>
          <w:rFonts w:hint="eastAsia" w:ascii="仿宋_GB2312" w:hAnsi="仿宋_GB2312" w:eastAsia="仿宋_GB2312" w:cs="仿宋_GB2312"/>
          <w:sz w:val="32"/>
          <w:szCs w:val="32"/>
          <w:shd w:val="clear" w:color="auto" w:fill="auto"/>
        </w:rPr>
        <w:t>个。纳入红原县党史研究和地方志编纂中心2025年度部门决算编制范围的二级预算单位</w:t>
      </w:r>
      <w:r>
        <w:rPr>
          <w:rFonts w:hint="eastAsia" w:ascii="仿宋_GB2312" w:hAnsi="仿宋_GB2312" w:eastAsia="仿宋_GB2312" w:cs="仿宋_GB2312"/>
          <w:sz w:val="32"/>
          <w:szCs w:val="32"/>
          <w:shd w:val="clear" w:color="auto" w:fill="auto"/>
          <w:lang w:val="en-US"/>
        </w:rPr>
        <w:t>0个</w:t>
      </w:r>
      <w:r>
        <w:rPr>
          <w:rFonts w:hint="eastAsia" w:ascii="仿宋_GB2312" w:hAnsi="仿宋_GB2312" w:eastAsia="仿宋_GB2312" w:cs="仿宋_GB2312"/>
          <w:sz w:val="32"/>
          <w:szCs w:val="32"/>
          <w:shd w:val="clear" w:color="auto" w:fill="auto"/>
          <w:lang w:val="en-US" w:eastAsia="zh-CN"/>
        </w:rPr>
        <w:t>。</w:t>
      </w:r>
    </w:p>
    <w:p>
      <w:pPr>
        <w:spacing w:line="560" w:lineRule="atLeast"/>
        <w:ind w:firstLine="640" w:firstLineChars="200"/>
        <w:rPr>
          <w:rFonts w:hint="eastAsia" w:ascii="仿宋_GB2312" w:hAnsi="仿宋_GB2312" w:eastAsia="仿宋_GB2312" w:cs="仿宋_GB2312"/>
          <w:sz w:val="32"/>
          <w:szCs w:val="32"/>
          <w:shd w:val="clear" w:color="auto" w:fill="auto"/>
        </w:rPr>
      </w:pPr>
    </w:p>
    <w:p>
      <w:pPr>
        <w:spacing w:line="600" w:lineRule="exact"/>
        <w:ind w:firstLine="640" w:firstLineChars="200"/>
        <w:outlineLvl w:val="1"/>
        <w:rPr>
          <w:rFonts w:hint="eastAsia" w:ascii="Times New Roman" w:hAnsi="Times New Roman" w:eastAsia="黑体" w:cs="Times New Roman"/>
          <w:sz w:val="32"/>
          <w:szCs w:val="32"/>
        </w:rPr>
      </w:pPr>
      <w:r>
        <w:rPr>
          <w:rFonts w:hint="eastAsia" w:ascii="Times New Roman" w:hAnsi="Times New Roman" w:eastAsia="黑体" w:cs="Times New Roman"/>
          <w:sz w:val="32"/>
          <w:szCs w:val="32"/>
        </w:rPr>
        <w:br w:type="page"/>
      </w:r>
    </w:p>
    <w:p>
      <w:pPr>
        <w:pStyle w:val="5"/>
        <w:keepNext/>
        <w:keepLines/>
        <w:pageBreakBefore w:val="0"/>
        <w:widowControl w:val="0"/>
        <w:kinsoku/>
        <w:wordWrap/>
        <w:overflowPunct/>
        <w:topLinePunct w:val="0"/>
        <w:autoSpaceDE/>
        <w:autoSpaceDN/>
        <w:adjustRightInd/>
        <w:snapToGrid/>
        <w:spacing w:line="560" w:lineRule="atLeast"/>
        <w:ind w:left="0" w:right="440"/>
        <w:jc w:val="center"/>
        <w:rPr>
          <w:rFonts w:hint="eastAsia" w:ascii="方正小标宋_GBK" w:hAnsi="方正小标宋_GBK" w:eastAsia="方正小标宋_GBK" w:cs="方正小标宋_GBK"/>
          <w:b w:val="0"/>
          <w:shd w:val="clear" w:color="auto" w:fill="auto"/>
        </w:rPr>
      </w:pPr>
      <w:bookmarkStart w:id="14" w:name="_Toc15396602"/>
      <w:bookmarkStart w:id="15" w:name="_Toc15377204"/>
      <w:r>
        <w:rPr>
          <w:rFonts w:hint="eastAsia" w:ascii="方正小标宋_GBK" w:hAnsi="方正小标宋_GBK" w:eastAsia="方正小标宋_GBK" w:cs="方正小标宋_GBK"/>
          <w:b w:val="0"/>
          <w:shd w:val="clear" w:color="auto" w:fill="auto"/>
        </w:rPr>
        <w:t>第二部分  2025年度部门决算情况说明</w:t>
      </w:r>
      <w:bookmarkEnd w:id="14"/>
      <w:bookmarkEnd w:id="15"/>
    </w:p>
    <w:p>
      <w:pPr>
        <w:pStyle w:val="30"/>
        <w:pageBreakBefore w:val="0"/>
        <w:widowControl w:val="0"/>
        <w:kinsoku/>
        <w:wordWrap/>
        <w:overflowPunct/>
        <w:topLinePunct w:val="0"/>
        <w:autoSpaceDE/>
        <w:autoSpaceDN/>
        <w:adjustRightInd/>
        <w:snapToGrid/>
        <w:spacing w:line="560" w:lineRule="atLeast"/>
        <w:ind w:left="0"/>
        <w:outlineLvl w:val="1"/>
        <w:rPr>
          <w:rFonts w:hint="eastAsia" w:ascii="黑体" w:hAnsi="黑体" w:eastAsia="黑体"/>
          <w:b w:val="0"/>
          <w:color w:val="auto"/>
          <w:kern w:val="2"/>
          <w:sz w:val="32"/>
          <w:szCs w:val="32"/>
          <w:shd w:val="clear" w:color="auto" w:fill="auto"/>
        </w:rPr>
      </w:pPr>
      <w:bookmarkStart w:id="16" w:name="_Toc15396603"/>
      <w:bookmarkStart w:id="17" w:name="_Toc15377205"/>
      <w:r>
        <w:rPr>
          <w:rFonts w:hint="eastAsia" w:ascii="黑体" w:hAnsi="黑体" w:eastAsia="黑体"/>
          <w:b w:val="0"/>
          <w:color w:val="auto"/>
          <w:kern w:val="2"/>
          <w:sz w:val="32"/>
          <w:szCs w:val="32"/>
          <w:shd w:val="clear" w:color="auto" w:fill="auto"/>
        </w:rPr>
        <w:t>一、收入支出决算总体情况说明</w:t>
      </w:r>
      <w:bookmarkEnd w:id="16"/>
      <w:bookmarkEnd w:id="17"/>
    </w:p>
    <w:p>
      <w:pPr>
        <w:spacing w:line="560" w:lineRule="atLeas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2025</w:t>
      </w:r>
      <w:r>
        <w:rPr>
          <w:rFonts w:hint="eastAsia" w:ascii="仿宋_GB2312" w:hAnsi="仿宋_GB2312" w:eastAsia="仿宋_GB2312" w:cs="仿宋_GB2312"/>
          <w:sz w:val="32"/>
          <w:szCs w:val="32"/>
          <w:shd w:val="clear" w:color="auto" w:fill="auto"/>
        </w:rPr>
        <w:t>年度收、支总计为274万元。与2024年度相比，收、支增加3</w:t>
      </w:r>
      <w:r>
        <w:rPr>
          <w:rFonts w:hint="eastAsia" w:ascii="仿宋_GB2312" w:hAnsi="仿宋_GB2312" w:eastAsia="仿宋_GB2312" w:cs="仿宋_GB2312"/>
          <w:sz w:val="32"/>
          <w:szCs w:val="32"/>
        </w:rPr>
        <w:t>7万元，增加15.61%。</w:t>
      </w:r>
    </w:p>
    <w:p>
      <w:pPr>
        <w:pStyle w:val="2"/>
        <w:ind w:firstLine="640" w:firstLineChars="200"/>
        <w:rPr>
          <w:rFonts w:hint="eastAsia" w:ascii="仿宋_GB2312" w:hAnsi="仿宋_GB2312" w:eastAsia="仿宋_GB2312" w:cs="仿宋_GB231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shd w:val="clear" w:color="auto" w:fill="auto"/>
        </w:rPr>
        <w:t>图1：收、支决算总计变动情况图）（柱状图）</w:t>
      </w:r>
    </w:p>
    <w:p>
      <w:pPr>
        <w:pStyle w:val="28"/>
        <w:spacing w:line="600" w:lineRule="exact"/>
        <w:outlineLvl w:val="1"/>
        <w:rPr>
          <w:rFonts w:hint="eastAsia" w:ascii="仿宋_GB2312" w:hAnsi="仿宋_GB2312" w:eastAsia="仿宋_GB2312" w:cs="仿宋_GB2312"/>
          <w:sz w:val="32"/>
          <w:szCs w:val="32"/>
          <w:shd w:val="clear" w:color="auto" w:fill="auto"/>
        </w:rPr>
      </w:pPr>
    </w:p>
    <w:p>
      <w:pPr>
        <w:pStyle w:val="28"/>
        <w:spacing w:line="600" w:lineRule="exact"/>
        <w:ind w:left="0" w:firstLine="0" w:firstLineChars="0"/>
        <w:outlineLvl w:val="1"/>
        <w:rPr>
          <w:rFonts w:eastAsia="黑体"/>
          <w:sz w:val="32"/>
          <w:szCs w:val="32"/>
        </w:rPr>
      </w:pPr>
      <w:bookmarkStart w:id="18" w:name="_Toc15396604"/>
      <w:bookmarkStart w:id="19" w:name="_Toc15377206"/>
      <w:r>
        <w:rPr>
          <w:rFonts w:eastAsia="仿宋_GB2312" w:cs="仿宋_GB2312"/>
          <w:sz w:val="32"/>
          <w:szCs w:val="32"/>
        </w:rPr>
        <w:drawing>
          <wp:anchor distT="0" distB="0" distL="85725" distR="85725" simplePos="0" relativeHeight="1024" behindDoc="0" locked="0" layoutInCell="1" allowOverlap="1">
            <wp:simplePos x="0" y="0"/>
            <wp:positionH relativeFrom="column">
              <wp:posOffset>285750</wp:posOffset>
            </wp:positionH>
            <wp:positionV relativeFrom="page">
              <wp:posOffset>3299460</wp:posOffset>
            </wp:positionV>
            <wp:extent cx="4994275" cy="2538095"/>
            <wp:effectExtent l="0" t="0" r="0" b="0"/>
            <wp:wrapSquare wrapText="bothSides"/>
            <wp:docPr id="1027" name="图表 102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Pr>
          <w:rFonts w:hint="eastAsia" w:eastAsia="黑体"/>
          <w:sz w:val="32"/>
          <w:szCs w:val="32"/>
        </w:rPr>
        <w:t>二、收入决算情况说明</w:t>
      </w:r>
      <w:bookmarkEnd w:id="18"/>
      <w:bookmarkEnd w:id="19"/>
    </w:p>
    <w:p>
      <w:pPr>
        <w:spacing w:line="560" w:lineRule="atLeas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2025年度本年收入合计274万元，其中：一般公共预算财政拨款收入274万元，占100%；政府性基金预算财政拨款收入0万元，占0%；国有资本经营预算财政拨款收入0万元，占0%；上级补助收入0万元，占0%；事业收入0万元，占0%；经营收入0万元，占0%；附属单位上缴收入0万元，占0%；其他收入0万元，占0%。</w:t>
      </w:r>
    </w:p>
    <w:p>
      <w:pPr>
        <w:spacing w:line="560" w:lineRule="atLeas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（图2：收入决算结构图）（饼状图）</w:t>
      </w:r>
    </w:p>
    <w:p>
      <w:pPr>
        <w:pStyle w:val="28"/>
        <w:spacing w:line="600" w:lineRule="exact"/>
        <w:ind w:left="0" w:firstLine="0" w:firstLineChars="0"/>
        <w:outlineLvl w:val="1"/>
        <w:rPr>
          <w:rFonts w:hint="eastAsia" w:eastAsia="仿宋_GB2312" w:cs="仿宋_GB2312"/>
          <w:sz w:val="32"/>
          <w:szCs w:val="32"/>
        </w:rPr>
      </w:pPr>
      <w:r>
        <w:rPr>
          <w:rFonts w:eastAsia="仿宋_GB2312" w:cs="仿宋_GB2312"/>
          <w:sz w:val="32"/>
          <w:szCs w:val="32"/>
        </w:rPr>
        <w:drawing>
          <wp:anchor distT="0" distB="0" distL="85725" distR="85725" simplePos="0" relativeHeight="1024" behindDoc="0" locked="0" layoutInCell="1" allowOverlap="1">
            <wp:simplePos x="0" y="0"/>
            <wp:positionH relativeFrom="column">
              <wp:posOffset>6350</wp:posOffset>
            </wp:positionH>
            <wp:positionV relativeFrom="paragraph">
              <wp:posOffset>-2413000</wp:posOffset>
            </wp:positionV>
            <wp:extent cx="5270500" cy="2695575"/>
            <wp:effectExtent l="6350" t="6350" r="19050" b="22225"/>
            <wp:wrapSquare wrapText="bothSides"/>
            <wp:docPr id="1029" name="图表 102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pPr>
        <w:pStyle w:val="28"/>
        <w:spacing w:line="600" w:lineRule="exact"/>
        <w:ind w:left="0" w:leftChars="0" w:firstLine="0" w:firstLineChars="0"/>
        <w:outlineLvl w:val="1"/>
        <w:rPr>
          <w:rFonts w:eastAsia="仿宋_GB2312" w:cs="仿宋_GB2312"/>
          <w:sz w:val="32"/>
          <w:szCs w:val="32"/>
        </w:rPr>
      </w:pPr>
    </w:p>
    <w:p>
      <w:pPr>
        <w:pStyle w:val="28"/>
        <w:spacing w:line="600" w:lineRule="exact"/>
        <w:ind w:left="0" w:firstLine="0" w:firstLineChars="0"/>
        <w:outlineLvl w:val="1"/>
        <w:rPr>
          <w:rStyle w:val="21"/>
          <w:rFonts w:ascii="Times New Roman" w:hAnsi="Times New Roman" w:eastAsia="黑体"/>
          <w:b w:val="0"/>
        </w:rPr>
      </w:pPr>
      <w:bookmarkStart w:id="20" w:name="_Toc15377207"/>
      <w:bookmarkStart w:id="21" w:name="_Toc15396605"/>
      <w:r>
        <w:rPr>
          <w:rFonts w:hint="eastAsia" w:eastAsia="黑体"/>
          <w:sz w:val="32"/>
          <w:szCs w:val="32"/>
        </w:rPr>
        <w:t>三、支</w:t>
      </w:r>
      <w:r>
        <w:rPr>
          <w:rStyle w:val="21"/>
          <w:rFonts w:hint="eastAsia" w:ascii="Times New Roman" w:hAnsi="Times New Roman" w:eastAsia="黑体"/>
          <w:b w:val="0"/>
        </w:rPr>
        <w:t>出决算情况说明</w:t>
      </w:r>
      <w:bookmarkEnd w:id="20"/>
      <w:bookmarkEnd w:id="21"/>
    </w:p>
    <w:p>
      <w:pPr>
        <w:pStyle w:val="28"/>
        <w:spacing w:line="600" w:lineRule="exact"/>
        <w:outlineLvl w:val="1"/>
        <w:rPr>
          <w:rFonts w:eastAsia="仿宋_GB2312" w:cs="仿宋_GB2312"/>
          <w:sz w:val="32"/>
          <w:szCs w:val="32"/>
        </w:rPr>
      </w:pPr>
      <w:r>
        <w:rPr>
          <w:rFonts w:hint="eastAsia" w:eastAsia="仿宋_GB2312" w:cs="仿宋_GB2312"/>
          <w:sz w:val="32"/>
          <w:szCs w:val="32"/>
        </w:rPr>
        <w:t>2025年度本年支出合计</w:t>
      </w:r>
      <w:r>
        <w:rPr>
          <w:rFonts w:hint="eastAsia" w:ascii="仿宋_GB2312" w:hAnsi="仿宋_GB2312" w:eastAsia="仿宋_GB2312" w:cs="仿宋_GB2312"/>
          <w:sz w:val="32"/>
          <w:szCs w:val="32"/>
        </w:rPr>
        <w:t>274</w:t>
      </w:r>
      <w:r>
        <w:rPr>
          <w:rFonts w:hint="eastAsia" w:eastAsia="仿宋_GB2312" w:cs="仿宋_GB2312"/>
          <w:sz w:val="32"/>
          <w:szCs w:val="32"/>
        </w:rPr>
        <w:t>万元，其中：基本支出</w:t>
      </w:r>
      <w:r>
        <w:rPr>
          <w:rFonts w:hint="eastAsia" w:ascii="仿宋_GB2312" w:hAnsi="仿宋_GB2312" w:eastAsia="仿宋_GB2312" w:cs="仿宋_GB2312"/>
          <w:sz w:val="32"/>
          <w:szCs w:val="32"/>
        </w:rPr>
        <w:t>191.67</w:t>
      </w:r>
      <w:r>
        <w:rPr>
          <w:rFonts w:hint="eastAsia" w:eastAsia="仿宋_GB2312" w:cs="仿宋_GB2312"/>
          <w:sz w:val="32"/>
          <w:szCs w:val="32"/>
        </w:rPr>
        <w:t>万元，占</w:t>
      </w:r>
      <w:r>
        <w:rPr>
          <w:rFonts w:hint="eastAsia" w:ascii="仿宋_GB2312" w:hAnsi="仿宋_GB2312" w:eastAsia="仿宋_GB2312" w:cs="仿宋_GB2312"/>
          <w:sz w:val="32"/>
          <w:szCs w:val="32"/>
        </w:rPr>
        <w:t>69.95</w:t>
      </w:r>
      <w:r>
        <w:rPr>
          <w:rFonts w:hint="eastAsia" w:eastAsia="仿宋_GB2312" w:cs="仿宋_GB2312"/>
          <w:sz w:val="32"/>
          <w:szCs w:val="32"/>
        </w:rPr>
        <w:t>%；项目支出</w:t>
      </w:r>
      <w:r>
        <w:rPr>
          <w:rFonts w:hint="eastAsia" w:ascii="仿宋_GB2312" w:hAnsi="仿宋_GB2312" w:eastAsia="仿宋_GB2312" w:cs="仿宋_GB2312"/>
          <w:sz w:val="32"/>
          <w:szCs w:val="32"/>
        </w:rPr>
        <w:t>82.33</w:t>
      </w:r>
      <w:r>
        <w:rPr>
          <w:rFonts w:hint="eastAsia" w:eastAsia="仿宋_GB2312" w:cs="仿宋_GB2312"/>
          <w:sz w:val="32"/>
          <w:szCs w:val="32"/>
        </w:rPr>
        <w:t>万元，占</w:t>
      </w:r>
      <w:r>
        <w:rPr>
          <w:rFonts w:hint="eastAsia" w:ascii="仿宋_GB2312" w:hAnsi="仿宋_GB2312" w:eastAsia="仿宋_GB2312" w:cs="仿宋_GB2312"/>
          <w:sz w:val="32"/>
          <w:szCs w:val="32"/>
        </w:rPr>
        <w:t>30.04</w:t>
      </w:r>
      <w:r>
        <w:rPr>
          <w:rFonts w:hint="eastAsia" w:eastAsia="仿宋_GB2312" w:cs="仿宋_GB2312"/>
          <w:sz w:val="32"/>
          <w:szCs w:val="32"/>
        </w:rPr>
        <w:t>%；上缴上级支出</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hint="eastAsia" w:ascii="仿宋_GB2312" w:hAnsi="仿宋_GB2312" w:eastAsia="仿宋_GB2312" w:cs="仿宋_GB2312"/>
          <w:sz w:val="32"/>
          <w:szCs w:val="32"/>
        </w:rPr>
        <w:t>0</w:t>
      </w:r>
      <w:r>
        <w:rPr>
          <w:rFonts w:hint="eastAsia" w:eastAsia="仿宋_GB2312" w:cs="仿宋_GB2312"/>
          <w:sz w:val="32"/>
          <w:szCs w:val="32"/>
        </w:rPr>
        <w:t>%；经营支出</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hint="eastAsia" w:ascii="仿宋_GB2312" w:hAnsi="仿宋_GB2312" w:eastAsia="仿宋_GB2312" w:cs="仿宋_GB2312"/>
          <w:sz w:val="32"/>
          <w:szCs w:val="32"/>
        </w:rPr>
        <w:t>0</w:t>
      </w:r>
      <w:r>
        <w:rPr>
          <w:rFonts w:hint="eastAsia" w:eastAsia="仿宋_GB2312" w:cs="仿宋_GB2312"/>
          <w:sz w:val="32"/>
          <w:szCs w:val="32"/>
        </w:rPr>
        <w:t>%；对附属单位补助支出</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hint="eastAsia" w:ascii="仿宋_GB2312" w:hAnsi="仿宋_GB2312" w:eastAsia="仿宋_GB2312" w:cs="仿宋_GB2312"/>
          <w:sz w:val="32"/>
          <w:szCs w:val="32"/>
        </w:rPr>
        <w:t>0</w:t>
      </w:r>
      <w:r>
        <w:rPr>
          <w:rFonts w:hint="eastAsia" w:eastAsia="仿宋_GB2312" w:cs="仿宋_GB2312"/>
          <w:sz w:val="32"/>
          <w:szCs w:val="32"/>
        </w:rPr>
        <w:t>%。</w:t>
      </w:r>
    </w:p>
    <w:p>
      <w:pPr>
        <w:pStyle w:val="28"/>
        <w:spacing w:line="600" w:lineRule="exact"/>
        <w:ind w:left="0" w:firstLine="0" w:firstLineChars="0"/>
        <w:outlineLvl w:val="1"/>
        <w:rPr>
          <w:rFonts w:eastAsia="仿宋_GB2312" w:cs="仿宋_GB2312"/>
          <w:sz w:val="32"/>
          <w:szCs w:val="32"/>
        </w:rPr>
      </w:pPr>
      <w:r>
        <w:rPr>
          <w:rFonts w:hint="eastAsia" w:eastAsia="仿宋_GB2312" w:cs="仿宋_GB2312"/>
          <w:sz w:val="32"/>
          <w:szCs w:val="32"/>
        </w:rPr>
        <w:t>（图3：支出决算结构图）（饼状图）</w:t>
      </w:r>
    </w:p>
    <w:p>
      <w:pPr>
        <w:ind w:firstLine="800" w:firstLineChars="250"/>
        <w:rPr>
          <w:rFonts w:eastAsia="仿宋_GB2312" w:cs="仿宋_GB2312"/>
          <w:sz w:val="32"/>
          <w:szCs w:val="32"/>
        </w:rPr>
      </w:pPr>
      <w:r>
        <w:rPr>
          <w:rFonts w:eastAsia="仿宋_GB2312" w:cs="仿宋_GB2312"/>
          <w:sz w:val="32"/>
          <w:szCs w:val="32"/>
        </w:rPr>
        <w:drawing>
          <wp:anchor distT="0" distB="0" distL="85725" distR="85725" simplePos="0" relativeHeight="1024" behindDoc="0" locked="0" layoutInCell="1" allowOverlap="1">
            <wp:simplePos x="0" y="0"/>
            <wp:positionH relativeFrom="column">
              <wp:posOffset>114300</wp:posOffset>
            </wp:positionH>
            <wp:positionV relativeFrom="paragraph">
              <wp:posOffset>114300</wp:posOffset>
            </wp:positionV>
            <wp:extent cx="5270500" cy="2743200"/>
            <wp:effectExtent l="0" t="0" r="0" b="0"/>
            <wp:wrapSquare wrapText="bothSides"/>
            <wp:docPr id="1028" name="图表 10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pPr>
        <w:spacing w:line="600" w:lineRule="exact"/>
        <w:ind w:firstLine="640" w:firstLineChars="200"/>
        <w:outlineLvl w:val="1"/>
        <w:rPr>
          <w:rFonts w:hint="eastAsia" w:eastAsia="黑体"/>
          <w:sz w:val="32"/>
          <w:szCs w:val="32"/>
        </w:rPr>
      </w:pPr>
      <w:bookmarkStart w:id="22" w:name="_Toc15396606"/>
      <w:bookmarkStart w:id="23" w:name="_Toc15377208"/>
    </w:p>
    <w:p>
      <w:pPr>
        <w:spacing w:line="600" w:lineRule="exact"/>
        <w:ind w:firstLine="640" w:firstLineChars="200"/>
        <w:outlineLvl w:val="1"/>
        <w:rPr>
          <w:rFonts w:hint="eastAsia" w:eastAsia="黑体"/>
          <w:sz w:val="32"/>
          <w:szCs w:val="32"/>
        </w:rPr>
      </w:pPr>
    </w:p>
    <w:p>
      <w:pPr>
        <w:spacing w:line="600" w:lineRule="exact"/>
        <w:ind w:firstLine="640" w:firstLineChars="200"/>
        <w:outlineLvl w:val="1"/>
        <w:rPr>
          <w:rFonts w:hint="eastAsia" w:eastAsia="黑体"/>
          <w:sz w:val="32"/>
          <w:szCs w:val="32"/>
        </w:rPr>
      </w:pPr>
    </w:p>
    <w:p>
      <w:pPr>
        <w:spacing w:line="600" w:lineRule="exact"/>
        <w:outlineLvl w:val="1"/>
        <w:rPr>
          <w:rFonts w:hint="eastAsia" w:eastAsia="黑体"/>
          <w:sz w:val="32"/>
          <w:szCs w:val="32"/>
        </w:rPr>
      </w:pPr>
    </w:p>
    <w:p>
      <w:pPr>
        <w:spacing w:line="600" w:lineRule="exact"/>
        <w:ind w:firstLine="640" w:firstLineChars="200"/>
        <w:outlineLvl w:val="1"/>
        <w:rPr>
          <w:rStyle w:val="21"/>
          <w:rFonts w:ascii="Times New Roman" w:hAnsi="Times New Roman" w:eastAsia="黑体"/>
          <w:b w:val="0"/>
        </w:rPr>
      </w:pPr>
      <w:r>
        <w:rPr>
          <w:rFonts w:hint="eastAsia" w:eastAsia="黑体"/>
          <w:sz w:val="32"/>
          <w:szCs w:val="32"/>
        </w:rPr>
        <w:t>四、财</w:t>
      </w:r>
      <w:r>
        <w:rPr>
          <w:rStyle w:val="21"/>
          <w:rFonts w:hint="eastAsia" w:ascii="Times New Roman" w:hAnsi="Times New Roman" w:eastAsia="黑体"/>
          <w:b w:val="0"/>
        </w:rPr>
        <w:t>政拨款收入支出决算总体情况说明</w:t>
      </w:r>
      <w:bookmarkEnd w:id="22"/>
      <w:bookmarkEnd w:id="23"/>
    </w:p>
    <w:p>
      <w:pPr>
        <w:spacing w:line="600" w:lineRule="exact"/>
        <w:ind w:firstLine="640"/>
      </w:pPr>
      <w:r>
        <w:rPr>
          <w:rFonts w:hint="eastAsia" w:eastAsia="仿宋_GB2312" w:cs="仿宋_GB2312"/>
          <w:sz w:val="32"/>
          <w:szCs w:val="32"/>
        </w:rPr>
        <w:t>2025年度财政拨款收入、支出总计均为</w:t>
      </w:r>
      <w:r>
        <w:rPr>
          <w:rFonts w:hint="eastAsia" w:ascii="仿宋_GB2312" w:hAnsi="仿宋_GB2312" w:eastAsia="仿宋_GB2312" w:cs="仿宋_GB2312"/>
          <w:sz w:val="32"/>
          <w:szCs w:val="32"/>
        </w:rPr>
        <w:t>274</w:t>
      </w:r>
      <w:r>
        <w:rPr>
          <w:rFonts w:hint="eastAsia" w:eastAsia="仿宋_GB2312" w:cs="仿宋_GB2312"/>
          <w:sz w:val="32"/>
          <w:szCs w:val="32"/>
        </w:rPr>
        <w:t>万元。与上年度相比，财政拨款收入、支出总计各增加</w:t>
      </w:r>
      <w:r>
        <w:rPr>
          <w:rFonts w:eastAsia="仿宋_GB2312" w:cs="仿宋_GB2312"/>
          <w:sz w:val="32"/>
          <w:szCs w:val="32"/>
        </w:rPr>
        <w:t>37</w:t>
      </w:r>
      <w:r>
        <w:rPr>
          <w:rFonts w:hint="eastAsia" w:eastAsia="仿宋_GB2312" w:cs="仿宋_GB2312"/>
          <w:sz w:val="32"/>
          <w:szCs w:val="32"/>
        </w:rPr>
        <w:t>万元，增长</w:t>
      </w:r>
      <w:r>
        <w:rPr>
          <w:rFonts w:eastAsia="仿宋_GB2312" w:cs="仿宋_GB2312"/>
          <w:sz w:val="32"/>
          <w:szCs w:val="32"/>
        </w:rPr>
        <w:t>15.61</w:t>
      </w:r>
      <w:r>
        <w:rPr>
          <w:rFonts w:hint="eastAsia" w:eastAsia="仿宋_GB2312" w:cs="仿宋_GB2312"/>
          <w:sz w:val="32"/>
          <w:szCs w:val="32"/>
        </w:rPr>
        <w:t>%。主要变动原因是</w:t>
      </w:r>
      <w:r>
        <w:rPr>
          <w:rFonts w:eastAsia="仿宋_GB2312" w:cs="仿宋_GB2312"/>
          <w:sz w:val="32"/>
          <w:szCs w:val="32"/>
        </w:rPr>
        <w:t>人员经费变动</w:t>
      </w:r>
    </w:p>
    <w:p>
      <w:pPr>
        <w:spacing w:line="600" w:lineRule="exact"/>
        <w:ind w:left="0"/>
        <w:rPr>
          <w:rFonts w:eastAsia="仿宋_GB2312" w:cs="仿宋_GB2312"/>
          <w:sz w:val="32"/>
          <w:szCs w:val="32"/>
        </w:rPr>
      </w:pPr>
      <w:r>
        <w:rPr>
          <w:rFonts w:hint="eastAsia" w:eastAsia="仿宋_GB2312" w:cs="仿宋_GB2312"/>
          <w:sz w:val="32"/>
          <w:szCs w:val="32"/>
        </w:rPr>
        <w:t>（图4：财政拨款收、支决算总计变动情况）（柱状图）</w:t>
      </w:r>
    </w:p>
    <w:p>
      <w:pPr>
        <w:spacing w:line="600" w:lineRule="exact"/>
        <w:ind w:firstLine="640"/>
        <w:rPr>
          <w:rFonts w:eastAsia="仿宋_GB2312" w:cs="仿宋_GB2312"/>
          <w:sz w:val="32"/>
          <w:szCs w:val="32"/>
        </w:rPr>
      </w:pPr>
      <w:r>
        <w:drawing>
          <wp:anchor distT="0" distB="0" distL="85725" distR="85725" simplePos="0" relativeHeight="1024" behindDoc="0" locked="0" layoutInCell="1" allowOverlap="1">
            <wp:simplePos x="0" y="0"/>
            <wp:positionH relativeFrom="column">
              <wp:posOffset>73025</wp:posOffset>
            </wp:positionH>
            <wp:positionV relativeFrom="page">
              <wp:posOffset>4121150</wp:posOffset>
            </wp:positionV>
            <wp:extent cx="4994275" cy="2538095"/>
            <wp:effectExtent l="6350" t="6350" r="9525" b="8255"/>
            <wp:wrapSquare wrapText="bothSides"/>
            <wp:docPr id="1030" name="图表 10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pPr>
        <w:spacing w:line="600" w:lineRule="exact"/>
        <w:ind w:firstLine="640" w:firstLineChars="200"/>
        <w:outlineLvl w:val="1"/>
        <w:rPr>
          <w:rStyle w:val="21"/>
          <w:rFonts w:ascii="Times New Roman" w:hAnsi="Times New Roman" w:eastAsia="黑体"/>
          <w:b w:val="0"/>
        </w:rPr>
      </w:pPr>
      <w:bookmarkStart w:id="24" w:name="_Toc15396607"/>
      <w:bookmarkStart w:id="25" w:name="_Toc15377209"/>
      <w:r>
        <w:rPr>
          <w:rFonts w:hint="eastAsia" w:eastAsia="黑体"/>
          <w:sz w:val="32"/>
          <w:szCs w:val="32"/>
        </w:rPr>
        <w:t>五、</w:t>
      </w:r>
      <w:r>
        <w:rPr>
          <w:rFonts w:hint="eastAsia" w:eastAsia="黑体"/>
          <w:b/>
          <w:sz w:val="32"/>
          <w:szCs w:val="32"/>
        </w:rPr>
        <w:t>一</w:t>
      </w:r>
      <w:r>
        <w:rPr>
          <w:rStyle w:val="21"/>
          <w:rFonts w:hint="eastAsia" w:ascii="Times New Roman" w:hAnsi="Times New Roman" w:eastAsia="黑体"/>
          <w:b w:val="0"/>
        </w:rPr>
        <w:t>般公共预算财政拨款支出决算情况说明</w:t>
      </w:r>
      <w:bookmarkEnd w:id="24"/>
      <w:bookmarkEnd w:id="25"/>
    </w:p>
    <w:p>
      <w:pPr>
        <w:spacing w:line="600" w:lineRule="exact"/>
        <w:ind w:firstLine="643" w:firstLineChars="200"/>
        <w:outlineLvl w:val="2"/>
        <w:rPr>
          <w:rFonts w:eastAsia="楷体_GB2312" w:cs="楷体_GB2312"/>
          <w:b/>
          <w:sz w:val="32"/>
          <w:szCs w:val="32"/>
        </w:rPr>
      </w:pPr>
      <w:bookmarkStart w:id="26" w:name="_Toc15377210"/>
      <w:r>
        <w:rPr>
          <w:rFonts w:hint="eastAsia" w:eastAsia="楷体_GB2312" w:cs="楷体_GB2312"/>
          <w:b/>
          <w:sz w:val="32"/>
          <w:szCs w:val="32"/>
        </w:rPr>
        <w:t>（一）一般公共预算财政拨款支出决算总体情况</w:t>
      </w:r>
      <w:bookmarkEnd w:id="26"/>
    </w:p>
    <w:p>
      <w:pPr>
        <w:spacing w:line="600" w:lineRule="exact"/>
        <w:ind w:firstLine="640"/>
        <w:rPr>
          <w:rFonts w:eastAsia="仿宋_GB2312" w:cs="仿宋_GB2312"/>
          <w:sz w:val="32"/>
          <w:szCs w:val="32"/>
        </w:rPr>
      </w:pPr>
      <w:r>
        <w:rPr>
          <w:rFonts w:hint="eastAsia" w:eastAsia="仿宋_GB2312" w:cs="仿宋_GB2312"/>
          <w:sz w:val="32"/>
          <w:szCs w:val="32"/>
        </w:rPr>
        <w:t>2025年度一般公共预算财政拨款支出</w:t>
      </w:r>
      <w:r>
        <w:rPr>
          <w:rFonts w:hint="eastAsia" w:ascii="仿宋_GB2312" w:hAnsi="仿宋_GB2312" w:eastAsia="仿宋_GB2312" w:cs="仿宋_GB2312"/>
          <w:sz w:val="32"/>
          <w:szCs w:val="32"/>
        </w:rPr>
        <w:t>274</w:t>
      </w:r>
      <w:r>
        <w:rPr>
          <w:rFonts w:hint="eastAsia" w:eastAsia="仿宋_GB2312" w:cs="仿宋_GB2312"/>
          <w:sz w:val="32"/>
          <w:szCs w:val="32"/>
        </w:rPr>
        <w:t>万元，占本年支出合计的</w:t>
      </w:r>
      <w:r>
        <w:rPr>
          <w:rFonts w:hint="eastAsia" w:ascii="仿宋_GB2312" w:hAnsi="仿宋_GB2312" w:eastAsia="仿宋_GB2312" w:cs="仿宋_GB2312"/>
          <w:sz w:val="32"/>
          <w:szCs w:val="32"/>
        </w:rPr>
        <w:t>100</w:t>
      </w:r>
      <w:r>
        <w:rPr>
          <w:rFonts w:hint="eastAsia" w:eastAsia="仿宋_GB2312" w:cs="仿宋_GB2312"/>
          <w:sz w:val="32"/>
          <w:szCs w:val="32"/>
        </w:rPr>
        <w:t>%。与上年度相比，一般公共预算财政拨款支出增加</w:t>
      </w:r>
      <w:r>
        <w:rPr>
          <w:rFonts w:eastAsia="仿宋_GB2312" w:cs="仿宋_GB2312"/>
          <w:sz w:val="32"/>
          <w:szCs w:val="32"/>
        </w:rPr>
        <w:t>37</w:t>
      </w:r>
      <w:r>
        <w:rPr>
          <w:rFonts w:hint="eastAsia" w:eastAsia="仿宋_GB2312" w:cs="仿宋_GB2312"/>
          <w:sz w:val="32"/>
          <w:szCs w:val="32"/>
        </w:rPr>
        <w:t>万元，增长</w:t>
      </w:r>
      <w:r>
        <w:rPr>
          <w:rFonts w:eastAsia="仿宋_GB2312" w:cs="仿宋_GB2312"/>
          <w:sz w:val="32"/>
          <w:szCs w:val="32"/>
        </w:rPr>
        <w:t>15.61</w:t>
      </w:r>
      <w:r>
        <w:rPr>
          <w:rFonts w:hint="eastAsia" w:eastAsia="仿宋_GB2312" w:cs="仿宋_GB2312"/>
          <w:sz w:val="32"/>
          <w:szCs w:val="32"/>
        </w:rPr>
        <w:t>%。主要变动原因</w:t>
      </w:r>
      <w:r>
        <w:rPr>
          <w:rFonts w:eastAsia="仿宋_GB2312" w:cs="仿宋_GB2312"/>
          <w:sz w:val="32"/>
          <w:szCs w:val="32"/>
        </w:rPr>
        <w:t>人员经费变动</w:t>
      </w:r>
    </w:p>
    <w:p>
      <w:pPr>
        <w:spacing w:line="600" w:lineRule="exact"/>
        <w:ind w:firstLine="640"/>
        <w:rPr>
          <w:rFonts w:eastAsia="仿宋_GB2312" w:cs="仿宋_GB2312"/>
          <w:sz w:val="32"/>
          <w:szCs w:val="32"/>
        </w:rPr>
      </w:pPr>
    </w:p>
    <w:p>
      <w:pPr>
        <w:spacing w:line="600" w:lineRule="exact"/>
        <w:ind w:left="0"/>
        <w:rPr>
          <w:rFonts w:eastAsia="仿宋_GB2312" w:cs="仿宋_GB2312"/>
          <w:sz w:val="32"/>
          <w:szCs w:val="32"/>
        </w:rPr>
      </w:pPr>
      <w:r>
        <w:rPr>
          <w:rFonts w:hint="eastAsia" w:eastAsia="仿宋_GB2312" w:cs="仿宋_GB2312"/>
          <w:sz w:val="32"/>
          <w:szCs w:val="32"/>
        </w:rPr>
        <w:t>（图5：一般公共预算财政拨款支出决算变动情况）（柱状图）</w:t>
      </w:r>
      <w:r>
        <w:rPr>
          <w:rFonts w:eastAsia="仿宋_GB2312" w:cs="仿宋_GB2312"/>
          <w:sz w:val="32"/>
          <w:szCs w:val="32"/>
        </w:rPr>
        <w:drawing>
          <wp:anchor distT="0" distB="0" distL="85725" distR="85725" simplePos="0" relativeHeight="1024" behindDoc="0" locked="0" layoutInCell="1" allowOverlap="1">
            <wp:simplePos x="0" y="0"/>
            <wp:positionH relativeFrom="column">
              <wp:posOffset>0</wp:posOffset>
            </wp:positionH>
            <wp:positionV relativeFrom="page">
              <wp:posOffset>1295400</wp:posOffset>
            </wp:positionV>
            <wp:extent cx="4994275" cy="2538095"/>
            <wp:effectExtent l="0" t="0" r="0" b="0"/>
            <wp:wrapSquare wrapText="bothSides"/>
            <wp:docPr id="1031" name="图表 10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pPr>
        <w:spacing w:line="600" w:lineRule="exact"/>
        <w:ind w:firstLine="643" w:firstLineChars="200"/>
        <w:outlineLvl w:val="2"/>
        <w:rPr>
          <w:rFonts w:eastAsia="楷体_GB2312" w:cs="楷体_GB2312"/>
          <w:b/>
          <w:sz w:val="32"/>
          <w:szCs w:val="32"/>
        </w:rPr>
      </w:pPr>
      <w:bookmarkStart w:id="27" w:name="_Toc15377211"/>
      <w:r>
        <w:rPr>
          <w:rFonts w:hint="eastAsia" w:eastAsia="楷体_GB2312" w:cs="楷体_GB2312"/>
          <w:b/>
          <w:sz w:val="32"/>
          <w:szCs w:val="32"/>
        </w:rPr>
        <w:t>（二）一般公共预算财政拨款支出决算结构情况</w:t>
      </w:r>
      <w:bookmarkEnd w:id="27"/>
    </w:p>
    <w:p>
      <w:pPr>
        <w:spacing w:line="600" w:lineRule="exact"/>
        <w:ind w:firstLine="640"/>
        <w:rPr>
          <w:rFonts w:eastAsia="仿宋_GB2312" w:cs="仿宋_GB2312"/>
          <w:sz w:val="32"/>
          <w:szCs w:val="32"/>
        </w:rPr>
      </w:pPr>
      <w:r>
        <w:rPr>
          <w:rFonts w:hint="eastAsia" w:eastAsia="仿宋_GB2312" w:cs="仿宋_GB2312"/>
          <w:sz w:val="32"/>
          <w:szCs w:val="32"/>
        </w:rPr>
        <w:t>2025年度一般公共预算财政拨款支出</w:t>
      </w:r>
      <w:r>
        <w:rPr>
          <w:rFonts w:hint="eastAsia" w:ascii="仿宋_GB2312" w:hAnsi="仿宋_GB2312" w:eastAsia="仿宋_GB2312" w:cs="仿宋_GB2312"/>
          <w:sz w:val="32"/>
          <w:szCs w:val="32"/>
        </w:rPr>
        <w:t>274</w:t>
      </w:r>
      <w:r>
        <w:rPr>
          <w:rFonts w:hint="eastAsia" w:eastAsia="仿宋_GB2312" w:cs="仿宋_GB2312"/>
          <w:sz w:val="32"/>
          <w:szCs w:val="32"/>
        </w:rPr>
        <w:t>万元，主要用于以下方面：一般公共服务支出</w:t>
      </w:r>
      <w:r>
        <w:rPr>
          <w:rFonts w:eastAsia="仿宋_GB2312" w:cs="仿宋_GB2312"/>
          <w:sz w:val="32"/>
          <w:szCs w:val="32"/>
        </w:rPr>
        <w:t>222.86</w:t>
      </w:r>
      <w:r>
        <w:rPr>
          <w:rFonts w:hint="eastAsia" w:eastAsia="仿宋_GB2312" w:cs="仿宋_GB2312"/>
          <w:sz w:val="32"/>
          <w:szCs w:val="32"/>
        </w:rPr>
        <w:t>万元，占</w:t>
      </w:r>
      <w:r>
        <w:rPr>
          <w:rFonts w:eastAsia="仿宋_GB2312" w:cs="仿宋_GB2312"/>
          <w:sz w:val="32"/>
          <w:szCs w:val="32"/>
        </w:rPr>
        <w:t>81</w:t>
      </w:r>
      <w:r>
        <w:rPr>
          <w:rFonts w:hint="eastAsia" w:eastAsia="仿宋_GB2312" w:cs="仿宋_GB2312"/>
          <w:sz w:val="32"/>
          <w:szCs w:val="32"/>
        </w:rPr>
        <w:t>%；教育支出</w:t>
      </w:r>
      <w:r>
        <w:rPr>
          <w:rFonts w:eastAsia="仿宋_GB2312" w:cs="仿宋_GB2312"/>
          <w:sz w:val="32"/>
          <w:szCs w:val="32"/>
        </w:rPr>
        <w:t>0</w:t>
      </w:r>
      <w:r>
        <w:rPr>
          <w:rFonts w:hint="eastAsia" w:eastAsia="仿宋_GB2312" w:cs="仿宋_GB2312"/>
          <w:sz w:val="32"/>
          <w:szCs w:val="32"/>
        </w:rPr>
        <w:t>万元，占</w:t>
      </w:r>
      <w:r>
        <w:rPr>
          <w:rFonts w:eastAsia="仿宋_GB2312" w:cs="仿宋_GB2312"/>
          <w:sz w:val="32"/>
          <w:szCs w:val="32"/>
        </w:rPr>
        <w:t>0</w:t>
      </w:r>
      <w:r>
        <w:rPr>
          <w:rFonts w:hint="eastAsia" w:eastAsia="仿宋_GB2312" w:cs="仿宋_GB2312"/>
          <w:sz w:val="32"/>
          <w:szCs w:val="32"/>
        </w:rPr>
        <w:t>%；科学技术支出</w:t>
      </w:r>
      <w:r>
        <w:rPr>
          <w:rFonts w:eastAsia="仿宋_GB2312" w:cs="仿宋_GB2312"/>
          <w:sz w:val="32"/>
          <w:szCs w:val="32"/>
        </w:rPr>
        <w:t>0</w:t>
      </w:r>
      <w:r>
        <w:rPr>
          <w:rFonts w:hint="eastAsia" w:eastAsia="仿宋_GB2312" w:cs="仿宋_GB2312"/>
          <w:sz w:val="32"/>
          <w:szCs w:val="32"/>
        </w:rPr>
        <w:t>万元，占</w:t>
      </w:r>
      <w:r>
        <w:rPr>
          <w:rFonts w:eastAsia="仿宋_GB2312" w:cs="仿宋_GB2312"/>
          <w:sz w:val="32"/>
          <w:szCs w:val="32"/>
        </w:rPr>
        <w:t>0</w:t>
      </w:r>
      <w:r>
        <w:rPr>
          <w:rFonts w:hint="eastAsia" w:eastAsia="仿宋_GB2312" w:cs="仿宋_GB2312"/>
          <w:sz w:val="32"/>
          <w:szCs w:val="32"/>
        </w:rPr>
        <w:t>%；文化旅游体育与传媒支出</w:t>
      </w:r>
      <w:r>
        <w:rPr>
          <w:rFonts w:eastAsia="仿宋_GB2312" w:cs="仿宋_GB2312"/>
          <w:sz w:val="32"/>
          <w:szCs w:val="32"/>
        </w:rPr>
        <w:t>0</w:t>
      </w:r>
      <w:r>
        <w:rPr>
          <w:rFonts w:hint="eastAsia" w:eastAsia="仿宋_GB2312" w:cs="仿宋_GB2312"/>
          <w:sz w:val="32"/>
          <w:szCs w:val="32"/>
        </w:rPr>
        <w:t>万元，占</w:t>
      </w:r>
      <w:r>
        <w:rPr>
          <w:rFonts w:eastAsia="仿宋_GB2312" w:cs="仿宋_GB2312"/>
          <w:sz w:val="32"/>
          <w:szCs w:val="32"/>
        </w:rPr>
        <w:t>0</w:t>
      </w:r>
      <w:r>
        <w:rPr>
          <w:rFonts w:hint="eastAsia" w:eastAsia="仿宋_GB2312" w:cs="仿宋_GB2312"/>
          <w:sz w:val="32"/>
          <w:szCs w:val="32"/>
        </w:rPr>
        <w:t>%；社会保障和就业支出</w:t>
      </w:r>
      <w:r>
        <w:rPr>
          <w:rFonts w:eastAsia="仿宋_GB2312" w:cs="仿宋_GB2312"/>
          <w:sz w:val="32"/>
          <w:szCs w:val="32"/>
        </w:rPr>
        <w:t>27.22</w:t>
      </w:r>
      <w:r>
        <w:rPr>
          <w:rFonts w:hint="eastAsia" w:eastAsia="仿宋_GB2312" w:cs="仿宋_GB2312"/>
          <w:sz w:val="32"/>
          <w:szCs w:val="32"/>
        </w:rPr>
        <w:t>万元，占</w:t>
      </w:r>
      <w:r>
        <w:rPr>
          <w:rFonts w:eastAsia="仿宋_GB2312" w:cs="仿宋_GB2312"/>
          <w:sz w:val="32"/>
          <w:szCs w:val="32"/>
        </w:rPr>
        <w:t>10</w:t>
      </w:r>
      <w:r>
        <w:rPr>
          <w:rFonts w:hint="eastAsia" w:eastAsia="仿宋_GB2312" w:cs="仿宋_GB2312"/>
          <w:sz w:val="32"/>
          <w:szCs w:val="32"/>
        </w:rPr>
        <w:t>%；卫生健康支出</w:t>
      </w:r>
      <w:r>
        <w:rPr>
          <w:rFonts w:eastAsia="仿宋_GB2312" w:cs="仿宋_GB2312"/>
          <w:sz w:val="32"/>
          <w:szCs w:val="32"/>
        </w:rPr>
        <w:t>9.9</w:t>
      </w:r>
      <w:r>
        <w:rPr>
          <w:rFonts w:hint="eastAsia" w:eastAsia="仿宋_GB2312" w:cs="仿宋_GB2312"/>
          <w:sz w:val="32"/>
          <w:szCs w:val="32"/>
        </w:rPr>
        <w:t>万元，占</w:t>
      </w:r>
      <w:r>
        <w:rPr>
          <w:rFonts w:eastAsia="仿宋_GB2312" w:cs="仿宋_GB2312"/>
          <w:sz w:val="32"/>
          <w:szCs w:val="32"/>
        </w:rPr>
        <w:t>3.6</w:t>
      </w:r>
      <w:r>
        <w:rPr>
          <w:rFonts w:hint="eastAsia" w:eastAsia="仿宋_GB2312" w:cs="仿宋_GB2312"/>
          <w:sz w:val="32"/>
          <w:szCs w:val="32"/>
        </w:rPr>
        <w:t>%；住房保障支出</w:t>
      </w:r>
      <w:r>
        <w:rPr>
          <w:rFonts w:eastAsia="仿宋_GB2312" w:cs="仿宋_GB2312"/>
          <w:sz w:val="32"/>
          <w:szCs w:val="32"/>
        </w:rPr>
        <w:t>14.01</w:t>
      </w:r>
      <w:r>
        <w:rPr>
          <w:rFonts w:hint="eastAsia" w:eastAsia="仿宋_GB2312" w:cs="仿宋_GB2312"/>
          <w:sz w:val="32"/>
          <w:szCs w:val="32"/>
        </w:rPr>
        <w:t>万元，占</w:t>
      </w:r>
      <w:r>
        <w:rPr>
          <w:rFonts w:eastAsia="仿宋_GB2312" w:cs="仿宋_GB2312"/>
          <w:sz w:val="32"/>
          <w:szCs w:val="32"/>
        </w:rPr>
        <w:t>5</w:t>
      </w:r>
      <w:r>
        <w:rPr>
          <w:rFonts w:hint="eastAsia" w:eastAsia="仿宋_GB2312" w:cs="仿宋_GB2312"/>
          <w:sz w:val="32"/>
          <w:szCs w:val="32"/>
        </w:rPr>
        <w:t>%</w:t>
      </w:r>
      <w:r>
        <w:rPr>
          <w:rFonts w:eastAsia="仿宋_GB2312" w:cs="仿宋_GB2312"/>
          <w:sz w:val="32"/>
          <w:szCs w:val="32"/>
        </w:rPr>
        <w:t>。</w:t>
      </w:r>
    </w:p>
    <w:p>
      <w:pPr>
        <w:spacing w:line="600" w:lineRule="exact"/>
        <w:ind w:firstLine="640"/>
        <w:rPr>
          <w:rFonts w:eastAsia="仿宋_GB2312" w:cs="仿宋_GB2312"/>
          <w:sz w:val="32"/>
          <w:szCs w:val="32"/>
        </w:rPr>
      </w:pPr>
      <w:r>
        <w:rPr>
          <w:rFonts w:hint="eastAsia" w:eastAsia="仿宋_GB2312" w:cs="仿宋_GB2312"/>
          <w:sz w:val="32"/>
          <w:szCs w:val="32"/>
        </w:rPr>
        <w:t>（图6：一般公共预算财政拨款支出决算结构）（饼状图）</w:t>
      </w:r>
    </w:p>
    <w:p>
      <w:pPr>
        <w:pStyle w:val="2"/>
      </w:pPr>
    </w:p>
    <w:p>
      <w:pPr>
        <w:pStyle w:val="3"/>
      </w:pPr>
      <w:r>
        <w:drawing>
          <wp:inline distT="0" distB="0" distL="85725" distR="85725">
            <wp:extent cx="4585970" cy="2114550"/>
            <wp:effectExtent l="6350" t="6350" r="17780" b="12700"/>
            <wp:docPr id="1032" name="图表 10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pPr>
        <w:spacing w:line="600" w:lineRule="exact"/>
        <w:ind w:left="0"/>
        <w:rPr>
          <w:rFonts w:eastAsia="仿宋_GB2312" w:cs="仿宋_GB2312"/>
          <w:sz w:val="32"/>
          <w:szCs w:val="32"/>
        </w:rPr>
      </w:pPr>
    </w:p>
    <w:p>
      <w:pPr>
        <w:spacing w:line="600" w:lineRule="exact"/>
        <w:ind w:firstLine="640"/>
        <w:rPr>
          <w:rFonts w:eastAsia="仿宋_GB2312" w:cs="仿宋_GB2312"/>
          <w:sz w:val="32"/>
          <w:szCs w:val="32"/>
        </w:rPr>
      </w:pPr>
    </w:p>
    <w:p>
      <w:pPr>
        <w:spacing w:line="600" w:lineRule="exact"/>
        <w:ind w:firstLine="643" w:firstLineChars="200"/>
        <w:outlineLvl w:val="2"/>
        <w:rPr>
          <w:rFonts w:eastAsia="楷体_GB2312" w:cs="楷体_GB2312"/>
          <w:b/>
          <w:sz w:val="32"/>
          <w:szCs w:val="32"/>
        </w:rPr>
      </w:pPr>
      <w:bookmarkStart w:id="28" w:name="_Toc15377212"/>
      <w:r>
        <w:rPr>
          <w:rFonts w:hint="eastAsia" w:eastAsia="楷体_GB2312" w:cs="楷体_GB2312"/>
          <w:b/>
          <w:sz w:val="32"/>
          <w:szCs w:val="32"/>
        </w:rPr>
        <w:t>（三）一般公共预算财政拨款支出决算具体情况</w:t>
      </w:r>
      <w:bookmarkEnd w:id="28"/>
    </w:p>
    <w:p>
      <w:pPr>
        <w:spacing w:line="600" w:lineRule="exact"/>
        <w:ind w:firstLine="640"/>
        <w:rPr>
          <w:rFonts w:hint="eastAsia" w:eastAsia="仿宋_GB2312" w:cs="仿宋_GB2312"/>
          <w:sz w:val="32"/>
          <w:szCs w:val="32"/>
        </w:rPr>
      </w:pPr>
      <w:bookmarkStart w:id="29" w:name="_Toc15377213"/>
      <w:bookmarkStart w:id="30" w:name="_Toc15377444"/>
      <w:bookmarkStart w:id="31" w:name="_Toc15378460"/>
      <w:r>
        <w:rPr>
          <w:rFonts w:hint="eastAsia" w:eastAsia="仿宋_GB2312" w:cs="仿宋_GB2312"/>
          <w:sz w:val="32"/>
          <w:szCs w:val="32"/>
        </w:rPr>
        <w:t>2025年度一般公共预算支出决算数为274</w:t>
      </w:r>
      <w:r>
        <w:rPr>
          <w:rFonts w:hint="eastAsia" w:eastAsia="仿宋_GB2312" w:cs="仿宋_GB2312"/>
          <w:sz w:val="32"/>
          <w:szCs w:val="32"/>
        </w:rPr>
        <w:t>，完成预算96</w:t>
      </w:r>
      <w:r>
        <w:rPr>
          <w:rFonts w:hint="eastAsia" w:eastAsia="仿宋_GB2312" w:cs="仿宋_GB2312"/>
          <w:sz w:val="32"/>
          <w:szCs w:val="32"/>
        </w:rPr>
        <w:t>%。其中：</w:t>
      </w:r>
      <w:bookmarkEnd w:id="29"/>
      <w:bookmarkEnd w:id="30"/>
      <w:bookmarkEnd w:id="31"/>
    </w:p>
    <w:p>
      <w:pPr>
        <w:spacing w:line="560" w:lineRule="exact"/>
        <w:ind w:left="0" w:firstLine="482" w:firstLineChars="150"/>
        <w:rPr>
          <w:rFonts w:hint="eastAsia" w:eastAsia="仿宋_GB2312" w:cs="仿宋_GB2312"/>
          <w:sz w:val="32"/>
          <w:szCs w:val="32"/>
        </w:rPr>
      </w:pPr>
      <w:r>
        <w:rPr>
          <w:rStyle w:val="18"/>
          <w:rFonts w:ascii="方正楷体_GBK" w:hAnsi="方正楷体_GBK" w:eastAsia="方正楷体_GBK" w:cs="方正楷体_GBK"/>
          <w:bCs/>
          <w:sz w:val="32"/>
          <w:szCs w:val="32"/>
        </w:rPr>
        <w:t>1.</w:t>
      </w:r>
      <w:r>
        <w:rPr>
          <w:rStyle w:val="18"/>
          <w:rFonts w:hint="eastAsia" w:ascii="方正楷体_GBK" w:hAnsi="方正楷体_GBK" w:eastAsia="方正楷体_GBK" w:cs="方正楷体_GBK"/>
          <w:bCs/>
          <w:sz w:val="32"/>
          <w:szCs w:val="32"/>
        </w:rPr>
        <w:t>一般公共服务:</w:t>
      </w:r>
      <w:r>
        <w:rPr>
          <w:rStyle w:val="18"/>
          <w:rFonts w:hint="eastAsia" w:ascii="方正楷体_GBK" w:hAnsi="方正楷体_GBK" w:eastAsia="方正楷体_GBK" w:cs="方正楷体_GBK"/>
          <w:b w:val="0"/>
          <w:bCs/>
          <w:sz w:val="32"/>
          <w:szCs w:val="32"/>
        </w:rPr>
        <w:t xml:space="preserve"> </w:t>
      </w:r>
      <w:r>
        <w:rPr>
          <w:rFonts w:hint="eastAsia" w:eastAsia="仿宋_GB2312" w:cs="仿宋_GB2312"/>
          <w:sz w:val="32"/>
          <w:szCs w:val="32"/>
        </w:rPr>
        <w:t>支出决算为222.86万元，完成预算96%。</w:t>
      </w:r>
    </w:p>
    <w:p>
      <w:pPr>
        <w:spacing w:line="560" w:lineRule="exact"/>
        <w:ind w:left="640"/>
        <w:rPr>
          <w:rFonts w:hint="eastAsia" w:eastAsia="仿宋_GB2312" w:cs="仿宋_GB2312"/>
          <w:sz w:val="32"/>
          <w:szCs w:val="32"/>
        </w:rPr>
      </w:pPr>
      <w:r>
        <w:rPr>
          <w:rStyle w:val="18"/>
          <w:rFonts w:hint="eastAsia" w:ascii="方正楷体_GBK" w:hAnsi="方正楷体_GBK" w:eastAsia="方正楷体_GBK" w:cs="方正楷体_GBK"/>
          <w:bCs/>
          <w:sz w:val="32"/>
          <w:szCs w:val="32"/>
        </w:rPr>
        <w:t>2.教育:</w:t>
      </w:r>
      <w:r>
        <w:rPr>
          <w:rFonts w:hint="eastAsia" w:eastAsia="仿宋_GB2312" w:cs="仿宋_GB2312"/>
          <w:sz w:val="32"/>
          <w:szCs w:val="32"/>
        </w:rPr>
        <w:t xml:space="preserve"> 支出决算为0万元，完成预算0%，决算数小于等于预算数。</w:t>
      </w:r>
    </w:p>
    <w:p>
      <w:pPr>
        <w:spacing w:line="560" w:lineRule="exact"/>
        <w:ind w:firstLine="482" w:firstLineChars="150"/>
        <w:rPr>
          <w:rFonts w:hint="eastAsia" w:eastAsia="仿宋_GB2312" w:cs="仿宋_GB2312"/>
          <w:sz w:val="32"/>
          <w:szCs w:val="32"/>
        </w:rPr>
      </w:pPr>
      <w:r>
        <w:rPr>
          <w:rStyle w:val="18"/>
          <w:rFonts w:hint="eastAsia" w:ascii="方正楷体_GBK" w:hAnsi="方正楷体_GBK" w:eastAsia="方正楷体_GBK" w:cs="方正楷体_GBK"/>
          <w:bCs/>
          <w:sz w:val="32"/>
          <w:szCs w:val="32"/>
        </w:rPr>
        <w:t>3.科学技术:</w:t>
      </w:r>
      <w:r>
        <w:rPr>
          <w:rStyle w:val="18"/>
          <w:rFonts w:hint="eastAsia" w:ascii="方正楷体_GBK" w:hAnsi="方正楷体_GBK" w:eastAsia="方正楷体_GBK" w:cs="方正楷体_GBK"/>
          <w:b w:val="0"/>
          <w:bCs/>
          <w:sz w:val="32"/>
          <w:szCs w:val="32"/>
        </w:rPr>
        <w:t xml:space="preserve"> </w:t>
      </w:r>
      <w:r>
        <w:rPr>
          <w:rFonts w:hint="eastAsia" w:eastAsia="仿宋_GB2312" w:cs="仿宋_GB2312"/>
          <w:sz w:val="32"/>
          <w:szCs w:val="32"/>
        </w:rPr>
        <w:t>支出决算为0万元，完成预算0%，决算数等于预算数。</w:t>
      </w:r>
    </w:p>
    <w:p>
      <w:pPr>
        <w:spacing w:line="560" w:lineRule="exact"/>
        <w:ind w:firstLine="482" w:firstLineChars="150"/>
        <w:rPr>
          <w:rFonts w:hint="eastAsia" w:eastAsia="仿宋_GB2312" w:cs="仿宋_GB2312"/>
          <w:sz w:val="32"/>
          <w:szCs w:val="32"/>
        </w:rPr>
      </w:pPr>
      <w:r>
        <w:rPr>
          <w:rStyle w:val="18"/>
          <w:rFonts w:hint="eastAsia" w:ascii="方正楷体_GBK" w:hAnsi="方正楷体_GBK" w:eastAsia="方正楷体_GBK" w:cs="方正楷体_GBK"/>
          <w:bCs/>
          <w:sz w:val="32"/>
          <w:szCs w:val="32"/>
        </w:rPr>
        <w:t>4.文化旅游体育与传媒:</w:t>
      </w:r>
      <w:r>
        <w:rPr>
          <w:rStyle w:val="18"/>
          <w:rFonts w:hint="eastAsia" w:ascii="方正楷体_GBK" w:hAnsi="方正楷体_GBK" w:eastAsia="方正楷体_GBK" w:cs="方正楷体_GBK"/>
          <w:b w:val="0"/>
          <w:bCs/>
          <w:sz w:val="32"/>
          <w:szCs w:val="32"/>
        </w:rPr>
        <w:t xml:space="preserve"> </w:t>
      </w:r>
      <w:r>
        <w:rPr>
          <w:rFonts w:hint="eastAsia" w:eastAsia="仿宋_GB2312" w:cs="仿宋_GB2312"/>
          <w:sz w:val="32"/>
          <w:szCs w:val="32"/>
        </w:rPr>
        <w:t>支出决算为0万元，完成预算0%，等于预算数。</w:t>
      </w:r>
    </w:p>
    <w:p>
      <w:pPr>
        <w:spacing w:line="560" w:lineRule="exact"/>
        <w:ind w:firstLine="482" w:firstLineChars="150"/>
        <w:rPr>
          <w:rFonts w:hint="eastAsia" w:eastAsia="仿宋_GB2312" w:cs="仿宋_GB2312"/>
          <w:sz w:val="32"/>
          <w:szCs w:val="32"/>
        </w:rPr>
      </w:pPr>
      <w:r>
        <w:rPr>
          <w:rStyle w:val="18"/>
          <w:rFonts w:hint="eastAsia" w:ascii="方正楷体_GBK" w:hAnsi="方正楷体_GBK" w:eastAsia="方正楷体_GBK" w:cs="方正楷体_GBK"/>
          <w:bCs/>
          <w:sz w:val="32"/>
          <w:szCs w:val="32"/>
        </w:rPr>
        <w:t>5.社会保障和就业:</w:t>
      </w:r>
      <w:r>
        <w:rPr>
          <w:rStyle w:val="18"/>
          <w:rFonts w:hint="eastAsia" w:ascii="方正楷体_GBK" w:hAnsi="方正楷体_GBK" w:eastAsia="方正楷体_GBK" w:cs="方正楷体_GBK"/>
          <w:b w:val="0"/>
          <w:bCs/>
          <w:sz w:val="32"/>
          <w:szCs w:val="32"/>
        </w:rPr>
        <w:t xml:space="preserve"> </w:t>
      </w:r>
      <w:r>
        <w:rPr>
          <w:rFonts w:hint="eastAsia" w:eastAsia="仿宋_GB2312" w:cs="仿宋_GB2312"/>
          <w:sz w:val="32"/>
          <w:szCs w:val="32"/>
        </w:rPr>
        <w:t>支出决算为27.22万元，完成预算99%。</w:t>
      </w:r>
    </w:p>
    <w:p>
      <w:pPr>
        <w:spacing w:line="560" w:lineRule="exact"/>
        <w:ind w:firstLine="482" w:firstLineChars="150"/>
        <w:rPr>
          <w:rFonts w:hint="eastAsia" w:eastAsia="仿宋_GB2312" w:cs="仿宋_GB2312"/>
          <w:sz w:val="32"/>
          <w:szCs w:val="32"/>
        </w:rPr>
      </w:pPr>
      <w:r>
        <w:rPr>
          <w:rStyle w:val="18"/>
          <w:rFonts w:hint="eastAsia" w:ascii="方正楷体_GBK" w:hAnsi="方正楷体_GBK" w:eastAsia="方正楷体_GBK" w:cs="方正楷体_GBK"/>
          <w:bCs/>
          <w:sz w:val="32"/>
          <w:szCs w:val="32"/>
        </w:rPr>
        <w:t>6.</w:t>
      </w:r>
      <w:r>
        <w:rPr>
          <w:rFonts w:hint="eastAsia" w:ascii="方正楷体_GBK" w:hAnsi="方正楷体_GBK" w:eastAsia="方正楷体_GBK" w:cs="方正楷体_GBK"/>
          <w:b/>
          <w:bCs/>
          <w:sz w:val="32"/>
          <w:szCs w:val="32"/>
        </w:rPr>
        <w:t>卫生健康</w:t>
      </w:r>
      <w:r>
        <w:rPr>
          <w:rStyle w:val="18"/>
          <w:rFonts w:hint="eastAsia" w:ascii="方正楷体_GBK" w:hAnsi="方正楷体_GBK" w:eastAsia="方正楷体_GBK" w:cs="方正楷体_GBK"/>
          <w:bCs/>
          <w:sz w:val="32"/>
          <w:szCs w:val="32"/>
        </w:rPr>
        <w:t>:</w:t>
      </w:r>
      <w:r>
        <w:rPr>
          <w:rFonts w:hint="eastAsia" w:eastAsia="仿宋_GB2312" w:cs="仿宋_GB2312"/>
          <w:sz w:val="32"/>
          <w:szCs w:val="32"/>
        </w:rPr>
        <w:t>支出决算为9.89万元，完成预算98%。</w:t>
      </w:r>
    </w:p>
    <w:p>
      <w:pPr>
        <w:spacing w:line="560" w:lineRule="exact"/>
        <w:ind w:firstLine="480" w:firstLineChars="150"/>
        <w:outlineLvl w:val="1"/>
        <w:rPr>
          <w:rFonts w:hint="eastAsia" w:eastAsia="仿宋_GB2312" w:cs="仿宋_GB2312"/>
          <w:sz w:val="32"/>
          <w:szCs w:val="32"/>
        </w:rPr>
      </w:pPr>
      <w:r>
        <w:rPr>
          <w:rFonts w:hint="eastAsia" w:ascii="方正楷体_GBK" w:hAnsi="方正楷体_GBK" w:eastAsia="方正楷体_GBK" w:cs="方正楷体_GBK"/>
          <w:sz w:val="32"/>
          <w:szCs w:val="32"/>
        </w:rPr>
        <w:t>7.</w:t>
      </w:r>
      <w:r>
        <w:rPr>
          <w:rFonts w:hint="eastAsia" w:ascii="方正楷体_GBK" w:hAnsi="方正楷体_GBK" w:eastAsia="方正楷体_GBK" w:cs="方正楷体_GBK"/>
          <w:b/>
          <w:bCs/>
          <w:sz w:val="32"/>
          <w:szCs w:val="32"/>
        </w:rPr>
        <w:t>住房保障支出：</w:t>
      </w:r>
      <w:r>
        <w:rPr>
          <w:rFonts w:hint="eastAsia" w:eastAsia="仿宋_GB2312" w:cs="仿宋_GB2312"/>
          <w:sz w:val="32"/>
          <w:szCs w:val="32"/>
        </w:rPr>
        <w:t>支出决算数14.01完成预算98 %</w:t>
      </w:r>
    </w:p>
    <w:p>
      <w:pPr>
        <w:tabs>
          <w:tab w:val="right" w:pos="8306"/>
        </w:tabs>
        <w:spacing w:line="600" w:lineRule="exact"/>
        <w:ind w:left="0"/>
        <w:outlineLvl w:val="1"/>
        <w:rPr>
          <w:rStyle w:val="21"/>
          <w:rFonts w:ascii="Times New Roman" w:hAnsi="Times New Roman"/>
        </w:rPr>
      </w:pPr>
      <w:bookmarkStart w:id="32" w:name="_Toc15396608"/>
      <w:bookmarkStart w:id="33" w:name="_Toc15377214"/>
      <w:r>
        <w:rPr>
          <w:rFonts w:hint="eastAsia" w:eastAsia="黑体"/>
          <w:sz w:val="32"/>
          <w:szCs w:val="32"/>
        </w:rPr>
        <w:t>六</w:t>
      </w:r>
      <w:r>
        <w:rPr>
          <w:rFonts w:hint="eastAsia" w:eastAsia="黑体"/>
          <w:b/>
          <w:sz w:val="32"/>
          <w:szCs w:val="32"/>
        </w:rPr>
        <w:t>、一</w:t>
      </w:r>
      <w:r>
        <w:rPr>
          <w:rStyle w:val="21"/>
          <w:rFonts w:hint="eastAsia" w:ascii="Times New Roman" w:hAnsi="Times New Roman" w:eastAsia="黑体"/>
          <w:b w:val="0"/>
        </w:rPr>
        <w:t>般公共预算财政拨款基本支出决算情况说明</w:t>
      </w:r>
      <w:bookmarkEnd w:id="32"/>
      <w:bookmarkEnd w:id="33"/>
      <w:r>
        <w:rPr>
          <w:rStyle w:val="21"/>
          <w:rFonts w:ascii="Times New Roman" w:hAnsi="Times New Roman" w:eastAsia="黑体"/>
          <w:b w:val="0"/>
        </w:rPr>
        <w:tab/>
      </w:r>
    </w:p>
    <w:p>
      <w:pPr>
        <w:spacing w:line="600" w:lineRule="exact"/>
        <w:ind w:firstLine="640"/>
        <w:rPr>
          <w:rFonts w:eastAsia="仿宋_GB2312" w:cs="仿宋_GB2312"/>
          <w:sz w:val="32"/>
          <w:szCs w:val="32"/>
        </w:rPr>
      </w:pPr>
      <w:r>
        <w:rPr>
          <w:rFonts w:hint="eastAsia" w:eastAsia="仿宋_GB2312" w:cs="仿宋_GB2312"/>
          <w:sz w:val="32"/>
          <w:szCs w:val="32"/>
        </w:rPr>
        <w:t>2025年度一般公共预算财政拨款基本支出</w:t>
      </w:r>
      <w:r>
        <w:rPr>
          <w:rFonts w:hint="eastAsia" w:ascii="仿宋_GB2312" w:hAnsi="仿宋_GB2312" w:eastAsia="仿宋_GB2312" w:cs="仿宋_GB2312"/>
          <w:sz w:val="32"/>
          <w:szCs w:val="32"/>
        </w:rPr>
        <w:t>191.67</w:t>
      </w:r>
      <w:r>
        <w:rPr>
          <w:rFonts w:hint="eastAsia" w:eastAsia="仿宋_GB2312" w:cs="仿宋_GB2312"/>
          <w:sz w:val="32"/>
          <w:szCs w:val="32"/>
        </w:rPr>
        <w:t>万元，其中：</w:t>
      </w:r>
    </w:p>
    <w:p>
      <w:pPr>
        <w:spacing w:line="600" w:lineRule="exact"/>
        <w:ind w:firstLine="640"/>
        <w:rPr>
          <w:rFonts w:eastAsia="仿宋_GB2312" w:cs="仿宋_GB2312"/>
          <w:b/>
          <w:bCs/>
          <w:sz w:val="32"/>
          <w:szCs w:val="32"/>
        </w:rPr>
      </w:pPr>
      <w:r>
        <w:rPr>
          <w:rFonts w:hint="eastAsia" w:eastAsia="仿宋_GB2312" w:cs="仿宋_GB2312"/>
          <w:sz w:val="32"/>
          <w:szCs w:val="32"/>
        </w:rPr>
        <w:t>人员经费</w:t>
      </w:r>
      <w:r>
        <w:rPr>
          <w:rFonts w:hint="eastAsia" w:ascii="仿宋_GB2312" w:hAnsi="仿宋_GB2312" w:eastAsia="仿宋_GB2312" w:cs="仿宋_GB2312"/>
          <w:sz w:val="32"/>
          <w:szCs w:val="32"/>
        </w:rPr>
        <w:t>180.05</w:t>
      </w:r>
      <w:r>
        <w:rPr>
          <w:rFonts w:hint="eastAsia" w:eastAsia="仿宋_GB2312" w:cs="仿宋_GB2312"/>
          <w:sz w:val="32"/>
          <w:szCs w:val="32"/>
        </w:rPr>
        <w:t>万元，主要包括：基本工资</w:t>
      </w:r>
      <w:r>
        <w:rPr>
          <w:rFonts w:eastAsia="仿宋_GB2312" w:cs="仿宋_GB2312"/>
          <w:sz w:val="32"/>
          <w:szCs w:val="32"/>
        </w:rPr>
        <w:t>37.19万元</w:t>
      </w:r>
      <w:r>
        <w:rPr>
          <w:rFonts w:hint="eastAsia" w:eastAsia="仿宋_GB2312" w:cs="仿宋_GB2312"/>
          <w:sz w:val="32"/>
          <w:szCs w:val="32"/>
        </w:rPr>
        <w:t>、津贴补贴</w:t>
      </w:r>
      <w:r>
        <w:rPr>
          <w:rFonts w:eastAsia="仿宋_GB2312" w:cs="仿宋_GB2312"/>
          <w:sz w:val="32"/>
          <w:szCs w:val="32"/>
        </w:rPr>
        <w:t>48.99万元</w:t>
      </w:r>
      <w:r>
        <w:rPr>
          <w:rFonts w:hint="eastAsia" w:eastAsia="仿宋_GB2312" w:cs="仿宋_GB2312"/>
          <w:sz w:val="32"/>
          <w:szCs w:val="32"/>
        </w:rPr>
        <w:t>、奖金</w:t>
      </w:r>
      <w:r>
        <w:rPr>
          <w:rFonts w:eastAsia="仿宋_GB2312" w:cs="仿宋_GB2312"/>
          <w:sz w:val="32"/>
          <w:szCs w:val="32"/>
        </w:rPr>
        <w:t>39.26万元</w:t>
      </w:r>
      <w:r>
        <w:rPr>
          <w:rFonts w:hint="eastAsia" w:eastAsia="仿宋_GB2312" w:cs="仿宋_GB2312"/>
          <w:sz w:val="32"/>
          <w:szCs w:val="32"/>
        </w:rPr>
        <w:t>、伙食补助费</w:t>
      </w:r>
      <w:r>
        <w:rPr>
          <w:rFonts w:eastAsia="仿宋_GB2312" w:cs="仿宋_GB2312"/>
          <w:sz w:val="32"/>
          <w:szCs w:val="32"/>
        </w:rPr>
        <w:t>0万元</w:t>
      </w:r>
      <w:r>
        <w:rPr>
          <w:rFonts w:hint="eastAsia" w:eastAsia="仿宋_GB2312" w:cs="仿宋_GB2312"/>
          <w:sz w:val="32"/>
          <w:szCs w:val="32"/>
        </w:rPr>
        <w:t>、绩效工资</w:t>
      </w:r>
      <w:r>
        <w:rPr>
          <w:rFonts w:eastAsia="仿宋_GB2312" w:cs="仿宋_GB2312"/>
          <w:sz w:val="32"/>
          <w:szCs w:val="32"/>
        </w:rPr>
        <w:t>0万元</w:t>
      </w:r>
      <w:r>
        <w:rPr>
          <w:rFonts w:hint="eastAsia" w:eastAsia="仿宋_GB2312" w:cs="仿宋_GB2312"/>
          <w:sz w:val="32"/>
          <w:szCs w:val="32"/>
        </w:rPr>
        <w:t>、机关事业单位基本养老保险缴费</w:t>
      </w:r>
      <w:r>
        <w:rPr>
          <w:rFonts w:eastAsia="仿宋_GB2312" w:cs="仿宋_GB2312"/>
          <w:sz w:val="32"/>
          <w:szCs w:val="32"/>
        </w:rPr>
        <w:t>18.15万元</w:t>
      </w:r>
      <w:r>
        <w:rPr>
          <w:rFonts w:hint="eastAsia" w:eastAsia="仿宋_GB2312" w:cs="仿宋_GB2312"/>
          <w:sz w:val="32"/>
          <w:szCs w:val="32"/>
        </w:rPr>
        <w:t>、职业年金缴费</w:t>
      </w:r>
      <w:r>
        <w:rPr>
          <w:rFonts w:eastAsia="仿宋_GB2312" w:cs="仿宋_GB2312"/>
          <w:sz w:val="32"/>
          <w:szCs w:val="32"/>
        </w:rPr>
        <w:t>9.07万元</w:t>
      </w:r>
      <w:r>
        <w:rPr>
          <w:rFonts w:hint="eastAsia" w:eastAsia="仿宋_GB2312" w:cs="仿宋_GB2312"/>
          <w:sz w:val="32"/>
          <w:szCs w:val="32"/>
        </w:rPr>
        <w:t>、其他社会保障缴费</w:t>
      </w:r>
      <w:r>
        <w:rPr>
          <w:rFonts w:eastAsia="仿宋_GB2312" w:cs="仿宋_GB2312"/>
          <w:sz w:val="32"/>
          <w:szCs w:val="32"/>
        </w:rPr>
        <w:t>0.22万元</w:t>
      </w:r>
      <w:r>
        <w:rPr>
          <w:rFonts w:hint="eastAsia" w:eastAsia="仿宋_GB2312" w:cs="仿宋_GB2312"/>
          <w:sz w:val="32"/>
          <w:szCs w:val="32"/>
        </w:rPr>
        <w:t>、医疗费补助</w:t>
      </w:r>
      <w:r>
        <w:rPr>
          <w:rFonts w:eastAsia="仿宋_GB2312" w:cs="仿宋_GB2312"/>
          <w:sz w:val="32"/>
          <w:szCs w:val="32"/>
        </w:rPr>
        <w:t>10.67万元</w:t>
      </w:r>
      <w:r>
        <w:rPr>
          <w:rFonts w:hint="eastAsia" w:eastAsia="仿宋_GB2312" w:cs="仿宋_GB2312"/>
          <w:sz w:val="32"/>
          <w:szCs w:val="32"/>
        </w:rPr>
        <w:t>、奖励金、住房公积金</w:t>
      </w:r>
      <w:r>
        <w:rPr>
          <w:rFonts w:eastAsia="仿宋_GB2312" w:cs="仿宋_GB2312"/>
          <w:sz w:val="32"/>
          <w:szCs w:val="32"/>
        </w:rPr>
        <w:t>14.01万元</w:t>
      </w:r>
      <w:r>
        <w:rPr>
          <w:rFonts w:hint="eastAsia" w:eastAsia="仿宋_GB2312" w:cs="仿宋_GB2312"/>
          <w:sz w:val="32"/>
          <w:szCs w:val="32"/>
        </w:rPr>
        <w:t>、其他对个人和家庭的补助支出</w:t>
      </w:r>
      <w:r>
        <w:rPr>
          <w:rFonts w:eastAsia="仿宋_GB2312" w:cs="仿宋_GB2312"/>
          <w:sz w:val="32"/>
          <w:szCs w:val="32"/>
        </w:rPr>
        <w:t>2.48万元</w:t>
      </w:r>
      <w:r>
        <w:rPr>
          <w:rFonts w:hint="eastAsia" w:eastAsia="仿宋_GB2312" w:cs="仿宋_GB2312"/>
          <w:sz w:val="32"/>
          <w:szCs w:val="32"/>
        </w:rPr>
        <w:t>等。</w:t>
      </w:r>
      <w:r>
        <w:rPr>
          <w:rFonts w:hint="eastAsia" w:eastAsia="仿宋_GB2312" w:cs="仿宋_GB2312"/>
          <w:sz w:val="32"/>
          <w:szCs w:val="32"/>
        </w:rPr>
        <w:br w:type="textWrapping"/>
      </w:r>
      <w:r>
        <w:rPr>
          <w:rFonts w:hint="eastAsia" w:eastAsia="仿宋_GB2312" w:cs="仿宋_GB2312"/>
          <w:sz w:val="32"/>
          <w:szCs w:val="32"/>
        </w:rPr>
        <w:t>　　公用经费</w:t>
      </w:r>
      <w:r>
        <w:rPr>
          <w:rFonts w:hint="eastAsia" w:ascii="仿宋_GB2312" w:hAnsi="仿宋_GB2312" w:eastAsia="仿宋_GB2312" w:cs="仿宋_GB2312"/>
          <w:sz w:val="32"/>
          <w:szCs w:val="32"/>
        </w:rPr>
        <w:t>11.62</w:t>
      </w:r>
      <w:r>
        <w:rPr>
          <w:rFonts w:hint="eastAsia" w:eastAsia="仿宋_GB2312" w:cs="仿宋_GB2312"/>
          <w:sz w:val="32"/>
          <w:szCs w:val="32"/>
        </w:rPr>
        <w:t>万元，主要包括：办公费</w:t>
      </w:r>
      <w:r>
        <w:rPr>
          <w:rFonts w:eastAsia="仿宋_GB2312" w:cs="仿宋_GB2312"/>
          <w:sz w:val="32"/>
          <w:szCs w:val="32"/>
        </w:rPr>
        <w:t>3.09万元</w:t>
      </w:r>
      <w:r>
        <w:rPr>
          <w:rFonts w:hint="eastAsia" w:eastAsia="仿宋_GB2312" w:cs="仿宋_GB2312"/>
          <w:sz w:val="32"/>
          <w:szCs w:val="32"/>
        </w:rPr>
        <w:t>、印刷费</w:t>
      </w:r>
      <w:r>
        <w:rPr>
          <w:rFonts w:eastAsia="仿宋_GB2312" w:cs="仿宋_GB2312"/>
          <w:sz w:val="32"/>
          <w:szCs w:val="32"/>
        </w:rPr>
        <w:t>0.33万元</w:t>
      </w:r>
      <w:r>
        <w:rPr>
          <w:rFonts w:hint="eastAsia" w:eastAsia="仿宋_GB2312" w:cs="仿宋_GB2312"/>
          <w:sz w:val="32"/>
          <w:szCs w:val="32"/>
        </w:rPr>
        <w:t>、水费</w:t>
      </w:r>
      <w:r>
        <w:rPr>
          <w:rFonts w:eastAsia="仿宋_GB2312" w:cs="仿宋_GB2312"/>
          <w:sz w:val="32"/>
          <w:szCs w:val="32"/>
        </w:rPr>
        <w:t>0.11万元</w:t>
      </w:r>
      <w:r>
        <w:rPr>
          <w:rFonts w:hint="eastAsia" w:eastAsia="仿宋_GB2312" w:cs="仿宋_GB2312"/>
          <w:sz w:val="32"/>
          <w:szCs w:val="32"/>
        </w:rPr>
        <w:t>、邮电费</w:t>
      </w:r>
      <w:r>
        <w:rPr>
          <w:rFonts w:eastAsia="仿宋_GB2312" w:cs="仿宋_GB2312"/>
          <w:sz w:val="32"/>
          <w:szCs w:val="32"/>
        </w:rPr>
        <w:t>0.72万元</w:t>
      </w:r>
      <w:r>
        <w:rPr>
          <w:rFonts w:hint="eastAsia" w:eastAsia="仿宋_GB2312" w:cs="仿宋_GB2312"/>
          <w:sz w:val="32"/>
          <w:szCs w:val="32"/>
        </w:rPr>
        <w:t>、取暖费</w:t>
      </w:r>
      <w:r>
        <w:rPr>
          <w:rFonts w:eastAsia="仿宋_GB2312" w:cs="仿宋_GB2312"/>
          <w:sz w:val="32"/>
          <w:szCs w:val="32"/>
        </w:rPr>
        <w:t>0.2万元</w:t>
      </w:r>
      <w:r>
        <w:rPr>
          <w:rFonts w:hint="eastAsia" w:eastAsia="仿宋_GB2312" w:cs="仿宋_GB2312"/>
          <w:sz w:val="32"/>
          <w:szCs w:val="32"/>
        </w:rPr>
        <w:t>、差旅费</w:t>
      </w:r>
      <w:r>
        <w:rPr>
          <w:rFonts w:eastAsia="仿宋_GB2312" w:cs="仿宋_GB2312"/>
          <w:sz w:val="32"/>
          <w:szCs w:val="32"/>
        </w:rPr>
        <w:t>1.67万元</w:t>
      </w:r>
      <w:r>
        <w:rPr>
          <w:rFonts w:hint="eastAsia" w:eastAsia="仿宋_GB2312" w:cs="仿宋_GB2312"/>
          <w:sz w:val="32"/>
          <w:szCs w:val="32"/>
        </w:rPr>
        <w:t>、劳务费</w:t>
      </w:r>
      <w:r>
        <w:rPr>
          <w:rFonts w:eastAsia="仿宋_GB2312" w:cs="仿宋_GB2312"/>
          <w:sz w:val="32"/>
          <w:szCs w:val="32"/>
        </w:rPr>
        <w:t>0.52万元</w:t>
      </w:r>
      <w:r>
        <w:rPr>
          <w:rFonts w:hint="eastAsia" w:eastAsia="仿宋_GB2312" w:cs="仿宋_GB2312"/>
          <w:sz w:val="32"/>
          <w:szCs w:val="32"/>
        </w:rPr>
        <w:t>、委托业务费</w:t>
      </w:r>
      <w:r>
        <w:rPr>
          <w:rFonts w:eastAsia="仿宋_GB2312" w:cs="仿宋_GB2312"/>
          <w:sz w:val="32"/>
          <w:szCs w:val="32"/>
        </w:rPr>
        <w:t>0.30万元</w:t>
      </w:r>
      <w:r>
        <w:rPr>
          <w:rFonts w:hint="eastAsia" w:eastAsia="仿宋_GB2312" w:cs="仿宋_GB2312"/>
          <w:sz w:val="32"/>
          <w:szCs w:val="32"/>
        </w:rPr>
        <w:t>、工会经费</w:t>
      </w:r>
      <w:r>
        <w:rPr>
          <w:rFonts w:eastAsia="仿宋_GB2312" w:cs="仿宋_GB2312"/>
          <w:sz w:val="32"/>
          <w:szCs w:val="32"/>
        </w:rPr>
        <w:t>1.15万元</w:t>
      </w:r>
      <w:r>
        <w:rPr>
          <w:rFonts w:hint="eastAsia" w:eastAsia="仿宋_GB2312" w:cs="仿宋_GB2312"/>
          <w:sz w:val="32"/>
          <w:szCs w:val="32"/>
        </w:rPr>
        <w:t>、福利费</w:t>
      </w:r>
      <w:r>
        <w:rPr>
          <w:rFonts w:eastAsia="仿宋_GB2312" w:cs="仿宋_GB2312"/>
          <w:sz w:val="32"/>
          <w:szCs w:val="32"/>
        </w:rPr>
        <w:t>1.04万元</w:t>
      </w:r>
      <w:r>
        <w:rPr>
          <w:rFonts w:hint="eastAsia" w:eastAsia="仿宋_GB2312" w:cs="仿宋_GB2312"/>
          <w:sz w:val="32"/>
          <w:szCs w:val="32"/>
        </w:rPr>
        <w:t>、公务用车运行维护费</w:t>
      </w:r>
      <w:r>
        <w:rPr>
          <w:rFonts w:eastAsia="仿宋_GB2312" w:cs="仿宋_GB2312"/>
          <w:sz w:val="32"/>
          <w:szCs w:val="32"/>
        </w:rPr>
        <w:t>0.72万元</w:t>
      </w:r>
      <w:r>
        <w:rPr>
          <w:rFonts w:hint="eastAsia" w:eastAsia="仿宋_GB2312" w:cs="仿宋_GB2312"/>
          <w:sz w:val="32"/>
          <w:szCs w:val="32"/>
        </w:rPr>
        <w:t>、其他商品和服务支出</w:t>
      </w:r>
      <w:r>
        <w:rPr>
          <w:rFonts w:eastAsia="仿宋_GB2312" w:cs="仿宋_GB2312"/>
          <w:sz w:val="32"/>
          <w:szCs w:val="32"/>
        </w:rPr>
        <w:t>1.76万元</w:t>
      </w:r>
      <w:r>
        <w:rPr>
          <w:rFonts w:hint="eastAsia" w:eastAsia="仿宋_GB2312" w:cs="仿宋_GB2312"/>
          <w:sz w:val="32"/>
          <w:szCs w:val="32"/>
        </w:rPr>
        <w:t>。</w:t>
      </w:r>
    </w:p>
    <w:p>
      <w:pPr>
        <w:spacing w:line="600" w:lineRule="exact"/>
        <w:ind w:left="0"/>
        <w:outlineLvl w:val="1"/>
        <w:rPr>
          <w:rStyle w:val="21"/>
          <w:rFonts w:ascii="Times New Roman" w:hAnsi="Times New Roman" w:eastAsia="黑体"/>
          <w:b w:val="0"/>
        </w:rPr>
      </w:pPr>
      <w:bookmarkStart w:id="34" w:name="_Toc15377215"/>
      <w:bookmarkStart w:id="35" w:name="_Toc15396609"/>
      <w:r>
        <w:rPr>
          <w:rFonts w:hint="eastAsia" w:eastAsia="黑体"/>
          <w:sz w:val="32"/>
          <w:szCs w:val="32"/>
        </w:rPr>
        <w:t>七、</w:t>
      </w:r>
      <w:r>
        <w:rPr>
          <w:rStyle w:val="21"/>
          <w:rFonts w:hint="eastAsia" w:ascii="Times New Roman" w:hAnsi="Times New Roman" w:eastAsia="黑体"/>
          <w:b w:val="0"/>
        </w:rPr>
        <w:t>财政拨款</w:t>
      </w:r>
      <w:r>
        <w:rPr>
          <w:rStyle w:val="21"/>
          <w:rFonts w:hint="eastAsia" w:ascii="Times New Roman" w:hAnsi="Times New Roman" w:eastAsia="黑体"/>
        </w:rPr>
        <w:t>“</w:t>
      </w:r>
      <w:r>
        <w:rPr>
          <w:rStyle w:val="21"/>
          <w:rFonts w:hint="eastAsia" w:ascii="Times New Roman" w:hAnsi="Times New Roman" w:eastAsia="黑体"/>
          <w:b w:val="0"/>
        </w:rPr>
        <w:t>三公”经费支出决算情况说明</w:t>
      </w:r>
      <w:bookmarkEnd w:id="34"/>
      <w:bookmarkEnd w:id="35"/>
    </w:p>
    <w:p>
      <w:pPr>
        <w:spacing w:line="600" w:lineRule="exact"/>
        <w:ind w:firstLine="643" w:firstLineChars="200"/>
        <w:outlineLvl w:val="2"/>
        <w:rPr>
          <w:rFonts w:eastAsia="楷体_GB2312" w:cs="楷体_GB2312"/>
          <w:b/>
          <w:sz w:val="32"/>
          <w:szCs w:val="32"/>
        </w:rPr>
      </w:pPr>
      <w:bookmarkStart w:id="36" w:name="_Toc15377216"/>
      <w:r>
        <w:rPr>
          <w:rFonts w:hint="eastAsia" w:eastAsia="楷体_GB2312" w:cs="楷体_GB2312"/>
          <w:b/>
          <w:sz w:val="32"/>
          <w:szCs w:val="32"/>
        </w:rPr>
        <w:t>（一）财政拨款“三公”经费支出决算总体情况说明</w:t>
      </w:r>
      <w:bookmarkEnd w:id="36"/>
    </w:p>
    <w:p>
      <w:pPr>
        <w:spacing w:line="600" w:lineRule="exact"/>
        <w:ind w:firstLine="640"/>
        <w:rPr>
          <w:rFonts w:eastAsia="仿宋_GB2312" w:cs="仿宋_GB2312"/>
          <w:b/>
          <w:bCs/>
          <w:sz w:val="32"/>
          <w:szCs w:val="32"/>
        </w:rPr>
      </w:pPr>
      <w:r>
        <w:rPr>
          <w:rFonts w:hint="eastAsia" w:eastAsia="仿宋_GB2312" w:cs="仿宋_GB2312"/>
          <w:sz w:val="32"/>
          <w:szCs w:val="32"/>
        </w:rPr>
        <w:t>2025年度财政拨款“三公”经费支出决算为</w:t>
      </w:r>
      <w:r>
        <w:rPr>
          <w:rFonts w:hint="eastAsia" w:ascii="仿宋_GB2312" w:hAnsi="仿宋_GB2312" w:eastAsia="仿宋_GB2312" w:cs="仿宋_GB2312"/>
          <w:sz w:val="32"/>
          <w:szCs w:val="32"/>
        </w:rPr>
        <w:t>0.72</w:t>
      </w:r>
      <w:r>
        <w:rPr>
          <w:rFonts w:hint="eastAsia" w:eastAsia="仿宋_GB2312" w:cs="仿宋_GB2312"/>
          <w:sz w:val="32"/>
          <w:szCs w:val="32"/>
        </w:rPr>
        <w:t>万元，完成预算</w:t>
      </w:r>
      <w:r>
        <w:rPr>
          <w:rFonts w:hint="eastAsia" w:ascii="仿宋_GB2312" w:hAnsi="仿宋_GB2312" w:eastAsia="仿宋_GB2312" w:cs="仿宋_GB2312"/>
          <w:sz w:val="32"/>
          <w:szCs w:val="32"/>
        </w:rPr>
        <w:t>27.65</w:t>
      </w:r>
      <w:r>
        <w:rPr>
          <w:rFonts w:hint="eastAsia" w:eastAsia="仿宋_GB2312" w:cs="仿宋_GB2312"/>
          <w:sz w:val="32"/>
          <w:szCs w:val="32"/>
        </w:rPr>
        <w:t>%，较上年度</w:t>
      </w:r>
      <w:r>
        <w:rPr>
          <w:rFonts w:eastAsia="仿宋_GB2312" w:cs="仿宋_GB2312"/>
          <w:sz w:val="32"/>
          <w:szCs w:val="32"/>
        </w:rPr>
        <w:t>下降1.88</w:t>
      </w:r>
      <w:r>
        <w:rPr>
          <w:rFonts w:hint="eastAsia" w:eastAsia="仿宋_GB2312" w:cs="仿宋_GB2312"/>
          <w:sz w:val="32"/>
          <w:szCs w:val="32"/>
        </w:rPr>
        <w:t>万元，下降</w:t>
      </w:r>
      <w:r>
        <w:rPr>
          <w:rFonts w:eastAsia="仿宋_GB2312" w:cs="仿宋_GB2312"/>
          <w:sz w:val="32"/>
          <w:szCs w:val="32"/>
        </w:rPr>
        <w:t>72.23</w:t>
      </w:r>
      <w:r>
        <w:rPr>
          <w:rFonts w:hint="eastAsia" w:eastAsia="仿宋_GB2312" w:cs="仿宋_GB2312"/>
          <w:sz w:val="32"/>
          <w:szCs w:val="32"/>
        </w:rPr>
        <w:t>%。决算数小于预算数的主要原因</w:t>
      </w:r>
      <w:r>
        <w:rPr>
          <w:rFonts w:eastAsia="仿宋_GB2312" w:cs="仿宋_GB2312"/>
          <w:sz w:val="32"/>
          <w:szCs w:val="32"/>
        </w:rPr>
        <w:t>是厉行节约。</w:t>
      </w:r>
    </w:p>
    <w:p>
      <w:pPr>
        <w:spacing w:line="600" w:lineRule="exact"/>
        <w:ind w:firstLine="643" w:firstLineChars="200"/>
        <w:outlineLvl w:val="2"/>
        <w:rPr>
          <w:rFonts w:eastAsia="楷体_GB2312" w:cs="楷体_GB2312"/>
          <w:b/>
          <w:sz w:val="32"/>
          <w:szCs w:val="32"/>
        </w:rPr>
      </w:pPr>
      <w:bookmarkStart w:id="37" w:name="_Toc15377217"/>
      <w:r>
        <w:rPr>
          <w:rFonts w:hint="eastAsia" w:eastAsia="楷体_GB2312" w:cs="楷体_GB2312"/>
          <w:b/>
          <w:sz w:val="32"/>
          <w:szCs w:val="32"/>
        </w:rPr>
        <w:t>（二）财政拨款“三公”经费支出决算具体情况说明</w:t>
      </w:r>
      <w:bookmarkEnd w:id="37"/>
    </w:p>
    <w:p>
      <w:pPr>
        <w:spacing w:line="600" w:lineRule="exact"/>
        <w:ind w:firstLine="640"/>
        <w:rPr>
          <w:rFonts w:hint="eastAsia" w:eastAsia="仿宋_GB2312" w:cs="仿宋_GB2312"/>
          <w:sz w:val="32"/>
          <w:szCs w:val="32"/>
        </w:rPr>
      </w:pPr>
      <w:r>
        <w:rPr>
          <w:rFonts w:hint="eastAsia" w:eastAsia="仿宋_GB2312" w:cs="仿宋_GB2312"/>
          <w:sz w:val="32"/>
          <w:szCs w:val="32"/>
        </w:rPr>
        <w:t>2025年度财政拨款“三公”经费支出决算中，因公出国（境）费支出决算</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eastAsia="仿宋_GB2312" w:cs="仿宋_GB2312"/>
          <w:sz w:val="32"/>
          <w:szCs w:val="32"/>
        </w:rPr>
        <w:t>0</w:t>
      </w:r>
      <w:r>
        <w:rPr>
          <w:rFonts w:hint="eastAsia" w:eastAsia="仿宋_GB2312" w:cs="仿宋_GB2312"/>
          <w:sz w:val="32"/>
          <w:szCs w:val="32"/>
        </w:rPr>
        <w:t>%；公务用车购置及运行维护费支出决算</w:t>
      </w:r>
      <w:r>
        <w:rPr>
          <w:rFonts w:hint="eastAsia" w:ascii="仿宋_GB2312" w:hAnsi="仿宋_GB2312" w:eastAsia="仿宋_GB2312" w:cs="仿宋_GB2312"/>
          <w:sz w:val="32"/>
          <w:szCs w:val="32"/>
        </w:rPr>
        <w:t>0.72</w:t>
      </w:r>
      <w:r>
        <w:rPr>
          <w:rFonts w:hint="eastAsia" w:eastAsia="仿宋_GB2312" w:cs="仿宋_GB2312"/>
          <w:sz w:val="32"/>
          <w:szCs w:val="32"/>
        </w:rPr>
        <w:t>万元，占</w:t>
      </w:r>
      <w:r>
        <w:rPr>
          <w:rFonts w:eastAsia="仿宋_GB2312" w:cs="仿宋_GB2312"/>
          <w:sz w:val="32"/>
          <w:szCs w:val="32"/>
        </w:rPr>
        <w:t>100</w:t>
      </w:r>
      <w:r>
        <w:rPr>
          <w:rFonts w:hint="eastAsia" w:eastAsia="仿宋_GB2312" w:cs="仿宋_GB2312"/>
          <w:sz w:val="32"/>
          <w:szCs w:val="32"/>
        </w:rPr>
        <w:t>%；公务接待费支出决算</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eastAsia="仿宋_GB2312" w:cs="仿宋_GB2312"/>
          <w:sz w:val="32"/>
          <w:szCs w:val="32"/>
        </w:rPr>
        <w:t>0</w:t>
      </w:r>
      <w:r>
        <w:rPr>
          <w:rFonts w:hint="eastAsia" w:eastAsia="仿宋_GB2312" w:cs="仿宋_GB2312"/>
          <w:sz w:val="32"/>
          <w:szCs w:val="32"/>
        </w:rPr>
        <w:t>%。具体情况如下：</w:t>
      </w:r>
    </w:p>
    <w:p>
      <w:pPr>
        <w:spacing w:line="600" w:lineRule="exact"/>
        <w:ind w:left="0"/>
      </w:pPr>
      <w:r>
        <w:rPr>
          <w:rFonts w:hint="eastAsia" w:eastAsia="仿宋_GB2312" w:cs="仿宋_GB2312"/>
          <w:sz w:val="32"/>
          <w:szCs w:val="32"/>
        </w:rPr>
        <w:t>（图7：财政拨款“三公”经费支出结构）（饼状图）</w:t>
      </w:r>
    </w:p>
    <w:p>
      <w:r>
        <w:drawing>
          <wp:inline distT="0" distB="0" distL="85725" distR="85725">
            <wp:extent cx="5270500" cy="2534285"/>
            <wp:effectExtent l="6350" t="6350" r="19050" b="12065"/>
            <wp:docPr id="1033" name="图表 103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p>
      <w:pPr>
        <w:spacing w:line="600" w:lineRule="exact"/>
        <w:ind w:firstLine="640"/>
        <w:rPr>
          <w:rFonts w:eastAsia="仿宋_GB2312" w:cs="仿宋_GB2312"/>
          <w:sz w:val="32"/>
          <w:szCs w:val="32"/>
        </w:rPr>
      </w:pPr>
      <w:r>
        <w:rPr>
          <w:rFonts w:hint="eastAsia" w:eastAsia="仿宋_GB2312" w:cs="仿宋_GB2312"/>
          <w:b/>
          <w:bCs/>
          <w:sz w:val="32"/>
          <w:szCs w:val="32"/>
        </w:rPr>
        <w:t>1.因公出国（境）经费支出</w:t>
      </w:r>
      <w:r>
        <w:rPr>
          <w:rFonts w:hint="eastAsia" w:ascii="仿宋_GB2312" w:hAnsi="仿宋_GB2312" w:eastAsia="仿宋_GB2312" w:cs="仿宋_GB2312"/>
          <w:sz w:val="32"/>
          <w:szCs w:val="32"/>
        </w:rPr>
        <w:t>0</w:t>
      </w:r>
      <w:r>
        <w:rPr>
          <w:rFonts w:hint="eastAsia" w:eastAsia="仿宋_GB2312" w:cs="仿宋_GB2312"/>
          <w:b/>
          <w:bCs/>
          <w:sz w:val="32"/>
          <w:szCs w:val="32"/>
        </w:rPr>
        <w:t>万元，完成预算</w:t>
      </w:r>
      <w:r>
        <w:rPr>
          <w:rFonts w:eastAsia="仿宋_GB2312" w:cs="仿宋_GB2312"/>
          <w:b/>
          <w:bCs/>
          <w:sz w:val="32"/>
          <w:szCs w:val="32"/>
        </w:rPr>
        <w:t>0</w:t>
      </w:r>
      <w:r>
        <w:rPr>
          <w:rFonts w:hint="eastAsia" w:eastAsia="仿宋_GB2312" w:cs="仿宋_GB2312"/>
          <w:b/>
          <w:bCs/>
          <w:sz w:val="32"/>
          <w:szCs w:val="32"/>
        </w:rPr>
        <w:t>%。</w:t>
      </w:r>
      <w:r>
        <w:rPr>
          <w:rFonts w:hint="eastAsia" w:eastAsia="仿宋_GB2312" w:cs="仿宋_GB2312"/>
          <w:sz w:val="32"/>
          <w:szCs w:val="32"/>
        </w:rPr>
        <w:t>全年安排因公出国（境）团组</w:t>
      </w:r>
      <w:r>
        <w:rPr>
          <w:rFonts w:hint="eastAsia" w:ascii="仿宋_GB2312" w:hAnsi="仿宋_GB2312" w:eastAsia="仿宋_GB2312" w:cs="仿宋_GB2312"/>
          <w:sz w:val="32"/>
          <w:szCs w:val="32"/>
        </w:rPr>
        <w:t>0</w:t>
      </w:r>
      <w:r>
        <w:rPr>
          <w:rFonts w:hint="eastAsia" w:eastAsia="仿宋_GB2312" w:cs="仿宋_GB2312"/>
          <w:sz w:val="32"/>
          <w:szCs w:val="32"/>
        </w:rPr>
        <w:t>次，出国（境）</w:t>
      </w:r>
      <w:r>
        <w:rPr>
          <w:rFonts w:hint="eastAsia" w:ascii="仿宋_GB2312" w:hAnsi="仿宋_GB2312" w:eastAsia="仿宋_GB2312" w:cs="仿宋_GB2312"/>
          <w:sz w:val="32"/>
          <w:szCs w:val="32"/>
        </w:rPr>
        <w:t>0</w:t>
      </w:r>
      <w:r>
        <w:rPr>
          <w:rFonts w:hint="eastAsia" w:eastAsia="仿宋_GB2312" w:cs="仿宋_GB2312"/>
          <w:sz w:val="32"/>
          <w:szCs w:val="32"/>
        </w:rPr>
        <w:t>人。因公出国（境）支出决算</w:t>
      </w:r>
      <w:r>
        <w:rPr>
          <w:rFonts w:eastAsia="仿宋_GB2312" w:cs="仿宋_GB2312"/>
          <w:sz w:val="32"/>
          <w:szCs w:val="32"/>
        </w:rPr>
        <w:t>与上年一致。</w:t>
      </w:r>
    </w:p>
    <w:p>
      <w:pPr>
        <w:spacing w:line="600" w:lineRule="exact"/>
        <w:ind w:left="0" w:firstLine="643" w:firstLineChars="200"/>
        <w:rPr>
          <w:rFonts w:eastAsia="仿宋_GB2312" w:cs="仿宋_GB2312"/>
          <w:sz w:val="32"/>
          <w:szCs w:val="32"/>
        </w:rPr>
      </w:pPr>
      <w:r>
        <w:rPr>
          <w:rFonts w:hint="eastAsia" w:eastAsia="仿宋_GB2312" w:cs="仿宋_GB2312"/>
          <w:b/>
          <w:bCs/>
          <w:sz w:val="32"/>
          <w:szCs w:val="32"/>
        </w:rPr>
        <w:t>2.公务用车购置及运行维护费支出</w:t>
      </w:r>
      <w:r>
        <w:rPr>
          <w:rFonts w:hint="eastAsia" w:ascii="仿宋_GB2312" w:hAnsi="仿宋_GB2312" w:eastAsia="仿宋_GB2312" w:cs="仿宋_GB2312"/>
          <w:b/>
          <w:bCs/>
          <w:sz w:val="32"/>
          <w:szCs w:val="32"/>
        </w:rPr>
        <w:t>0.72</w:t>
      </w:r>
      <w:r>
        <w:rPr>
          <w:rFonts w:hint="eastAsia" w:eastAsia="仿宋_GB2312" w:cs="仿宋_GB2312"/>
          <w:b/>
          <w:bCs/>
          <w:sz w:val="32"/>
          <w:szCs w:val="32"/>
        </w:rPr>
        <w:t>万元，完成预算</w:t>
      </w:r>
      <w:r>
        <w:rPr>
          <w:rFonts w:eastAsia="仿宋_GB2312" w:cs="仿宋_GB2312"/>
          <w:b/>
          <w:bCs/>
          <w:sz w:val="32"/>
          <w:szCs w:val="32"/>
        </w:rPr>
        <w:t>27</w:t>
      </w:r>
      <w:r>
        <w:rPr>
          <w:rFonts w:hint="eastAsia" w:eastAsia="仿宋_GB2312" w:cs="仿宋_GB2312"/>
          <w:b/>
          <w:bCs/>
          <w:sz w:val="32"/>
          <w:szCs w:val="32"/>
        </w:rPr>
        <w:t>%。</w:t>
      </w:r>
      <w:r>
        <w:rPr>
          <w:rFonts w:hint="eastAsia" w:eastAsia="仿宋_GB2312" w:cs="仿宋_GB2312"/>
          <w:sz w:val="32"/>
          <w:szCs w:val="32"/>
        </w:rPr>
        <w:t>公务用车购置及运行维护费支出决算比上年度减少</w:t>
      </w:r>
      <w:r>
        <w:rPr>
          <w:rFonts w:eastAsia="仿宋_GB2312" w:cs="仿宋_GB2312"/>
          <w:sz w:val="32"/>
          <w:szCs w:val="32"/>
        </w:rPr>
        <w:t>1.88</w:t>
      </w:r>
      <w:r>
        <w:rPr>
          <w:rFonts w:hint="eastAsia" w:eastAsia="仿宋_GB2312" w:cs="仿宋_GB2312"/>
          <w:sz w:val="32"/>
          <w:szCs w:val="32"/>
        </w:rPr>
        <w:t>万元，下降</w:t>
      </w:r>
      <w:r>
        <w:rPr>
          <w:rFonts w:eastAsia="仿宋_GB2312" w:cs="仿宋_GB2312"/>
          <w:sz w:val="32"/>
          <w:szCs w:val="32"/>
        </w:rPr>
        <w:t>72.23</w:t>
      </w:r>
      <w:r>
        <w:rPr>
          <w:rFonts w:hint="eastAsia" w:eastAsia="仿宋_GB2312" w:cs="仿宋_GB2312"/>
          <w:sz w:val="32"/>
          <w:szCs w:val="32"/>
        </w:rPr>
        <w:t>%。主要原因是</w:t>
      </w:r>
      <w:r>
        <w:rPr>
          <w:rFonts w:eastAsia="仿宋_GB2312" w:cs="仿宋_GB2312"/>
          <w:sz w:val="32"/>
          <w:szCs w:val="32"/>
        </w:rPr>
        <w:t>厉行节约</w:t>
      </w:r>
    </w:p>
    <w:p>
      <w:pPr>
        <w:spacing w:line="600" w:lineRule="exact"/>
        <w:ind w:firstLine="640"/>
        <w:rPr>
          <w:rFonts w:eastAsia="仿宋_GB2312" w:cs="仿宋_GB2312"/>
          <w:sz w:val="32"/>
          <w:szCs w:val="32"/>
        </w:rPr>
      </w:pPr>
      <w:r>
        <w:rPr>
          <w:rFonts w:hint="eastAsia" w:eastAsia="仿宋_GB2312" w:cs="仿宋_GB2312"/>
          <w:sz w:val="32"/>
          <w:szCs w:val="32"/>
        </w:rPr>
        <w:t>其中：公务用车购置支出</w:t>
      </w:r>
      <w:r>
        <w:rPr>
          <w:rFonts w:hint="eastAsia" w:ascii="仿宋_GB2312" w:hAnsi="仿宋_GB2312" w:eastAsia="仿宋_GB2312" w:cs="仿宋_GB2312"/>
          <w:sz w:val="32"/>
          <w:szCs w:val="32"/>
        </w:rPr>
        <w:t>0</w:t>
      </w:r>
      <w:r>
        <w:rPr>
          <w:rFonts w:hint="eastAsia" w:eastAsia="仿宋_GB2312" w:cs="仿宋_GB2312"/>
          <w:sz w:val="32"/>
          <w:szCs w:val="32"/>
        </w:rPr>
        <w:t>万元。全年按规定更新购置公务用车</w:t>
      </w:r>
      <w:r>
        <w:rPr>
          <w:rFonts w:eastAsia="仿宋_GB2312" w:cs="仿宋_GB2312"/>
          <w:sz w:val="32"/>
          <w:szCs w:val="32"/>
        </w:rPr>
        <w:t>0</w:t>
      </w:r>
      <w:r>
        <w:rPr>
          <w:rFonts w:hint="eastAsia" w:eastAsia="仿宋_GB2312" w:cs="仿宋_GB2312"/>
          <w:sz w:val="32"/>
          <w:szCs w:val="32"/>
        </w:rPr>
        <w:t>辆，其中：轿车</w:t>
      </w:r>
      <w:r>
        <w:rPr>
          <w:rFonts w:eastAsia="仿宋_GB2312" w:cs="仿宋_GB2312"/>
          <w:sz w:val="32"/>
          <w:szCs w:val="32"/>
        </w:rPr>
        <w:t>0</w:t>
      </w:r>
      <w:r>
        <w:rPr>
          <w:rFonts w:hint="eastAsia" w:eastAsia="仿宋_GB2312" w:cs="仿宋_GB2312"/>
          <w:sz w:val="32"/>
          <w:szCs w:val="32"/>
        </w:rPr>
        <w:t>辆、金额</w:t>
      </w:r>
      <w:r>
        <w:rPr>
          <w:rFonts w:eastAsia="仿宋_GB2312" w:cs="仿宋_GB2312"/>
          <w:sz w:val="32"/>
          <w:szCs w:val="32"/>
        </w:rPr>
        <w:t>0</w:t>
      </w:r>
      <w:r>
        <w:rPr>
          <w:rFonts w:hint="eastAsia" w:eastAsia="仿宋_GB2312" w:cs="仿宋_GB2312"/>
          <w:sz w:val="32"/>
          <w:szCs w:val="32"/>
        </w:rPr>
        <w:t>万元，越野车</w:t>
      </w:r>
      <w:r>
        <w:rPr>
          <w:rFonts w:eastAsia="仿宋_GB2312" w:cs="仿宋_GB2312"/>
          <w:sz w:val="32"/>
          <w:szCs w:val="32"/>
        </w:rPr>
        <w:t>0</w:t>
      </w:r>
      <w:r>
        <w:rPr>
          <w:rFonts w:hint="eastAsia" w:eastAsia="仿宋_GB2312" w:cs="仿宋_GB2312"/>
          <w:sz w:val="32"/>
          <w:szCs w:val="32"/>
        </w:rPr>
        <w:t>辆、金额</w:t>
      </w:r>
      <w:r>
        <w:rPr>
          <w:rFonts w:eastAsia="仿宋_GB2312" w:cs="仿宋_GB2312"/>
          <w:sz w:val="32"/>
          <w:szCs w:val="32"/>
        </w:rPr>
        <w:t>0</w:t>
      </w:r>
      <w:r>
        <w:rPr>
          <w:rFonts w:hint="eastAsia" w:eastAsia="仿宋_GB2312" w:cs="仿宋_GB2312"/>
          <w:sz w:val="32"/>
          <w:szCs w:val="32"/>
        </w:rPr>
        <w:t>万元，载客汽车</w:t>
      </w:r>
      <w:r>
        <w:rPr>
          <w:rFonts w:eastAsia="仿宋_GB2312" w:cs="仿宋_GB2312"/>
          <w:sz w:val="32"/>
          <w:szCs w:val="32"/>
        </w:rPr>
        <w:t>0</w:t>
      </w:r>
      <w:r>
        <w:rPr>
          <w:rFonts w:hint="eastAsia" w:eastAsia="仿宋_GB2312" w:cs="仿宋_GB2312"/>
          <w:sz w:val="32"/>
          <w:szCs w:val="32"/>
        </w:rPr>
        <w:t>辆、金额</w:t>
      </w:r>
      <w:r>
        <w:rPr>
          <w:rFonts w:eastAsia="仿宋_GB2312" w:cs="仿宋_GB2312"/>
          <w:sz w:val="32"/>
          <w:szCs w:val="32"/>
        </w:rPr>
        <w:t>0</w:t>
      </w:r>
      <w:r>
        <w:rPr>
          <w:rFonts w:hint="eastAsia" w:eastAsia="仿宋_GB2312" w:cs="仿宋_GB2312"/>
          <w:sz w:val="32"/>
          <w:szCs w:val="32"/>
        </w:rPr>
        <w:t>万元。截至2025年12月31日，单位共有公务用车</w:t>
      </w:r>
      <w:r>
        <w:rPr>
          <w:rFonts w:eastAsia="仿宋_GB2312" w:cs="仿宋_GB2312"/>
          <w:sz w:val="32"/>
          <w:szCs w:val="32"/>
        </w:rPr>
        <w:t>1</w:t>
      </w:r>
      <w:r>
        <w:rPr>
          <w:rFonts w:hint="eastAsia" w:eastAsia="仿宋_GB2312" w:cs="仿宋_GB2312"/>
          <w:sz w:val="32"/>
          <w:szCs w:val="32"/>
        </w:rPr>
        <w:t>辆，其中：轿车</w:t>
      </w:r>
      <w:r>
        <w:rPr>
          <w:rFonts w:eastAsia="仿宋_GB2312" w:cs="仿宋_GB2312"/>
          <w:sz w:val="32"/>
          <w:szCs w:val="32"/>
        </w:rPr>
        <w:t>1</w:t>
      </w:r>
      <w:r>
        <w:rPr>
          <w:rFonts w:hint="eastAsia" w:eastAsia="仿宋_GB2312" w:cs="仿宋_GB2312"/>
          <w:sz w:val="32"/>
          <w:szCs w:val="32"/>
        </w:rPr>
        <w:t>辆、越野车</w:t>
      </w:r>
      <w:r>
        <w:rPr>
          <w:rFonts w:eastAsia="仿宋_GB2312" w:cs="仿宋_GB2312"/>
          <w:sz w:val="32"/>
          <w:szCs w:val="32"/>
        </w:rPr>
        <w:t>1</w:t>
      </w:r>
      <w:r>
        <w:rPr>
          <w:rFonts w:hint="eastAsia" w:eastAsia="仿宋_GB2312" w:cs="仿宋_GB2312"/>
          <w:sz w:val="32"/>
          <w:szCs w:val="32"/>
        </w:rPr>
        <w:t>辆、载客汽车</w:t>
      </w:r>
      <w:r>
        <w:rPr>
          <w:rFonts w:eastAsia="仿宋_GB2312" w:cs="仿宋_GB2312"/>
          <w:sz w:val="32"/>
          <w:szCs w:val="32"/>
        </w:rPr>
        <w:t>1</w:t>
      </w:r>
      <w:r>
        <w:rPr>
          <w:rFonts w:hint="eastAsia" w:eastAsia="仿宋_GB2312" w:cs="仿宋_GB2312"/>
          <w:sz w:val="32"/>
          <w:szCs w:val="32"/>
        </w:rPr>
        <w:t>辆。</w:t>
      </w:r>
    </w:p>
    <w:p>
      <w:pPr>
        <w:spacing w:line="600" w:lineRule="exact"/>
        <w:ind w:firstLine="640"/>
        <w:rPr>
          <w:rFonts w:eastAsia="仿宋_GB2312" w:cs="仿宋_GB2312"/>
          <w:sz w:val="32"/>
          <w:szCs w:val="32"/>
        </w:rPr>
      </w:pPr>
      <w:r>
        <w:rPr>
          <w:rFonts w:hint="eastAsia" w:eastAsia="仿宋_GB2312" w:cs="仿宋_GB2312"/>
          <w:sz w:val="32"/>
          <w:szCs w:val="32"/>
        </w:rPr>
        <w:t>公务用车运行维护费支出</w:t>
      </w:r>
      <w:r>
        <w:rPr>
          <w:rFonts w:hint="eastAsia" w:ascii="仿宋_GB2312" w:hAnsi="仿宋_GB2312" w:eastAsia="仿宋_GB2312" w:cs="仿宋_GB2312"/>
          <w:sz w:val="32"/>
          <w:szCs w:val="32"/>
        </w:rPr>
        <w:t>0.72</w:t>
      </w:r>
      <w:r>
        <w:rPr>
          <w:rFonts w:hint="eastAsia" w:eastAsia="仿宋_GB2312" w:cs="仿宋_GB2312"/>
          <w:sz w:val="32"/>
          <w:szCs w:val="32"/>
        </w:rPr>
        <w:t>万元。主要用于所需的公务用车燃料费、维修费、过路过桥费、保险费等支出。</w:t>
      </w:r>
    </w:p>
    <w:p>
      <w:pPr>
        <w:spacing w:line="600" w:lineRule="exact"/>
        <w:ind w:firstLine="640"/>
        <w:rPr>
          <w:rFonts w:eastAsia="仿宋_GB2312" w:cs="仿宋_GB2312"/>
          <w:sz w:val="32"/>
          <w:szCs w:val="32"/>
        </w:rPr>
      </w:pPr>
      <w:r>
        <w:rPr>
          <w:rFonts w:hint="eastAsia" w:eastAsia="仿宋_GB2312" w:cs="仿宋_GB2312"/>
          <w:b/>
          <w:bCs/>
          <w:sz w:val="32"/>
          <w:szCs w:val="32"/>
        </w:rPr>
        <w:t>3.公务接待费支出</w:t>
      </w:r>
      <w:r>
        <w:rPr>
          <w:rFonts w:hint="eastAsia" w:ascii="仿宋_GB2312" w:hAnsi="仿宋_GB2312" w:eastAsia="仿宋_GB2312" w:cs="仿宋_GB2312"/>
          <w:b/>
          <w:bCs/>
          <w:sz w:val="32"/>
          <w:szCs w:val="32"/>
        </w:rPr>
        <w:t>0</w:t>
      </w:r>
      <w:r>
        <w:rPr>
          <w:rFonts w:hint="eastAsia" w:eastAsia="仿宋_GB2312" w:cs="仿宋_GB2312"/>
          <w:b/>
          <w:bCs/>
          <w:sz w:val="32"/>
          <w:szCs w:val="32"/>
        </w:rPr>
        <w:t>万元，完成预算</w:t>
      </w:r>
      <w:r>
        <w:rPr>
          <w:rFonts w:eastAsia="仿宋_GB2312" w:cs="仿宋_GB2312"/>
          <w:b/>
          <w:bCs/>
          <w:sz w:val="32"/>
          <w:szCs w:val="32"/>
        </w:rPr>
        <w:t>0</w:t>
      </w:r>
      <w:r>
        <w:rPr>
          <w:rFonts w:hint="eastAsia" w:eastAsia="仿宋_GB2312" w:cs="仿宋_GB2312"/>
          <w:b/>
          <w:bCs/>
          <w:sz w:val="32"/>
          <w:szCs w:val="32"/>
        </w:rPr>
        <w:t>%。</w:t>
      </w:r>
      <w:r>
        <w:rPr>
          <w:rFonts w:hint="eastAsia" w:eastAsia="仿宋_GB2312" w:cs="仿宋_GB2312"/>
          <w:sz w:val="32"/>
          <w:szCs w:val="32"/>
        </w:rPr>
        <w:t>公务接待费支出决算比上年度</w:t>
      </w:r>
      <w:r>
        <w:rPr>
          <w:rFonts w:eastAsia="仿宋_GB2312" w:cs="仿宋_GB2312"/>
          <w:sz w:val="32"/>
          <w:szCs w:val="32"/>
        </w:rPr>
        <w:t>持平。</w:t>
      </w:r>
    </w:p>
    <w:p>
      <w:pPr>
        <w:spacing w:line="600" w:lineRule="exact"/>
        <w:ind w:left="0"/>
        <w:outlineLvl w:val="1"/>
        <w:rPr>
          <w:rStyle w:val="21"/>
          <w:rFonts w:ascii="Times New Roman" w:hAnsi="Times New Roman" w:eastAsia="黑体"/>
        </w:rPr>
      </w:pPr>
      <w:bookmarkStart w:id="38" w:name="_Toc15377218"/>
      <w:bookmarkStart w:id="39" w:name="_Toc15396610"/>
      <w:r>
        <w:rPr>
          <w:rFonts w:hint="eastAsia" w:eastAsia="黑体"/>
          <w:sz w:val="32"/>
          <w:szCs w:val="32"/>
        </w:rPr>
        <w:t>八、</w:t>
      </w:r>
      <w:r>
        <w:rPr>
          <w:rStyle w:val="21"/>
          <w:rFonts w:hint="eastAsia" w:ascii="Times New Roman" w:hAnsi="Times New Roman" w:eastAsia="黑体"/>
          <w:b w:val="0"/>
        </w:rPr>
        <w:t>政府性基金预算支出决算情况说明</w:t>
      </w:r>
      <w:bookmarkEnd w:id="38"/>
      <w:bookmarkEnd w:id="39"/>
    </w:p>
    <w:p>
      <w:pPr>
        <w:spacing w:line="600" w:lineRule="exact"/>
        <w:ind w:firstLine="640"/>
        <w:rPr>
          <w:rFonts w:eastAsia="仿宋_GB2312" w:cs="仿宋_GB2312"/>
          <w:b/>
          <w:bCs/>
          <w:sz w:val="32"/>
          <w:szCs w:val="32"/>
        </w:rPr>
      </w:pPr>
      <w:r>
        <w:rPr>
          <w:rFonts w:hint="eastAsia" w:eastAsia="仿宋_GB2312" w:cs="仿宋_GB2312"/>
          <w:sz w:val="32"/>
          <w:szCs w:val="32"/>
        </w:rPr>
        <w:t>2025年度政府性基金预算财政拨款支出</w:t>
      </w:r>
      <w:r>
        <w:rPr>
          <w:rFonts w:hint="eastAsia" w:ascii="仿宋_GB2312" w:hAnsi="仿宋_GB2312" w:eastAsia="仿宋_GB2312" w:cs="仿宋_GB2312"/>
          <w:sz w:val="32"/>
          <w:szCs w:val="32"/>
        </w:rPr>
        <w:t>0</w:t>
      </w:r>
      <w:r>
        <w:rPr>
          <w:rFonts w:hint="eastAsia" w:eastAsia="仿宋_GB2312" w:cs="仿宋_GB2312"/>
          <w:sz w:val="32"/>
          <w:szCs w:val="32"/>
        </w:rPr>
        <w:t>万元，占本年支出合计的</w:t>
      </w:r>
      <w:r>
        <w:rPr>
          <w:rFonts w:hint="eastAsia" w:ascii="仿宋_GB2312" w:hAnsi="仿宋_GB2312" w:eastAsia="仿宋_GB2312" w:cs="仿宋_GB2312"/>
          <w:sz w:val="32"/>
          <w:szCs w:val="32"/>
        </w:rPr>
        <w:t>0</w:t>
      </w:r>
      <w:r>
        <w:rPr>
          <w:rFonts w:hint="eastAsia" w:eastAsia="仿宋_GB2312" w:cs="仿宋_GB2312"/>
          <w:sz w:val="32"/>
          <w:szCs w:val="32"/>
        </w:rPr>
        <w:t>%。与上年度</w:t>
      </w:r>
      <w:r>
        <w:rPr>
          <w:rFonts w:eastAsia="仿宋_GB2312" w:cs="仿宋_GB2312"/>
          <w:sz w:val="32"/>
          <w:szCs w:val="32"/>
        </w:rPr>
        <w:t>持平。</w:t>
      </w:r>
    </w:p>
    <w:p>
      <w:pPr>
        <w:spacing w:line="600" w:lineRule="exact"/>
        <w:ind w:left="0" w:firstLine="0"/>
        <w:outlineLvl w:val="1"/>
        <w:rPr>
          <w:rStyle w:val="21"/>
          <w:rFonts w:ascii="Times New Roman" w:hAnsi="Times New Roman" w:eastAsia="黑体"/>
          <w:b w:val="0"/>
        </w:rPr>
      </w:pPr>
      <w:bookmarkStart w:id="40" w:name="_Toc15396611"/>
      <w:bookmarkStart w:id="41" w:name="_Toc15377219"/>
      <w:r>
        <w:rPr>
          <w:rStyle w:val="21"/>
          <w:rFonts w:hint="eastAsia" w:ascii="Times New Roman" w:hAnsi="Times New Roman" w:eastAsia="黑体"/>
          <w:b w:val="0"/>
        </w:rPr>
        <w:t>九、国有资本经营预算支出决算情况说明</w:t>
      </w:r>
      <w:bookmarkEnd w:id="40"/>
      <w:bookmarkEnd w:id="41"/>
    </w:p>
    <w:p>
      <w:pPr>
        <w:spacing w:line="600" w:lineRule="exact"/>
        <w:ind w:firstLine="640"/>
        <w:rPr>
          <w:rFonts w:eastAsia="仿宋_GB2312" w:cs="仿宋_GB2312"/>
          <w:sz w:val="32"/>
          <w:szCs w:val="32"/>
        </w:rPr>
      </w:pPr>
      <w:r>
        <w:rPr>
          <w:rFonts w:hint="eastAsia" w:eastAsia="仿宋_GB2312" w:cs="仿宋_GB2312"/>
          <w:sz w:val="32"/>
          <w:szCs w:val="32"/>
        </w:rPr>
        <w:t>2025年度国有资本经营预算财政拨款支出</w:t>
      </w:r>
      <w:r>
        <w:rPr>
          <w:rFonts w:hint="eastAsia" w:ascii="仿宋_GB2312" w:hAnsi="仿宋_GB2312" w:eastAsia="仿宋_GB2312" w:cs="仿宋_GB2312"/>
          <w:sz w:val="32"/>
          <w:szCs w:val="32"/>
        </w:rPr>
        <w:t>0</w:t>
      </w:r>
      <w:r>
        <w:rPr>
          <w:rFonts w:hint="eastAsia" w:eastAsia="仿宋_GB2312" w:cs="仿宋_GB2312"/>
          <w:sz w:val="32"/>
          <w:szCs w:val="32"/>
        </w:rPr>
        <w:t>万元，占本年支出合计的</w:t>
      </w:r>
      <w:r>
        <w:rPr>
          <w:rFonts w:hint="eastAsia" w:ascii="仿宋_GB2312" w:hAnsi="仿宋_GB2312" w:eastAsia="仿宋_GB2312" w:cs="仿宋_GB2312"/>
          <w:sz w:val="32"/>
          <w:szCs w:val="32"/>
        </w:rPr>
        <w:t>0</w:t>
      </w:r>
      <w:r>
        <w:rPr>
          <w:rFonts w:hint="eastAsia" w:eastAsia="仿宋_GB2312" w:cs="仿宋_GB2312"/>
          <w:sz w:val="32"/>
          <w:szCs w:val="32"/>
        </w:rPr>
        <w:t>%。与上年度</w:t>
      </w:r>
      <w:r>
        <w:rPr>
          <w:rFonts w:eastAsia="仿宋_GB2312" w:cs="仿宋_GB2312"/>
          <w:sz w:val="32"/>
          <w:szCs w:val="32"/>
        </w:rPr>
        <w:t>持平。</w:t>
      </w:r>
    </w:p>
    <w:p>
      <w:pPr>
        <w:spacing w:line="600" w:lineRule="exact"/>
        <w:ind w:left="0" w:firstLine="0"/>
        <w:outlineLvl w:val="1"/>
        <w:rPr>
          <w:rStyle w:val="21"/>
          <w:rFonts w:ascii="Times New Roman" w:hAnsi="Times New Roman" w:eastAsia="黑体"/>
          <w:b w:val="0"/>
        </w:rPr>
      </w:pPr>
      <w:bookmarkStart w:id="42" w:name="_Toc15377221"/>
      <w:bookmarkStart w:id="43" w:name="_Toc15396612"/>
      <w:r>
        <w:rPr>
          <w:rStyle w:val="21"/>
          <w:rFonts w:hint="eastAsia" w:ascii="Times New Roman" w:hAnsi="Times New Roman" w:eastAsia="黑体"/>
          <w:b w:val="0"/>
        </w:rPr>
        <w:t>十、其他重要事项的情况说明</w:t>
      </w:r>
      <w:bookmarkEnd w:id="42"/>
      <w:bookmarkEnd w:id="43"/>
    </w:p>
    <w:p>
      <w:pPr>
        <w:spacing w:line="600" w:lineRule="exact"/>
        <w:ind w:firstLine="643" w:firstLineChars="200"/>
        <w:outlineLvl w:val="2"/>
        <w:rPr>
          <w:rFonts w:eastAsia="楷体_GB2312" w:cs="楷体_GB2312"/>
          <w:b/>
          <w:sz w:val="32"/>
          <w:szCs w:val="32"/>
        </w:rPr>
      </w:pPr>
      <w:bookmarkStart w:id="44" w:name="_Toc15377222"/>
      <w:r>
        <w:rPr>
          <w:rFonts w:hint="eastAsia" w:eastAsia="楷体_GB2312" w:cs="楷体_GB2312"/>
          <w:b/>
          <w:sz w:val="32"/>
          <w:szCs w:val="32"/>
        </w:rPr>
        <w:t>（一）机关运行经费支出情况</w:t>
      </w:r>
      <w:bookmarkEnd w:id="44"/>
    </w:p>
    <w:p>
      <w:pPr>
        <w:spacing w:line="600" w:lineRule="exact"/>
        <w:ind w:firstLine="640"/>
        <w:rPr>
          <w:rFonts w:eastAsia="仿宋_GB2312" w:cs="仿宋_GB2312"/>
          <w:sz w:val="32"/>
          <w:szCs w:val="32"/>
        </w:rPr>
      </w:pPr>
      <w:r>
        <w:rPr>
          <w:rFonts w:hint="eastAsia" w:eastAsia="仿宋_GB2312" w:cs="仿宋_GB2312"/>
          <w:sz w:val="32"/>
          <w:szCs w:val="32"/>
        </w:rPr>
        <w:t>2025年度，</w:t>
      </w:r>
      <w:r>
        <w:rPr>
          <w:rFonts w:hint="eastAsia" w:ascii="仿宋_GB2312" w:hAnsi="仿宋_GB2312" w:eastAsia="仿宋_GB2312" w:cs="仿宋_GB2312"/>
          <w:sz w:val="32"/>
          <w:szCs w:val="32"/>
        </w:rPr>
        <w:t>红原县党史研究和地方志编纂中心</w:t>
      </w:r>
      <w:r>
        <w:rPr>
          <w:rFonts w:hint="eastAsia" w:eastAsia="仿宋_GB2312" w:cs="仿宋_GB2312"/>
          <w:sz w:val="32"/>
          <w:szCs w:val="32"/>
        </w:rPr>
        <w:t>机关运行经费支出</w:t>
      </w:r>
      <w:r>
        <w:rPr>
          <w:rFonts w:hint="eastAsia" w:ascii="仿宋_GB2312" w:hAnsi="仿宋_GB2312" w:eastAsia="仿宋_GB2312" w:cs="仿宋_GB2312"/>
          <w:sz w:val="32"/>
          <w:szCs w:val="32"/>
        </w:rPr>
        <w:t>11.62</w:t>
      </w:r>
      <w:r>
        <w:rPr>
          <w:rFonts w:hint="eastAsia" w:eastAsia="仿宋_GB2312" w:cs="仿宋_GB2312"/>
          <w:sz w:val="32"/>
          <w:szCs w:val="32"/>
        </w:rPr>
        <w:t>万元，比上年度增加</w:t>
      </w:r>
      <w:r>
        <w:rPr>
          <w:rFonts w:eastAsia="仿宋_GB2312" w:cs="仿宋_GB2312"/>
          <w:sz w:val="32"/>
          <w:szCs w:val="32"/>
        </w:rPr>
        <w:t>0.99</w:t>
      </w:r>
      <w:r>
        <w:rPr>
          <w:rFonts w:hint="eastAsia" w:eastAsia="仿宋_GB2312" w:cs="仿宋_GB2312"/>
          <w:sz w:val="32"/>
          <w:szCs w:val="32"/>
        </w:rPr>
        <w:t>万元，增长</w:t>
      </w:r>
      <w:r>
        <w:rPr>
          <w:rFonts w:eastAsia="仿宋_GB2312" w:cs="仿宋_GB2312"/>
          <w:sz w:val="32"/>
          <w:szCs w:val="32"/>
        </w:rPr>
        <w:t>9.3%</w:t>
      </w:r>
      <w:r>
        <w:rPr>
          <w:rFonts w:hint="eastAsia" w:eastAsia="仿宋_GB2312" w:cs="仿宋_GB2312"/>
          <w:sz w:val="32"/>
          <w:szCs w:val="32"/>
        </w:rPr>
        <w:t>。主要原因是</w:t>
      </w:r>
      <w:r>
        <w:rPr>
          <w:rFonts w:eastAsia="仿宋_GB2312" w:cs="仿宋_GB2312"/>
          <w:sz w:val="32"/>
          <w:szCs w:val="32"/>
        </w:rPr>
        <w:t>福利费支出。</w:t>
      </w:r>
    </w:p>
    <w:p>
      <w:pPr>
        <w:spacing w:line="600" w:lineRule="exact"/>
        <w:ind w:left="0" w:firstLine="643" w:firstLineChars="200"/>
        <w:outlineLvl w:val="2"/>
        <w:rPr>
          <w:rFonts w:eastAsia="楷体_GB2312" w:cs="楷体_GB2312"/>
          <w:b/>
          <w:sz w:val="32"/>
          <w:szCs w:val="32"/>
        </w:rPr>
      </w:pPr>
      <w:bookmarkStart w:id="45" w:name="_Toc15377223"/>
      <w:r>
        <w:rPr>
          <w:rFonts w:hint="eastAsia" w:eastAsia="楷体_GB2312" w:cs="楷体_GB2312"/>
          <w:b/>
          <w:sz w:val="32"/>
          <w:szCs w:val="32"/>
        </w:rPr>
        <w:t>（二）政府采购支出情况</w:t>
      </w:r>
      <w:bookmarkEnd w:id="45"/>
    </w:p>
    <w:p>
      <w:pPr>
        <w:spacing w:line="600" w:lineRule="exact"/>
        <w:ind w:firstLine="640"/>
        <w:rPr>
          <w:rFonts w:eastAsia="仿宋_GB2312" w:cs="仿宋_GB2312"/>
          <w:sz w:val="32"/>
          <w:szCs w:val="32"/>
        </w:rPr>
      </w:pPr>
      <w:r>
        <w:rPr>
          <w:rFonts w:hint="eastAsia" w:eastAsia="仿宋_GB2312" w:cs="仿宋_GB2312"/>
          <w:sz w:val="32"/>
          <w:szCs w:val="32"/>
        </w:rPr>
        <w:t>2025年度，</w:t>
      </w:r>
      <w:r>
        <w:rPr>
          <w:rFonts w:hint="eastAsia" w:ascii="仿宋_GB2312" w:hAnsi="仿宋_GB2312" w:eastAsia="仿宋_GB2312" w:cs="仿宋_GB2312"/>
          <w:sz w:val="32"/>
          <w:szCs w:val="32"/>
        </w:rPr>
        <w:t>红原县党史研究和地方志编纂中心</w:t>
      </w:r>
      <w:r>
        <w:rPr>
          <w:rFonts w:hint="eastAsia" w:eastAsia="仿宋_GB2312" w:cs="仿宋_GB2312"/>
          <w:sz w:val="32"/>
          <w:szCs w:val="32"/>
        </w:rPr>
        <w:t>政府采购支出总额</w:t>
      </w:r>
      <w:r>
        <w:rPr>
          <w:rFonts w:hint="eastAsia" w:ascii="仿宋_GB2312" w:hAnsi="仿宋_GB2312" w:eastAsia="仿宋_GB2312" w:cs="仿宋_GB2312"/>
          <w:sz w:val="32"/>
          <w:szCs w:val="32"/>
        </w:rPr>
        <w:t>0</w:t>
      </w:r>
      <w:r>
        <w:rPr>
          <w:rFonts w:hint="eastAsia" w:eastAsia="仿宋_GB2312" w:cs="仿宋_GB2312"/>
          <w:sz w:val="32"/>
          <w:szCs w:val="32"/>
        </w:rPr>
        <w:t>万元，其中：政府采购货物支出</w:t>
      </w:r>
      <w:r>
        <w:rPr>
          <w:rFonts w:hint="eastAsia" w:ascii="仿宋_GB2312" w:hAnsi="仿宋_GB2312" w:eastAsia="仿宋_GB2312" w:cs="仿宋_GB2312"/>
          <w:sz w:val="32"/>
          <w:szCs w:val="32"/>
        </w:rPr>
        <w:t>0</w:t>
      </w:r>
      <w:r>
        <w:rPr>
          <w:rFonts w:hint="eastAsia" w:eastAsia="仿宋_GB2312" w:cs="仿宋_GB2312"/>
          <w:sz w:val="32"/>
          <w:szCs w:val="32"/>
        </w:rPr>
        <w:t>万元、政府采购工程支出</w:t>
      </w:r>
      <w:r>
        <w:rPr>
          <w:rFonts w:hint="eastAsia" w:ascii="仿宋_GB2312" w:hAnsi="仿宋_GB2312" w:eastAsia="仿宋_GB2312" w:cs="仿宋_GB2312"/>
          <w:sz w:val="32"/>
          <w:szCs w:val="32"/>
        </w:rPr>
        <w:t>0</w:t>
      </w:r>
      <w:r>
        <w:rPr>
          <w:rFonts w:hint="eastAsia" w:eastAsia="仿宋_GB2312" w:cs="仿宋_GB2312"/>
          <w:sz w:val="32"/>
          <w:szCs w:val="32"/>
        </w:rPr>
        <w:t>万元、政府采购服务支出</w:t>
      </w:r>
      <w:r>
        <w:rPr>
          <w:rFonts w:hint="eastAsia" w:ascii="仿宋_GB2312" w:hAnsi="仿宋_GB2312" w:eastAsia="仿宋_GB2312" w:cs="仿宋_GB2312"/>
          <w:sz w:val="32"/>
          <w:szCs w:val="32"/>
        </w:rPr>
        <w:t>0</w:t>
      </w:r>
      <w:r>
        <w:rPr>
          <w:rFonts w:hint="eastAsia" w:eastAsia="仿宋_GB2312" w:cs="仿宋_GB2312"/>
          <w:sz w:val="32"/>
          <w:szCs w:val="32"/>
        </w:rPr>
        <w:t>万元。</w:t>
      </w:r>
    </w:p>
    <w:p>
      <w:pPr>
        <w:spacing w:line="600" w:lineRule="exact"/>
        <w:ind w:firstLine="643" w:firstLineChars="200"/>
        <w:outlineLvl w:val="2"/>
        <w:rPr>
          <w:rFonts w:eastAsia="楷体_GB2312" w:cs="楷体_GB2312"/>
          <w:b/>
          <w:sz w:val="32"/>
          <w:szCs w:val="32"/>
        </w:rPr>
      </w:pPr>
      <w:bookmarkStart w:id="46" w:name="_Toc15377224"/>
      <w:r>
        <w:rPr>
          <w:rFonts w:hint="eastAsia" w:eastAsia="楷体_GB2312" w:cs="楷体_GB2312"/>
          <w:b/>
          <w:sz w:val="32"/>
          <w:szCs w:val="32"/>
        </w:rPr>
        <w:t>（三）国有资产占有使用情况</w:t>
      </w:r>
      <w:bookmarkEnd w:id="46"/>
    </w:p>
    <w:p>
      <w:pPr>
        <w:spacing w:line="600" w:lineRule="exact"/>
        <w:ind w:firstLine="640"/>
        <w:rPr>
          <w:rFonts w:eastAsia="仿宋_GB2312" w:cs="仿宋_GB2312"/>
          <w:sz w:val="32"/>
          <w:szCs w:val="32"/>
        </w:rPr>
      </w:pPr>
      <w:r>
        <w:rPr>
          <w:rFonts w:hint="eastAsia" w:eastAsia="仿宋_GB2312" w:cs="仿宋_GB2312"/>
          <w:sz w:val="32"/>
          <w:szCs w:val="32"/>
        </w:rPr>
        <w:t>截至2025年12月31日，</w:t>
      </w:r>
      <w:r>
        <w:rPr>
          <w:rFonts w:hint="eastAsia" w:ascii="仿宋_GB2312" w:hAnsi="仿宋_GB2312" w:eastAsia="仿宋_GB2312" w:cs="仿宋_GB2312"/>
          <w:sz w:val="32"/>
          <w:szCs w:val="32"/>
        </w:rPr>
        <w:t>红原县党史研究和地方志编纂中心</w:t>
      </w:r>
      <w:r>
        <w:rPr>
          <w:rFonts w:hint="eastAsia" w:eastAsia="仿宋_GB2312" w:cs="仿宋_GB2312"/>
          <w:sz w:val="32"/>
          <w:szCs w:val="32"/>
        </w:rPr>
        <w:t>共有车辆</w:t>
      </w:r>
      <w:r>
        <w:rPr>
          <w:rFonts w:hint="eastAsia" w:ascii="仿宋_GB2312" w:hAnsi="仿宋_GB2312" w:eastAsia="仿宋_GB2312" w:cs="仿宋_GB2312"/>
          <w:sz w:val="32"/>
          <w:szCs w:val="32"/>
        </w:rPr>
        <w:t>1</w:t>
      </w:r>
      <w:r>
        <w:rPr>
          <w:rFonts w:hint="eastAsia" w:eastAsia="仿宋_GB2312" w:cs="仿宋_GB2312"/>
          <w:sz w:val="32"/>
          <w:szCs w:val="32"/>
        </w:rPr>
        <w:t>辆，其中：副部（省）级及以上领导用车</w:t>
      </w:r>
      <w:r>
        <w:rPr>
          <w:rFonts w:hint="eastAsia" w:ascii="仿宋_GB2312" w:hAnsi="仿宋_GB2312" w:eastAsia="仿宋_GB2312" w:cs="仿宋_GB2312"/>
          <w:sz w:val="32"/>
          <w:szCs w:val="32"/>
        </w:rPr>
        <w:t>0</w:t>
      </w:r>
      <w:r>
        <w:rPr>
          <w:rFonts w:hint="eastAsia" w:eastAsia="仿宋_GB2312" w:cs="仿宋_GB2312"/>
          <w:sz w:val="32"/>
          <w:szCs w:val="32"/>
        </w:rPr>
        <w:t>辆、主要负责人用车</w:t>
      </w:r>
      <w:r>
        <w:rPr>
          <w:rFonts w:hint="eastAsia" w:ascii="仿宋_GB2312" w:hAnsi="仿宋_GB2312" w:eastAsia="仿宋_GB2312" w:cs="仿宋_GB2312"/>
          <w:sz w:val="32"/>
          <w:szCs w:val="32"/>
        </w:rPr>
        <w:t>0</w:t>
      </w:r>
      <w:r>
        <w:rPr>
          <w:rFonts w:hint="eastAsia" w:eastAsia="仿宋_GB2312" w:cs="仿宋_GB2312"/>
          <w:sz w:val="32"/>
          <w:szCs w:val="32"/>
        </w:rPr>
        <w:t>辆、机要通信用车</w:t>
      </w:r>
      <w:r>
        <w:rPr>
          <w:rFonts w:hint="eastAsia" w:ascii="仿宋_GB2312" w:hAnsi="仿宋_GB2312" w:eastAsia="仿宋_GB2312" w:cs="仿宋_GB2312"/>
          <w:sz w:val="32"/>
          <w:szCs w:val="32"/>
        </w:rPr>
        <w:t>0</w:t>
      </w:r>
      <w:r>
        <w:rPr>
          <w:rFonts w:hint="eastAsia" w:eastAsia="仿宋_GB2312" w:cs="仿宋_GB2312"/>
          <w:sz w:val="32"/>
          <w:szCs w:val="32"/>
        </w:rPr>
        <w:t>辆、应急保障用车</w:t>
      </w:r>
      <w:r>
        <w:rPr>
          <w:rFonts w:hint="eastAsia" w:ascii="仿宋_GB2312" w:hAnsi="仿宋_GB2312" w:eastAsia="仿宋_GB2312" w:cs="仿宋_GB2312"/>
          <w:sz w:val="32"/>
          <w:szCs w:val="32"/>
        </w:rPr>
        <w:t>1</w:t>
      </w:r>
      <w:r>
        <w:rPr>
          <w:rFonts w:hint="eastAsia" w:eastAsia="仿宋_GB2312" w:cs="仿宋_GB2312"/>
          <w:sz w:val="32"/>
          <w:szCs w:val="32"/>
        </w:rPr>
        <w:t>辆、执法执勤用车</w:t>
      </w:r>
      <w:r>
        <w:rPr>
          <w:rFonts w:hint="eastAsia" w:ascii="仿宋_GB2312" w:hAnsi="仿宋_GB2312" w:eastAsia="仿宋_GB2312" w:cs="仿宋_GB2312"/>
          <w:sz w:val="32"/>
          <w:szCs w:val="32"/>
        </w:rPr>
        <w:t>0</w:t>
      </w:r>
      <w:r>
        <w:rPr>
          <w:rFonts w:hint="eastAsia" w:eastAsia="仿宋_GB2312" w:cs="仿宋_GB2312"/>
          <w:sz w:val="32"/>
          <w:szCs w:val="32"/>
        </w:rPr>
        <w:t>辆、特种专业技术用车</w:t>
      </w:r>
      <w:r>
        <w:rPr>
          <w:rFonts w:hint="eastAsia" w:ascii="仿宋_GB2312" w:hAnsi="仿宋_GB2312" w:eastAsia="仿宋_GB2312" w:cs="仿宋_GB2312"/>
          <w:sz w:val="32"/>
          <w:szCs w:val="32"/>
        </w:rPr>
        <w:t>0</w:t>
      </w:r>
      <w:r>
        <w:rPr>
          <w:rFonts w:hint="eastAsia" w:eastAsia="仿宋_GB2312" w:cs="仿宋_GB2312"/>
          <w:sz w:val="32"/>
          <w:szCs w:val="32"/>
        </w:rPr>
        <w:t>辆、离退休干部服务用车</w:t>
      </w:r>
      <w:r>
        <w:rPr>
          <w:rFonts w:hint="eastAsia" w:ascii="仿宋_GB2312" w:hAnsi="仿宋_GB2312" w:eastAsia="仿宋_GB2312" w:cs="仿宋_GB2312"/>
          <w:sz w:val="32"/>
          <w:szCs w:val="32"/>
        </w:rPr>
        <w:t>0</w:t>
      </w:r>
      <w:r>
        <w:rPr>
          <w:rFonts w:hint="eastAsia" w:eastAsia="仿宋_GB2312" w:cs="仿宋_GB2312"/>
          <w:sz w:val="32"/>
          <w:szCs w:val="32"/>
        </w:rPr>
        <w:t>辆、其他用车</w:t>
      </w:r>
      <w:r>
        <w:rPr>
          <w:rFonts w:hint="eastAsia" w:ascii="仿宋_GB2312" w:hAnsi="仿宋_GB2312" w:eastAsia="仿宋_GB2312" w:cs="仿宋_GB2312"/>
          <w:sz w:val="32"/>
          <w:szCs w:val="32"/>
        </w:rPr>
        <w:t>0</w:t>
      </w:r>
      <w:r>
        <w:rPr>
          <w:rFonts w:hint="eastAsia" w:eastAsia="仿宋_GB2312" w:cs="仿宋_GB2312"/>
          <w:sz w:val="32"/>
          <w:szCs w:val="32"/>
        </w:rPr>
        <w:t>辆。</w:t>
      </w:r>
    </w:p>
    <w:p>
      <w:pPr>
        <w:spacing w:line="600" w:lineRule="exact"/>
        <w:ind w:left="0" w:firstLine="643" w:firstLineChars="200"/>
        <w:outlineLvl w:val="2"/>
        <w:rPr>
          <w:rFonts w:eastAsia="楷体_GB2312" w:cs="楷体_GB2312"/>
          <w:b/>
          <w:sz w:val="32"/>
          <w:szCs w:val="32"/>
        </w:rPr>
      </w:pPr>
      <w:r>
        <w:rPr>
          <w:rFonts w:hint="eastAsia" w:eastAsia="楷体_GB2312" w:cs="楷体_GB2312"/>
          <w:b/>
          <w:sz w:val="32"/>
          <w:szCs w:val="32"/>
        </w:rPr>
        <w:t>（四）预算绩效管理情况</w:t>
      </w:r>
    </w:p>
    <w:p>
      <w:pPr>
        <w:spacing w:line="600" w:lineRule="exact"/>
        <w:ind w:firstLine="640"/>
        <w:rPr>
          <w:rFonts w:eastAsia="仿宋_GB2312" w:cs="仿宋_GB2312"/>
          <w:sz w:val="32"/>
          <w:szCs w:val="32"/>
        </w:rPr>
      </w:pPr>
      <w:r>
        <w:rPr>
          <w:rFonts w:hint="eastAsia" w:eastAsia="仿宋_GB2312" w:cs="仿宋_GB2312"/>
          <w:sz w:val="32"/>
          <w:szCs w:val="32"/>
        </w:rPr>
        <w:t>根据预算绩效管理要求，在2025年度，组织对</w:t>
      </w:r>
      <w:r>
        <w:rPr>
          <w:rFonts w:eastAsia="仿宋_GB2312" w:cs="仿宋_GB2312"/>
          <w:sz w:val="32"/>
          <w:szCs w:val="32"/>
        </w:rPr>
        <w:t>《执政实录》、《口述历史》、《红原年鉴》、《中国共产党红原县历史》</w:t>
      </w:r>
      <w:r>
        <w:rPr>
          <w:rFonts w:hint="eastAsia" w:eastAsia="仿宋_GB2312" w:cs="仿宋_GB2312"/>
          <w:sz w:val="32"/>
          <w:szCs w:val="32"/>
        </w:rPr>
        <w:t>等</w:t>
      </w:r>
      <w:r>
        <w:rPr>
          <w:rFonts w:eastAsia="仿宋_GB2312" w:cs="仿宋_GB2312"/>
          <w:sz w:val="32"/>
          <w:szCs w:val="32"/>
        </w:rPr>
        <w:t>5</w:t>
      </w:r>
      <w:r>
        <w:rPr>
          <w:rFonts w:hint="eastAsia" w:eastAsia="仿宋_GB2312" w:cs="仿宋_GB2312"/>
          <w:sz w:val="32"/>
          <w:szCs w:val="32"/>
        </w:rPr>
        <w:t>个项目涉及金额</w:t>
      </w:r>
      <w:r>
        <w:rPr>
          <w:rFonts w:eastAsia="仿宋_GB2312" w:cs="仿宋_GB2312"/>
          <w:sz w:val="32"/>
          <w:szCs w:val="32"/>
        </w:rPr>
        <w:t>59.48</w:t>
      </w:r>
      <w:r>
        <w:rPr>
          <w:rFonts w:hint="eastAsia" w:eastAsia="仿宋_GB2312" w:cs="仿宋_GB2312"/>
          <w:sz w:val="32"/>
          <w:szCs w:val="32"/>
        </w:rPr>
        <w:t>万元开展了事前绩效评估，对</w:t>
      </w:r>
      <w:r>
        <w:rPr>
          <w:rFonts w:eastAsia="仿宋_GB2312" w:cs="仿宋_GB2312"/>
          <w:sz w:val="32"/>
          <w:szCs w:val="32"/>
        </w:rPr>
        <w:t>5</w:t>
      </w:r>
      <w:r>
        <w:rPr>
          <w:rFonts w:hint="eastAsia" w:eastAsia="仿宋_GB2312" w:cs="仿宋_GB2312"/>
          <w:sz w:val="32"/>
          <w:szCs w:val="32"/>
        </w:rPr>
        <w:t>个项目编制了绩效目标，预算执行过程中，选取</w:t>
      </w:r>
      <w:r>
        <w:rPr>
          <w:rFonts w:eastAsia="仿宋_GB2312" w:cs="仿宋_GB2312"/>
          <w:sz w:val="32"/>
          <w:szCs w:val="32"/>
        </w:rPr>
        <w:t>5</w:t>
      </w:r>
      <w:r>
        <w:rPr>
          <w:rFonts w:hint="eastAsia" w:eastAsia="仿宋_GB2312" w:cs="仿宋_GB2312"/>
          <w:sz w:val="32"/>
          <w:szCs w:val="32"/>
        </w:rPr>
        <w:t>个项目开展绩效监控。</w:t>
      </w:r>
    </w:p>
    <w:p>
      <w:pPr>
        <w:spacing w:line="600" w:lineRule="exact"/>
        <w:jc w:val="center"/>
        <w:outlineLvl w:val="0"/>
        <w:rPr>
          <w:rFonts w:hint="eastAsia" w:eastAsia="黑体"/>
          <w:sz w:val="44"/>
          <w:szCs w:val="44"/>
        </w:rPr>
      </w:pPr>
      <w:bookmarkStart w:id="47" w:name="_Toc15377225"/>
      <w:bookmarkStart w:id="48" w:name="_Toc15396613"/>
    </w:p>
    <w:p>
      <w:pPr>
        <w:spacing w:line="600" w:lineRule="exact"/>
        <w:jc w:val="center"/>
        <w:outlineLvl w:val="0"/>
        <w:rPr>
          <w:rFonts w:hint="eastAsia" w:eastAsia="黑体"/>
          <w:sz w:val="44"/>
          <w:szCs w:val="44"/>
        </w:rPr>
      </w:pPr>
    </w:p>
    <w:p>
      <w:pPr>
        <w:spacing w:line="600" w:lineRule="exact"/>
        <w:jc w:val="center"/>
        <w:outlineLvl w:val="0"/>
        <w:rPr>
          <w:rFonts w:hint="eastAsia" w:eastAsia="黑体"/>
          <w:sz w:val="44"/>
          <w:szCs w:val="44"/>
        </w:rPr>
      </w:pPr>
    </w:p>
    <w:p>
      <w:pPr>
        <w:spacing w:line="600" w:lineRule="exact"/>
        <w:jc w:val="center"/>
        <w:outlineLvl w:val="0"/>
        <w:rPr>
          <w:rFonts w:hint="eastAsia" w:eastAsia="黑体"/>
          <w:sz w:val="44"/>
          <w:szCs w:val="44"/>
        </w:rPr>
      </w:pPr>
    </w:p>
    <w:p>
      <w:pPr>
        <w:spacing w:line="600" w:lineRule="exact"/>
        <w:jc w:val="center"/>
        <w:outlineLvl w:val="0"/>
        <w:rPr>
          <w:rFonts w:hint="eastAsia" w:eastAsia="黑体"/>
          <w:sz w:val="44"/>
          <w:szCs w:val="44"/>
        </w:rPr>
      </w:pPr>
    </w:p>
    <w:p>
      <w:pPr>
        <w:spacing w:line="600" w:lineRule="exact"/>
        <w:jc w:val="center"/>
        <w:outlineLvl w:val="0"/>
        <w:rPr>
          <w:rFonts w:hint="eastAsia" w:eastAsia="黑体"/>
          <w:sz w:val="44"/>
          <w:szCs w:val="44"/>
        </w:rPr>
      </w:pPr>
    </w:p>
    <w:p>
      <w:pPr>
        <w:spacing w:line="600" w:lineRule="exact"/>
        <w:jc w:val="center"/>
        <w:outlineLvl w:val="0"/>
        <w:rPr>
          <w:rFonts w:hint="eastAsia" w:eastAsia="黑体"/>
          <w:sz w:val="44"/>
          <w:szCs w:val="44"/>
        </w:rPr>
      </w:pPr>
    </w:p>
    <w:p>
      <w:pPr>
        <w:spacing w:line="600" w:lineRule="exact"/>
        <w:jc w:val="center"/>
        <w:outlineLvl w:val="0"/>
        <w:rPr>
          <w:rFonts w:hint="eastAsia" w:eastAsia="黑体"/>
          <w:sz w:val="44"/>
          <w:szCs w:val="44"/>
        </w:rPr>
      </w:pPr>
    </w:p>
    <w:p>
      <w:pPr>
        <w:spacing w:line="600" w:lineRule="exact"/>
        <w:jc w:val="center"/>
        <w:outlineLvl w:val="0"/>
        <w:rPr>
          <w:rFonts w:hint="eastAsia" w:eastAsia="黑体"/>
          <w:sz w:val="44"/>
          <w:szCs w:val="44"/>
        </w:rPr>
      </w:pPr>
    </w:p>
    <w:p>
      <w:pPr>
        <w:spacing w:line="600" w:lineRule="exact"/>
        <w:jc w:val="center"/>
        <w:outlineLvl w:val="0"/>
        <w:rPr>
          <w:rFonts w:hint="eastAsia" w:eastAsia="黑体"/>
          <w:sz w:val="44"/>
          <w:szCs w:val="44"/>
        </w:rPr>
      </w:pPr>
    </w:p>
    <w:p>
      <w:pPr>
        <w:spacing w:line="600" w:lineRule="exact"/>
        <w:jc w:val="center"/>
        <w:outlineLvl w:val="0"/>
        <w:rPr>
          <w:rFonts w:hint="eastAsia" w:eastAsia="黑体"/>
          <w:sz w:val="44"/>
          <w:szCs w:val="44"/>
        </w:rPr>
      </w:pPr>
    </w:p>
    <w:p>
      <w:pPr>
        <w:spacing w:line="600" w:lineRule="exact"/>
        <w:jc w:val="center"/>
        <w:outlineLvl w:val="0"/>
        <w:rPr>
          <w:rFonts w:hint="eastAsia" w:eastAsia="黑体"/>
          <w:sz w:val="44"/>
          <w:szCs w:val="44"/>
        </w:rPr>
      </w:pPr>
    </w:p>
    <w:p>
      <w:pPr>
        <w:spacing w:line="600" w:lineRule="exact"/>
        <w:jc w:val="center"/>
        <w:outlineLvl w:val="0"/>
        <w:rPr>
          <w:rFonts w:hint="eastAsia" w:eastAsia="黑体"/>
          <w:sz w:val="44"/>
          <w:szCs w:val="44"/>
        </w:rPr>
      </w:pPr>
    </w:p>
    <w:p>
      <w:pPr>
        <w:spacing w:line="600" w:lineRule="exact"/>
        <w:jc w:val="center"/>
        <w:outlineLvl w:val="0"/>
        <w:rPr>
          <w:rFonts w:hint="eastAsia" w:eastAsia="黑体"/>
          <w:sz w:val="44"/>
          <w:szCs w:val="44"/>
        </w:rPr>
      </w:pPr>
    </w:p>
    <w:p>
      <w:pPr>
        <w:spacing w:line="600" w:lineRule="exact"/>
        <w:jc w:val="center"/>
        <w:outlineLvl w:val="0"/>
        <w:rPr>
          <w:rFonts w:hint="eastAsia" w:eastAsia="黑体"/>
          <w:sz w:val="44"/>
          <w:szCs w:val="44"/>
        </w:rPr>
      </w:pPr>
    </w:p>
    <w:p>
      <w:pPr>
        <w:spacing w:line="600" w:lineRule="exact"/>
        <w:jc w:val="center"/>
        <w:outlineLvl w:val="0"/>
        <w:rPr>
          <w:rFonts w:hint="eastAsia" w:eastAsia="黑体"/>
          <w:sz w:val="44"/>
          <w:szCs w:val="44"/>
        </w:rPr>
      </w:pPr>
    </w:p>
    <w:p>
      <w:pPr>
        <w:spacing w:line="600" w:lineRule="exact"/>
        <w:jc w:val="center"/>
        <w:outlineLvl w:val="0"/>
        <w:rPr>
          <w:rFonts w:hint="eastAsia" w:eastAsia="黑体"/>
          <w:sz w:val="44"/>
          <w:szCs w:val="44"/>
        </w:rPr>
      </w:pPr>
    </w:p>
    <w:p>
      <w:pPr>
        <w:spacing w:line="600" w:lineRule="exact"/>
        <w:jc w:val="center"/>
        <w:outlineLvl w:val="0"/>
        <w:rPr>
          <w:rFonts w:hint="eastAsia" w:eastAsia="黑体"/>
          <w:sz w:val="44"/>
          <w:szCs w:val="44"/>
        </w:rPr>
      </w:pPr>
    </w:p>
    <w:p>
      <w:pPr>
        <w:spacing w:line="600" w:lineRule="exact"/>
        <w:jc w:val="center"/>
        <w:outlineLvl w:val="0"/>
        <w:rPr>
          <w:rFonts w:hint="eastAsia" w:eastAsia="黑体"/>
          <w:sz w:val="44"/>
          <w:szCs w:val="44"/>
        </w:rPr>
      </w:pPr>
    </w:p>
    <w:p>
      <w:pPr>
        <w:spacing w:line="600" w:lineRule="exact"/>
        <w:jc w:val="center"/>
        <w:outlineLvl w:val="0"/>
        <w:rPr>
          <w:b/>
          <w:sz w:val="44"/>
          <w:szCs w:val="44"/>
        </w:rPr>
      </w:pPr>
      <w:r>
        <w:rPr>
          <w:rFonts w:hint="eastAsia" w:eastAsia="黑体"/>
          <w:sz w:val="44"/>
          <w:szCs w:val="44"/>
        </w:rPr>
        <w:t>第三部分  名词解释</w:t>
      </w:r>
      <w:bookmarkEnd w:id="47"/>
      <w:bookmarkEnd w:id="48"/>
    </w:p>
    <w:p>
      <w:pPr>
        <w:pStyle w:val="27"/>
        <w:keepNext w:val="0"/>
        <w:keepLines w:val="0"/>
        <w:pageBreakBefore w:val="0"/>
        <w:widowControl w:val="0"/>
        <w:kinsoku/>
        <w:wordWrap/>
        <w:overflowPunct/>
        <w:topLinePunct w:val="0"/>
        <w:autoSpaceDE w:val="0"/>
        <w:autoSpaceDN w:val="0"/>
        <w:adjustRightInd w:val="0"/>
        <w:snapToGrid/>
        <w:spacing w:line="560" w:lineRule="exact"/>
        <w:ind w:firstLine="640" w:firstLineChars="200"/>
        <w:rPr>
          <w:rFonts w:ascii="仿宋_GB2312" w:eastAsia="仿宋_GB2312"/>
          <w:color w:val="auto"/>
          <w:sz w:val="32"/>
          <w:szCs w:val="32"/>
        </w:rPr>
      </w:pPr>
      <w:r>
        <w:rPr>
          <w:rFonts w:ascii="仿宋_GB2312" w:eastAsia="仿宋_GB2312"/>
          <w:color w:val="auto"/>
          <w:sz w:val="32"/>
          <w:szCs w:val="32"/>
        </w:rPr>
        <w:t>1.</w:t>
      </w:r>
      <w:r>
        <w:rPr>
          <w:rFonts w:hint="eastAsia" w:ascii="仿宋_GB2312" w:eastAsia="仿宋_GB2312"/>
          <w:color w:val="auto"/>
          <w:sz w:val="32"/>
          <w:szCs w:val="32"/>
        </w:rPr>
        <w:t>财政拨款收入：指单位从同级财政部门取得的财政预算资金。</w:t>
      </w:r>
    </w:p>
    <w:p>
      <w:pPr>
        <w:pStyle w:val="27"/>
        <w:keepNext w:val="0"/>
        <w:keepLines w:val="0"/>
        <w:pageBreakBefore w:val="0"/>
        <w:widowControl w:val="0"/>
        <w:kinsoku/>
        <w:wordWrap/>
        <w:overflowPunct/>
        <w:topLinePunct w:val="0"/>
        <w:autoSpaceDE w:val="0"/>
        <w:autoSpaceDN w:val="0"/>
        <w:adjustRightInd w:val="0"/>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.一般公共服务行政运行：指用于机关及下属事业单位人员工资、日常运转以及为完成特定行政工作任务和事业发展目标而安排的年度项目支出。</w:t>
      </w:r>
    </w:p>
    <w:p>
      <w:pPr>
        <w:keepNext w:val="0"/>
        <w:keepLines w:val="0"/>
        <w:pageBreakBefore w:val="0"/>
        <w:widowControl w:val="0"/>
        <w:kinsoku/>
        <w:wordWrap/>
        <w:overflowPunct/>
        <w:topLinePunct w:val="0"/>
        <w:snapToGrid/>
        <w:spacing w:line="560" w:lineRule="exact"/>
        <w:ind w:left="0" w:firstLine="640" w:firstLineChars="200"/>
        <w:rPr>
          <w:rFonts w:hint="eastAsia" w:ascii="仿宋_GB2312" w:hAnsi="仿宋_GB2312" w:eastAsia="仿宋_GB2312" w:cs="仿宋_GB2312"/>
          <w:sz w:val="32"/>
          <w:szCs w:val="32"/>
        </w:rPr>
      </w:pPr>
      <w:r>
        <w:rPr>
          <w:rFonts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rPr>
        <w:t>.机关事业单位养老保险缴费：指</w:t>
      </w:r>
      <w:r>
        <w:rPr>
          <w:rFonts w:hint="eastAsia" w:ascii="仿宋_GB2312" w:hAnsi="仿宋_GB2312" w:eastAsia="仿宋_GB2312" w:cs="仿宋_GB2312"/>
          <w:sz w:val="32"/>
          <w:szCs w:val="32"/>
        </w:rPr>
        <w:t>用于机关及下属单位按照规定标准为职工缴纳养老保险等支出。</w:t>
      </w:r>
    </w:p>
    <w:p>
      <w:pPr>
        <w:keepNext w:val="0"/>
        <w:keepLines w:val="0"/>
        <w:pageBreakBefore w:val="0"/>
        <w:widowControl w:val="0"/>
        <w:kinsoku/>
        <w:wordWrap/>
        <w:overflowPunct/>
        <w:topLinePunct w:val="0"/>
        <w:snapToGrid/>
        <w:spacing w:line="560" w:lineRule="exact"/>
        <w:ind w:firstLine="640" w:firstLineChars="200"/>
        <w:rPr>
          <w:rFonts w:hint="eastAsia" w:ascii="仿宋_GB2312" w:hAnsi="仿宋_GB2312" w:eastAsia="仿宋_GB2312" w:cs="仿宋_GB2312"/>
          <w:sz w:val="32"/>
          <w:szCs w:val="32"/>
        </w:rPr>
      </w:pPr>
      <w:r>
        <w:rPr>
          <w:rFonts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rPr>
        <w:t>.机关事业单位职业年金缴费</w:t>
      </w:r>
      <w:r>
        <w:rPr>
          <w:rStyle w:val="18"/>
          <w:rFonts w:hint="eastAsia" w:ascii="仿宋_GB2312" w:hAnsi="仿宋_GB2312" w:eastAsia="仿宋_GB2312" w:cs="仿宋_GB2312"/>
          <w:bCs/>
          <w:color w:val="000000"/>
          <w:sz w:val="32"/>
          <w:szCs w:val="32"/>
        </w:rPr>
        <w:t>:</w:t>
      </w:r>
      <w:r>
        <w:rPr>
          <w:rFonts w:hint="eastAsia" w:ascii="仿宋_GB2312" w:hAnsi="仿宋_GB2312" w:eastAsia="仿宋_GB2312" w:cs="仿宋_GB2312"/>
          <w:color w:val="000000"/>
          <w:sz w:val="32"/>
          <w:szCs w:val="32"/>
        </w:rPr>
        <w:t>指</w:t>
      </w:r>
      <w:r>
        <w:rPr>
          <w:rFonts w:hint="eastAsia" w:ascii="仿宋_GB2312" w:hAnsi="仿宋_GB2312" w:eastAsia="仿宋_GB2312" w:cs="仿宋_GB2312"/>
          <w:sz w:val="32"/>
          <w:szCs w:val="32"/>
        </w:rPr>
        <w:t>用于机关及下属单位按照规定标准为职工缴纳职业年金等支出。</w:t>
      </w:r>
    </w:p>
    <w:p>
      <w:pPr>
        <w:pStyle w:val="27"/>
        <w:keepNext w:val="0"/>
        <w:keepLines w:val="0"/>
        <w:pageBreakBefore w:val="0"/>
        <w:widowControl w:val="0"/>
        <w:kinsoku/>
        <w:wordWrap/>
        <w:overflowPunct/>
        <w:topLinePunct w:val="0"/>
        <w:autoSpaceDE w:val="0"/>
        <w:autoSpaceDN w:val="0"/>
        <w:adjustRightInd w:val="0"/>
        <w:snapToGrid/>
        <w:spacing w:line="560" w:lineRule="exact"/>
        <w:ind w:firstLine="640" w:firstLineChars="200"/>
        <w:rPr>
          <w:rFonts w:hint="eastAsia" w:ascii="仿宋_GB2312" w:hAnsi="仿宋_GB2312" w:eastAsia="仿宋_GB2312" w:cs="仿宋_GB2312"/>
          <w:sz w:val="32"/>
          <w:szCs w:val="32"/>
        </w:rPr>
      </w:pPr>
      <w:r>
        <w:rPr>
          <w:rFonts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行政单位医疗：指用于机关及下属事业单位按照规定标准为职工缴纳的基本医疗保险及公务员医疗补助等支出</w:t>
      </w:r>
    </w:p>
    <w:p>
      <w:pPr>
        <w:keepNext w:val="0"/>
        <w:keepLines w:val="0"/>
        <w:pageBreakBefore w:val="0"/>
        <w:widowControl w:val="0"/>
        <w:kinsoku/>
        <w:wordWrap/>
        <w:overflowPunct/>
        <w:topLinePunct w:val="0"/>
        <w:snapToGrid/>
        <w:spacing w:line="560" w:lineRule="exact"/>
        <w:ind w:firstLine="640" w:firstLineChars="200"/>
        <w:rPr>
          <w:rFonts w:hint="eastAsia" w:ascii="仿宋_GB2312" w:hAnsi="仿宋_GB2312" w:eastAsia="仿宋_GB2312" w:cs="仿宋_GB2312"/>
          <w:color w:val="000000"/>
          <w:sz w:val="32"/>
          <w:szCs w:val="32"/>
          <w:lang w:eastAsia="zh-CN"/>
        </w:rPr>
      </w:pPr>
      <w:r>
        <w:rPr>
          <w:rFonts w:ascii="仿宋_GB2312" w:hAnsi="仿宋_GB2312" w:eastAsia="仿宋_GB2312" w:cs="仿宋_GB2312"/>
          <w:color w:val="000000"/>
          <w:sz w:val="32"/>
          <w:szCs w:val="32"/>
          <w:lang w:val="en-US" w:eastAsia="zh-CN"/>
        </w:rPr>
        <w:t>6</w:t>
      </w:r>
      <w:r>
        <w:rPr>
          <w:rFonts w:hint="eastAsia" w:ascii="仿宋_GB2312" w:hAnsi="仿宋_GB2312" w:eastAsia="仿宋_GB2312" w:cs="仿宋_GB2312"/>
          <w:color w:val="000000"/>
          <w:sz w:val="32"/>
          <w:szCs w:val="32"/>
        </w:rPr>
        <w:t>.住房公积金：指</w:t>
      </w:r>
      <w:r>
        <w:rPr>
          <w:rFonts w:hint="eastAsia" w:ascii="仿宋_GB2312" w:hAnsi="仿宋_GB2312" w:eastAsia="仿宋_GB2312" w:cs="仿宋_GB2312"/>
          <w:sz w:val="32"/>
          <w:szCs w:val="32"/>
        </w:rPr>
        <w:t>用于机关及下属事业单位按照规定标准为职工缴纳住房公积金等支出</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snapToGrid/>
        <w:spacing w:line="560" w:lineRule="exact"/>
        <w:ind w:firstLine="640" w:firstLineChars="200"/>
        <w:rPr>
          <w:rFonts w:hint="eastAsia" w:ascii="仿宋_GB2312" w:hAnsi="仿宋_GB2312" w:eastAsia="仿宋_GB2312" w:cs="仿宋_GB2312"/>
          <w:color w:val="000000"/>
          <w:sz w:val="32"/>
          <w:szCs w:val="32"/>
        </w:rPr>
      </w:pPr>
      <w:r>
        <w:rPr>
          <w:rFonts w:ascii="仿宋_GB2312" w:hAnsi="仿宋_GB2312" w:eastAsia="仿宋_GB2312" w:cs="仿宋_GB2312"/>
          <w:color w:val="000000"/>
          <w:sz w:val="32"/>
          <w:szCs w:val="32"/>
          <w:lang w:val="en-US" w:eastAsia="zh-CN"/>
        </w:rPr>
        <w:t>7</w:t>
      </w:r>
      <w:r>
        <w:rPr>
          <w:rFonts w:hint="eastAsia" w:ascii="仿宋_GB2312" w:hAnsi="仿宋_GB2312" w:eastAsia="仿宋_GB2312" w:cs="仿宋_GB2312"/>
          <w:color w:val="000000"/>
          <w:sz w:val="32"/>
          <w:szCs w:val="32"/>
        </w:rPr>
        <w:t>.基本支出：指为保障机构正常运转、完成日常工作任务而发生的人员支出和公用支出。</w:t>
      </w:r>
    </w:p>
    <w:p>
      <w:pPr>
        <w:keepNext w:val="0"/>
        <w:keepLines w:val="0"/>
        <w:pageBreakBefore w:val="0"/>
        <w:widowControl w:val="0"/>
        <w:kinsoku/>
        <w:wordWrap/>
        <w:overflowPunct/>
        <w:topLinePunct w:val="0"/>
        <w:snapToGrid/>
        <w:spacing w:line="560" w:lineRule="exact"/>
        <w:ind w:firstLine="640" w:firstLineChars="200"/>
        <w:rPr>
          <w:rFonts w:hint="eastAsia" w:ascii="仿宋_GB2312" w:hAnsi="仿宋_GB2312" w:eastAsia="仿宋_GB2312" w:cs="仿宋_GB2312"/>
          <w:color w:val="000000"/>
          <w:sz w:val="32"/>
          <w:szCs w:val="32"/>
        </w:rPr>
      </w:pPr>
      <w:r>
        <w:rPr>
          <w:rFonts w:ascii="仿宋_GB2312" w:hAnsi="仿宋_GB2312" w:eastAsia="仿宋_GB2312" w:cs="仿宋_GB2312"/>
          <w:color w:val="000000"/>
          <w:sz w:val="32"/>
          <w:szCs w:val="32"/>
          <w:lang w:val="en-US" w:eastAsia="zh-CN"/>
        </w:rPr>
        <w:t>8.</w:t>
      </w:r>
      <w:r>
        <w:rPr>
          <w:rFonts w:hint="eastAsia" w:ascii="仿宋_GB2312" w:hAnsi="仿宋_GB2312" w:eastAsia="仿宋_GB2312" w:cs="仿宋_GB2312"/>
          <w:color w:val="000000"/>
          <w:sz w:val="32"/>
          <w:szCs w:val="32"/>
        </w:rPr>
        <w:t>项目支出：指在基本支出之外为完成特定行政任务和事业发展目标所发生的支出。</w:t>
      </w:r>
    </w:p>
    <w:p>
      <w:pPr>
        <w:pStyle w:val="27"/>
        <w:keepNext w:val="0"/>
        <w:keepLines w:val="0"/>
        <w:pageBreakBefore w:val="0"/>
        <w:widowControl w:val="0"/>
        <w:kinsoku/>
        <w:wordWrap/>
        <w:overflowPunct/>
        <w:topLinePunct w:val="0"/>
        <w:autoSpaceDE w:val="0"/>
        <w:autoSpaceDN w:val="0"/>
        <w:adjustRightInd w:val="0"/>
        <w:snapToGrid/>
        <w:spacing w:line="560" w:lineRule="exact"/>
        <w:ind w:firstLine="640" w:firstLineChars="200"/>
        <w:rPr>
          <w:rFonts w:hint="eastAsia" w:ascii="仿宋_GB2312" w:hAnsi="仿宋_GB2312" w:eastAsia="仿宋_GB2312" w:cs="仿宋_GB2312"/>
          <w:sz w:val="32"/>
          <w:szCs w:val="32"/>
        </w:rPr>
      </w:pPr>
      <w:r>
        <w:rPr>
          <w:rFonts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27"/>
        <w:keepNext w:val="0"/>
        <w:keepLines w:val="0"/>
        <w:pageBreakBefore w:val="0"/>
        <w:widowControl w:val="0"/>
        <w:kinsoku/>
        <w:wordWrap/>
        <w:overflowPunct/>
        <w:topLinePunct w:val="0"/>
        <w:autoSpaceDE w:val="0"/>
        <w:autoSpaceDN w:val="0"/>
        <w:adjustRightInd w:val="0"/>
        <w:snapToGrid/>
        <w:spacing w:line="560" w:lineRule="exact"/>
        <w:ind w:firstLine="640" w:firstLineChars="200"/>
        <w:rPr>
          <w:rFonts w:hint="eastAsia" w:ascii="仿宋_GB2312" w:hAnsi="仿宋_GB2312" w:eastAsia="仿宋_GB2312" w:cs="仿宋_GB2312"/>
          <w:sz w:val="32"/>
          <w:szCs w:val="32"/>
        </w:rPr>
      </w:pPr>
      <w:r>
        <w:rPr>
          <w:rFonts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bidi w:val="0"/>
        <w:jc w:val="center"/>
        <w:rPr>
          <w:rFonts w:hint="eastAsia" w:eastAsia="黑体"/>
          <w:sz w:val="44"/>
          <w:szCs w:val="44"/>
        </w:rPr>
      </w:pPr>
      <w:bookmarkStart w:id="49" w:name="_Toc15396614"/>
      <w:bookmarkStart w:id="50" w:name="_Toc15377226"/>
    </w:p>
    <w:p>
      <w:pPr>
        <w:bidi w:val="0"/>
        <w:jc w:val="center"/>
        <w:rPr>
          <w:rFonts w:hint="eastAsia" w:eastAsia="黑体"/>
          <w:sz w:val="44"/>
          <w:szCs w:val="44"/>
        </w:rPr>
      </w:pPr>
    </w:p>
    <w:p>
      <w:pPr>
        <w:bidi w:val="0"/>
        <w:jc w:val="center"/>
        <w:rPr>
          <w:rFonts w:hint="eastAsia" w:eastAsia="黑体"/>
          <w:sz w:val="44"/>
          <w:szCs w:val="44"/>
        </w:rPr>
      </w:pPr>
    </w:p>
    <w:p>
      <w:pPr>
        <w:bidi w:val="0"/>
        <w:jc w:val="center"/>
        <w:rPr>
          <w:rFonts w:hint="eastAsia" w:eastAsia="黑体"/>
          <w:sz w:val="44"/>
          <w:szCs w:val="44"/>
        </w:rPr>
      </w:pPr>
    </w:p>
    <w:p>
      <w:pPr>
        <w:bidi w:val="0"/>
        <w:jc w:val="center"/>
        <w:rPr>
          <w:rFonts w:hint="eastAsia" w:eastAsia="黑体"/>
          <w:sz w:val="44"/>
          <w:szCs w:val="44"/>
        </w:rPr>
      </w:pPr>
    </w:p>
    <w:p>
      <w:pPr>
        <w:bidi w:val="0"/>
        <w:jc w:val="center"/>
        <w:rPr>
          <w:rFonts w:hint="eastAsia" w:eastAsia="黑体"/>
          <w:sz w:val="44"/>
          <w:szCs w:val="44"/>
        </w:rPr>
      </w:pPr>
    </w:p>
    <w:p>
      <w:pPr>
        <w:bidi w:val="0"/>
        <w:jc w:val="center"/>
        <w:rPr>
          <w:rFonts w:hint="eastAsia" w:eastAsia="黑体"/>
          <w:sz w:val="44"/>
          <w:szCs w:val="44"/>
        </w:rPr>
      </w:pPr>
    </w:p>
    <w:p>
      <w:pPr>
        <w:bidi w:val="0"/>
        <w:jc w:val="center"/>
        <w:rPr>
          <w:rFonts w:hint="eastAsia" w:eastAsia="黑体"/>
          <w:sz w:val="44"/>
          <w:szCs w:val="44"/>
        </w:rPr>
      </w:pPr>
    </w:p>
    <w:p>
      <w:pPr>
        <w:bidi w:val="0"/>
        <w:jc w:val="center"/>
        <w:rPr>
          <w:rFonts w:hint="eastAsia" w:eastAsia="黑体"/>
          <w:sz w:val="44"/>
          <w:szCs w:val="44"/>
        </w:rPr>
      </w:pPr>
    </w:p>
    <w:p>
      <w:pPr>
        <w:bidi w:val="0"/>
        <w:jc w:val="center"/>
        <w:rPr>
          <w:rFonts w:hint="eastAsia" w:eastAsia="黑体"/>
          <w:sz w:val="44"/>
          <w:szCs w:val="44"/>
        </w:rPr>
      </w:pPr>
    </w:p>
    <w:p>
      <w:pPr>
        <w:bidi w:val="0"/>
        <w:jc w:val="both"/>
        <w:rPr>
          <w:rFonts w:hint="eastAsia" w:eastAsia="黑体"/>
          <w:sz w:val="44"/>
          <w:szCs w:val="44"/>
        </w:rPr>
      </w:pPr>
    </w:p>
    <w:p>
      <w:pPr>
        <w:bidi w:val="0"/>
        <w:jc w:val="center"/>
        <w:rPr>
          <w:rFonts w:hint="eastAsia" w:eastAsia="黑体"/>
          <w:sz w:val="44"/>
          <w:szCs w:val="44"/>
        </w:rPr>
      </w:pPr>
    </w:p>
    <w:p>
      <w:pPr>
        <w:bidi w:val="0"/>
        <w:jc w:val="center"/>
        <w:rPr>
          <w:rFonts w:hint="eastAsia" w:eastAsia="黑体"/>
          <w:sz w:val="44"/>
          <w:szCs w:val="44"/>
        </w:rPr>
      </w:pPr>
    </w:p>
    <w:p>
      <w:pPr>
        <w:bidi w:val="0"/>
        <w:jc w:val="center"/>
        <w:rPr>
          <w:rFonts w:hint="eastAsia" w:eastAsia="黑体"/>
          <w:sz w:val="44"/>
          <w:szCs w:val="44"/>
        </w:rPr>
      </w:pPr>
    </w:p>
    <w:p>
      <w:pPr>
        <w:bidi w:val="0"/>
        <w:jc w:val="center"/>
        <w:rPr>
          <w:rFonts w:hint="eastAsia" w:eastAsia="黑体"/>
          <w:sz w:val="44"/>
          <w:szCs w:val="44"/>
        </w:rPr>
      </w:pPr>
    </w:p>
    <w:p>
      <w:pPr>
        <w:bidi w:val="0"/>
        <w:jc w:val="center"/>
        <w:rPr>
          <w:rFonts w:eastAsia="黑体" w:cs="黑体"/>
          <w:color w:val="FF0000"/>
          <w:sz w:val="32"/>
          <w:szCs w:val="32"/>
        </w:rPr>
      </w:pPr>
      <w:bookmarkStart w:id="66" w:name="_GoBack"/>
      <w:bookmarkEnd w:id="66"/>
      <w:r>
        <w:rPr>
          <w:rFonts w:hint="eastAsia" w:eastAsia="黑体"/>
          <w:sz w:val="44"/>
          <w:szCs w:val="44"/>
        </w:rPr>
        <w:t>第四部分  附件</w:t>
      </w:r>
      <w:bookmarkEnd w:id="49"/>
    </w:p>
    <w:p>
      <w:pPr>
        <w:spacing w:line="572" w:lineRule="exact"/>
        <w:jc w:val="left"/>
        <w:outlineLvl w:val="0"/>
        <w:rPr>
          <w:rFonts w:eastAsia="方正小标宋简体"/>
          <w:bCs/>
          <w:sz w:val="44"/>
          <w:szCs w:val="44"/>
          <w:shd w:val="clear" w:color="auto" w:fill="FFFFFF"/>
        </w:rPr>
      </w:pPr>
      <w:r>
        <w:rPr>
          <w:rFonts w:hint="eastAsia" w:eastAsia="黑体" w:cs="黑体"/>
          <w:sz w:val="32"/>
          <w:szCs w:val="32"/>
        </w:rPr>
        <w:t>附件1</w:t>
      </w:r>
    </w:p>
    <w:p>
      <w:pPr>
        <w:widowControl/>
        <w:spacing w:line="578" w:lineRule="exact"/>
        <w:contextualSpacing/>
        <w:jc w:val="center"/>
        <w:rPr>
          <w:rFonts w:eastAsia="方正小标宋简体"/>
          <w:bCs/>
          <w:sz w:val="44"/>
          <w:szCs w:val="44"/>
          <w:shd w:val="clear" w:color="auto" w:fill="FFFFFF"/>
        </w:rPr>
      </w:pPr>
      <w:r>
        <w:rPr>
          <w:rFonts w:eastAsia="方正小标宋简体"/>
          <w:bCs/>
          <w:sz w:val="44"/>
          <w:szCs w:val="44"/>
          <w:shd w:val="clear" w:color="auto" w:fill="FFFFFF"/>
        </w:rPr>
        <w:t>部门预算绩效</w:t>
      </w:r>
      <w:r>
        <w:rPr>
          <w:rFonts w:hint="eastAsia" w:eastAsia="方正小标宋简体"/>
          <w:bCs/>
          <w:sz w:val="44"/>
          <w:szCs w:val="44"/>
          <w:shd w:val="clear" w:color="auto" w:fill="FFFFFF"/>
        </w:rPr>
        <w:t>评价</w:t>
      </w:r>
      <w:r>
        <w:rPr>
          <w:rFonts w:eastAsia="方正小标宋简体"/>
          <w:bCs/>
          <w:sz w:val="44"/>
          <w:szCs w:val="44"/>
          <w:shd w:val="clear" w:color="auto" w:fill="FFFFFF"/>
        </w:rPr>
        <w:t>报告</w:t>
      </w:r>
    </w:p>
    <w:p>
      <w:pPr>
        <w:widowControl/>
        <w:spacing w:line="578" w:lineRule="exact"/>
        <w:contextualSpacing/>
        <w:jc w:val="center"/>
        <w:rPr>
          <w:rFonts w:eastAsia="仿宋_GB2312"/>
          <w:sz w:val="32"/>
          <w:szCs w:val="32"/>
          <w:shd w:val="clear" w:color="auto" w:fill="FFFFFF"/>
        </w:rPr>
      </w:pPr>
    </w:p>
    <w:p>
      <w:pPr>
        <w:widowControl/>
        <w:adjustRightInd w:val="0"/>
        <w:snapToGrid w:val="0"/>
        <w:spacing w:line="578" w:lineRule="exact"/>
        <w:ind w:left="0" w:firstLine="640" w:firstLineChars="200"/>
        <w:contextualSpacing/>
        <w:jc w:val="left"/>
        <w:rPr>
          <w:rFonts w:eastAsia="黑体"/>
          <w:color w:val="000000"/>
          <w:kern w:val="0"/>
          <w:sz w:val="32"/>
          <w:szCs w:val="32"/>
          <w:shd w:val="clear" w:color="auto" w:fill="FFFFFF"/>
          <w:lang w:val="zh-CN"/>
        </w:rPr>
      </w:pPr>
      <w:r>
        <w:rPr>
          <w:rFonts w:hint="eastAsia" w:eastAsia="黑体"/>
          <w:color w:val="000000"/>
          <w:kern w:val="0"/>
          <w:sz w:val="32"/>
          <w:szCs w:val="32"/>
          <w:shd w:val="clear" w:color="auto" w:fill="FFFFFF"/>
          <w:lang w:val="zh-CN"/>
        </w:rPr>
        <w:t>一、</w:t>
      </w:r>
      <w:r>
        <w:rPr>
          <w:rFonts w:eastAsia="黑体"/>
          <w:color w:val="000000"/>
          <w:kern w:val="0"/>
          <w:sz w:val="32"/>
          <w:szCs w:val="32"/>
          <w:shd w:val="clear" w:color="auto" w:fill="FFFFFF"/>
          <w:lang w:val="zh-CN"/>
        </w:rPr>
        <w:t>单位基本情况</w:t>
      </w:r>
    </w:p>
    <w:p>
      <w:pPr>
        <w:widowControl/>
        <w:numPr>
          <w:ilvl w:val="0"/>
          <w:numId w:val="1"/>
        </w:numPr>
        <w:adjustRightInd w:val="0"/>
        <w:snapToGrid w:val="0"/>
        <w:spacing w:line="578" w:lineRule="exact"/>
        <w:ind w:left="0" w:firstLine="643" w:firstLineChars="200"/>
        <w:contextualSpacing/>
        <w:jc w:val="left"/>
        <w:rPr>
          <w:rFonts w:eastAsia="楷体_GB2312" w:cs="楷体_GB2312"/>
          <w:b/>
          <w:sz w:val="32"/>
          <w:szCs w:val="32"/>
          <w:lang w:val="zh-CN"/>
        </w:rPr>
      </w:pPr>
      <w:r>
        <w:rPr>
          <w:rFonts w:eastAsia="楷体_GB2312" w:cs="楷体_GB2312"/>
          <w:b/>
          <w:sz w:val="32"/>
          <w:szCs w:val="32"/>
          <w:lang w:val="zh-CN"/>
        </w:rPr>
        <w:t>机构组成。</w:t>
      </w:r>
    </w:p>
    <w:p>
      <w:pPr>
        <w:pStyle w:val="3"/>
        <w:ind w:left="0" w:leftChars="0" w:firstLine="640" w:firstLineChars="200"/>
        <w:jc w:val="both"/>
      </w:pPr>
      <w:r>
        <w:rPr>
          <w:rFonts w:hint="eastAsia" w:ascii="仿宋_GB2312" w:hAnsi="仿宋_GB2312" w:eastAsia="仿宋_GB2312" w:cs="仿宋_GB2312"/>
          <w:color w:val="000000"/>
          <w:kern w:val="0"/>
          <w:sz w:val="32"/>
          <w:szCs w:val="32"/>
          <w:lang w:val="zh-CN"/>
        </w:rPr>
        <w:t>本单位为独立核算全额拨款行政单位，内设办公室，档案股及业务指导股三个股室。</w:t>
      </w:r>
    </w:p>
    <w:p>
      <w:pPr>
        <w:widowControl/>
        <w:adjustRightInd w:val="0"/>
        <w:snapToGrid w:val="0"/>
        <w:spacing w:line="578" w:lineRule="exact"/>
        <w:ind w:left="0" w:firstLine="803" w:firstLineChars="250"/>
        <w:contextualSpacing/>
        <w:jc w:val="left"/>
        <w:rPr>
          <w:rFonts w:eastAsia="楷体_GB2312" w:cs="楷体_GB2312"/>
          <w:b/>
          <w:sz w:val="32"/>
          <w:szCs w:val="32"/>
          <w:lang w:val="zh-CN"/>
        </w:rPr>
      </w:pPr>
      <w:r>
        <w:rPr>
          <w:rFonts w:eastAsia="楷体_GB2312" w:cs="楷体_GB2312"/>
          <w:b/>
          <w:sz w:val="32"/>
          <w:szCs w:val="32"/>
          <w:lang w:val="zh-CN"/>
        </w:rPr>
        <w:t>（二）机构职能</w:t>
      </w:r>
      <w:r>
        <w:rPr>
          <w:rFonts w:hint="eastAsia" w:eastAsia="楷体_GB2312" w:cs="楷体_GB2312"/>
          <w:b/>
          <w:sz w:val="32"/>
          <w:szCs w:val="32"/>
          <w:lang w:val="zh-CN"/>
        </w:rPr>
        <w:t>。</w:t>
      </w:r>
    </w:p>
    <w:p>
      <w:pPr>
        <w:pStyle w:val="6"/>
        <w:spacing w:before="0" w:after="0" w:line="560" w:lineRule="exact"/>
        <w:ind w:left="0" w:firstLine="960" w:firstLineChars="300"/>
        <w:rPr>
          <w:rFonts w:ascii="Times New Roman" w:hAnsi="Times New Roman" w:eastAsia="仿宋_GB2312" w:cs="Times New Roman"/>
          <w:b w:val="0"/>
          <w:bCs w:val="0"/>
          <w:kern w:val="2"/>
          <w:sz w:val="32"/>
          <w:szCs w:val="32"/>
          <w:lang w:val="en-US" w:eastAsia="zh-CN" w:bidi="ar-SA"/>
        </w:rPr>
      </w:pPr>
      <w:r>
        <w:rPr>
          <w:rFonts w:hint="eastAsia" w:ascii="Times New Roman" w:hAnsi="Times New Roman" w:eastAsia="仿宋_GB2312" w:cs="Times New Roman"/>
          <w:b w:val="0"/>
          <w:bCs w:val="0"/>
          <w:kern w:val="2"/>
          <w:sz w:val="32"/>
          <w:szCs w:val="32"/>
          <w:lang w:val="en-US" w:eastAsia="zh-CN" w:bidi="ar-SA"/>
        </w:rPr>
        <w:t>贯彻执行国家和省、州有关党史研究和地方志工作的方针、政策和法规；制定我县党史研究和地方志工作、综合年鉴的具体规划、管理办法，并组织实施。负责收集、整理党的文献、资料和文物，指导乡镇和县直各部门做好党史资料的收集和整理工作。负责编写我县各个历史时期的党史大事记、专题材料和党史人物传等。负责全县党史和地情资料收集、地情咨询服务。负责组织、协调，指导全县地方志和综合年鉴编修和检查、督促工，负责乡镇志业务指导和验收工作等，同是完成县委县政府交办的其他工作。</w:t>
      </w:r>
    </w:p>
    <w:p>
      <w:pPr>
        <w:keepNext w:val="0"/>
        <w:keepLines w:val="0"/>
        <w:pageBreakBefore w:val="0"/>
        <w:widowControl/>
        <w:kinsoku/>
        <w:wordWrap/>
        <w:overflowPunct/>
        <w:topLinePunct w:val="0"/>
        <w:autoSpaceDE/>
        <w:autoSpaceDN/>
        <w:adjustRightInd w:val="0"/>
        <w:snapToGrid w:val="0"/>
        <w:spacing w:beforeAutospacing="0" w:afterAutospacing="0" w:line="576" w:lineRule="exact"/>
        <w:ind w:firstLine="643" w:firstLineChars="200"/>
        <w:contextualSpacing/>
        <w:jc w:val="left"/>
        <w:rPr>
          <w:rFonts w:hint="eastAsia" w:ascii="仿宋_GB2312" w:hAnsi="仿宋_GB2312" w:eastAsia="仿宋_GB2312" w:cs="仿宋_GB2312"/>
          <w:sz w:val="32"/>
          <w:szCs w:val="32"/>
          <w:lang w:eastAsia="zh-CN"/>
        </w:rPr>
      </w:pPr>
      <w:r>
        <w:rPr>
          <w:rFonts w:eastAsia="楷体_GB2312"/>
          <w:b/>
          <w:bCs/>
          <w:color w:val="000000"/>
          <w:kern w:val="0"/>
          <w:sz w:val="32"/>
          <w:szCs w:val="32"/>
          <w:shd w:val="clear" w:color="auto" w:fill="FFFFFF"/>
          <w:lang w:val="zh-CN"/>
        </w:rPr>
        <w:t>（</w:t>
      </w:r>
      <w:r>
        <w:rPr>
          <w:rFonts w:hint="eastAsia" w:eastAsia="楷体_GB2312"/>
          <w:b/>
          <w:bCs/>
          <w:color w:val="000000"/>
          <w:kern w:val="0"/>
          <w:sz w:val="32"/>
          <w:szCs w:val="32"/>
          <w:shd w:val="clear" w:color="auto" w:fill="FFFFFF"/>
          <w:lang w:val="zh-CN"/>
        </w:rPr>
        <w:t>三</w:t>
      </w:r>
      <w:r>
        <w:rPr>
          <w:rFonts w:eastAsia="楷体_GB2312"/>
          <w:b/>
          <w:bCs/>
          <w:color w:val="000000"/>
          <w:kern w:val="0"/>
          <w:sz w:val="32"/>
          <w:szCs w:val="32"/>
          <w:shd w:val="clear" w:color="auto" w:fill="FFFFFF"/>
          <w:lang w:val="zh-CN"/>
        </w:rPr>
        <w:t>）人员概况</w:t>
      </w:r>
      <w:r>
        <w:rPr>
          <w:rFonts w:hint="eastAsia" w:eastAsia="楷体_GB2312"/>
          <w:b/>
          <w:bCs/>
          <w:color w:val="000000"/>
          <w:kern w:val="0"/>
          <w:sz w:val="32"/>
          <w:szCs w:val="32"/>
          <w:shd w:val="clear" w:color="auto" w:fill="FFFFFF"/>
          <w:lang w:val="zh-CN"/>
        </w:rPr>
        <w:t>。</w:t>
      </w:r>
      <w:r>
        <w:rPr>
          <w:rFonts w:eastAsia="仿宋_GB2312"/>
          <w:sz w:val="32"/>
          <w:szCs w:val="32"/>
        </w:rPr>
        <w:t>截至202</w:t>
      </w:r>
      <w:r>
        <w:rPr>
          <w:rFonts w:hint="eastAsia" w:eastAsia="仿宋_GB2312"/>
          <w:sz w:val="32"/>
          <w:szCs w:val="32"/>
        </w:rPr>
        <w:t>5</w:t>
      </w:r>
      <w:r>
        <w:rPr>
          <w:rFonts w:eastAsia="仿宋_GB2312"/>
          <w:sz w:val="32"/>
          <w:szCs w:val="32"/>
        </w:rPr>
        <w:t>年末</w:t>
      </w:r>
      <w:r>
        <w:rPr>
          <w:rFonts w:hint="eastAsia" w:ascii="仿宋_GB2312" w:hAnsi="仿宋_GB2312" w:eastAsia="仿宋_GB2312" w:cs="仿宋_GB2312"/>
          <w:sz w:val="32"/>
          <w:szCs w:val="32"/>
        </w:rPr>
        <w:t>本单位本年度年末实有人数为</w:t>
      </w:r>
      <w:r>
        <w:rPr>
          <w:rFonts w:ascii="仿宋_GB2312" w:hAnsi="仿宋_GB2312" w:eastAsia="仿宋_GB2312" w:cs="仿宋_GB2312"/>
          <w:sz w:val="32"/>
          <w:szCs w:val="32"/>
        </w:rPr>
        <w:t>8</w:t>
      </w:r>
      <w:r>
        <w:rPr>
          <w:rFonts w:hint="eastAsia" w:ascii="仿宋_GB2312" w:hAnsi="仿宋_GB2312" w:eastAsia="仿宋_GB2312" w:cs="仿宋_GB2312"/>
          <w:sz w:val="32"/>
          <w:szCs w:val="32"/>
        </w:rPr>
        <w:t>人，年末实有离退休人数为</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人</w:t>
      </w:r>
      <w:r>
        <w:rPr>
          <w:rFonts w:hint="eastAsia" w:ascii="仿宋_GB2312" w:hAnsi="仿宋_GB2312" w:eastAsia="仿宋_GB2312" w:cs="仿宋_GB2312"/>
          <w:sz w:val="32"/>
          <w:szCs w:val="32"/>
          <w:lang w:eastAsia="zh-CN"/>
        </w:rPr>
        <w:t>。</w:t>
      </w:r>
    </w:p>
    <w:p>
      <w:pPr>
        <w:spacing w:line="600" w:lineRule="exact"/>
        <w:ind w:firstLine="640" w:firstLineChars="200"/>
        <w:rPr>
          <w:rFonts w:eastAsia="黑体"/>
          <w:color w:val="000000"/>
          <w:kern w:val="0"/>
          <w:sz w:val="32"/>
          <w:szCs w:val="32"/>
          <w:shd w:val="clear" w:color="auto" w:fill="FFFFFF"/>
          <w:lang w:val="zh-CN"/>
        </w:rPr>
      </w:pPr>
      <w:r>
        <w:rPr>
          <w:rFonts w:eastAsia="黑体"/>
          <w:color w:val="000000"/>
          <w:kern w:val="0"/>
          <w:sz w:val="32"/>
          <w:szCs w:val="32"/>
          <w:shd w:val="clear" w:color="auto" w:fill="FFFFFF"/>
          <w:lang w:val="zh-CN"/>
        </w:rPr>
        <w:t>二、部门资金收支情况</w:t>
      </w:r>
    </w:p>
    <w:p>
      <w:pPr>
        <w:widowControl/>
        <w:adjustRightInd w:val="0"/>
        <w:snapToGrid w:val="0"/>
        <w:spacing w:line="578" w:lineRule="exact"/>
        <w:ind w:firstLine="643" w:firstLineChars="200"/>
        <w:contextualSpacing/>
        <w:jc w:val="left"/>
        <w:rPr>
          <w:rFonts w:eastAsia="楷体_GB2312"/>
          <w:b/>
          <w:bCs/>
          <w:color w:val="000000"/>
          <w:kern w:val="0"/>
          <w:sz w:val="32"/>
          <w:szCs w:val="32"/>
          <w:shd w:val="clear" w:color="auto" w:fill="FFFFFF"/>
          <w:lang w:val="zh-CN"/>
        </w:rPr>
      </w:pPr>
      <w:r>
        <w:rPr>
          <w:rFonts w:eastAsia="楷体_GB2312"/>
          <w:b/>
          <w:bCs/>
          <w:color w:val="000000"/>
          <w:kern w:val="0"/>
          <w:sz w:val="32"/>
          <w:szCs w:val="32"/>
          <w:shd w:val="clear" w:color="auto" w:fill="FFFFFF"/>
          <w:lang w:val="zh-CN"/>
        </w:rPr>
        <w:t>（一）</w:t>
      </w:r>
      <w:r>
        <w:rPr>
          <w:rFonts w:hint="eastAsia" w:eastAsia="楷体_GB2312"/>
          <w:b/>
          <w:bCs/>
          <w:color w:val="000000"/>
          <w:kern w:val="0"/>
          <w:sz w:val="32"/>
          <w:szCs w:val="32"/>
          <w:shd w:val="clear" w:color="auto" w:fill="FFFFFF"/>
          <w:lang w:val="zh-CN"/>
        </w:rPr>
        <w:t>收入情况</w:t>
      </w:r>
      <w:r>
        <w:rPr>
          <w:rFonts w:eastAsia="楷体_GB2312"/>
          <w:b/>
          <w:bCs/>
          <w:color w:val="000000"/>
          <w:kern w:val="0"/>
          <w:sz w:val="32"/>
          <w:szCs w:val="32"/>
          <w:shd w:val="clear" w:color="auto" w:fill="FFFFFF"/>
          <w:lang w:val="zh-CN"/>
        </w:rPr>
        <w:t>。</w:t>
      </w:r>
    </w:p>
    <w:p>
      <w:pPr>
        <w:keepNext w:val="0"/>
        <w:keepLines w:val="0"/>
        <w:pageBreakBefore w:val="0"/>
        <w:widowControl/>
        <w:kinsoku/>
        <w:wordWrap/>
        <w:overflowPunct/>
        <w:topLinePunct w:val="0"/>
        <w:autoSpaceDE/>
        <w:autoSpaceDN/>
        <w:adjustRightInd w:val="0"/>
        <w:snapToGrid w:val="0"/>
        <w:spacing w:line="578" w:lineRule="exact"/>
        <w:ind w:firstLine="640" w:firstLineChars="200"/>
        <w:contextualSpacing/>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2024年</w:t>
      </w:r>
      <w:r>
        <w:rPr>
          <w:rFonts w:hint="eastAsia" w:ascii="仿宋_GB2312" w:hAnsi="仿宋_GB2312" w:eastAsia="仿宋_GB2312" w:cs="仿宋_GB2312"/>
          <w:sz w:val="32"/>
          <w:szCs w:val="32"/>
        </w:rPr>
        <w:t>单位收入总额为</w:t>
      </w:r>
      <w:r>
        <w:rPr>
          <w:rFonts w:hint="eastAsia" w:ascii="仿宋_GB2312" w:hAnsi="仿宋_GB2312" w:eastAsia="仿宋_GB2312" w:cs="仿宋_GB2312"/>
          <w:sz w:val="32"/>
          <w:szCs w:val="32"/>
          <w:lang w:val="en-US" w:eastAsia="zh-CN"/>
        </w:rPr>
        <w:t>2</w:t>
      </w:r>
      <w:r>
        <w:rPr>
          <w:rFonts w:ascii="仿宋_GB2312" w:hAnsi="仿宋_GB2312" w:eastAsia="仿宋_GB2312" w:cs="仿宋_GB2312"/>
          <w:sz w:val="32"/>
          <w:szCs w:val="32"/>
          <w:lang w:val="en-US" w:eastAsia="zh-CN"/>
        </w:rPr>
        <w:t>74</w:t>
      </w:r>
      <w:r>
        <w:rPr>
          <w:rFonts w:hint="eastAsia" w:ascii="仿宋_GB2312" w:hAnsi="仿宋_GB2312" w:eastAsia="仿宋_GB2312" w:cs="仿宋_GB2312"/>
          <w:sz w:val="32"/>
          <w:szCs w:val="32"/>
        </w:rPr>
        <w:t>万元，其中：当年财政拨款收入</w:t>
      </w:r>
      <w:r>
        <w:rPr>
          <w:rFonts w:ascii="仿宋_GB2312" w:hAnsi="仿宋_GB2312" w:eastAsia="仿宋_GB2312" w:cs="仿宋_GB2312"/>
          <w:sz w:val="32"/>
          <w:szCs w:val="32"/>
        </w:rPr>
        <w:t>274</w:t>
      </w:r>
      <w:r>
        <w:rPr>
          <w:rFonts w:hint="eastAsia" w:ascii="仿宋_GB2312" w:hAnsi="仿宋_GB2312" w:eastAsia="仿宋_GB2312" w:cs="仿宋_GB2312"/>
          <w:sz w:val="32"/>
          <w:szCs w:val="32"/>
        </w:rPr>
        <w:t>万元。相应安排支出预算</w:t>
      </w:r>
      <w:r>
        <w:rPr>
          <w:rFonts w:hint="eastAsia" w:ascii="仿宋_GB2312" w:hAnsi="仿宋_GB2312" w:eastAsia="仿宋_GB2312" w:cs="仿宋_GB2312"/>
          <w:sz w:val="32"/>
          <w:szCs w:val="32"/>
          <w:lang w:val="en-US" w:eastAsia="zh-CN"/>
        </w:rPr>
        <w:t>2</w:t>
      </w:r>
      <w:r>
        <w:rPr>
          <w:rFonts w:ascii="仿宋_GB2312" w:hAnsi="仿宋_GB2312" w:eastAsia="仿宋_GB2312" w:cs="仿宋_GB2312"/>
          <w:sz w:val="32"/>
          <w:szCs w:val="32"/>
          <w:lang w:val="en-US" w:eastAsia="zh-CN"/>
        </w:rPr>
        <w:t>74</w:t>
      </w:r>
      <w:r>
        <w:rPr>
          <w:rFonts w:hint="eastAsia" w:ascii="仿宋_GB2312" w:hAnsi="仿宋_GB2312" w:eastAsia="仿宋_GB2312" w:cs="仿宋_GB2312"/>
          <w:sz w:val="32"/>
          <w:szCs w:val="32"/>
        </w:rPr>
        <w:t>万元，其中：一般公共服务</w:t>
      </w:r>
      <w:r>
        <w:rPr>
          <w:rFonts w:hint="eastAsia" w:ascii="仿宋_GB2312" w:hAnsi="仿宋_GB2312" w:eastAsia="仿宋_GB2312" w:cs="仿宋_GB2312"/>
          <w:sz w:val="32"/>
          <w:szCs w:val="32"/>
          <w:lang w:val="en-US" w:eastAsia="zh-CN"/>
        </w:rPr>
        <w:t>2</w:t>
      </w:r>
      <w:r>
        <w:rPr>
          <w:rFonts w:ascii="仿宋_GB2312" w:hAnsi="仿宋_GB2312" w:eastAsia="仿宋_GB2312" w:cs="仿宋_GB2312"/>
          <w:sz w:val="32"/>
          <w:szCs w:val="32"/>
          <w:lang w:val="en-US" w:eastAsia="zh-CN"/>
        </w:rPr>
        <w:t>22.86</w:t>
      </w:r>
      <w:r>
        <w:rPr>
          <w:rFonts w:hint="eastAsia" w:ascii="仿宋_GB2312" w:hAnsi="仿宋_GB2312" w:eastAsia="仿宋_GB2312" w:cs="仿宋_GB2312"/>
          <w:sz w:val="32"/>
          <w:szCs w:val="32"/>
        </w:rPr>
        <w:t>万元，社会保障和就业</w:t>
      </w:r>
      <w:r>
        <w:rPr>
          <w:rFonts w:hint="eastAsia" w:ascii="仿宋_GB2312" w:hAnsi="仿宋_GB2312" w:eastAsia="仿宋_GB2312" w:cs="仿宋_GB2312"/>
          <w:sz w:val="32"/>
          <w:szCs w:val="32"/>
          <w:lang w:val="en-US" w:eastAsia="zh-CN"/>
        </w:rPr>
        <w:t>2</w:t>
      </w:r>
      <w:r>
        <w:rPr>
          <w:rFonts w:ascii="仿宋_GB2312" w:hAnsi="仿宋_GB2312" w:eastAsia="仿宋_GB2312" w:cs="仿宋_GB2312"/>
          <w:sz w:val="32"/>
          <w:szCs w:val="32"/>
          <w:lang w:val="en-US" w:eastAsia="zh-CN"/>
        </w:rPr>
        <w:t>7.22</w:t>
      </w:r>
      <w:r>
        <w:rPr>
          <w:rFonts w:hint="eastAsia" w:ascii="仿宋_GB2312" w:hAnsi="仿宋_GB2312" w:eastAsia="仿宋_GB2312" w:cs="仿宋_GB2312"/>
          <w:sz w:val="32"/>
          <w:szCs w:val="32"/>
        </w:rPr>
        <w:t>万元，医疗卫生</w:t>
      </w:r>
      <w:r>
        <w:rPr>
          <w:rFonts w:ascii="仿宋_GB2312" w:hAnsi="仿宋_GB2312" w:eastAsia="仿宋_GB2312" w:cs="仿宋_GB2312"/>
          <w:sz w:val="32"/>
          <w:szCs w:val="32"/>
        </w:rPr>
        <w:t>9.9</w:t>
      </w:r>
      <w:r>
        <w:rPr>
          <w:rFonts w:hint="eastAsia" w:ascii="仿宋_GB2312" w:hAnsi="仿宋_GB2312" w:eastAsia="仿宋_GB2312" w:cs="仿宋_GB2312"/>
          <w:sz w:val="32"/>
          <w:szCs w:val="32"/>
        </w:rPr>
        <w:t>万元，住房保障</w:t>
      </w:r>
      <w:r>
        <w:rPr>
          <w:rFonts w:ascii="仿宋_GB2312" w:hAnsi="仿宋_GB2312" w:eastAsia="仿宋_GB2312" w:cs="仿宋_GB2312"/>
          <w:sz w:val="32"/>
          <w:szCs w:val="32"/>
        </w:rPr>
        <w:t>14.01</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,项目</w:t>
      </w:r>
      <w:r>
        <w:rPr>
          <w:rFonts w:ascii="仿宋_GB2312" w:hAnsi="仿宋_GB2312" w:eastAsia="仿宋_GB2312" w:cs="仿宋_GB2312"/>
          <w:sz w:val="32"/>
          <w:szCs w:val="32"/>
          <w:lang w:val="en-US" w:eastAsia="zh-CN"/>
        </w:rPr>
        <w:t>82.33</w:t>
      </w:r>
      <w:r>
        <w:rPr>
          <w:rFonts w:hint="eastAsia" w:ascii="仿宋_GB2312" w:hAnsi="仿宋_GB2312" w:eastAsia="仿宋_GB2312" w:cs="仿宋_GB2312"/>
          <w:sz w:val="32"/>
          <w:szCs w:val="32"/>
          <w:lang w:val="en-US" w:eastAsia="zh-CN"/>
        </w:rPr>
        <w:t>万元</w:t>
      </w:r>
      <w:r>
        <w:rPr>
          <w:rFonts w:hint="eastAsia" w:ascii="仿宋_GB2312" w:hAnsi="仿宋_GB2312" w:eastAsia="仿宋_GB2312" w:cs="仿宋_GB2312"/>
          <w:sz w:val="32"/>
          <w:szCs w:val="32"/>
        </w:rPr>
        <w:t>。</w:t>
      </w:r>
    </w:p>
    <w:p>
      <w:pPr>
        <w:widowControl/>
        <w:adjustRightInd w:val="0"/>
        <w:snapToGrid w:val="0"/>
        <w:spacing w:line="578" w:lineRule="exact"/>
        <w:ind w:left="0" w:firstLine="643" w:firstLineChars="200"/>
        <w:contextualSpacing/>
        <w:jc w:val="left"/>
        <w:rPr>
          <w:rFonts w:eastAsia="仿宋_GB2312" w:cs="仿宋_GB2312"/>
          <w:sz w:val="32"/>
          <w:szCs w:val="32"/>
        </w:rPr>
      </w:pPr>
      <w:r>
        <w:rPr>
          <w:rFonts w:eastAsia="楷体_GB2312"/>
          <w:b/>
          <w:bCs/>
          <w:color w:val="000000"/>
          <w:kern w:val="0"/>
          <w:sz w:val="32"/>
          <w:szCs w:val="32"/>
          <w:shd w:val="clear" w:color="auto" w:fill="FFFFFF"/>
          <w:lang w:val="zh-CN"/>
        </w:rPr>
        <w:t>（</w:t>
      </w:r>
      <w:r>
        <w:rPr>
          <w:rFonts w:hint="eastAsia" w:eastAsia="楷体_GB2312"/>
          <w:b/>
          <w:bCs/>
          <w:color w:val="000000"/>
          <w:kern w:val="0"/>
          <w:sz w:val="32"/>
          <w:szCs w:val="32"/>
          <w:shd w:val="clear" w:color="auto" w:fill="FFFFFF"/>
          <w:lang w:val="zh-CN"/>
        </w:rPr>
        <w:t>二</w:t>
      </w:r>
      <w:r>
        <w:rPr>
          <w:rFonts w:eastAsia="楷体_GB2312"/>
          <w:b/>
          <w:bCs/>
          <w:color w:val="000000"/>
          <w:kern w:val="0"/>
          <w:sz w:val="32"/>
          <w:szCs w:val="32"/>
          <w:shd w:val="clear" w:color="auto" w:fill="FFFFFF"/>
          <w:lang w:val="zh-CN"/>
        </w:rPr>
        <w:t>）</w:t>
      </w:r>
      <w:r>
        <w:rPr>
          <w:rFonts w:hint="eastAsia" w:eastAsia="楷体_GB2312"/>
          <w:b/>
          <w:bCs/>
          <w:color w:val="000000"/>
          <w:kern w:val="0"/>
          <w:sz w:val="32"/>
          <w:szCs w:val="32"/>
          <w:shd w:val="clear" w:color="auto" w:fill="FFFFFF"/>
          <w:lang w:val="zh-CN"/>
        </w:rPr>
        <w:t>支出情况</w:t>
      </w:r>
      <w:r>
        <w:rPr>
          <w:rFonts w:eastAsia="仿宋_GB2312" w:cs="仿宋_GB2312"/>
          <w:sz w:val="32"/>
          <w:szCs w:val="32"/>
        </w:rPr>
        <w:t>。</w:t>
      </w:r>
    </w:p>
    <w:p>
      <w:pPr>
        <w:spacing w:line="600" w:lineRule="exact"/>
        <w:ind w:firstLine="640"/>
        <w:rPr>
          <w:rFonts w:hint="eastAsia" w:ascii="仿宋_GB2312" w:hAnsi="仿宋_GB2312" w:eastAsia="仿宋_GB2312" w:cs="仿宋_GB2312"/>
          <w:sz w:val="32"/>
          <w:szCs w:val="32"/>
        </w:rPr>
      </w:pPr>
      <w:r>
        <w:rPr>
          <w:rFonts w:hint="eastAsia" w:eastAsia="仿宋_GB2312" w:cs="仿宋_GB2312"/>
          <w:sz w:val="32"/>
          <w:szCs w:val="32"/>
        </w:rPr>
        <w:t>2025年度一般公共预算财政拨款基本支出</w:t>
      </w:r>
      <w:r>
        <w:rPr>
          <w:rFonts w:hint="eastAsia" w:ascii="仿宋_GB2312" w:hAnsi="仿宋_GB2312" w:eastAsia="仿宋_GB2312" w:cs="仿宋_GB2312"/>
          <w:sz w:val="32"/>
          <w:szCs w:val="32"/>
        </w:rPr>
        <w:t>191.67</w:t>
      </w:r>
      <w:r>
        <w:rPr>
          <w:rFonts w:hint="eastAsia" w:eastAsia="仿宋_GB2312" w:cs="仿宋_GB2312"/>
          <w:sz w:val="32"/>
          <w:szCs w:val="32"/>
        </w:rPr>
        <w:t>万元，其中：人员经费</w:t>
      </w:r>
      <w:r>
        <w:rPr>
          <w:rFonts w:hint="eastAsia" w:ascii="仿宋_GB2312" w:hAnsi="仿宋_GB2312" w:eastAsia="仿宋_GB2312" w:cs="仿宋_GB2312"/>
          <w:sz w:val="32"/>
          <w:szCs w:val="32"/>
        </w:rPr>
        <w:t>180.05</w:t>
      </w:r>
      <w:r>
        <w:rPr>
          <w:rFonts w:hint="eastAsia" w:eastAsia="仿宋_GB2312" w:cs="仿宋_GB2312"/>
          <w:sz w:val="32"/>
          <w:szCs w:val="32"/>
        </w:rPr>
        <w:t>万元，主要包括：基本工资</w:t>
      </w:r>
      <w:r>
        <w:rPr>
          <w:rFonts w:eastAsia="仿宋_GB2312" w:cs="仿宋_GB2312"/>
          <w:sz w:val="32"/>
          <w:szCs w:val="32"/>
        </w:rPr>
        <w:t>37.19万元</w:t>
      </w:r>
      <w:r>
        <w:rPr>
          <w:rFonts w:hint="eastAsia" w:eastAsia="仿宋_GB2312" w:cs="仿宋_GB2312"/>
          <w:sz w:val="32"/>
          <w:szCs w:val="32"/>
        </w:rPr>
        <w:t>、津贴补贴</w:t>
      </w:r>
      <w:r>
        <w:rPr>
          <w:rFonts w:eastAsia="仿宋_GB2312" w:cs="仿宋_GB2312"/>
          <w:sz w:val="32"/>
          <w:szCs w:val="32"/>
        </w:rPr>
        <w:t>48.99万元</w:t>
      </w:r>
      <w:r>
        <w:rPr>
          <w:rFonts w:hint="eastAsia" w:eastAsia="仿宋_GB2312" w:cs="仿宋_GB2312"/>
          <w:sz w:val="32"/>
          <w:szCs w:val="32"/>
        </w:rPr>
        <w:t>、奖金</w:t>
      </w:r>
      <w:r>
        <w:rPr>
          <w:rFonts w:eastAsia="仿宋_GB2312" w:cs="仿宋_GB2312"/>
          <w:sz w:val="32"/>
          <w:szCs w:val="32"/>
        </w:rPr>
        <w:t>39.26万元</w:t>
      </w:r>
      <w:r>
        <w:rPr>
          <w:rFonts w:hint="eastAsia" w:eastAsia="仿宋_GB2312" w:cs="仿宋_GB2312"/>
          <w:sz w:val="32"/>
          <w:szCs w:val="32"/>
        </w:rPr>
        <w:t>、伙食补助费</w:t>
      </w:r>
      <w:r>
        <w:rPr>
          <w:rFonts w:eastAsia="仿宋_GB2312" w:cs="仿宋_GB2312"/>
          <w:sz w:val="32"/>
          <w:szCs w:val="32"/>
        </w:rPr>
        <w:t>0万元</w:t>
      </w:r>
      <w:r>
        <w:rPr>
          <w:rFonts w:hint="eastAsia" w:eastAsia="仿宋_GB2312" w:cs="仿宋_GB2312"/>
          <w:sz w:val="32"/>
          <w:szCs w:val="32"/>
        </w:rPr>
        <w:t>、绩效工资</w:t>
      </w:r>
      <w:r>
        <w:rPr>
          <w:rFonts w:eastAsia="仿宋_GB2312" w:cs="仿宋_GB2312"/>
          <w:sz w:val="32"/>
          <w:szCs w:val="32"/>
        </w:rPr>
        <w:t>0万元</w:t>
      </w:r>
      <w:r>
        <w:rPr>
          <w:rFonts w:hint="eastAsia" w:eastAsia="仿宋_GB2312" w:cs="仿宋_GB2312"/>
          <w:sz w:val="32"/>
          <w:szCs w:val="32"/>
        </w:rPr>
        <w:t>、机关事业单位基本养老保险缴费</w:t>
      </w:r>
      <w:r>
        <w:rPr>
          <w:rFonts w:eastAsia="仿宋_GB2312" w:cs="仿宋_GB2312"/>
          <w:sz w:val="32"/>
          <w:szCs w:val="32"/>
        </w:rPr>
        <w:t>18.15万元</w:t>
      </w:r>
      <w:r>
        <w:rPr>
          <w:rFonts w:hint="eastAsia" w:eastAsia="仿宋_GB2312" w:cs="仿宋_GB2312"/>
          <w:sz w:val="32"/>
          <w:szCs w:val="32"/>
        </w:rPr>
        <w:t>、职业年金缴费</w:t>
      </w:r>
      <w:r>
        <w:rPr>
          <w:rFonts w:eastAsia="仿宋_GB2312" w:cs="仿宋_GB2312"/>
          <w:sz w:val="32"/>
          <w:szCs w:val="32"/>
        </w:rPr>
        <w:t>9.07万元</w:t>
      </w:r>
      <w:r>
        <w:rPr>
          <w:rFonts w:hint="eastAsia" w:eastAsia="仿宋_GB2312" w:cs="仿宋_GB2312"/>
          <w:sz w:val="32"/>
          <w:szCs w:val="32"/>
        </w:rPr>
        <w:t>、其他社会保障缴费</w:t>
      </w:r>
      <w:r>
        <w:rPr>
          <w:rFonts w:eastAsia="仿宋_GB2312" w:cs="仿宋_GB2312"/>
          <w:sz w:val="32"/>
          <w:szCs w:val="32"/>
        </w:rPr>
        <w:t>0.22万元</w:t>
      </w:r>
      <w:r>
        <w:rPr>
          <w:rFonts w:hint="eastAsia" w:eastAsia="仿宋_GB2312" w:cs="仿宋_GB2312"/>
          <w:sz w:val="32"/>
          <w:szCs w:val="32"/>
        </w:rPr>
        <w:t>、医疗费补助</w:t>
      </w:r>
      <w:r>
        <w:rPr>
          <w:rFonts w:eastAsia="仿宋_GB2312" w:cs="仿宋_GB2312"/>
          <w:sz w:val="32"/>
          <w:szCs w:val="32"/>
        </w:rPr>
        <w:t>10.67万元</w:t>
      </w:r>
      <w:r>
        <w:rPr>
          <w:rFonts w:hint="eastAsia" w:eastAsia="仿宋_GB2312" w:cs="仿宋_GB2312"/>
          <w:sz w:val="32"/>
          <w:szCs w:val="32"/>
        </w:rPr>
        <w:t>、奖励金、住房公积金</w:t>
      </w:r>
      <w:r>
        <w:rPr>
          <w:rFonts w:eastAsia="仿宋_GB2312" w:cs="仿宋_GB2312"/>
          <w:sz w:val="32"/>
          <w:szCs w:val="32"/>
        </w:rPr>
        <w:t>14.01万元</w:t>
      </w:r>
      <w:r>
        <w:rPr>
          <w:rFonts w:hint="eastAsia" w:eastAsia="仿宋_GB2312" w:cs="仿宋_GB2312"/>
          <w:sz w:val="32"/>
          <w:szCs w:val="32"/>
        </w:rPr>
        <w:t>、其他对个人和家庭的补助支出</w:t>
      </w:r>
      <w:r>
        <w:rPr>
          <w:rFonts w:eastAsia="仿宋_GB2312" w:cs="仿宋_GB2312"/>
          <w:sz w:val="32"/>
          <w:szCs w:val="32"/>
        </w:rPr>
        <w:t>2.48万元</w:t>
      </w:r>
      <w:r>
        <w:rPr>
          <w:rFonts w:hint="eastAsia" w:eastAsia="仿宋_GB2312" w:cs="仿宋_GB2312"/>
          <w:sz w:val="32"/>
          <w:szCs w:val="32"/>
        </w:rPr>
        <w:t>等。</w:t>
      </w:r>
      <w:r>
        <w:rPr>
          <w:rFonts w:hint="eastAsia" w:eastAsia="仿宋_GB2312" w:cs="仿宋_GB2312"/>
          <w:sz w:val="32"/>
          <w:szCs w:val="32"/>
        </w:rPr>
        <w:br w:type="textWrapping"/>
      </w:r>
      <w:r>
        <w:rPr>
          <w:rFonts w:hint="eastAsia" w:eastAsia="仿宋_GB2312" w:cs="仿宋_GB2312"/>
          <w:sz w:val="32"/>
          <w:szCs w:val="32"/>
        </w:rPr>
        <w:t>　　公用经费</w:t>
      </w:r>
      <w:r>
        <w:rPr>
          <w:rFonts w:hint="eastAsia" w:ascii="仿宋_GB2312" w:hAnsi="仿宋_GB2312" w:eastAsia="仿宋_GB2312" w:cs="仿宋_GB2312"/>
          <w:sz w:val="32"/>
          <w:szCs w:val="32"/>
        </w:rPr>
        <w:t>11.62</w:t>
      </w:r>
      <w:r>
        <w:rPr>
          <w:rFonts w:hint="eastAsia" w:eastAsia="仿宋_GB2312" w:cs="仿宋_GB2312"/>
          <w:sz w:val="32"/>
          <w:szCs w:val="32"/>
        </w:rPr>
        <w:t>万元，主要包括：办公费</w:t>
      </w:r>
      <w:r>
        <w:rPr>
          <w:rFonts w:eastAsia="仿宋_GB2312" w:cs="仿宋_GB2312"/>
          <w:sz w:val="32"/>
          <w:szCs w:val="32"/>
        </w:rPr>
        <w:t>3.09万元</w:t>
      </w:r>
      <w:r>
        <w:rPr>
          <w:rFonts w:hint="eastAsia" w:eastAsia="仿宋_GB2312" w:cs="仿宋_GB2312"/>
          <w:sz w:val="32"/>
          <w:szCs w:val="32"/>
        </w:rPr>
        <w:t>、印刷费</w:t>
      </w:r>
      <w:r>
        <w:rPr>
          <w:rFonts w:eastAsia="仿宋_GB2312" w:cs="仿宋_GB2312"/>
          <w:sz w:val="32"/>
          <w:szCs w:val="32"/>
        </w:rPr>
        <w:t>0.33万元</w:t>
      </w:r>
      <w:r>
        <w:rPr>
          <w:rFonts w:hint="eastAsia" w:eastAsia="仿宋_GB2312" w:cs="仿宋_GB2312"/>
          <w:sz w:val="32"/>
          <w:szCs w:val="32"/>
        </w:rPr>
        <w:t>、水费</w:t>
      </w:r>
      <w:r>
        <w:rPr>
          <w:rFonts w:eastAsia="仿宋_GB2312" w:cs="仿宋_GB2312"/>
          <w:sz w:val="32"/>
          <w:szCs w:val="32"/>
        </w:rPr>
        <w:t>0.11万元</w:t>
      </w:r>
      <w:r>
        <w:rPr>
          <w:rFonts w:hint="eastAsia" w:eastAsia="仿宋_GB2312" w:cs="仿宋_GB2312"/>
          <w:sz w:val="32"/>
          <w:szCs w:val="32"/>
        </w:rPr>
        <w:t>、邮电费</w:t>
      </w:r>
      <w:r>
        <w:rPr>
          <w:rFonts w:eastAsia="仿宋_GB2312" w:cs="仿宋_GB2312"/>
          <w:sz w:val="32"/>
          <w:szCs w:val="32"/>
        </w:rPr>
        <w:t>0.72万元</w:t>
      </w:r>
      <w:r>
        <w:rPr>
          <w:rFonts w:hint="eastAsia" w:eastAsia="仿宋_GB2312" w:cs="仿宋_GB2312"/>
          <w:sz w:val="32"/>
          <w:szCs w:val="32"/>
        </w:rPr>
        <w:t>、取暖费</w:t>
      </w:r>
      <w:r>
        <w:rPr>
          <w:rFonts w:eastAsia="仿宋_GB2312" w:cs="仿宋_GB2312"/>
          <w:sz w:val="32"/>
          <w:szCs w:val="32"/>
        </w:rPr>
        <w:t>0.2万元</w:t>
      </w:r>
      <w:r>
        <w:rPr>
          <w:rFonts w:hint="eastAsia" w:eastAsia="仿宋_GB2312" w:cs="仿宋_GB2312"/>
          <w:sz w:val="32"/>
          <w:szCs w:val="32"/>
        </w:rPr>
        <w:t>、差旅费</w:t>
      </w:r>
      <w:r>
        <w:rPr>
          <w:rFonts w:eastAsia="仿宋_GB2312" w:cs="仿宋_GB2312"/>
          <w:sz w:val="32"/>
          <w:szCs w:val="32"/>
        </w:rPr>
        <w:t>1.67万元</w:t>
      </w:r>
      <w:r>
        <w:rPr>
          <w:rFonts w:hint="eastAsia" w:eastAsia="仿宋_GB2312" w:cs="仿宋_GB2312"/>
          <w:sz w:val="32"/>
          <w:szCs w:val="32"/>
        </w:rPr>
        <w:t>、劳务费</w:t>
      </w:r>
      <w:r>
        <w:rPr>
          <w:rFonts w:eastAsia="仿宋_GB2312" w:cs="仿宋_GB2312"/>
          <w:sz w:val="32"/>
          <w:szCs w:val="32"/>
        </w:rPr>
        <w:t>0.52万元</w:t>
      </w:r>
      <w:r>
        <w:rPr>
          <w:rFonts w:hint="eastAsia" w:eastAsia="仿宋_GB2312" w:cs="仿宋_GB2312"/>
          <w:sz w:val="32"/>
          <w:szCs w:val="32"/>
        </w:rPr>
        <w:t>、委托业务费</w:t>
      </w:r>
      <w:r>
        <w:rPr>
          <w:rFonts w:eastAsia="仿宋_GB2312" w:cs="仿宋_GB2312"/>
          <w:sz w:val="32"/>
          <w:szCs w:val="32"/>
        </w:rPr>
        <w:t>0.30万元</w:t>
      </w:r>
      <w:r>
        <w:rPr>
          <w:rFonts w:hint="eastAsia" w:eastAsia="仿宋_GB2312" w:cs="仿宋_GB2312"/>
          <w:sz w:val="32"/>
          <w:szCs w:val="32"/>
        </w:rPr>
        <w:t>、工会经费</w:t>
      </w:r>
      <w:r>
        <w:rPr>
          <w:rFonts w:eastAsia="仿宋_GB2312" w:cs="仿宋_GB2312"/>
          <w:sz w:val="32"/>
          <w:szCs w:val="32"/>
        </w:rPr>
        <w:t>1.15万元</w:t>
      </w:r>
      <w:r>
        <w:rPr>
          <w:rFonts w:hint="eastAsia" w:eastAsia="仿宋_GB2312" w:cs="仿宋_GB2312"/>
          <w:sz w:val="32"/>
          <w:szCs w:val="32"/>
        </w:rPr>
        <w:t>、福利费</w:t>
      </w:r>
      <w:r>
        <w:rPr>
          <w:rFonts w:eastAsia="仿宋_GB2312" w:cs="仿宋_GB2312"/>
          <w:sz w:val="32"/>
          <w:szCs w:val="32"/>
        </w:rPr>
        <w:t>1.04万元</w:t>
      </w:r>
      <w:r>
        <w:rPr>
          <w:rFonts w:hint="eastAsia" w:eastAsia="仿宋_GB2312" w:cs="仿宋_GB2312"/>
          <w:sz w:val="32"/>
          <w:szCs w:val="32"/>
        </w:rPr>
        <w:t>、公务用车运行维护费</w:t>
      </w:r>
      <w:r>
        <w:rPr>
          <w:rFonts w:eastAsia="仿宋_GB2312" w:cs="仿宋_GB2312"/>
          <w:sz w:val="32"/>
          <w:szCs w:val="32"/>
        </w:rPr>
        <w:t>0.72万元</w:t>
      </w:r>
      <w:r>
        <w:rPr>
          <w:rFonts w:hint="eastAsia" w:eastAsia="仿宋_GB2312" w:cs="仿宋_GB2312"/>
          <w:sz w:val="32"/>
          <w:szCs w:val="32"/>
        </w:rPr>
        <w:t>、其他商品和服务支出</w:t>
      </w:r>
      <w:r>
        <w:rPr>
          <w:rFonts w:eastAsia="仿宋_GB2312" w:cs="仿宋_GB2312"/>
          <w:sz w:val="32"/>
          <w:szCs w:val="32"/>
        </w:rPr>
        <w:t>1.76万元</w:t>
      </w:r>
      <w:r>
        <w:rPr>
          <w:rFonts w:hint="eastAsia" w:eastAsia="仿宋_GB2312" w:cs="仿宋_GB2312"/>
          <w:sz w:val="32"/>
          <w:szCs w:val="32"/>
        </w:rPr>
        <w:t>。</w:t>
      </w:r>
    </w:p>
    <w:p>
      <w:pPr>
        <w:widowControl/>
        <w:adjustRightInd w:val="0"/>
        <w:snapToGrid w:val="0"/>
        <w:spacing w:line="578" w:lineRule="exact"/>
        <w:ind w:left="0" w:firstLine="643" w:firstLineChars="200"/>
        <w:contextualSpacing/>
        <w:jc w:val="left"/>
        <w:rPr>
          <w:rFonts w:eastAsia="楷体_GB2312"/>
          <w:b/>
          <w:bCs/>
          <w:color w:val="000000"/>
          <w:kern w:val="0"/>
          <w:sz w:val="32"/>
          <w:szCs w:val="32"/>
          <w:shd w:val="clear" w:color="auto" w:fill="FFFFFF"/>
          <w:lang w:val="zh-CN"/>
        </w:rPr>
      </w:pPr>
      <w:r>
        <w:rPr>
          <w:rFonts w:eastAsia="楷体_GB2312"/>
          <w:b/>
          <w:bCs/>
          <w:color w:val="000000"/>
          <w:kern w:val="0"/>
          <w:sz w:val="32"/>
          <w:szCs w:val="32"/>
          <w:shd w:val="clear" w:color="auto" w:fill="FFFFFF"/>
          <w:lang w:val="zh-CN"/>
        </w:rPr>
        <w:t>（</w:t>
      </w:r>
      <w:r>
        <w:rPr>
          <w:rFonts w:hint="eastAsia" w:eastAsia="楷体_GB2312"/>
          <w:b/>
          <w:bCs/>
          <w:color w:val="000000"/>
          <w:kern w:val="0"/>
          <w:sz w:val="32"/>
          <w:szCs w:val="32"/>
          <w:shd w:val="clear" w:color="auto" w:fill="FFFFFF"/>
          <w:lang w:val="zh-CN"/>
        </w:rPr>
        <w:t>三</w:t>
      </w:r>
      <w:r>
        <w:rPr>
          <w:rFonts w:eastAsia="楷体_GB2312"/>
          <w:b/>
          <w:bCs/>
          <w:color w:val="000000"/>
          <w:kern w:val="0"/>
          <w:sz w:val="32"/>
          <w:szCs w:val="32"/>
          <w:shd w:val="clear" w:color="auto" w:fill="FFFFFF"/>
          <w:lang w:val="zh-CN"/>
        </w:rPr>
        <w:t>）结余分配和结转结余情况</w:t>
      </w:r>
      <w:r>
        <w:rPr>
          <w:rFonts w:hint="eastAsia" w:eastAsia="楷体_GB2312"/>
          <w:b/>
          <w:bCs/>
          <w:color w:val="000000"/>
          <w:kern w:val="0"/>
          <w:sz w:val="32"/>
          <w:szCs w:val="32"/>
          <w:shd w:val="clear" w:color="auto" w:fill="FFFFFF"/>
          <w:lang w:val="zh-CN"/>
        </w:rPr>
        <w:t>。</w:t>
      </w:r>
    </w:p>
    <w:p>
      <w:pPr>
        <w:widowControl/>
        <w:adjustRightInd w:val="0"/>
        <w:snapToGrid w:val="0"/>
        <w:spacing w:line="578" w:lineRule="exact"/>
        <w:ind w:left="0"/>
        <w:contextualSpacing/>
        <w:jc w:val="left"/>
        <w:rPr>
          <w:rFonts w:eastAsia="仿宋_GB2312"/>
          <w:color w:val="000000"/>
          <w:kern w:val="0"/>
          <w:szCs w:val="32"/>
          <w:shd w:val="clear" w:color="auto" w:fill="FFFFFF"/>
          <w:lang w:val="zh-CN"/>
        </w:rPr>
      </w:pPr>
      <w:r>
        <w:rPr>
          <w:rFonts w:eastAsia="仿宋_GB2312"/>
          <w:sz w:val="32"/>
          <w:szCs w:val="32"/>
        </w:rPr>
        <w:t>2025年无结余。</w:t>
      </w:r>
    </w:p>
    <w:p>
      <w:pPr>
        <w:widowControl/>
        <w:adjustRightInd w:val="0"/>
        <w:snapToGrid w:val="0"/>
        <w:spacing w:line="578" w:lineRule="exact"/>
        <w:ind w:firstLine="640" w:firstLineChars="200"/>
        <w:contextualSpacing/>
        <w:jc w:val="left"/>
        <w:rPr>
          <w:rFonts w:eastAsia="黑体"/>
          <w:color w:val="000000"/>
          <w:kern w:val="0"/>
          <w:sz w:val="32"/>
          <w:szCs w:val="32"/>
          <w:shd w:val="clear" w:color="auto" w:fill="FFFFFF"/>
          <w:lang w:val="zh-CN"/>
        </w:rPr>
      </w:pPr>
      <w:r>
        <w:rPr>
          <w:rFonts w:eastAsia="黑体"/>
          <w:color w:val="000000"/>
          <w:kern w:val="0"/>
          <w:sz w:val="32"/>
          <w:szCs w:val="32"/>
          <w:shd w:val="clear" w:color="auto" w:fill="FFFFFF"/>
          <w:lang w:val="zh-CN"/>
        </w:rPr>
        <w:t>三、部门预算绩效分析</w:t>
      </w:r>
    </w:p>
    <w:p>
      <w:pPr>
        <w:keepNext w:val="0"/>
        <w:keepLines w:val="0"/>
        <w:pageBreakBefore w:val="0"/>
        <w:kinsoku/>
        <w:wordWrap/>
        <w:overflowPunct/>
        <w:topLinePunct w:val="0"/>
        <w:autoSpaceDE/>
        <w:autoSpaceDN/>
        <w:spacing w:beforeAutospacing="0" w:afterAutospacing="0" w:line="576" w:lineRule="exact"/>
        <w:ind w:firstLine="643" w:firstLineChars="200"/>
        <w:jc w:val="left"/>
        <w:rPr>
          <w:rFonts w:eastAsia="楷体_GB2312"/>
          <w:b/>
          <w:bCs/>
          <w:color w:val="000000"/>
          <w:kern w:val="0"/>
          <w:sz w:val="32"/>
          <w:szCs w:val="32"/>
          <w:shd w:val="clear" w:color="auto" w:fill="FFFFFF"/>
          <w:lang w:val="zh-CN"/>
        </w:rPr>
      </w:pPr>
      <w:r>
        <w:rPr>
          <w:rFonts w:eastAsia="楷体_GB2312"/>
          <w:b/>
          <w:bCs/>
          <w:color w:val="000000"/>
          <w:kern w:val="0"/>
          <w:sz w:val="32"/>
          <w:szCs w:val="32"/>
          <w:shd w:val="clear" w:color="auto" w:fill="FFFFFF"/>
          <w:lang w:val="zh-CN"/>
        </w:rPr>
        <w:t>（一）</w:t>
      </w:r>
      <w:r>
        <w:rPr>
          <w:rFonts w:hint="eastAsia" w:eastAsia="楷体_GB2312"/>
          <w:b/>
          <w:bCs/>
          <w:color w:val="000000"/>
          <w:kern w:val="0"/>
          <w:sz w:val="32"/>
          <w:szCs w:val="32"/>
          <w:shd w:val="clear" w:color="auto" w:fill="FFFFFF"/>
          <w:lang w:val="zh-CN"/>
        </w:rPr>
        <w:t>部门预算</w:t>
      </w:r>
      <w:r>
        <w:rPr>
          <w:rFonts w:eastAsia="楷体_GB2312"/>
          <w:b/>
          <w:bCs/>
          <w:color w:val="000000"/>
          <w:kern w:val="0"/>
          <w:sz w:val="32"/>
          <w:szCs w:val="32"/>
          <w:shd w:val="clear" w:color="auto" w:fill="FFFFFF"/>
          <w:lang w:val="zh-CN"/>
        </w:rPr>
        <w:t>总体绩效分析。</w:t>
      </w:r>
    </w:p>
    <w:p>
      <w:pPr>
        <w:keepNext w:val="0"/>
        <w:keepLines w:val="0"/>
        <w:pageBreakBefore w:val="0"/>
        <w:kinsoku/>
        <w:wordWrap/>
        <w:overflowPunct/>
        <w:topLinePunct w:val="0"/>
        <w:autoSpaceDE/>
        <w:autoSpaceDN/>
        <w:spacing w:beforeAutospacing="0" w:afterAutospacing="0" w:line="576" w:lineRule="exact"/>
        <w:ind w:firstLine="640" w:firstLineChars="200"/>
        <w:jc w:val="left"/>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中心严格按照《行政单位会计制度》和《行政单位财务规则》的规定设置会计科目，建立了科学有效的会计核算方式，各项经济活动均真实、合法、准确、及时的反应在会计账目上；建立健全内部控制制度，积极配合财政部门开展预算、决算考评工作。在资金使用的过程中，严格按照国家的相关规定合理使用资金，严格按照资金的用途、项目、地区使用资金，严格执行财政部门规定的各项经费开支范围和标准。</w:t>
      </w:r>
    </w:p>
    <w:p>
      <w:pPr>
        <w:keepNext w:val="0"/>
        <w:keepLines w:val="0"/>
        <w:pageBreakBefore w:val="0"/>
        <w:widowControl/>
        <w:kinsoku/>
        <w:wordWrap/>
        <w:overflowPunct/>
        <w:topLinePunct w:val="0"/>
        <w:autoSpaceDE/>
        <w:autoSpaceDN/>
        <w:adjustRightInd w:val="0"/>
        <w:snapToGrid w:val="0"/>
        <w:spacing w:beforeAutospacing="0" w:afterAutospacing="0" w:line="576" w:lineRule="exact"/>
        <w:ind w:firstLine="640" w:firstLineChars="200"/>
        <w:contextualSpacing/>
        <w:jc w:val="left"/>
        <w:rPr>
          <w:rFonts w:hint="eastAsia" w:ascii="仿宋_GB2312" w:hAnsi="仿宋_GB2312" w:eastAsia="仿宋_GB2312" w:cs="仿宋_GB2312"/>
          <w:color w:val="000000"/>
          <w:kern w:val="0"/>
          <w:sz w:val="32"/>
          <w:szCs w:val="32"/>
          <w:shd w:val="clear" w:color="auto" w:fill="FFFFFF"/>
          <w:lang w:val="zh-CN" w:eastAsia="zh-CN"/>
        </w:rPr>
      </w:pPr>
      <w:r>
        <w:rPr>
          <w:rFonts w:hint="eastAsia" w:ascii="仿宋_GB2312" w:hAnsi="仿宋_GB2312" w:eastAsia="仿宋_GB2312" w:cs="仿宋_GB2312"/>
          <w:color w:val="000000"/>
          <w:sz w:val="32"/>
          <w:szCs w:val="32"/>
          <w:highlight w:val="none"/>
        </w:rPr>
        <w:t>在财务报销的过程中严格贯彻执行国家颁布的相关财务</w:t>
      </w:r>
      <w:r>
        <w:rPr>
          <w:rFonts w:hint="eastAsia" w:ascii="仿宋_GB2312" w:hAnsi="仿宋_GB2312" w:eastAsia="仿宋_GB2312" w:cs="仿宋_GB2312"/>
          <w:color w:val="000000"/>
          <w:sz w:val="32"/>
          <w:szCs w:val="32"/>
          <w:highlight w:val="none"/>
          <w:lang w:val="en-US" w:eastAsia="zh-CN"/>
        </w:rPr>
        <w:t>法</w:t>
      </w:r>
      <w:r>
        <w:rPr>
          <w:rFonts w:hint="eastAsia" w:ascii="仿宋_GB2312" w:hAnsi="仿宋_GB2312" w:eastAsia="仿宋_GB2312" w:cs="仿宋_GB2312"/>
          <w:color w:val="000000"/>
          <w:sz w:val="32"/>
          <w:szCs w:val="32"/>
          <w:highlight w:val="none"/>
        </w:rPr>
        <w:t>规，严格按照法律规定以完整、合法、经济内容真实有效的原始凭证作为记账依据。严格按照标准的财务报销流程以及完备的财务报销手续进行报账。严格按照规定对原始凭证等会计资料进行归档保存。及时填报各项年度统计报表；在财务管理系统里做到会计核算与财政支出一致，有效的</w:t>
      </w:r>
      <w:r>
        <w:rPr>
          <w:rFonts w:hint="eastAsia" w:ascii="仿宋_GB2312" w:hAnsi="仿宋_GB2312" w:eastAsia="仿宋_GB2312" w:cs="仿宋_GB2312"/>
          <w:color w:val="000000"/>
          <w:sz w:val="32"/>
          <w:szCs w:val="32"/>
        </w:rPr>
        <w:t>使用了会计电算化软件。在使用采购资金时手续齐备，采购的固定资产做到了及时登记和入账；严格落实《党政机关厉行节约反对浪费条例》的相关规定，进一步规范了“三公经费”的管理并严格控制了“三公经费”的支出</w:t>
      </w:r>
      <w:r>
        <w:rPr>
          <w:rFonts w:hint="eastAsia" w:ascii="仿宋_GB2312" w:hAnsi="仿宋_GB2312" w:eastAsia="仿宋_GB2312" w:cs="仿宋_GB2312"/>
          <w:color w:val="000000"/>
          <w:sz w:val="32"/>
          <w:szCs w:val="32"/>
          <w:lang w:eastAsia="zh-CN"/>
        </w:rPr>
        <w:t>。</w:t>
      </w:r>
    </w:p>
    <w:p>
      <w:pPr>
        <w:adjustRightInd w:val="0"/>
        <w:snapToGrid w:val="0"/>
        <w:spacing w:line="578" w:lineRule="exact"/>
        <w:ind w:firstLine="643" w:firstLineChars="200"/>
        <w:contextualSpacing/>
        <w:rPr>
          <w:rFonts w:eastAsia="楷体_GB2312"/>
          <w:b/>
          <w:bCs/>
          <w:color w:val="000000"/>
          <w:kern w:val="0"/>
          <w:sz w:val="32"/>
          <w:szCs w:val="32"/>
          <w:shd w:val="clear" w:color="auto" w:fill="FFFFFF"/>
          <w:lang w:val="zh-CN"/>
        </w:rPr>
      </w:pPr>
      <w:r>
        <w:rPr>
          <w:rFonts w:eastAsia="楷体_GB2312"/>
          <w:b/>
          <w:bCs/>
          <w:color w:val="000000"/>
          <w:kern w:val="0"/>
          <w:sz w:val="32"/>
          <w:szCs w:val="32"/>
          <w:shd w:val="clear" w:color="auto" w:fill="FFFFFF"/>
          <w:lang w:val="zh-CN"/>
        </w:rPr>
        <w:t>（二）部门预算项目绩效分析。</w:t>
      </w:r>
    </w:p>
    <w:p>
      <w:pPr>
        <w:adjustRightInd w:val="0"/>
        <w:snapToGrid w:val="0"/>
        <w:spacing w:line="578" w:lineRule="exact"/>
        <w:ind w:firstLine="640" w:firstLineChars="200"/>
        <w:contextualSpacing/>
        <w:rPr>
          <w:rFonts w:eastAsia="仿宋_GB2312" w:cs="仿宋_GB2312"/>
          <w:sz w:val="32"/>
          <w:szCs w:val="32"/>
        </w:rPr>
      </w:pPr>
      <w:r>
        <w:rPr>
          <w:rFonts w:hint="eastAsia" w:eastAsia="仿宋_GB2312" w:cs="仿宋_GB2312"/>
          <w:sz w:val="32"/>
          <w:szCs w:val="32"/>
          <w:lang w:val="zh-CN"/>
        </w:rPr>
        <w:t>填报以下数据，并</w:t>
      </w:r>
      <w:r>
        <w:rPr>
          <w:rFonts w:eastAsia="仿宋_GB2312" w:cs="仿宋_GB2312"/>
          <w:sz w:val="32"/>
          <w:szCs w:val="32"/>
          <w:lang w:val="zh-CN"/>
        </w:rPr>
        <w:t>根据部门预算绩效评价指标体系</w:t>
      </w:r>
      <w:r>
        <w:rPr>
          <w:rFonts w:hint="eastAsia" w:eastAsia="仿宋_GB2312" w:cs="仿宋_GB2312"/>
          <w:sz w:val="32"/>
          <w:szCs w:val="32"/>
          <w:lang w:val="zh-CN"/>
        </w:rPr>
        <w:t>“</w:t>
      </w:r>
      <w:r>
        <w:rPr>
          <w:rFonts w:eastAsia="仿宋_GB2312" w:cs="仿宋_GB2312"/>
          <w:sz w:val="32"/>
          <w:szCs w:val="32"/>
          <w:lang w:val="zh-CN"/>
        </w:rPr>
        <w:t>项目绩效</w:t>
      </w:r>
      <w:r>
        <w:rPr>
          <w:rFonts w:hint="eastAsia" w:eastAsia="仿宋_GB2312" w:cs="仿宋_GB2312"/>
          <w:sz w:val="32"/>
          <w:szCs w:val="32"/>
          <w:lang w:val="zh-CN"/>
        </w:rPr>
        <w:t>”</w:t>
      </w:r>
      <w:r>
        <w:rPr>
          <w:rFonts w:eastAsia="仿宋_GB2312" w:cs="仿宋_GB2312"/>
          <w:sz w:val="32"/>
          <w:szCs w:val="32"/>
          <w:lang w:val="zh-CN"/>
        </w:rPr>
        <w:t>涉及</w:t>
      </w:r>
      <w:r>
        <w:rPr>
          <w:rFonts w:hint="eastAsia" w:eastAsia="仿宋_GB2312" w:cs="仿宋_GB2312"/>
          <w:sz w:val="32"/>
          <w:szCs w:val="32"/>
          <w:lang w:val="zh-CN"/>
        </w:rPr>
        <w:t>二、三级</w:t>
      </w:r>
      <w:r>
        <w:rPr>
          <w:rFonts w:eastAsia="仿宋_GB2312" w:cs="仿宋_GB2312"/>
          <w:sz w:val="32"/>
          <w:szCs w:val="32"/>
          <w:lang w:val="zh-CN"/>
        </w:rPr>
        <w:t>指标进行</w:t>
      </w:r>
      <w:r>
        <w:rPr>
          <w:rFonts w:hint="eastAsia" w:eastAsia="仿宋_GB2312" w:cs="仿宋_GB2312"/>
          <w:sz w:val="32"/>
          <w:szCs w:val="32"/>
          <w:lang w:val="zh-CN"/>
        </w:rPr>
        <w:t>逐项</w:t>
      </w:r>
      <w:r>
        <w:rPr>
          <w:rFonts w:eastAsia="仿宋_GB2312" w:cs="仿宋_GB2312"/>
          <w:sz w:val="32"/>
          <w:szCs w:val="32"/>
          <w:lang w:val="zh-CN"/>
        </w:rPr>
        <w:t>绩效分析</w:t>
      </w:r>
      <w:r>
        <w:rPr>
          <w:rFonts w:hint="eastAsia" w:eastAsia="仿宋_GB2312" w:cs="仿宋_GB2312"/>
          <w:sz w:val="32"/>
          <w:szCs w:val="32"/>
          <w:lang w:val="zh-CN"/>
        </w:rPr>
        <w:t>并评分</w:t>
      </w:r>
      <w:r>
        <w:rPr>
          <w:rFonts w:eastAsia="仿宋_GB2312" w:cs="仿宋_GB2312"/>
          <w:sz w:val="32"/>
          <w:szCs w:val="32"/>
          <w:lang w:val="zh-CN"/>
        </w:rPr>
        <w:t>，依次包括项目</w:t>
      </w:r>
      <w:r>
        <w:rPr>
          <w:rFonts w:eastAsia="仿宋_GB2312" w:cs="仿宋_GB2312"/>
          <w:sz w:val="32"/>
          <w:szCs w:val="32"/>
        </w:rPr>
        <w:t>决策、项目执行、目标实现等情况</w:t>
      </w:r>
      <w:r>
        <w:rPr>
          <w:rFonts w:hint="eastAsia" w:eastAsia="仿宋_GB2312" w:cs="仿宋_GB2312"/>
          <w:sz w:val="32"/>
          <w:szCs w:val="32"/>
        </w:rPr>
        <w:t>。</w:t>
      </w:r>
    </w:p>
    <w:p>
      <w:pPr>
        <w:adjustRightInd w:val="0"/>
        <w:snapToGrid w:val="0"/>
        <w:spacing w:line="578" w:lineRule="exact"/>
        <w:ind w:firstLine="640" w:firstLineChars="200"/>
        <w:contextualSpacing/>
        <w:rPr>
          <w:rFonts w:eastAsia="仿宋_GB2312" w:cs="仿宋_GB2312"/>
          <w:sz w:val="32"/>
          <w:szCs w:val="32"/>
          <w:lang w:val="zh-CN"/>
        </w:rPr>
      </w:pPr>
      <w:r>
        <w:rPr>
          <w:rFonts w:eastAsia="仿宋_GB2312" w:cs="仿宋_GB2312"/>
          <w:sz w:val="32"/>
          <w:szCs w:val="32"/>
        </w:rPr>
        <w:t>常年项目绩效分析。</w:t>
      </w:r>
      <w:r>
        <w:rPr>
          <w:rFonts w:eastAsia="仿宋_GB2312" w:cs="仿宋_GB2312"/>
          <w:sz w:val="32"/>
          <w:szCs w:val="32"/>
          <w:lang w:val="zh-CN"/>
        </w:rPr>
        <w:t>该类项目总数4个，涉及预算总金额34.83万元，1</w:t>
      </w:r>
      <w:r>
        <w:rPr>
          <w:rFonts w:hint="eastAsia" w:eastAsia="仿宋_GB2312" w:cs="仿宋_GB2312"/>
          <w:sz w:val="32"/>
          <w:szCs w:val="32"/>
          <w:lang w:val="zh-CN"/>
        </w:rPr>
        <w:t>—</w:t>
      </w:r>
      <w:r>
        <w:rPr>
          <w:rFonts w:eastAsia="仿宋_GB2312" w:cs="仿宋_GB2312"/>
          <w:sz w:val="32"/>
          <w:szCs w:val="32"/>
          <w:lang w:val="zh-CN"/>
        </w:rPr>
        <w:t>1</w:t>
      </w:r>
      <w:r>
        <w:rPr>
          <w:rFonts w:eastAsia="仿宋_GB2312" w:cs="仿宋_GB2312"/>
          <w:sz w:val="32"/>
          <w:szCs w:val="32"/>
        </w:rPr>
        <w:t>2</w:t>
      </w:r>
      <w:r>
        <w:rPr>
          <w:rFonts w:eastAsia="仿宋_GB2312" w:cs="仿宋_GB2312"/>
          <w:sz w:val="32"/>
          <w:szCs w:val="32"/>
          <w:lang w:val="zh-CN"/>
        </w:rPr>
        <w:t>月预算执行总体进度为90%，其中：预算结余率大于</w:t>
      </w:r>
      <w:r>
        <w:rPr>
          <w:rFonts w:eastAsia="仿宋_GB2312" w:cs="仿宋_GB2312"/>
          <w:sz w:val="32"/>
          <w:szCs w:val="32"/>
        </w:rPr>
        <w:t>10%</w:t>
      </w:r>
      <w:r>
        <w:rPr>
          <w:rFonts w:eastAsia="仿宋_GB2312" w:cs="仿宋_GB2312"/>
          <w:sz w:val="32"/>
          <w:szCs w:val="32"/>
          <w:lang w:val="zh-CN"/>
        </w:rPr>
        <w:t>的项目共计0个。</w:t>
      </w:r>
    </w:p>
    <w:p>
      <w:pPr>
        <w:adjustRightInd w:val="0"/>
        <w:snapToGrid w:val="0"/>
        <w:spacing w:line="578" w:lineRule="exact"/>
        <w:ind w:firstLine="640" w:firstLineChars="200"/>
        <w:contextualSpacing/>
        <w:rPr>
          <w:rFonts w:eastAsia="仿宋_GB2312" w:cs="仿宋_GB2312"/>
          <w:sz w:val="32"/>
          <w:szCs w:val="32"/>
          <w:lang w:val="zh-CN"/>
        </w:rPr>
      </w:pPr>
      <w:r>
        <w:rPr>
          <w:rFonts w:eastAsia="仿宋_GB2312" w:cs="仿宋_GB2312"/>
          <w:sz w:val="32"/>
          <w:szCs w:val="32"/>
        </w:rPr>
        <w:t>阶段</w:t>
      </w:r>
      <w:r>
        <w:rPr>
          <w:rFonts w:hint="eastAsia" w:eastAsia="仿宋_GB2312" w:cs="仿宋_GB2312"/>
          <w:sz w:val="32"/>
          <w:szCs w:val="32"/>
        </w:rPr>
        <w:t>（</w:t>
      </w:r>
      <w:r>
        <w:rPr>
          <w:rFonts w:eastAsia="仿宋_GB2312" w:cs="仿宋_GB2312"/>
          <w:sz w:val="32"/>
          <w:szCs w:val="32"/>
        </w:rPr>
        <w:t>一次性</w:t>
      </w:r>
      <w:r>
        <w:rPr>
          <w:rFonts w:hint="eastAsia" w:eastAsia="仿宋_GB2312" w:cs="仿宋_GB2312"/>
          <w:sz w:val="32"/>
          <w:szCs w:val="32"/>
        </w:rPr>
        <w:t>）</w:t>
      </w:r>
      <w:r>
        <w:rPr>
          <w:rFonts w:eastAsia="仿宋_GB2312" w:cs="仿宋_GB2312"/>
          <w:sz w:val="32"/>
          <w:szCs w:val="32"/>
        </w:rPr>
        <w:t>项目绩效分析。</w:t>
      </w:r>
      <w:r>
        <w:rPr>
          <w:rFonts w:eastAsia="仿宋_GB2312" w:cs="仿宋_GB2312"/>
          <w:sz w:val="32"/>
          <w:szCs w:val="32"/>
          <w:lang w:val="zh-CN"/>
        </w:rPr>
        <w:t>该类项目总数3个，涉及预算总金额47.5万元，1</w:t>
      </w:r>
      <w:r>
        <w:rPr>
          <w:rFonts w:hint="eastAsia" w:eastAsia="仿宋_GB2312" w:cs="仿宋_GB2312"/>
          <w:sz w:val="32"/>
          <w:szCs w:val="32"/>
          <w:lang w:val="zh-CN"/>
        </w:rPr>
        <w:t>—</w:t>
      </w:r>
      <w:r>
        <w:rPr>
          <w:rFonts w:eastAsia="仿宋_GB2312" w:cs="仿宋_GB2312"/>
          <w:sz w:val="32"/>
          <w:szCs w:val="32"/>
          <w:lang w:val="zh-CN"/>
        </w:rPr>
        <w:t>1</w:t>
      </w:r>
      <w:r>
        <w:rPr>
          <w:rFonts w:eastAsia="仿宋_GB2312" w:cs="仿宋_GB2312"/>
          <w:sz w:val="32"/>
          <w:szCs w:val="32"/>
        </w:rPr>
        <w:t>2</w:t>
      </w:r>
      <w:r>
        <w:rPr>
          <w:rFonts w:eastAsia="仿宋_GB2312" w:cs="仿宋_GB2312"/>
          <w:sz w:val="32"/>
          <w:szCs w:val="32"/>
          <w:lang w:val="zh-CN"/>
        </w:rPr>
        <w:t>月预算执行总体进度为90%，其中：预算结余率大于</w:t>
      </w:r>
      <w:r>
        <w:rPr>
          <w:rFonts w:eastAsia="仿宋_GB2312" w:cs="仿宋_GB2312"/>
          <w:sz w:val="32"/>
          <w:szCs w:val="32"/>
        </w:rPr>
        <w:t>10%</w:t>
      </w:r>
      <w:r>
        <w:rPr>
          <w:rFonts w:eastAsia="仿宋_GB2312" w:cs="仿宋_GB2312"/>
          <w:sz w:val="32"/>
          <w:szCs w:val="32"/>
          <w:lang w:val="zh-CN"/>
        </w:rPr>
        <w:t>的项目共计0个</w:t>
      </w:r>
    </w:p>
    <w:p>
      <w:pPr>
        <w:widowControl/>
        <w:adjustRightInd w:val="0"/>
        <w:snapToGrid w:val="0"/>
        <w:spacing w:line="578" w:lineRule="exact"/>
        <w:ind w:left="0"/>
        <w:contextualSpacing/>
        <w:jc w:val="left"/>
        <w:rPr>
          <w:rFonts w:eastAsia="黑体"/>
          <w:color w:val="000000"/>
          <w:kern w:val="0"/>
          <w:sz w:val="32"/>
          <w:szCs w:val="32"/>
          <w:shd w:val="clear" w:color="auto" w:fill="FFFFFF"/>
          <w:lang w:val="zh-CN"/>
        </w:rPr>
      </w:pPr>
      <w:r>
        <w:rPr>
          <w:rFonts w:eastAsia="黑体"/>
          <w:color w:val="000000"/>
          <w:kern w:val="0"/>
          <w:sz w:val="32"/>
          <w:szCs w:val="32"/>
          <w:shd w:val="clear" w:color="auto" w:fill="FFFFFF"/>
          <w:lang w:val="zh-CN"/>
        </w:rPr>
        <w:t>四、评价结论及建议</w:t>
      </w:r>
    </w:p>
    <w:p>
      <w:pPr>
        <w:keepNext w:val="0"/>
        <w:keepLines w:val="0"/>
        <w:pageBreakBefore w:val="0"/>
        <w:kinsoku/>
        <w:wordWrap/>
        <w:overflowPunct/>
        <w:topLinePunct w:val="0"/>
        <w:autoSpaceDE/>
        <w:autoSpaceDN/>
        <w:spacing w:beforeAutospacing="0" w:afterAutospacing="0" w:line="576" w:lineRule="exact"/>
        <w:ind w:firstLine="643" w:firstLineChars="200"/>
        <w:jc w:val="left"/>
        <w:rPr>
          <w:rFonts w:ascii="Times New Roman" w:hAnsi="Times New Roman" w:eastAsia="楷体_GB2312" w:cs="Times New Roman"/>
          <w:b/>
          <w:bCs/>
          <w:color w:val="000000"/>
          <w:kern w:val="0"/>
          <w:sz w:val="32"/>
          <w:szCs w:val="32"/>
          <w:shd w:val="clear" w:color="auto" w:fill="FFFFFF"/>
          <w:lang w:val="zh-CN"/>
        </w:rPr>
      </w:pPr>
      <w:r>
        <w:rPr>
          <w:rFonts w:ascii="Times New Roman" w:hAnsi="Times New Roman" w:eastAsia="楷体_GB2312" w:cs="Times New Roman"/>
          <w:b/>
          <w:bCs/>
          <w:color w:val="000000"/>
          <w:kern w:val="0"/>
          <w:sz w:val="32"/>
          <w:szCs w:val="32"/>
          <w:shd w:val="clear" w:color="auto" w:fill="FFFFFF"/>
          <w:lang w:val="zh-CN"/>
        </w:rPr>
        <w:t>（一）评价结论。</w:t>
      </w:r>
    </w:p>
    <w:p>
      <w:pPr>
        <w:adjustRightInd w:val="0"/>
        <w:snapToGrid w:val="0"/>
        <w:spacing w:line="578" w:lineRule="exact"/>
        <w:ind w:firstLine="640" w:firstLineChars="200"/>
        <w:contextualSpacing/>
        <w:rPr>
          <w:rFonts w:hint="eastAsia" w:ascii="Times New Roman" w:hAnsi="Times New Roman" w:eastAsia="仿宋_GB2312" w:cs="仿宋_GB2312"/>
          <w:sz w:val="32"/>
          <w:szCs w:val="32"/>
          <w:lang w:val="zh-CN"/>
        </w:rPr>
      </w:pPr>
      <w:r>
        <w:rPr>
          <w:rFonts w:ascii="Times New Roman" w:hAnsi="Times New Roman" w:eastAsia="仿宋_GB2312" w:cs="仿宋_GB2312"/>
          <w:sz w:val="32"/>
          <w:szCs w:val="32"/>
          <w:lang w:val="zh-CN"/>
        </w:rPr>
        <w:t xml:space="preserve"> </w:t>
      </w:r>
      <w:r>
        <w:rPr>
          <w:rFonts w:hint="eastAsia" w:ascii="Times New Roman" w:hAnsi="Times New Roman" w:eastAsia="仿宋_GB2312" w:cs="仿宋_GB2312"/>
          <w:sz w:val="32"/>
          <w:szCs w:val="32"/>
          <w:lang w:val="zh-CN"/>
        </w:rPr>
        <w:t>根据《202</w:t>
      </w:r>
      <w:r>
        <w:rPr>
          <w:rFonts w:ascii="Times New Roman" w:hAnsi="Times New Roman" w:eastAsia="仿宋_GB2312" w:cs="仿宋_GB2312"/>
          <w:sz w:val="32"/>
          <w:szCs w:val="32"/>
          <w:lang w:val="zh-CN"/>
        </w:rPr>
        <w:t>5</w:t>
      </w:r>
      <w:r>
        <w:rPr>
          <w:rFonts w:hint="eastAsia" w:ascii="Times New Roman" w:hAnsi="Times New Roman" w:eastAsia="仿宋_GB2312" w:cs="仿宋_GB2312"/>
          <w:sz w:val="32"/>
          <w:szCs w:val="32"/>
          <w:lang w:val="zh-CN"/>
        </w:rPr>
        <w:t>年红原县部门支出绩效评价指标体系》评分得分</w:t>
      </w:r>
      <w:r>
        <w:rPr>
          <w:rFonts w:hint="eastAsia" w:ascii="Times New Roman" w:hAnsi="Times New Roman" w:eastAsia="仿宋_GB2312" w:cs="仿宋_GB2312"/>
          <w:sz w:val="32"/>
          <w:szCs w:val="32"/>
          <w:lang w:val="en-US" w:eastAsia="zh-CN"/>
        </w:rPr>
        <w:t>93.5</w:t>
      </w:r>
      <w:r>
        <w:rPr>
          <w:rFonts w:hint="eastAsia" w:ascii="Times New Roman" w:hAnsi="Times New Roman" w:eastAsia="仿宋_GB2312" w:cs="仿宋_GB2312"/>
          <w:sz w:val="32"/>
          <w:szCs w:val="32"/>
          <w:lang w:val="zh-CN"/>
        </w:rPr>
        <w:t>分，部门整体支出绩效为“好”。</w:t>
      </w:r>
    </w:p>
    <w:p>
      <w:pPr>
        <w:keepNext w:val="0"/>
        <w:keepLines w:val="0"/>
        <w:pageBreakBefore w:val="0"/>
        <w:kinsoku/>
        <w:wordWrap/>
        <w:overflowPunct/>
        <w:topLinePunct w:val="0"/>
        <w:autoSpaceDE/>
        <w:autoSpaceDN/>
        <w:spacing w:beforeAutospacing="0" w:afterAutospacing="0" w:line="576" w:lineRule="exact"/>
        <w:ind w:firstLine="643" w:firstLineChars="200"/>
        <w:jc w:val="left"/>
        <w:rPr>
          <w:rFonts w:ascii="Times New Roman" w:hAnsi="Times New Roman" w:eastAsia="楷体_GB2312" w:cs="Times New Roman"/>
          <w:b/>
          <w:bCs/>
          <w:color w:val="000000"/>
          <w:kern w:val="0"/>
          <w:sz w:val="32"/>
          <w:szCs w:val="32"/>
          <w:shd w:val="clear" w:color="auto" w:fill="FFFFFF"/>
          <w:lang w:val="zh-CN"/>
        </w:rPr>
      </w:pPr>
      <w:r>
        <w:rPr>
          <w:rFonts w:ascii="Times New Roman" w:hAnsi="Times New Roman" w:eastAsia="楷体_GB2312" w:cs="Times New Roman"/>
          <w:b/>
          <w:bCs/>
          <w:color w:val="000000"/>
          <w:kern w:val="0"/>
          <w:sz w:val="32"/>
          <w:szCs w:val="32"/>
          <w:shd w:val="clear" w:color="auto" w:fill="FFFFFF"/>
          <w:lang w:val="zh-CN"/>
        </w:rPr>
        <w:t>（二）存在问题。</w:t>
      </w:r>
    </w:p>
    <w:p>
      <w:pPr>
        <w:keepNext w:val="0"/>
        <w:keepLines w:val="0"/>
        <w:pageBreakBefore w:val="0"/>
        <w:kinsoku/>
        <w:wordWrap/>
        <w:overflowPunct/>
        <w:topLinePunct w:val="0"/>
        <w:autoSpaceDE/>
        <w:autoSpaceDN/>
        <w:spacing w:beforeAutospacing="0" w:afterAutospacing="0" w:line="576" w:lineRule="exact"/>
        <w:ind w:firstLine="640" w:firstLineChars="200"/>
        <w:jc w:val="left"/>
        <w:rPr>
          <w:rFonts w:ascii="Times New Roman" w:hAnsi="Times New Roman" w:eastAsia="楷体_GB2312" w:cs="Times New Roman"/>
          <w:b/>
          <w:bCs/>
          <w:color w:val="000000"/>
          <w:kern w:val="0"/>
          <w:sz w:val="32"/>
          <w:szCs w:val="32"/>
          <w:shd w:val="clear" w:color="auto" w:fill="FFFFFF"/>
          <w:lang w:val="zh-CN"/>
        </w:rPr>
      </w:pPr>
      <w:r>
        <w:rPr>
          <w:rFonts w:hint="eastAsia" w:ascii="Times New Roman" w:hAnsi="Times New Roman" w:eastAsia="仿宋_GB2312" w:cs="仿宋_GB2312"/>
          <w:sz w:val="32"/>
          <w:szCs w:val="32"/>
          <w:lang w:val="zh-CN"/>
        </w:rPr>
        <w:t>预算和目标匹配不足，数量目标</w:t>
      </w:r>
      <w:r>
        <w:rPr>
          <w:rFonts w:hint="eastAsia" w:ascii="仿宋_GB2312" w:hAnsi="仿宋_GB2312" w:eastAsia="仿宋_GB2312" w:cs="仿宋_GB2312"/>
          <w:sz w:val="32"/>
          <w:szCs w:val="32"/>
        </w:rPr>
        <w:t>和质量目标量化不细，效益目标编制不完整等方面加以了改善。加强预算绩效动态监控管理，及时跟踪项目进度，对项目实施中存在的具体问题采取纠偏措施。加强相关专业技术人员的业务培训，进一步提高预算绩效评价质量。目前单位绩效评价结果还停留在反映情况、找问题、提建议层面，评价结果和预算安排有机</w:t>
      </w:r>
      <w:r>
        <w:rPr>
          <w:rFonts w:hint="eastAsia" w:ascii="仿宋_GB2312" w:hAnsi="仿宋_GB2312" w:eastAsia="仿宋_GB2312" w:cs="仿宋_GB2312"/>
          <w:sz w:val="32"/>
          <w:szCs w:val="32"/>
          <w:lang w:val="zh-CN"/>
        </w:rPr>
        <w:t>结合的机制尚未真正建立。</w:t>
      </w:r>
    </w:p>
    <w:p>
      <w:pPr>
        <w:keepNext w:val="0"/>
        <w:keepLines w:val="0"/>
        <w:pageBreakBefore w:val="0"/>
        <w:numPr>
          <w:ilvl w:val="0"/>
          <w:numId w:val="2"/>
        </w:numPr>
        <w:kinsoku/>
        <w:wordWrap/>
        <w:overflowPunct/>
        <w:topLinePunct w:val="0"/>
        <w:autoSpaceDE/>
        <w:autoSpaceDN/>
        <w:spacing w:beforeAutospacing="0" w:afterAutospacing="0" w:line="576" w:lineRule="exact"/>
        <w:ind w:firstLine="643" w:firstLineChars="200"/>
        <w:jc w:val="left"/>
        <w:rPr>
          <w:rFonts w:ascii="Times New Roman" w:hAnsi="Times New Roman" w:eastAsia="楷体_GB2312" w:cs="Times New Roman"/>
          <w:b/>
          <w:bCs/>
          <w:color w:val="000000"/>
          <w:kern w:val="0"/>
          <w:sz w:val="32"/>
          <w:szCs w:val="32"/>
          <w:shd w:val="clear" w:color="auto" w:fill="FFFFFF"/>
          <w:lang w:val="zh-CN"/>
        </w:rPr>
      </w:pPr>
      <w:r>
        <w:rPr>
          <w:rFonts w:ascii="Times New Roman" w:hAnsi="Times New Roman" w:eastAsia="楷体_GB2312" w:cs="Times New Roman"/>
          <w:b/>
          <w:bCs/>
          <w:color w:val="000000"/>
          <w:kern w:val="0"/>
          <w:sz w:val="32"/>
          <w:szCs w:val="32"/>
          <w:shd w:val="clear" w:color="auto" w:fill="FFFFFF"/>
          <w:lang w:val="zh-CN"/>
        </w:rPr>
        <w:t>改进建议。</w:t>
      </w:r>
    </w:p>
    <w:p>
      <w:pPr>
        <w:keepNext w:val="0"/>
        <w:keepLines w:val="0"/>
        <w:pageBreakBefore w:val="0"/>
        <w:numPr>
          <w:ilvl w:val="0"/>
          <w:numId w:val="0"/>
        </w:numPr>
        <w:kinsoku/>
        <w:wordWrap/>
        <w:overflowPunct/>
        <w:topLinePunct w:val="0"/>
        <w:autoSpaceDE/>
        <w:autoSpaceDN/>
        <w:spacing w:beforeAutospacing="0" w:afterAutospacing="0" w:line="576" w:lineRule="exact"/>
        <w:ind w:firstLine="640" w:firstLineChars="200"/>
        <w:jc w:val="left"/>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加强会计工作的事前、事中、事后的监督，以确保会计的延续性，建立可持续机制，提高工作人员对支出的合理、合法使用意识，做到每笔支出有据可查、有法可依。</w:t>
      </w:r>
    </w:p>
    <w:p>
      <w:pPr>
        <w:pStyle w:val="3"/>
        <w:spacing w:line="560" w:lineRule="exact"/>
        <w:ind w:left="0" w:leftChars="0" w:firstLine="0" w:firstLineChars="0"/>
        <w:rPr>
          <w:rFonts w:ascii="Times New Roman" w:hAnsi="Times New Roman" w:eastAsia="仿宋_GB2312"/>
          <w:sz w:val="32"/>
          <w:lang w:val="zh-CN"/>
        </w:rPr>
      </w:pPr>
    </w:p>
    <w:p>
      <w:pPr>
        <w:pStyle w:val="3"/>
        <w:spacing w:line="560" w:lineRule="exact"/>
        <w:ind w:left="0" w:leftChars="0"/>
        <w:rPr>
          <w:rFonts w:ascii="Times New Roman" w:hAnsi="Times New Roman" w:eastAsia="仿宋_GB2312" w:cs="仿宋_GB2312"/>
          <w:kern w:val="0"/>
          <w:sz w:val="32"/>
        </w:rPr>
      </w:pPr>
    </w:p>
    <w:p>
      <w:pPr>
        <w:pStyle w:val="8"/>
        <w:rPr>
          <w:rFonts w:ascii="Times New Roman" w:hAnsi="Times New Roman" w:cs="宋体"/>
          <w:color w:val="FF0000"/>
          <w:sz w:val="32"/>
          <w:szCs w:val="32"/>
          <w:highlight w:val="yellow"/>
          <w:shd w:val="clear" w:color="auto" w:fill="FFFFFF"/>
          <w:lang w:val="zh-CN"/>
        </w:rPr>
      </w:pPr>
    </w:p>
    <w:p>
      <w:pPr>
        <w:rPr>
          <w:rFonts w:eastAsia="黑体" w:cs="黑体"/>
          <w:kern w:val="0"/>
          <w:sz w:val="32"/>
          <w:szCs w:val="32"/>
          <w:shd w:val="clear" w:color="auto" w:fill="FFFFFF"/>
          <w:lang w:val="zh-CN"/>
        </w:rPr>
      </w:pPr>
      <w:r>
        <w:rPr>
          <w:rFonts w:hint="eastAsia" w:eastAsia="黑体" w:cs="黑体"/>
          <w:kern w:val="0"/>
          <w:sz w:val="32"/>
          <w:szCs w:val="32"/>
          <w:shd w:val="clear" w:color="auto" w:fill="FFFFFF"/>
          <w:lang w:val="zh-CN"/>
        </w:rPr>
        <w:br w:type="page"/>
      </w:r>
    </w:p>
    <w:p>
      <w:pPr>
        <w:pStyle w:val="8"/>
        <w:rPr>
          <w:rFonts w:ascii="Times New Roman" w:hAnsi="Times New Roman" w:eastAsia="黑体" w:cs="黑体"/>
          <w:sz w:val="32"/>
          <w:szCs w:val="32"/>
        </w:rPr>
      </w:pPr>
      <w:r>
        <w:rPr>
          <w:rFonts w:hint="eastAsia" w:ascii="Times New Roman" w:hAnsi="Times New Roman" w:eastAsia="黑体" w:cs="黑体"/>
          <w:sz w:val="32"/>
          <w:szCs w:val="32"/>
          <w:shd w:val="clear" w:color="auto" w:fill="FFFFFF"/>
          <w:lang w:val="zh-CN"/>
        </w:rPr>
        <w:t>附件</w:t>
      </w:r>
      <w:r>
        <w:rPr>
          <w:rFonts w:hint="eastAsia" w:ascii="Times New Roman" w:hAnsi="Times New Roman" w:eastAsia="黑体" w:cs="黑体"/>
          <w:sz w:val="32"/>
          <w:szCs w:val="32"/>
          <w:shd w:val="clear" w:color="auto" w:fill="FFFFFF"/>
        </w:rPr>
        <w:t>2</w:t>
      </w:r>
    </w:p>
    <w:p>
      <w:pPr>
        <w:pStyle w:val="31"/>
        <w:spacing w:line="578" w:lineRule="exact"/>
        <w:jc w:val="center"/>
        <w:rPr>
          <w:rFonts w:ascii="Times New Roman" w:hAnsi="Times New Roman" w:eastAsia="方正小标宋简体" w:cs="方正小标宋简体"/>
          <w:color w:val="auto"/>
          <w:kern w:val="2"/>
          <w:sz w:val="44"/>
          <w:szCs w:val="44"/>
          <w:lang w:val="en-US"/>
        </w:rPr>
      </w:pPr>
    </w:p>
    <w:p>
      <w:pPr>
        <w:pStyle w:val="31"/>
        <w:spacing w:line="578" w:lineRule="exact"/>
        <w:jc w:val="center"/>
        <w:rPr>
          <w:rFonts w:ascii="Times New Roman" w:hAnsi="Times New Roman" w:eastAsia="方正小标宋简体" w:cs="方正小标宋简体"/>
          <w:color w:val="auto"/>
          <w:kern w:val="2"/>
          <w:sz w:val="44"/>
          <w:szCs w:val="44"/>
          <w:lang w:val="en-US"/>
        </w:rPr>
      </w:pPr>
      <w:r>
        <w:rPr>
          <w:rFonts w:hint="eastAsia" w:ascii="Times New Roman" w:hAnsi="Times New Roman" w:eastAsia="方正小标宋简体" w:cs="方正小标宋简体"/>
          <w:color w:val="auto"/>
          <w:kern w:val="2"/>
          <w:sz w:val="44"/>
          <w:szCs w:val="44"/>
          <w:lang w:val="en-US"/>
        </w:rPr>
        <w:t>专项预算项目绩效评价报告范本</w:t>
      </w:r>
    </w:p>
    <w:p>
      <w:pPr>
        <w:spacing w:line="600" w:lineRule="exact"/>
        <w:jc w:val="center"/>
        <w:outlineLvl w:val="0"/>
        <w:rPr>
          <w:rFonts w:ascii="仿宋_GB2312" w:hAnsi="宋体"/>
        </w:rPr>
      </w:pPr>
    </w:p>
    <w:p>
      <w:pPr>
        <w:adjustRightInd w:val="0"/>
        <w:snapToGrid w:val="0"/>
        <w:spacing w:line="600" w:lineRule="exact"/>
        <w:ind w:firstLine="640" w:firstLineChars="200"/>
        <w:outlineLvl w:val="0"/>
        <w:rPr>
          <w:sz w:val="32"/>
          <w:szCs w:val="32"/>
        </w:rPr>
      </w:pPr>
      <w:r>
        <w:rPr>
          <w:rFonts w:hint="eastAsia" w:ascii="黑体" w:hAnsi="宋体" w:eastAsia="黑体"/>
          <w:sz w:val="32"/>
          <w:szCs w:val="32"/>
        </w:rPr>
        <w:t>一、</w:t>
      </w:r>
      <w:r>
        <w:rPr>
          <w:rFonts w:hint="eastAsia" w:ascii="黑体" w:hAnsi="宋体" w:eastAsia="黑体"/>
          <w:sz w:val="32"/>
          <w:szCs w:val="32"/>
          <w:lang w:val="zh-CN"/>
        </w:rPr>
        <w:t>项目概况</w:t>
      </w:r>
    </w:p>
    <w:p>
      <w:pPr>
        <w:numPr>
          <w:ilvl w:val="0"/>
          <w:numId w:val="0"/>
        </w:numPr>
        <w:adjustRightInd w:val="0"/>
        <w:snapToGrid w:val="0"/>
        <w:spacing w:line="600" w:lineRule="exact"/>
        <w:ind w:leftChars="100" w:firstLine="321" w:firstLineChars="10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w:t>
      </w:r>
      <w:r>
        <w:rPr>
          <w:rFonts w:hint="eastAsia" w:ascii="仿宋_GB2312" w:hAnsi="仿宋_GB2312" w:eastAsia="仿宋_GB2312" w:cs="仿宋_GB2312"/>
          <w:b/>
          <w:sz w:val="32"/>
          <w:szCs w:val="32"/>
          <w:lang w:val="en-US" w:eastAsia="zh-CN"/>
        </w:rPr>
        <w:t>一</w:t>
      </w:r>
      <w:r>
        <w:rPr>
          <w:rFonts w:hint="eastAsia" w:ascii="仿宋_GB2312" w:hAnsi="仿宋_GB2312" w:eastAsia="仿宋_GB2312" w:cs="仿宋_GB2312"/>
          <w:b/>
          <w:sz w:val="32"/>
          <w:szCs w:val="32"/>
          <w:lang w:val="zh-CN"/>
        </w:rPr>
        <w:t>）项目资金申报及批复情况</w:t>
      </w:r>
    </w:p>
    <w:p>
      <w:pPr>
        <w:pStyle w:val="32"/>
        <w:ind w:firstLine="640" w:firstLineChars="200"/>
        <w:rPr>
          <w:rFonts w:hint="eastAsia" w:ascii="仿宋_GB2312" w:hAnsi="仿宋_GB2312" w:eastAsia="仿宋_GB2312" w:cs="仿宋_GB2312"/>
          <w:sz w:val="32"/>
          <w:szCs w:val="32"/>
          <w:lang w:val="zh-CN"/>
        </w:rPr>
      </w:pPr>
      <w:bookmarkStart w:id="51" w:name="_Toc2157"/>
      <w:r>
        <w:rPr>
          <w:rFonts w:hint="eastAsia" w:ascii="仿宋_GB2312" w:hAnsi="仿宋_GB2312" w:eastAsia="仿宋_GB2312" w:cs="仿宋_GB2312"/>
          <w:sz w:val="32"/>
          <w:szCs w:val="32"/>
        </w:rPr>
        <w:t>20</w:t>
      </w:r>
      <w:r>
        <w:rPr>
          <w:rFonts w:hint="eastAsia" w:ascii="仿宋_GB2312" w:hAnsi="仿宋_GB2312" w:eastAsia="仿宋_GB2312" w:cs="仿宋_GB2312"/>
          <w:sz w:val="32"/>
          <w:szCs w:val="32"/>
          <w:lang w:val="en-US" w:eastAsia="zh-CN"/>
        </w:rPr>
        <w:t>2</w:t>
      </w:r>
      <w:r>
        <w:rPr>
          <w:rFonts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年申报项目资</w:t>
      </w:r>
      <w:r>
        <w:rPr>
          <w:rFonts w:hint="eastAsia" w:ascii="仿宋_GB2312" w:hAnsi="仿宋_GB2312" w:eastAsia="仿宋_GB2312" w:cs="仿宋_GB2312"/>
          <w:sz w:val="32"/>
          <w:szCs w:val="32"/>
          <w:lang w:eastAsia="zh-CN"/>
        </w:rPr>
        <w:t>金</w:t>
      </w:r>
      <w:r>
        <w:rPr>
          <w:rFonts w:ascii="仿宋_GB2312" w:hAnsi="仿宋_GB2312" w:eastAsia="仿宋_GB2312" w:cs="仿宋_GB2312"/>
          <w:sz w:val="32"/>
          <w:szCs w:val="32"/>
          <w:lang w:eastAsia="zh-CN"/>
        </w:rPr>
        <w:t>77.31</w:t>
      </w:r>
      <w:r>
        <w:rPr>
          <w:rFonts w:hint="eastAsia" w:ascii="仿宋_GB2312" w:hAnsi="仿宋_GB2312" w:eastAsia="仿宋_GB2312" w:cs="仿宋_GB2312"/>
          <w:sz w:val="32"/>
          <w:szCs w:val="32"/>
        </w:rPr>
        <w:t>万元财政批复项目资金</w:t>
      </w:r>
      <w:r>
        <w:rPr>
          <w:rFonts w:ascii="仿宋_GB2312" w:hAnsi="仿宋_GB2312" w:eastAsia="仿宋_GB2312" w:cs="仿宋_GB2312"/>
          <w:sz w:val="32"/>
          <w:szCs w:val="32"/>
        </w:rPr>
        <w:t>77.31</w:t>
      </w:r>
      <w:r>
        <w:rPr>
          <w:rFonts w:hint="eastAsia" w:ascii="仿宋_GB2312" w:hAnsi="仿宋_GB2312" w:eastAsia="仿宋_GB2312" w:cs="仿宋_GB2312"/>
          <w:sz w:val="32"/>
          <w:szCs w:val="32"/>
          <w:lang w:val="en-US" w:eastAsia="zh-CN"/>
        </w:rPr>
        <w:t>万元。</w:t>
      </w:r>
      <w:bookmarkEnd w:id="51"/>
      <w:r>
        <w:rPr>
          <w:rFonts w:hint="eastAsia" w:ascii="仿宋_GB2312" w:hAnsi="仿宋_GB2312" w:eastAsia="仿宋_GB2312" w:cs="仿宋_GB2312"/>
          <w:sz w:val="32"/>
          <w:szCs w:val="32"/>
          <w:lang w:val="en-US" w:eastAsia="zh-CN"/>
        </w:rPr>
        <w:t>中标金额万元本年执行预算数</w:t>
      </w:r>
      <w:r>
        <w:rPr>
          <w:rFonts w:ascii="仿宋_GB2312" w:hAnsi="仿宋_GB2312" w:eastAsia="仿宋_GB2312" w:cs="仿宋_GB2312"/>
          <w:sz w:val="32"/>
          <w:szCs w:val="32"/>
          <w:lang w:val="en-US" w:eastAsia="zh-CN"/>
        </w:rPr>
        <w:t>75.88</w:t>
      </w:r>
      <w:r>
        <w:rPr>
          <w:rFonts w:hint="eastAsia" w:ascii="仿宋_GB2312" w:hAnsi="仿宋_GB2312" w:eastAsia="仿宋_GB2312" w:cs="仿宋_GB2312"/>
          <w:sz w:val="32"/>
          <w:szCs w:val="32"/>
          <w:lang w:val="en-US" w:eastAsia="zh-CN"/>
        </w:rPr>
        <w:t>万元</w:t>
      </w:r>
    </w:p>
    <w:p>
      <w:pPr>
        <w:adjustRightInd w:val="0"/>
        <w:snapToGrid w:val="0"/>
        <w:spacing w:line="600" w:lineRule="exact"/>
        <w:ind w:firstLine="643" w:firstLineChars="200"/>
        <w:outlineLvl w:val="1"/>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w:t>
      </w:r>
      <w:r>
        <w:rPr>
          <w:rFonts w:hint="eastAsia" w:ascii="仿宋_GB2312" w:hAnsi="仿宋_GB2312" w:eastAsia="仿宋_GB2312" w:cs="仿宋_GB2312"/>
          <w:b/>
          <w:sz w:val="32"/>
          <w:szCs w:val="32"/>
          <w:lang w:val="en-US" w:eastAsia="zh-CN"/>
        </w:rPr>
        <w:t>二</w:t>
      </w:r>
      <w:r>
        <w:rPr>
          <w:rFonts w:hint="eastAsia" w:ascii="仿宋_GB2312" w:hAnsi="仿宋_GB2312" w:eastAsia="仿宋_GB2312" w:cs="仿宋_GB2312"/>
          <w:b/>
          <w:sz w:val="32"/>
          <w:szCs w:val="32"/>
          <w:lang w:val="zh-CN"/>
        </w:rPr>
        <w:t>）</w:t>
      </w:r>
      <w:r>
        <w:rPr>
          <w:rFonts w:hint="eastAsia" w:ascii="仿宋_GB2312" w:hAnsi="仿宋_GB2312" w:eastAsia="仿宋_GB2312" w:cs="仿宋_GB2312"/>
          <w:b/>
          <w:sz w:val="32"/>
          <w:szCs w:val="32"/>
          <w:lang w:val="en-US" w:eastAsia="zh-CN"/>
        </w:rPr>
        <w:t>项目预算执行</w:t>
      </w:r>
    </w:p>
    <w:p>
      <w:pPr>
        <w:adjustRightInd w:val="0"/>
        <w:snapToGrid w:val="0"/>
        <w:spacing w:line="600" w:lineRule="exact"/>
        <w:ind w:firstLine="72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批复的政府采购项目绩效目标开展工作。执行过程中的指标值与批准的绩效目标一致。及时开展政府采购工作。按照合同约定的方式、比例、时间支付资金，并按照营商环境要求加快资金拨付进度。</w:t>
      </w:r>
    </w:p>
    <w:p>
      <w:pPr>
        <w:adjustRightInd w:val="0"/>
        <w:snapToGrid w:val="0"/>
        <w:spacing w:line="600" w:lineRule="exact"/>
        <w:ind w:firstLine="643" w:firstLineChars="200"/>
        <w:outlineLvl w:val="1"/>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（三）项目组织实施情况。</w:t>
      </w:r>
    </w:p>
    <w:p>
      <w:pPr>
        <w:adjustRightInd w:val="0"/>
        <w:snapToGrid w:val="0"/>
        <w:spacing w:line="600" w:lineRule="exact"/>
        <w:ind w:firstLine="640" w:firstLineChars="200"/>
        <w:outlineLvl w:val="1"/>
        <w:rPr>
          <w:rFonts w:hint="eastAsia" w:ascii="仿宋_GB2312" w:hAnsi="仿宋_GB2312" w:eastAsia="仿宋_GB2312" w:cs="仿宋_GB2312"/>
          <w:b/>
          <w:sz w:val="32"/>
          <w:szCs w:val="32"/>
          <w:lang w:val="zh-CN"/>
        </w:rPr>
      </w:pPr>
      <w:r>
        <w:rPr>
          <w:rFonts w:hint="eastAsia" w:ascii="仿宋_GB2312" w:hAnsi="仿宋_GB2312" w:eastAsia="仿宋_GB2312" w:cs="仿宋_GB2312"/>
          <w:sz w:val="32"/>
          <w:szCs w:val="32"/>
          <w:lang w:bidi="ar-SA"/>
        </w:rPr>
        <w:t>采购预算编制应编尽编</w:t>
      </w:r>
      <w:r>
        <w:rPr>
          <w:rFonts w:hint="eastAsia" w:ascii="仿宋_GB2312" w:hAnsi="仿宋_GB2312" w:eastAsia="仿宋_GB2312" w:cs="仿宋_GB2312"/>
          <w:sz w:val="32"/>
          <w:szCs w:val="32"/>
          <w:lang w:eastAsia="zh-CN" w:bidi="ar-SA"/>
        </w:rPr>
        <w:t>，</w:t>
      </w:r>
      <w:r>
        <w:rPr>
          <w:rFonts w:hint="eastAsia" w:ascii="仿宋_GB2312" w:hAnsi="仿宋_GB2312" w:eastAsia="仿宋_GB2312" w:cs="仿宋_GB2312"/>
          <w:sz w:val="32"/>
          <w:szCs w:val="32"/>
          <w:lang w:bidi="ar-SA"/>
        </w:rPr>
        <w:t>按规定进行政府采购计划备案</w:t>
      </w:r>
      <w:r>
        <w:rPr>
          <w:rFonts w:hint="eastAsia" w:ascii="仿宋_GB2312" w:hAnsi="仿宋_GB2312" w:eastAsia="仿宋_GB2312" w:cs="仿宋_GB2312"/>
          <w:sz w:val="32"/>
          <w:szCs w:val="32"/>
          <w:lang w:eastAsia="zh-CN" w:bidi="ar-SA"/>
        </w:rPr>
        <w:t>。</w:t>
      </w:r>
      <w:r>
        <w:rPr>
          <w:rFonts w:hint="eastAsia" w:ascii="仿宋_GB2312" w:hAnsi="仿宋_GB2312" w:eastAsia="仿宋_GB2312" w:cs="仿宋_GB2312"/>
          <w:sz w:val="32"/>
          <w:szCs w:val="32"/>
          <w:lang w:bidi="ar-SA"/>
        </w:rPr>
        <w:t>按法定采购方式和程序实施采购</w:t>
      </w:r>
      <w:r>
        <w:rPr>
          <w:rFonts w:hint="eastAsia" w:ascii="仿宋_GB2312" w:hAnsi="仿宋_GB2312" w:eastAsia="仿宋_GB2312" w:cs="仿宋_GB2312"/>
          <w:sz w:val="32"/>
          <w:szCs w:val="32"/>
          <w:lang w:eastAsia="zh-CN" w:bidi="ar-SA"/>
        </w:rPr>
        <w:t>，</w:t>
      </w:r>
      <w:r>
        <w:rPr>
          <w:rFonts w:hint="eastAsia" w:ascii="仿宋_GB2312" w:hAnsi="仿宋_GB2312" w:eastAsia="仿宋_GB2312" w:cs="仿宋_GB2312"/>
          <w:sz w:val="32"/>
          <w:szCs w:val="32"/>
          <w:lang w:bidi="ar-SA"/>
        </w:rPr>
        <w:t>按采购文件确定事项签订政府采购合同，按规定公告、备案采购合同</w:t>
      </w:r>
      <w:r>
        <w:rPr>
          <w:rFonts w:hint="eastAsia" w:ascii="仿宋_GB2312" w:hAnsi="仿宋_GB2312" w:eastAsia="仿宋_GB2312" w:cs="仿宋_GB2312"/>
          <w:sz w:val="32"/>
          <w:szCs w:val="32"/>
          <w:lang w:eastAsia="zh-CN" w:bidi="ar-SA"/>
        </w:rPr>
        <w:t>。</w:t>
      </w:r>
      <w:r>
        <w:rPr>
          <w:rFonts w:hint="eastAsia" w:ascii="仿宋_GB2312" w:hAnsi="仿宋_GB2312" w:eastAsia="仿宋_GB2312" w:cs="仿宋_GB2312"/>
          <w:sz w:val="32"/>
          <w:szCs w:val="32"/>
          <w:lang w:bidi="ar-SA"/>
        </w:rPr>
        <w:br w:type="textWrapping"/>
      </w:r>
      <w:r>
        <w:rPr>
          <w:rFonts w:hint="eastAsia" w:ascii="仿宋_GB2312" w:hAnsi="仿宋_GB2312" w:eastAsia="仿宋_GB2312" w:cs="仿宋_GB2312"/>
          <w:sz w:val="32"/>
          <w:szCs w:val="32"/>
          <w:lang w:val="en-US" w:eastAsia="zh-CN" w:bidi="ar-SA"/>
        </w:rPr>
        <w:t xml:space="preserve">   </w:t>
      </w:r>
      <w:r>
        <w:rPr>
          <w:rFonts w:hint="eastAsia" w:ascii="仿宋_GB2312" w:hAnsi="仿宋_GB2312" w:eastAsia="仿宋_GB2312" w:cs="仿宋_GB2312"/>
          <w:b/>
          <w:sz w:val="32"/>
          <w:szCs w:val="32"/>
          <w:lang w:val="zh-CN"/>
        </w:rPr>
        <w:t>（四）项目内控管理情况。</w:t>
      </w:r>
    </w:p>
    <w:p>
      <w:pPr>
        <w:adjustRightInd w:val="0"/>
        <w:snapToGrid w:val="0"/>
        <w:spacing w:line="600" w:lineRule="exact"/>
        <w:ind w:firstLine="72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按照规定保存政府采购档案，且内容齐全完整。是指定专人负责本单位政府采购工作。建立重点岗位监督及轮岗等廉政风险防控机制，对关键岗位实施重点监督和定期轮岗，并明确主要负责人员。</w:t>
      </w:r>
    </w:p>
    <w:p>
      <w:pPr>
        <w:pStyle w:val="3"/>
        <w:numPr>
          <w:ilvl w:val="0"/>
          <w:numId w:val="0"/>
        </w:numPr>
        <w:ind w:leftChars="0" w:firstLine="640" w:firstLineChars="200"/>
        <w:rPr>
          <w:rFonts w:ascii="黑体" w:hAnsi="宋体" w:eastAsia="黑体"/>
          <w:sz w:val="32"/>
          <w:szCs w:val="32"/>
        </w:rPr>
      </w:pPr>
      <w:r>
        <w:rPr>
          <w:rFonts w:hint="eastAsia" w:ascii="黑体" w:hAnsi="黑体" w:eastAsia="黑体" w:cs="黑体"/>
          <w:sz w:val="32"/>
          <w:szCs w:val="32"/>
          <w:lang w:val="en-US" w:eastAsia="zh-CN"/>
        </w:rPr>
        <w:t>二、项目执行情况</w:t>
      </w:r>
    </w:p>
    <w:p>
      <w:pPr>
        <w:adjustRightInd w:val="0"/>
        <w:snapToGrid w:val="0"/>
        <w:spacing w:line="578" w:lineRule="exact"/>
        <w:ind w:firstLine="640" w:firstLineChars="200"/>
        <w:contextualSpacing/>
        <w:rPr>
          <w:rFonts w:eastAsia="仿宋_GB2312" w:cs="仿宋_GB2312"/>
          <w:sz w:val="32"/>
          <w:szCs w:val="32"/>
          <w:lang w:val="zh-CN"/>
        </w:rPr>
      </w:pPr>
      <w:r>
        <w:rPr>
          <w:rFonts w:eastAsia="仿宋_GB2312" w:cs="仿宋_GB2312"/>
          <w:sz w:val="32"/>
          <w:szCs w:val="32"/>
        </w:rPr>
        <w:t>常年项目绩效分析。</w:t>
      </w:r>
      <w:r>
        <w:rPr>
          <w:rFonts w:eastAsia="仿宋_GB2312" w:cs="仿宋_GB2312"/>
          <w:sz w:val="32"/>
          <w:szCs w:val="32"/>
          <w:lang w:val="zh-CN"/>
        </w:rPr>
        <w:t>该类项目总数4个，涉及预算总金额34.83万元，1</w:t>
      </w:r>
      <w:r>
        <w:rPr>
          <w:rFonts w:hint="eastAsia" w:eastAsia="仿宋_GB2312" w:cs="仿宋_GB2312"/>
          <w:sz w:val="32"/>
          <w:szCs w:val="32"/>
          <w:lang w:val="zh-CN"/>
        </w:rPr>
        <w:t>—</w:t>
      </w:r>
      <w:r>
        <w:rPr>
          <w:rFonts w:eastAsia="仿宋_GB2312" w:cs="仿宋_GB2312"/>
          <w:sz w:val="32"/>
          <w:szCs w:val="32"/>
          <w:lang w:val="zh-CN"/>
        </w:rPr>
        <w:t>1</w:t>
      </w:r>
      <w:r>
        <w:rPr>
          <w:rFonts w:eastAsia="仿宋_GB2312" w:cs="仿宋_GB2312"/>
          <w:sz w:val="32"/>
          <w:szCs w:val="32"/>
        </w:rPr>
        <w:t>2</w:t>
      </w:r>
      <w:r>
        <w:rPr>
          <w:rFonts w:eastAsia="仿宋_GB2312" w:cs="仿宋_GB2312"/>
          <w:sz w:val="32"/>
          <w:szCs w:val="32"/>
          <w:lang w:val="zh-CN"/>
        </w:rPr>
        <w:t>月预算执行总体进度为90%，其中：预算结余率大于</w:t>
      </w:r>
      <w:r>
        <w:rPr>
          <w:rFonts w:eastAsia="仿宋_GB2312" w:cs="仿宋_GB2312"/>
          <w:sz w:val="32"/>
          <w:szCs w:val="32"/>
        </w:rPr>
        <w:t>10%</w:t>
      </w:r>
      <w:r>
        <w:rPr>
          <w:rFonts w:eastAsia="仿宋_GB2312" w:cs="仿宋_GB2312"/>
          <w:sz w:val="32"/>
          <w:szCs w:val="32"/>
          <w:lang w:val="zh-CN"/>
        </w:rPr>
        <w:t>的项目共计0个。</w:t>
      </w:r>
    </w:p>
    <w:p>
      <w:pPr>
        <w:adjustRightInd w:val="0"/>
        <w:snapToGrid w:val="0"/>
        <w:spacing w:line="578" w:lineRule="exact"/>
        <w:ind w:firstLine="640" w:firstLineChars="200"/>
        <w:contextualSpacing/>
        <w:rPr>
          <w:rFonts w:eastAsia="仿宋_GB2312" w:cs="仿宋_GB2312"/>
          <w:sz w:val="32"/>
          <w:szCs w:val="32"/>
          <w:lang w:val="zh-CN"/>
        </w:rPr>
      </w:pPr>
      <w:r>
        <w:rPr>
          <w:rFonts w:eastAsia="仿宋_GB2312" w:cs="仿宋_GB2312"/>
          <w:sz w:val="32"/>
          <w:szCs w:val="32"/>
        </w:rPr>
        <w:t>阶段</w:t>
      </w:r>
      <w:r>
        <w:rPr>
          <w:rFonts w:hint="eastAsia" w:eastAsia="仿宋_GB2312" w:cs="仿宋_GB2312"/>
          <w:sz w:val="32"/>
          <w:szCs w:val="32"/>
        </w:rPr>
        <w:t>（</w:t>
      </w:r>
      <w:r>
        <w:rPr>
          <w:rFonts w:eastAsia="仿宋_GB2312" w:cs="仿宋_GB2312"/>
          <w:sz w:val="32"/>
          <w:szCs w:val="32"/>
        </w:rPr>
        <w:t>一次性</w:t>
      </w:r>
      <w:r>
        <w:rPr>
          <w:rFonts w:hint="eastAsia" w:eastAsia="仿宋_GB2312" w:cs="仿宋_GB2312"/>
          <w:sz w:val="32"/>
          <w:szCs w:val="32"/>
        </w:rPr>
        <w:t>）</w:t>
      </w:r>
      <w:r>
        <w:rPr>
          <w:rFonts w:eastAsia="仿宋_GB2312" w:cs="仿宋_GB2312"/>
          <w:sz w:val="32"/>
          <w:szCs w:val="32"/>
        </w:rPr>
        <w:t>项目绩效分析。</w:t>
      </w:r>
      <w:r>
        <w:rPr>
          <w:rFonts w:eastAsia="仿宋_GB2312" w:cs="仿宋_GB2312"/>
          <w:sz w:val="32"/>
          <w:szCs w:val="32"/>
          <w:lang w:val="zh-CN"/>
        </w:rPr>
        <w:t>该类项目总数3个，涉及预算总金额47.5万元，1</w:t>
      </w:r>
      <w:r>
        <w:rPr>
          <w:rFonts w:hint="eastAsia" w:eastAsia="仿宋_GB2312" w:cs="仿宋_GB2312"/>
          <w:sz w:val="32"/>
          <w:szCs w:val="32"/>
          <w:lang w:val="zh-CN"/>
        </w:rPr>
        <w:t>—</w:t>
      </w:r>
      <w:r>
        <w:rPr>
          <w:rFonts w:eastAsia="仿宋_GB2312" w:cs="仿宋_GB2312"/>
          <w:sz w:val="32"/>
          <w:szCs w:val="32"/>
          <w:lang w:val="zh-CN"/>
        </w:rPr>
        <w:t>1</w:t>
      </w:r>
      <w:r>
        <w:rPr>
          <w:rFonts w:eastAsia="仿宋_GB2312" w:cs="仿宋_GB2312"/>
          <w:sz w:val="32"/>
          <w:szCs w:val="32"/>
        </w:rPr>
        <w:t>2</w:t>
      </w:r>
      <w:r>
        <w:rPr>
          <w:rFonts w:eastAsia="仿宋_GB2312" w:cs="仿宋_GB2312"/>
          <w:sz w:val="32"/>
          <w:szCs w:val="32"/>
          <w:lang w:val="zh-CN"/>
        </w:rPr>
        <w:t>月预算执行总体进度为90%，其中：预算结余率大于</w:t>
      </w:r>
      <w:r>
        <w:rPr>
          <w:rFonts w:eastAsia="仿宋_GB2312" w:cs="仿宋_GB2312"/>
          <w:sz w:val="32"/>
          <w:szCs w:val="32"/>
        </w:rPr>
        <w:t>10%</w:t>
      </w:r>
      <w:r>
        <w:rPr>
          <w:rFonts w:eastAsia="仿宋_GB2312" w:cs="仿宋_GB2312"/>
          <w:sz w:val="32"/>
          <w:szCs w:val="32"/>
          <w:lang w:val="zh-CN"/>
        </w:rPr>
        <w:t>的项目共计0个</w:t>
      </w:r>
    </w:p>
    <w:p>
      <w:pPr>
        <w:adjustRightInd w:val="0"/>
        <w:snapToGrid w:val="0"/>
        <w:spacing w:line="600" w:lineRule="exact"/>
        <w:ind w:firstLine="640" w:firstLineChars="200"/>
        <w:outlineLvl w:val="1"/>
        <w:rPr>
          <w:rFonts w:hint="eastAsia" w:ascii="黑体" w:hAnsi="黑体" w:eastAsia="黑体" w:cs="黑体"/>
          <w:b w:val="0"/>
          <w:bCs/>
          <w:sz w:val="32"/>
          <w:szCs w:val="32"/>
          <w:lang w:val="zh-CN"/>
        </w:rPr>
      </w:pPr>
      <w:r>
        <w:rPr>
          <w:rFonts w:hint="eastAsia" w:ascii="黑体" w:hAnsi="黑体" w:eastAsia="黑体" w:cs="黑体"/>
          <w:b w:val="0"/>
          <w:bCs/>
          <w:sz w:val="32"/>
          <w:szCs w:val="32"/>
          <w:lang w:val="zh-CN" w:eastAsia="zh-CN"/>
        </w:rPr>
        <w:t>三</w:t>
      </w:r>
      <w:r>
        <w:rPr>
          <w:rFonts w:hint="eastAsia" w:ascii="黑体" w:hAnsi="黑体" w:eastAsia="黑体" w:cs="黑体"/>
          <w:b w:val="0"/>
          <w:bCs/>
          <w:sz w:val="32"/>
          <w:szCs w:val="32"/>
          <w:lang w:val="zh-CN"/>
        </w:rPr>
        <w:t>、问题及建议</w:t>
      </w:r>
    </w:p>
    <w:p>
      <w:pPr>
        <w:adjustRightInd w:val="0"/>
        <w:snapToGrid w:val="0"/>
        <w:spacing w:line="600" w:lineRule="exact"/>
        <w:ind w:firstLine="643" w:firstLineChars="200"/>
        <w:outlineLvl w:val="1"/>
        <w:rPr>
          <w:rFonts w:hint="eastAsia" w:ascii="仿宋_GB2312" w:hAnsi="仿宋_GB2312" w:eastAsia="仿宋_GB2312" w:cs="仿宋_GB2312"/>
          <w:b/>
          <w:sz w:val="32"/>
          <w:szCs w:val="32"/>
          <w:lang w:val="zh-CN" w:eastAsia="zh-CN"/>
        </w:rPr>
      </w:pPr>
      <w:r>
        <w:rPr>
          <w:rFonts w:hint="eastAsia" w:ascii="仿宋_GB2312" w:hAnsi="仿宋_GB2312" w:eastAsia="仿宋_GB2312" w:cs="仿宋_GB2312"/>
          <w:b/>
          <w:sz w:val="32"/>
          <w:szCs w:val="32"/>
          <w:lang w:val="zh-CN" w:eastAsia="zh-CN"/>
        </w:rPr>
        <w:t>存在的问题：</w:t>
      </w:r>
    </w:p>
    <w:p>
      <w:pPr>
        <w:adjustRightInd w:val="0"/>
        <w:snapToGrid w:val="0"/>
        <w:spacing w:line="578" w:lineRule="exact"/>
        <w:ind w:firstLine="640" w:firstLineChars="200"/>
        <w:contextualSpacing/>
        <w:rPr>
          <w:rFonts w:hint="eastAsia" w:ascii="Times New Roman" w:hAnsi="Times New Roman" w:eastAsia="仿宋_GB2312" w:cs="仿宋_GB2312"/>
          <w:sz w:val="32"/>
          <w:szCs w:val="32"/>
          <w:lang w:val="zh-CN"/>
        </w:rPr>
      </w:pPr>
      <w:r>
        <w:rPr>
          <w:rFonts w:hint="eastAsia" w:ascii="Times New Roman" w:hAnsi="Times New Roman" w:eastAsia="仿宋_GB2312" w:cs="仿宋_GB2312"/>
          <w:sz w:val="32"/>
          <w:szCs w:val="32"/>
          <w:lang w:val="zh-CN"/>
        </w:rPr>
        <w:t>没有建立完善的供应商机制，供应商的交货质量和服务水平无法得到保证。</w:t>
      </w:r>
    </w:p>
    <w:p>
      <w:pPr>
        <w:spacing w:line="578" w:lineRule="exact"/>
        <w:ind w:firstLine="640"/>
        <w:rPr>
          <w:rFonts w:eastAsia="仿宋_GB2312" w:cs="仿宋_GB2312"/>
          <w:kern w:val="0"/>
          <w:sz w:val="32"/>
          <w:szCs w:val="32"/>
        </w:rPr>
      </w:pPr>
    </w:p>
    <w:p>
      <w:pPr>
        <w:spacing w:line="578" w:lineRule="exact"/>
        <w:ind w:firstLine="640"/>
        <w:rPr>
          <w:rFonts w:eastAsia="仿宋_GB2312" w:cs="仿宋_GB2312"/>
          <w:kern w:val="0"/>
          <w:sz w:val="32"/>
          <w:szCs w:val="32"/>
        </w:rPr>
      </w:pPr>
      <w:bookmarkStart w:id="52" w:name="_Toc15396618"/>
      <w:r>
        <w:rPr>
          <w:rFonts w:hint="eastAsia" w:eastAsia="仿宋_GB2312" w:cs="仿宋_GB2312"/>
          <w:kern w:val="0"/>
          <w:sz w:val="32"/>
          <w:szCs w:val="32"/>
        </w:rPr>
        <w:br w:type="page"/>
      </w:r>
    </w:p>
    <w:p>
      <w:pPr>
        <w:widowControl/>
        <w:jc w:val="center"/>
        <w:rPr>
          <w:rFonts w:eastAsia="仿宋"/>
        </w:rPr>
      </w:pPr>
      <w:r>
        <w:rPr>
          <w:rFonts w:hint="eastAsia" w:eastAsia="黑体"/>
          <w:sz w:val="44"/>
          <w:szCs w:val="44"/>
        </w:rPr>
        <w:t>第</w:t>
      </w:r>
      <w:r>
        <w:rPr>
          <w:rStyle w:val="20"/>
          <w:rFonts w:hint="eastAsia" w:eastAsia="黑体"/>
          <w:b w:val="0"/>
        </w:rPr>
        <w:t>五部分 附表</w:t>
      </w:r>
      <w:bookmarkEnd w:id="50"/>
      <w:bookmarkEnd w:id="52"/>
      <w:bookmarkStart w:id="53" w:name="_Toc15396619"/>
    </w:p>
    <w:p>
      <w:pPr>
        <w:pStyle w:val="14"/>
        <w:adjustRightInd w:val="0"/>
        <w:snapToGrid w:val="0"/>
        <w:spacing w:line="560" w:lineRule="exact"/>
        <w:jc w:val="left"/>
        <w:rPr>
          <w:rFonts w:eastAsia="仿宋_GB2312" w:cs="仿宋_GB2312"/>
          <w:sz w:val="32"/>
          <w:szCs w:val="32"/>
        </w:rPr>
      </w:pPr>
    </w:p>
    <w:p>
      <w:pPr>
        <w:pStyle w:val="14"/>
        <w:adjustRightInd w:val="0"/>
        <w:snapToGrid w:val="0"/>
        <w:spacing w:line="560" w:lineRule="exact"/>
        <w:jc w:val="left"/>
        <w:rPr>
          <w:rFonts w:eastAsia="仿宋_GB2312" w:cs="仿宋_GB2312"/>
          <w:sz w:val="32"/>
          <w:szCs w:val="32"/>
        </w:rPr>
      </w:pPr>
      <w:r>
        <w:rPr>
          <w:rFonts w:hint="eastAsia" w:eastAsia="仿宋_GB2312" w:cs="仿宋_GB2312"/>
          <w:sz w:val="32"/>
          <w:szCs w:val="32"/>
        </w:rPr>
        <w:t>一、收入支出决算总表</w:t>
      </w:r>
      <w:bookmarkEnd w:id="53"/>
    </w:p>
    <w:p>
      <w:pPr>
        <w:pStyle w:val="14"/>
        <w:adjustRightInd w:val="0"/>
        <w:snapToGrid w:val="0"/>
        <w:spacing w:line="560" w:lineRule="exact"/>
        <w:jc w:val="left"/>
        <w:rPr>
          <w:rFonts w:eastAsia="仿宋_GB2312" w:cs="仿宋_GB2312"/>
          <w:sz w:val="32"/>
          <w:szCs w:val="32"/>
        </w:rPr>
      </w:pPr>
      <w:bookmarkStart w:id="54" w:name="_Toc15396620"/>
      <w:r>
        <w:rPr>
          <w:rFonts w:hint="eastAsia" w:eastAsia="仿宋_GB2312" w:cs="仿宋_GB2312"/>
          <w:sz w:val="32"/>
          <w:szCs w:val="32"/>
        </w:rPr>
        <w:t>二、收入决算表</w:t>
      </w:r>
      <w:bookmarkEnd w:id="54"/>
    </w:p>
    <w:p>
      <w:pPr>
        <w:pStyle w:val="14"/>
        <w:adjustRightInd w:val="0"/>
        <w:snapToGrid w:val="0"/>
        <w:spacing w:line="560" w:lineRule="exact"/>
        <w:jc w:val="left"/>
        <w:rPr>
          <w:rFonts w:eastAsia="仿宋_GB2312" w:cs="仿宋_GB2312"/>
          <w:sz w:val="32"/>
          <w:szCs w:val="32"/>
        </w:rPr>
      </w:pPr>
      <w:bookmarkStart w:id="55" w:name="_Toc15396621"/>
      <w:r>
        <w:rPr>
          <w:rFonts w:hint="eastAsia" w:eastAsia="仿宋_GB2312" w:cs="仿宋_GB2312"/>
          <w:sz w:val="32"/>
          <w:szCs w:val="32"/>
        </w:rPr>
        <w:t>三、支出决算表</w:t>
      </w:r>
      <w:bookmarkEnd w:id="55"/>
    </w:p>
    <w:p>
      <w:pPr>
        <w:pStyle w:val="14"/>
        <w:adjustRightInd w:val="0"/>
        <w:snapToGrid w:val="0"/>
        <w:spacing w:line="560" w:lineRule="exact"/>
        <w:jc w:val="left"/>
        <w:rPr>
          <w:rFonts w:eastAsia="仿宋_GB2312" w:cs="仿宋_GB2312"/>
          <w:sz w:val="32"/>
          <w:szCs w:val="32"/>
        </w:rPr>
      </w:pPr>
      <w:bookmarkStart w:id="56" w:name="_Toc15396622"/>
      <w:r>
        <w:rPr>
          <w:rFonts w:hint="eastAsia" w:eastAsia="仿宋_GB2312" w:cs="仿宋_GB2312"/>
          <w:sz w:val="32"/>
          <w:szCs w:val="32"/>
        </w:rPr>
        <w:t>四、财政拨款收入支出决算总表</w:t>
      </w:r>
      <w:bookmarkEnd w:id="56"/>
    </w:p>
    <w:p>
      <w:pPr>
        <w:pStyle w:val="14"/>
        <w:adjustRightInd w:val="0"/>
        <w:snapToGrid w:val="0"/>
        <w:spacing w:line="560" w:lineRule="exact"/>
        <w:jc w:val="left"/>
        <w:rPr>
          <w:rFonts w:eastAsia="仿宋_GB2312" w:cs="仿宋_GB2312"/>
          <w:sz w:val="32"/>
          <w:szCs w:val="32"/>
        </w:rPr>
      </w:pPr>
      <w:bookmarkStart w:id="57" w:name="_Toc15396623"/>
      <w:r>
        <w:rPr>
          <w:rFonts w:hint="eastAsia" w:eastAsia="仿宋_GB2312" w:cs="仿宋_GB2312"/>
          <w:sz w:val="32"/>
          <w:szCs w:val="32"/>
        </w:rPr>
        <w:t>五、财政拨款支出决算明细表</w:t>
      </w:r>
      <w:bookmarkEnd w:id="57"/>
      <w:bookmarkStart w:id="58" w:name="_Toc15396624"/>
    </w:p>
    <w:p>
      <w:pPr>
        <w:pStyle w:val="14"/>
        <w:adjustRightInd w:val="0"/>
        <w:snapToGrid w:val="0"/>
        <w:spacing w:line="560" w:lineRule="exact"/>
        <w:jc w:val="left"/>
        <w:rPr>
          <w:rFonts w:eastAsia="仿宋_GB2312" w:cs="仿宋_GB2312"/>
          <w:sz w:val="32"/>
          <w:szCs w:val="32"/>
        </w:rPr>
      </w:pPr>
      <w:r>
        <w:rPr>
          <w:rFonts w:hint="eastAsia" w:eastAsia="仿宋_GB2312" w:cs="仿宋_GB2312"/>
          <w:sz w:val="32"/>
          <w:szCs w:val="32"/>
        </w:rPr>
        <w:t>六、一般公共预算财政拨款支出决算表</w:t>
      </w:r>
      <w:bookmarkEnd w:id="58"/>
    </w:p>
    <w:p>
      <w:pPr>
        <w:pStyle w:val="14"/>
        <w:adjustRightInd w:val="0"/>
        <w:snapToGrid w:val="0"/>
        <w:spacing w:line="560" w:lineRule="exact"/>
        <w:jc w:val="left"/>
        <w:rPr>
          <w:rFonts w:eastAsia="仿宋_GB2312" w:cs="仿宋_GB2312"/>
          <w:sz w:val="32"/>
          <w:szCs w:val="32"/>
        </w:rPr>
      </w:pPr>
      <w:bookmarkStart w:id="59" w:name="_Toc15396625"/>
      <w:r>
        <w:rPr>
          <w:rFonts w:hint="eastAsia" w:eastAsia="仿宋_GB2312" w:cs="仿宋_GB2312"/>
          <w:sz w:val="32"/>
          <w:szCs w:val="32"/>
        </w:rPr>
        <w:t>七、一般公共预算财政拨款支出决算明细表</w:t>
      </w:r>
      <w:bookmarkEnd w:id="59"/>
    </w:p>
    <w:p>
      <w:pPr>
        <w:pStyle w:val="14"/>
        <w:adjustRightInd w:val="0"/>
        <w:snapToGrid w:val="0"/>
        <w:spacing w:line="560" w:lineRule="exact"/>
        <w:jc w:val="left"/>
        <w:rPr>
          <w:rFonts w:eastAsia="仿宋_GB2312" w:cs="仿宋_GB2312"/>
          <w:sz w:val="32"/>
          <w:szCs w:val="32"/>
        </w:rPr>
      </w:pPr>
      <w:bookmarkStart w:id="60" w:name="_Toc15396626"/>
      <w:r>
        <w:rPr>
          <w:rFonts w:hint="eastAsia" w:eastAsia="仿宋_GB2312" w:cs="仿宋_GB2312"/>
          <w:sz w:val="32"/>
          <w:szCs w:val="32"/>
        </w:rPr>
        <w:t>八、一般公共预算财政拨款基本支出决算表</w:t>
      </w:r>
      <w:bookmarkEnd w:id="60"/>
    </w:p>
    <w:p>
      <w:pPr>
        <w:pStyle w:val="14"/>
        <w:adjustRightInd w:val="0"/>
        <w:snapToGrid w:val="0"/>
        <w:spacing w:line="560" w:lineRule="exact"/>
        <w:jc w:val="left"/>
        <w:rPr>
          <w:rFonts w:eastAsia="仿宋_GB2312" w:cs="仿宋_GB2312"/>
          <w:sz w:val="32"/>
          <w:szCs w:val="32"/>
        </w:rPr>
      </w:pPr>
      <w:bookmarkStart w:id="61" w:name="_Toc15396627"/>
      <w:r>
        <w:rPr>
          <w:rFonts w:hint="eastAsia" w:eastAsia="仿宋_GB2312" w:cs="仿宋_GB2312"/>
          <w:sz w:val="32"/>
          <w:szCs w:val="32"/>
        </w:rPr>
        <w:t>九、一般公共预算财政拨款项目支出决算表</w:t>
      </w:r>
      <w:bookmarkEnd w:id="61"/>
    </w:p>
    <w:p>
      <w:pPr>
        <w:pStyle w:val="14"/>
        <w:adjustRightInd w:val="0"/>
        <w:snapToGrid w:val="0"/>
        <w:spacing w:line="560" w:lineRule="exact"/>
        <w:jc w:val="left"/>
        <w:rPr>
          <w:rFonts w:eastAsia="仿宋_GB2312" w:cs="仿宋_GB2312"/>
          <w:sz w:val="32"/>
          <w:szCs w:val="32"/>
        </w:rPr>
      </w:pPr>
      <w:bookmarkStart w:id="62" w:name="_Toc15396628"/>
      <w:r>
        <w:rPr>
          <w:rFonts w:hint="eastAsia" w:eastAsia="仿宋_GB2312" w:cs="仿宋_GB2312"/>
          <w:sz w:val="32"/>
          <w:szCs w:val="32"/>
        </w:rPr>
        <w:t>十、</w:t>
      </w:r>
      <w:bookmarkEnd w:id="62"/>
      <w:r>
        <w:rPr>
          <w:rFonts w:hint="eastAsia" w:eastAsia="仿宋_GB2312" w:cs="仿宋_GB2312"/>
          <w:sz w:val="32"/>
          <w:szCs w:val="32"/>
        </w:rPr>
        <w:t>政府性基金预算财政拨款收入支出决算表</w:t>
      </w:r>
    </w:p>
    <w:p>
      <w:pPr>
        <w:pStyle w:val="14"/>
        <w:adjustRightInd w:val="0"/>
        <w:snapToGrid w:val="0"/>
        <w:spacing w:line="560" w:lineRule="exact"/>
        <w:jc w:val="left"/>
        <w:rPr>
          <w:rFonts w:eastAsia="仿宋_GB2312" w:cs="仿宋_GB2312"/>
          <w:sz w:val="32"/>
          <w:szCs w:val="32"/>
        </w:rPr>
      </w:pPr>
      <w:bookmarkStart w:id="63" w:name="_Toc15396629"/>
      <w:r>
        <w:rPr>
          <w:rFonts w:hint="eastAsia" w:eastAsia="仿宋_GB2312" w:cs="仿宋_GB2312"/>
          <w:sz w:val="32"/>
          <w:szCs w:val="32"/>
        </w:rPr>
        <w:t>十一、</w:t>
      </w:r>
      <w:bookmarkEnd w:id="63"/>
      <w:r>
        <w:rPr>
          <w:rFonts w:hint="eastAsia" w:eastAsia="仿宋_GB2312" w:cs="仿宋_GB2312"/>
          <w:sz w:val="32"/>
          <w:szCs w:val="32"/>
        </w:rPr>
        <w:t>国有资本经营预算财政拨款收入支出决算表</w:t>
      </w:r>
    </w:p>
    <w:p>
      <w:pPr>
        <w:pStyle w:val="14"/>
        <w:adjustRightInd w:val="0"/>
        <w:snapToGrid w:val="0"/>
        <w:spacing w:line="560" w:lineRule="exact"/>
        <w:jc w:val="left"/>
        <w:rPr>
          <w:rFonts w:eastAsia="仿宋_GB2312" w:cs="仿宋_GB2312"/>
          <w:sz w:val="32"/>
          <w:szCs w:val="32"/>
        </w:rPr>
      </w:pPr>
      <w:bookmarkStart w:id="64" w:name="_Toc15396630"/>
      <w:r>
        <w:rPr>
          <w:rFonts w:hint="eastAsia" w:eastAsia="仿宋_GB2312" w:cs="仿宋_GB2312"/>
          <w:sz w:val="32"/>
          <w:szCs w:val="32"/>
        </w:rPr>
        <w:t>十二、</w:t>
      </w:r>
      <w:bookmarkEnd w:id="64"/>
      <w:r>
        <w:rPr>
          <w:rFonts w:hint="eastAsia" w:eastAsia="仿宋_GB2312" w:cs="仿宋_GB2312"/>
          <w:sz w:val="32"/>
          <w:szCs w:val="32"/>
        </w:rPr>
        <w:t>国有资本经营预算财政拨款支出决算表</w:t>
      </w:r>
    </w:p>
    <w:p>
      <w:pPr>
        <w:pStyle w:val="14"/>
        <w:adjustRightInd w:val="0"/>
        <w:snapToGrid w:val="0"/>
        <w:spacing w:line="560" w:lineRule="exact"/>
        <w:jc w:val="left"/>
        <w:rPr>
          <w:rFonts w:eastAsia="仿宋_GB2312" w:cs="仿宋_GB2312"/>
          <w:sz w:val="32"/>
          <w:szCs w:val="32"/>
        </w:rPr>
      </w:pPr>
      <w:bookmarkStart w:id="65" w:name="_Toc15396631"/>
      <w:r>
        <w:rPr>
          <w:rFonts w:hint="eastAsia" w:eastAsia="仿宋_GB2312" w:cs="仿宋_GB2312"/>
          <w:sz w:val="32"/>
          <w:szCs w:val="32"/>
        </w:rPr>
        <w:t>十三、</w:t>
      </w:r>
      <w:bookmarkEnd w:id="65"/>
      <w:r>
        <w:rPr>
          <w:rFonts w:hint="eastAsia" w:eastAsia="仿宋_GB2312" w:cs="仿宋_GB2312"/>
          <w:sz w:val="32"/>
          <w:szCs w:val="32"/>
        </w:rPr>
        <w:t>财政拨款“三公”经费支出决算表</w:t>
      </w:r>
    </w:p>
    <w:p/>
    <w:sectPr>
      <w:footerReference r:id="rId6" w:type="first"/>
      <w:footerReference r:id="rId5"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Sans">
    <w:panose1 w:val="020B0602030504020204"/>
    <w:charset w:val="00"/>
    <w:family w:val="auto"/>
    <w:pitch w:val="default"/>
    <w:sig w:usb0="00000003" w:usb1="00000000" w:usb2="00000000" w:usb3="00000000" w:csb0="20000001"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Arial"/>
    <w:panose1 w:val="00000000000000000000"/>
    <w:charset w:val="00"/>
    <w:family w:val="roman"/>
    <w:pitch w:val="default"/>
    <w:sig w:usb0="00000000" w:usb1="00000000" w:usb2="00000000" w:usb3="00000000" w:csb0="00000000" w:csb1="00000000"/>
  </w:font>
  <w:font w:name="方正小标宋简体">
    <w:panose1 w:val="03000509000000000000"/>
    <w:charset w:val="86"/>
    <w:family w:val="script"/>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Lucida Sans">
    <w:panose1 w:val="020B0602030504020204"/>
    <w:charset w:val="01"/>
    <w:family w:val="auto"/>
    <w:pitch w:val="default"/>
    <w:sig w:usb0="00000003" w:usb1="00000000" w:usb2="00000000" w:usb3="00000000" w:csb0="20000001" w:csb1="00000000"/>
  </w:font>
  <w:font w:name="楷体_GB2312">
    <w:panose1 w:val="02010609030101010101"/>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p>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1024" behindDoc="0" locked="0" layoutInCell="1" allowOverlap="1">
              <wp:simplePos x="0" y="0"/>
              <wp:positionH relativeFrom="margin">
                <wp:align>center</wp:align>
              </wp:positionH>
              <wp:positionV relativeFrom="paragraph">
                <wp:posOffset>0</wp:posOffset>
              </wp:positionV>
              <wp:extent cx="179705" cy="139700"/>
              <wp:effectExtent l="0" t="0" r="0" b="0"/>
              <wp:wrapNone/>
              <wp:docPr id="1026" name="_x0000_s1026"/>
              <wp:cNvGraphicFramePr/>
              <a:graphic xmlns:a="http://schemas.openxmlformats.org/drawingml/2006/main">
                <a:graphicData uri="http://schemas.microsoft.com/office/word/2010/wordprocessingShape">
                  <wps:wsp>
                    <wps:cNvSpPr/>
                    <wps:spPr>
                      <a:xfrm>
                        <a:off x="0" y="0"/>
                        <a:ext cx="179598" cy="139526"/>
                      </a:xfrm>
                      <a:prstGeom prst="rect">
                        <a:avLst/>
                      </a:prstGeom>
                      <a:noFill/>
                      <a:ln w="9525" cap="flat" cmpd="sng">
                        <a:noFill/>
                        <a:prstDash val="solid"/>
                        <a:miter/>
                      </a:ln>
                    </wps:spPr>
                    <wps:txbx>
                      <w:txbxContent>
                        <w:p>
                          <w:pPr>
                            <w:pStyle w:val="11"/>
                          </w:pPr>
                          <w:r>
                            <w:rPr>
                              <w:rFonts w:hint="eastAsia"/>
                            </w:rPr>
                            <w:fldChar w:fldCharType="begin"/>
                          </w:r>
                          <w:r>
                            <w:rPr>
                              <w:rFonts w:hint="eastAsia"/>
                            </w:rPr>
                            <w:instrText xml:space="preserve"> PAGE  \* MERGEFORMAT </w:instrText>
                          </w:r>
                          <w:r>
                            <w:rPr>
                              <w:rFonts w:hint="eastAsia"/>
                            </w:rPr>
                            <w:fldChar w:fldCharType="separate"/>
                          </w:r>
                          <w:r>
                            <w:rPr>
                              <w:rFonts w:hint="eastAsia"/>
                            </w:rPr>
                            <w:t>- 1 -</w:t>
                          </w:r>
                          <w:r>
                            <w:rPr>
                              <w:rFonts w:hint="eastAsia"/>
                            </w:rPr>
                            <w:fldChar w:fldCharType="end"/>
                          </w:r>
                        </w:p>
                      </w:txbxContent>
                    </wps:txbx>
                    <wps:bodyPr vert="horz" wrap="none" lIns="0" tIns="0" rIns="0" bIns="0" anchor="t" anchorCtr="0" upright="1">
                      <a:spAutoFit/>
                    </wps:bodyPr>
                  </wps:wsp>
                </a:graphicData>
              </a:graphic>
            </wp:anchor>
          </w:drawing>
        </mc:Choice>
        <mc:Fallback>
          <w:pict>
            <v:rect id="_x0000_s1026" o:spid="_x0000_s1026" o:spt="1" style="position:absolute;left:0pt;margin-top:0pt;height:11pt;width:14.15pt;mso-position-horizontal:center;mso-position-horizontal-relative:margin;mso-wrap-style:none;z-index:1024;mso-width-relative:page;mso-height-relative:page;" filled="f" stroked="f" coordsize="21600,21600" o:gfxdata="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dHzI60QAAAAMBAAAPAAAAAAAAAAEAIAAA&#10;ACIAAABkcnMvZG93bnJldi54bWxQSwECFAAUAAAACACHTuJAh2kAvNoBAACqAwAADgAAAAAAAAAB&#10;ACAAAAAgAQAAZHJzL2Uyb0RvYy54bWxQSwUGAAAAAAYABgBZAQAAbAUAAAAA&#10;">
              <v:fill on="f" focussize="0,0"/>
              <v:stroke on="f" joinstyle="miter"/>
              <v:imagedata o:title=""/>
              <o:lock v:ext="edit" aspectratio="f"/>
              <v:textbox inset="0mm,0mm,0mm,0mm" style="mso-fit-shape-to-text:t;">
                <w:txbxContent>
                  <w:p>
                    <w:pPr>
                      <w:pStyle w:val="11"/>
                    </w:pPr>
                    <w:r>
                      <w:rPr>
                        <w:rFonts w:hint="eastAsia"/>
                      </w:rPr>
                      <w:fldChar w:fldCharType="begin"/>
                    </w:r>
                    <w:r>
                      <w:rPr>
                        <w:rFonts w:hint="eastAsia"/>
                      </w:rPr>
                      <w:instrText xml:space="preserve"> PAGE  \* MERGEFORMAT </w:instrText>
                    </w:r>
                    <w:r>
                      <w:rPr>
                        <w:rFonts w:hint="eastAsia"/>
                      </w:rPr>
                      <w:fldChar w:fldCharType="separate"/>
                    </w:r>
                    <w:r>
                      <w:rPr>
                        <w:rFonts w:hint="eastAsia"/>
                      </w:rPr>
                      <w:t>- 1 -</w:t>
                    </w:r>
                    <w:r>
                      <w:rPr>
                        <w:rFonts w:hint="eastAsia"/>
                      </w:rP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7F374CF"/>
    <w:multiLevelType w:val="multilevel"/>
    <w:tmpl w:val="B7F374CF"/>
    <w:lvl w:ilvl="0" w:tentative="0">
      <w:start w:val="1"/>
      <w:numFmt w:val="chineseCountingThousand"/>
      <w:lvlText w:val="（%1）"/>
      <w:lvlJc w:val="left"/>
      <w:pPr>
        <w:tabs>
          <w:tab w:val="left" w:pos="0"/>
        </w:tabs>
        <w:ind w:left="0" w:firstLine="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EEB78396"/>
    <w:multiLevelType w:val="singleLevel"/>
    <w:tmpl w:val="EEB78396"/>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useFELayout/>
    <w:compatSetting w:name="compatibilityMode" w:uri="http://schemas.microsoft.com/office/word" w:val="12"/>
  </w:compat>
  <w:rsids>
    <w:rsidRoot w:val="00000000"/>
    <w:rsid w:val="01413D6F"/>
    <w:rsid w:val="037D6025"/>
    <w:rsid w:val="04D368A5"/>
    <w:rsid w:val="06516449"/>
    <w:rsid w:val="1019023D"/>
    <w:rsid w:val="1B63732F"/>
    <w:rsid w:val="203E67CF"/>
    <w:rsid w:val="249F68E3"/>
    <w:rsid w:val="25763ADD"/>
    <w:rsid w:val="26A201B4"/>
    <w:rsid w:val="286F6A2E"/>
    <w:rsid w:val="3CCB4CDF"/>
    <w:rsid w:val="3FDD3581"/>
    <w:rsid w:val="448258F9"/>
    <w:rsid w:val="4A230903"/>
    <w:rsid w:val="4A794CA3"/>
    <w:rsid w:val="4BBC60D6"/>
    <w:rsid w:val="50BA41A8"/>
    <w:rsid w:val="51144A6F"/>
    <w:rsid w:val="538E16DD"/>
    <w:rsid w:val="5AF60357"/>
    <w:rsid w:val="63181EC3"/>
    <w:rsid w:val="66E92D2F"/>
    <w:rsid w:val="67CF1536"/>
    <w:rsid w:val="69FF17B8"/>
    <w:rsid w:val="70AD2655"/>
    <w:rsid w:val="714410B9"/>
    <w:rsid w:val="767362D0"/>
    <w:rsid w:val="7B4B79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Lucida Sans"/>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20"/>
    <w:qFormat/>
    <w:uiPriority w:val="0"/>
    <w:pPr>
      <w:keepNext/>
      <w:keepLines/>
      <w:spacing w:before="340" w:after="330" w:line="578" w:lineRule="auto"/>
      <w:outlineLvl w:val="0"/>
    </w:pPr>
    <w:rPr>
      <w:b/>
      <w:bCs/>
      <w:kern w:val="44"/>
      <w:sz w:val="44"/>
      <w:szCs w:val="44"/>
    </w:rPr>
  </w:style>
  <w:style w:type="paragraph" w:styleId="6">
    <w:name w:val="heading 2"/>
    <w:basedOn w:val="1"/>
    <w:next w:val="1"/>
    <w:link w:val="21"/>
    <w:qFormat/>
    <w:uiPriority w:val="0"/>
    <w:pPr>
      <w:keepNext/>
      <w:keepLines/>
      <w:spacing w:before="260" w:after="260" w:line="415" w:lineRule="auto"/>
      <w:outlineLvl w:val="1"/>
    </w:pPr>
    <w:rPr>
      <w:rFonts w:ascii="Cambria" w:hAnsi="Cambria" w:eastAsia="宋体" w:cs="Times New Roman"/>
      <w:b/>
      <w:bCs/>
      <w:sz w:val="32"/>
      <w:szCs w:val="32"/>
    </w:rPr>
  </w:style>
  <w:style w:type="paragraph" w:styleId="7">
    <w:name w:val="heading 3"/>
    <w:basedOn w:val="1"/>
    <w:next w:val="1"/>
    <w:link w:val="22"/>
    <w:qFormat/>
    <w:uiPriority w:val="0"/>
    <w:pPr>
      <w:keepNext/>
      <w:keepLines/>
      <w:spacing w:before="260" w:after="260" w:line="415" w:lineRule="auto"/>
      <w:outlineLvl w:val="2"/>
    </w:pPr>
    <w:rPr>
      <w:b/>
      <w:bCs/>
      <w:sz w:val="32"/>
      <w:szCs w:val="32"/>
    </w:rPr>
  </w:style>
  <w:style w:type="character" w:default="1" w:styleId="17">
    <w:name w:val="Default Paragraph Font"/>
    <w:qFormat/>
    <w:uiPriority w:val="0"/>
  </w:style>
  <w:style w:type="table" w:default="1" w:styleId="16">
    <w:name w:val="Normal Table"/>
    <w:semiHidden/>
    <w:qFormat/>
    <w:uiPriority w:val="0"/>
    <w:tblPr>
      <w:tblLayout w:type="fixed"/>
      <w:tblCellMar>
        <w:top w:w="0" w:type="dxa"/>
        <w:left w:w="108" w:type="dxa"/>
        <w:bottom w:w="0" w:type="dxa"/>
        <w:right w:w="108" w:type="dxa"/>
      </w:tblCellMar>
    </w:tblPr>
  </w:style>
  <w:style w:type="paragraph" w:styleId="2">
    <w:name w:val="footnote text"/>
    <w:basedOn w:val="1"/>
    <w:next w:val="3"/>
    <w:qFormat/>
    <w:uiPriority w:val="0"/>
    <w:pPr>
      <w:snapToGrid w:val="0"/>
      <w:jc w:val="left"/>
    </w:pPr>
    <w:rPr>
      <w:sz w:val="18"/>
      <w:szCs w:val="18"/>
    </w:rPr>
  </w:style>
  <w:style w:type="paragraph" w:styleId="3">
    <w:name w:val="Body Text First Indent 2"/>
    <w:basedOn w:val="4"/>
    <w:next w:val="1"/>
    <w:qFormat/>
    <w:uiPriority w:val="0"/>
    <w:pPr>
      <w:ind w:firstLine="200" w:firstLineChars="200"/>
    </w:pPr>
  </w:style>
  <w:style w:type="paragraph" w:styleId="4">
    <w:name w:val="Body Text Indent"/>
    <w:basedOn w:val="1"/>
    <w:next w:val="3"/>
    <w:qFormat/>
    <w:uiPriority w:val="0"/>
    <w:pPr>
      <w:spacing w:after="120"/>
      <w:ind w:left="200" w:leftChars="200"/>
    </w:pPr>
    <w:rPr>
      <w:rFonts w:ascii="仿宋_GB2312" w:hAnsi="仿宋_GB2312"/>
      <w:szCs w:val="32"/>
    </w:rPr>
  </w:style>
  <w:style w:type="paragraph" w:styleId="8">
    <w:name w:val="Body Text"/>
    <w:basedOn w:val="1"/>
    <w:qFormat/>
    <w:uiPriority w:val="0"/>
    <w:pPr>
      <w:spacing w:before="30" w:beforeLines="30"/>
    </w:pPr>
    <w:rPr>
      <w:rFonts w:ascii="仿宋_GB2312" w:eastAsia="仿宋_GB2312"/>
      <w:kern w:val="0"/>
      <w:sz w:val="30"/>
    </w:rPr>
  </w:style>
  <w:style w:type="paragraph" w:styleId="9">
    <w:name w:val="toc 3"/>
    <w:basedOn w:val="1"/>
    <w:next w:val="1"/>
    <w:qFormat/>
    <w:uiPriority w:val="0"/>
    <w:pPr>
      <w:tabs>
        <w:tab w:val="right" w:leader="dot" w:pos="8296"/>
      </w:tabs>
      <w:ind w:left="400" w:leftChars="400"/>
    </w:pPr>
  </w:style>
  <w:style w:type="paragraph" w:styleId="10">
    <w:name w:val="Balloon Text"/>
    <w:basedOn w:val="1"/>
    <w:qFormat/>
    <w:uiPriority w:val="0"/>
    <w:rPr>
      <w:sz w:val="18"/>
      <w:szCs w:val="18"/>
    </w:rPr>
  </w:style>
  <w:style w:type="paragraph" w:styleId="11">
    <w:name w:val="footer"/>
    <w:basedOn w:val="1"/>
    <w:qFormat/>
    <w:uiPriority w:val="0"/>
    <w:pPr>
      <w:tabs>
        <w:tab w:val="center" w:pos="4153"/>
        <w:tab w:val="right" w:pos="8306"/>
      </w:tabs>
      <w:snapToGrid w:val="0"/>
      <w:jc w:val="left"/>
    </w:pPr>
    <w:rPr>
      <w:rFonts w:ascii="Calibri" w:hAnsi="Calibri"/>
      <w:kern w:val="0"/>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qFormat/>
    <w:uiPriority w:val="0"/>
    <w:pPr>
      <w:tabs>
        <w:tab w:val="right" w:leader="dot" w:pos="8296"/>
      </w:tabs>
      <w:spacing w:before="93"/>
      <w:jc w:val="center"/>
    </w:pPr>
    <w:rPr>
      <w:rFonts w:ascii="仿宋" w:hAnsi="仿宋" w:eastAsia="仿宋"/>
      <w:sz w:val="28"/>
      <w:szCs w:val="28"/>
    </w:rPr>
  </w:style>
  <w:style w:type="paragraph" w:styleId="14">
    <w:name w:val="toc 2"/>
    <w:basedOn w:val="1"/>
    <w:next w:val="1"/>
    <w:qFormat/>
    <w:uiPriority w:val="0"/>
    <w:pPr>
      <w:tabs>
        <w:tab w:val="right" w:leader="dot" w:pos="8296"/>
      </w:tabs>
      <w:ind w:left="200" w:leftChars="200"/>
    </w:pPr>
  </w:style>
  <w:style w:type="paragraph" w:styleId="15">
    <w:name w:val="Normal (Web)"/>
    <w:basedOn w:val="1"/>
    <w:qFormat/>
    <w:uiPriority w:val="0"/>
    <w:pPr>
      <w:keepNext w:val="0"/>
      <w:keepLines w:val="0"/>
      <w:widowControl/>
      <w:suppressLineNumbers w:val="0"/>
      <w:spacing w:before="0" w:beforeAutospacing="1" w:after="0" w:afterAutospacing="1"/>
      <w:ind w:left="0" w:right="0"/>
      <w:jc w:val="left"/>
    </w:pPr>
    <w:rPr>
      <w:rFonts w:ascii="宋体" w:hAnsi="宋体" w:eastAsia="宋体" w:cs="宋体"/>
      <w:kern w:val="0"/>
      <w:sz w:val="24"/>
      <w:szCs w:val="24"/>
      <w:lang w:val="en-US" w:eastAsia="zh-CN"/>
    </w:rPr>
  </w:style>
  <w:style w:type="character" w:styleId="18">
    <w:name w:val="Strong"/>
    <w:basedOn w:val="17"/>
    <w:qFormat/>
    <w:uiPriority w:val="0"/>
    <w:rPr>
      <w:b/>
    </w:rPr>
  </w:style>
  <w:style w:type="character" w:styleId="19">
    <w:name w:val="Hyperlink"/>
    <w:basedOn w:val="17"/>
    <w:qFormat/>
    <w:uiPriority w:val="0"/>
    <w:rPr>
      <w:color w:val="0000FF"/>
      <w:u w:val="single"/>
    </w:rPr>
  </w:style>
  <w:style w:type="character" w:customStyle="1" w:styleId="20">
    <w:name w:val="heading 1 Char"/>
    <w:basedOn w:val="17"/>
    <w:link w:val="5"/>
    <w:uiPriority w:val="0"/>
    <w:rPr>
      <w:rFonts w:ascii="Times New Roman" w:hAnsi="Times New Roman" w:eastAsia="宋体" w:cs="Times New Roman"/>
      <w:b/>
      <w:bCs/>
      <w:kern w:val="44"/>
      <w:sz w:val="44"/>
      <w:szCs w:val="44"/>
      <w:lang w:val="en-US" w:eastAsia="zh-CN" w:bidi="ar-SA"/>
    </w:rPr>
  </w:style>
  <w:style w:type="character" w:customStyle="1" w:styleId="21">
    <w:name w:val="heading 2 Char"/>
    <w:basedOn w:val="17"/>
    <w:link w:val="6"/>
    <w:uiPriority w:val="0"/>
    <w:rPr>
      <w:rFonts w:ascii="Cambria" w:hAnsi="Cambria" w:eastAsia="宋体" w:cs="Times New Roman"/>
      <w:b/>
      <w:bCs/>
      <w:kern w:val="2"/>
      <w:sz w:val="32"/>
      <w:szCs w:val="32"/>
      <w:lang w:val="en-US" w:eastAsia="zh-CN" w:bidi="ar-SA"/>
    </w:rPr>
  </w:style>
  <w:style w:type="character" w:customStyle="1" w:styleId="22">
    <w:name w:val="heading 3 Char"/>
    <w:basedOn w:val="17"/>
    <w:link w:val="7"/>
    <w:uiPriority w:val="0"/>
    <w:rPr>
      <w:rFonts w:ascii="Times New Roman" w:hAnsi="Times New Roman" w:eastAsia="宋体" w:cs="Times New Roman"/>
      <w:b/>
      <w:bCs/>
      <w:kern w:val="2"/>
      <w:sz w:val="32"/>
      <w:szCs w:val="32"/>
      <w:lang w:val="en-US" w:eastAsia="zh-CN" w:bidi="ar-SA"/>
    </w:rPr>
  </w:style>
  <w:style w:type="paragraph" w:customStyle="1" w:styleId="23">
    <w:name w:val="标题 5（有编号）（绿盟科技）"/>
    <w:next w:val="1"/>
    <w:qFormat/>
    <w:uiPriority w:val="0"/>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character" w:customStyle="1" w:styleId="24">
    <w:name w:val="Header Char"/>
    <w:basedOn w:val="17"/>
    <w:qFormat/>
    <w:uiPriority w:val="0"/>
    <w:rPr>
      <w:rFonts w:ascii="Times New Roman" w:hAnsi="Times New Roman"/>
      <w:sz w:val="18"/>
      <w:szCs w:val="18"/>
    </w:rPr>
  </w:style>
  <w:style w:type="character" w:customStyle="1" w:styleId="25">
    <w:name w:val="Footer Char"/>
    <w:basedOn w:val="17"/>
    <w:qFormat/>
    <w:uiPriority w:val="0"/>
    <w:rPr>
      <w:rFonts w:ascii="Times New Roman" w:hAnsi="Times New Roman"/>
      <w:sz w:val="18"/>
      <w:szCs w:val="18"/>
    </w:rPr>
  </w:style>
  <w:style w:type="character" w:customStyle="1" w:styleId="26">
    <w:name w:val="Body Text Char"/>
    <w:basedOn w:val="17"/>
    <w:qFormat/>
    <w:uiPriority w:val="0"/>
    <w:rPr>
      <w:rFonts w:ascii="Times New Roman" w:hAnsi="Times New Roman"/>
      <w:szCs w:val="24"/>
    </w:rPr>
  </w:style>
  <w:style w:type="paragraph" w:customStyle="1" w:styleId="27">
    <w:name w:val="Default"/>
    <w:qFormat/>
    <w:uiPriority w:val="0"/>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8">
    <w:name w:val="List Paragraph"/>
    <w:basedOn w:val="1"/>
    <w:qFormat/>
    <w:uiPriority w:val="0"/>
    <w:pPr>
      <w:ind w:firstLine="200" w:firstLineChars="200"/>
    </w:pPr>
  </w:style>
  <w:style w:type="paragraph" w:customStyle="1" w:styleId="29">
    <w:name w:val="TOC 标题1"/>
    <w:basedOn w:val="5"/>
    <w:next w:val="1"/>
    <w:qFormat/>
    <w:uiPriority w:val="0"/>
    <w:pPr>
      <w:keepNext/>
      <w:keepLines/>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30">
    <w:name w:val="TOC 标题2"/>
    <w:basedOn w:val="5"/>
    <w:next w:val="1"/>
    <w:qFormat/>
    <w:uiPriority w:val="0"/>
    <w:pPr>
      <w:keepNext/>
      <w:keepLines/>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31">
    <w:name w:val="四号正文"/>
    <w:basedOn w:val="1"/>
    <w:qFormat/>
    <w:uiPriority w:val="0"/>
    <w:pPr>
      <w:spacing w:line="360" w:lineRule="auto"/>
    </w:pPr>
    <w:rPr>
      <w:rFonts w:ascii="??" w:hAnsi="??"/>
      <w:color w:val="000000"/>
      <w:kern w:val="0"/>
      <w:sz w:val="28"/>
      <w:szCs w:val="21"/>
      <w:lang w:val="zh-CN"/>
    </w:rPr>
  </w:style>
  <w:style w:type="paragraph" w:customStyle="1" w:styleId="32">
    <w:name w:val="null3"/>
    <w:qFormat/>
    <w:uiPriority w:val="0"/>
    <w:rPr>
      <w:rFonts w:ascii="Calibri" w:hAnsi="Calibri" w:eastAsia="宋体" w:cs="Times New Roman"/>
      <w:sz w:val="20"/>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8" Type="http://schemas.openxmlformats.org/officeDocument/2006/relationships/chart" Target="charts/chart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chart" Target="charts/chart7.xml"/><Relationship Id="rId13" Type="http://schemas.openxmlformats.org/officeDocument/2006/relationships/chart" Target="charts/chart6.xml"/><Relationship Id="rId12" Type="http://schemas.openxmlformats.org/officeDocument/2006/relationships/chart" Target="charts/chart5.xml"/><Relationship Id="rId11" Type="http://schemas.openxmlformats.org/officeDocument/2006/relationships/chart" Target="charts/chart4.xml"/><Relationship Id="rId10" Type="http://schemas.openxmlformats.org/officeDocument/2006/relationships/chart" Target="charts/chart3.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3.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7.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6.xlsx"/></Relationships>
</file>

<file path=word/charts/_rels/chart6.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Workbook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lgn="ctr">
              <a:defRPr lang="zh-CN" sz="1400" b="0" i="0" u="none" strike="noStrike" kern="1200" baseline="0">
                <a:solidFill>
                  <a:srgbClr val="000000"/>
                </a:solidFill>
                <a:latin typeface="Times New Roman" panose="02020603050405020304"/>
                <a:ea typeface="宋体" panose="02010600030101010101" charset="-122"/>
                <a:cs typeface="Lucida Sans" panose="020B0602030504020204"/>
              </a:defRPr>
            </a:pPr>
            <a:r>
              <a:rPr lang="zh-CN"/>
              <a:t>收、支决算总计变动情况图</a:t>
            </a:r>
            <a:endParaRPr lang="zh-CN"/>
          </a:p>
        </c:rich>
      </c:tx>
      <c:layout>
        <c:manualLayout>
          <c:xMode val="edge"/>
          <c:yMode val="edge"/>
          <c:x val="0.346026700572155"/>
          <c:y val="0.00750562922191644"/>
        </c:manualLayout>
      </c:layout>
      <c:overlay val="0"/>
      <c:spPr>
        <a:ln>
          <a:noFill/>
        </a:ln>
      </c:spPr>
    </c:title>
    <c:autoTitleDeleted val="0"/>
    <c:plotArea>
      <c:layout/>
      <c:barChart>
        <c:barDir val="col"/>
        <c:grouping val="clustered"/>
        <c:varyColors val="0"/>
        <c:ser>
          <c:idx val="0"/>
          <c:order val="0"/>
          <c:tx>
            <c:strRef>
              <c:f>'工作表1'!$B$1</c:f>
              <c:strCache>
                <c:ptCount val="1"/>
                <c:pt idx="0">
                  <c:v>2024年</c:v>
                </c:pt>
              </c:strCache>
            </c:strRef>
          </c:tx>
          <c:spPr>
            <a:gradFill rotWithShape="0">
              <a:gsLst>
                <a:gs pos="0">
                  <a:srgbClr val="A1B9E1">
                    <a:alpha val="100000"/>
                  </a:srgbClr>
                </a:gs>
                <a:gs pos="100000">
                  <a:srgbClr val="7B9DD5">
                    <a:alpha val="100000"/>
                  </a:srgbClr>
                </a:gs>
              </a:gsLst>
              <a:lin ang="5400000" scaled="1"/>
            </a:gradFill>
            <a:ln w="12700">
              <a:solidFill>
                <a:srgbClr val="4472C4"/>
              </a:solidFill>
              <a:prstDash val="solid"/>
            </a:ln>
          </c:spPr>
          <c:invertIfNegative val="0"/>
          <c:dLbls>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7F7F7F"/>
                    </a:solidFill>
                    <a:latin typeface="Times New Roman" panose="02020603050405020304"/>
                    <a:ea typeface="宋体" panose="02010600030101010101" charset="-122"/>
                    <a:cs typeface="Lucida Sans" panose="020B0602030504020204"/>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'工作表1'!$A$2:$A$5</c:f>
              <c:strCache>
                <c:ptCount val="4"/>
                <c:pt idx="0">
                  <c:v>支出</c:v>
                </c:pt>
                <c:pt idx="1">
                  <c:v>收入</c:v>
                </c:pt>
                <c:pt idx="2">
                  <c:v>增加</c:v>
                </c:pt>
              </c:strCache>
            </c:strRef>
          </c:cat>
          <c:val>
            <c:numRef>
              <c:f>'工作表1'!$B$2:$B$5</c:f>
              <c:numCache>
                <c:formatCode>General</c:formatCode>
                <c:ptCount val="4"/>
                <c:pt idx="0">
                  <c:v>274</c:v>
                </c:pt>
                <c:pt idx="1">
                  <c:v>274</c:v>
                </c:pt>
                <c:pt idx="2">
                  <c:v>37</c:v>
                </c:pt>
              </c:numCache>
            </c:numRef>
          </c:val>
        </c:ser>
        <c:ser>
          <c:idx val="1"/>
          <c:order val="1"/>
          <c:tx>
            <c:strRef>
              <c:f>'工作表1'!$C$1</c:f>
              <c:strCache>
                <c:ptCount val="1"/>
                <c:pt idx="0">
                  <c:v>2025年</c:v>
                </c:pt>
              </c:strCache>
            </c:strRef>
          </c:tx>
          <c:spPr>
            <a:gradFill rotWithShape="0">
              <a:gsLst>
                <a:gs pos="0">
                  <a:srgbClr val="F6BE98">
                    <a:alpha val="100000"/>
                  </a:srgbClr>
                </a:gs>
                <a:gs pos="100000">
                  <a:srgbClr val="F2A36E">
                    <a:alpha val="100000"/>
                  </a:srgbClr>
                </a:gs>
              </a:gsLst>
              <a:lin ang="5400000" scaled="1"/>
            </a:gradFill>
            <a:ln w="12700">
              <a:solidFill>
                <a:srgbClr val="ED7D31"/>
              </a:solidFill>
              <a:prstDash val="solid"/>
            </a:ln>
          </c:spPr>
          <c:invertIfNegative val="0"/>
          <c:dLbls>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7F7F7F"/>
                    </a:solidFill>
                    <a:latin typeface="Times New Roman" panose="02020603050405020304"/>
                    <a:ea typeface="宋体" panose="02010600030101010101" charset="-122"/>
                    <a:cs typeface="Lucida Sans" panose="020B0602030504020204"/>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'工作表1'!$A$2:$A$5</c:f>
              <c:strCache>
                <c:ptCount val="4"/>
                <c:pt idx="0">
                  <c:v>支出</c:v>
                </c:pt>
                <c:pt idx="1">
                  <c:v>收入</c:v>
                </c:pt>
                <c:pt idx="2">
                  <c:v>增加</c:v>
                </c:pt>
              </c:strCache>
            </c:strRef>
          </c:cat>
          <c:val>
            <c:numRef>
              <c:f>'工作表1'!$C$2:$C$5</c:f>
              <c:numCache>
                <c:formatCode>General</c:formatCode>
                <c:ptCount val="4"/>
                <c:pt idx="0">
                  <c:v>237</c:v>
                </c:pt>
                <c:pt idx="1">
                  <c:v>237</c:v>
                </c:pt>
                <c:pt idx="2" c:formatCode="0.00%">
                  <c:v>0.1561</c:v>
                </c:pt>
              </c:numCache>
            </c:numRef>
          </c:val>
        </c:ser>
        <c:ser>
          <c:idx val="2"/>
          <c:order val="2"/>
          <c:tx>
            <c:strRef>
              <c:f>'工作表1'!$D$1</c:f>
              <c:strCache>
                <c:ptCount val="1"/>
                <c:pt idx="0">
                  <c:v/>
                </c:pt>
              </c:strCache>
            </c:strRef>
          </c:tx>
          <c:spPr>
            <a:gradFill rotWithShape="0">
              <a:gsLst>
                <a:gs pos="0">
                  <a:srgbClr val="D2D2D2">
                    <a:alpha val="100000"/>
                  </a:srgbClr>
                </a:gs>
                <a:gs pos="100000">
                  <a:srgbClr val="BFBFBF">
                    <a:alpha val="100000"/>
                  </a:srgbClr>
                </a:gs>
              </a:gsLst>
              <a:lin ang="5400000" scaled="1"/>
            </a:gradFill>
            <a:ln w="12700">
              <a:solidFill>
                <a:srgbClr val="A5A5A5"/>
              </a:solidFill>
              <a:prstDash val="solid"/>
            </a:ln>
          </c:spPr>
          <c:invertIfNegative val="0"/>
          <c:dLbls>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7F7F7F"/>
                    </a:solidFill>
                    <a:latin typeface="Times New Roman" panose="02020603050405020304"/>
                    <a:ea typeface="宋体" panose="02010600030101010101" charset="-122"/>
                    <a:cs typeface="Lucida Sans" panose="020B0602030504020204"/>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'工作表1'!$A$2:$A$5</c:f>
              <c:strCache>
                <c:ptCount val="4"/>
                <c:pt idx="0">
                  <c:v>支出</c:v>
                </c:pt>
                <c:pt idx="1">
                  <c:v>收入</c:v>
                </c:pt>
                <c:pt idx="2">
                  <c:v>增加</c:v>
                </c:pt>
              </c:strCache>
            </c:strRef>
          </c:cat>
          <c:val>
            <c:numRef>
              <c:f>'工作表1'!$D$2:$D$5</c:f>
              <c:numCache>
                <c:formatCode>General</c:formatCode>
                <c:ptCount val="4"/>
              </c:numCache>
            </c:numRef>
          </c:val>
        </c:ser>
        <c:dLbls>
          <c:showLegendKey val="0"/>
          <c:showVal val="1"/>
          <c:showCatName val="0"/>
          <c:showSerName val="0"/>
          <c:showPercent val="0"/>
          <c:showBubbleSize val="0"/>
        </c:dLbls>
        <c:gapWidth val="100"/>
        <c:overlap val="-24"/>
        <c:axId val="0"/>
        <c:axId val="1"/>
      </c:barChart>
      <c:catAx>
        <c:axId val="0"/>
        <c:scaling>
          <c:orientation val="minMax"/>
        </c:scaling>
        <c:delete val="0"/>
        <c:axPos val="b"/>
        <c:numFmt formatCode="General" sourceLinked="1"/>
        <c:majorTickMark val="none"/>
        <c:minorTickMark val="none"/>
        <c:tickLblPos val="nextTo"/>
        <c:spPr>
          <a:ln w="12700" cap="flat" cmpd="sng">
            <a:solidFill>
              <a:srgbClr val="D8D8D8"/>
            </a:solidFill>
            <a:prstDash val="solid"/>
            <a:round/>
          </a:ln>
        </c:spPr>
        <c:txPr>
          <a:bodyPr rot="-60000000" spcFirstLastPara="0" vertOverflow="ellipsis" vert="horz" wrap="square" anchor="ctr" anchorCtr="1"/>
          <a:lstStyle/>
          <a:p>
            <a:pPr>
              <a:defRPr lang="zh-CN" sz="900" b="0" i="0" u="none" strike="noStrike" kern="1200" baseline="0">
                <a:solidFill>
                  <a:srgbClr val="7F7F7F"/>
                </a:solidFill>
                <a:latin typeface="Times New Roman" panose="02020603050405020304"/>
                <a:ea typeface="宋体" panose="02010600030101010101" charset="-122"/>
                <a:cs typeface="Lucida Sans" panose="020B0602030504020204"/>
              </a:defRPr>
            </a:pPr>
          </a:p>
        </c:txPr>
        <c:crossAx val="1"/>
        <c:crosses val="autoZero"/>
        <c:auto val="1"/>
        <c:lblAlgn val="ctr"/>
        <c:lblOffset val="100"/>
        <c:noMultiLvlLbl val="0"/>
      </c:catAx>
      <c:valAx>
        <c:axId val="1"/>
        <c:scaling>
          <c:orientation val="minMax"/>
        </c:scaling>
        <c:delete val="0"/>
        <c:axPos val="l"/>
        <c:majorGridlines>
          <c:spPr>
            <a:ln w="12700" cap="flat" cmpd="sng">
              <a:solidFill>
                <a:srgbClr val="D8D8D8"/>
              </a:solidFill>
              <a:prstDash val="solid"/>
              <a:round/>
            </a:ln>
          </c:spPr>
        </c:majorGridlines>
        <c:numFmt formatCode="General" sourceLinked="1"/>
        <c:majorTickMark val="none"/>
        <c:minorTickMark val="none"/>
        <c:tickLblPos val="nextTo"/>
        <c:spPr>
          <a:ln w="9525" cap="flat" cmpd="sng">
            <a:noFill/>
            <a:prstDash val="solid"/>
            <a:round/>
          </a:ln>
        </c:spPr>
        <c:txPr>
          <a:bodyPr rot="-60000000" spcFirstLastPara="0" vertOverflow="ellipsis" vert="horz" wrap="square" anchor="ctr" anchorCtr="1"/>
          <a:lstStyle/>
          <a:p>
            <a:pPr>
              <a:defRPr lang="zh-CN" sz="900" b="0" i="0" u="none" strike="noStrike" kern="1200" baseline="0">
                <a:solidFill>
                  <a:srgbClr val="7F7F7F"/>
                </a:solidFill>
                <a:latin typeface="Times New Roman" panose="02020603050405020304"/>
                <a:ea typeface="宋体" panose="02010600030101010101" charset="-122"/>
                <a:cs typeface="Lucida Sans" panose="020B0602030504020204"/>
              </a:defRPr>
            </a:pPr>
          </a:p>
        </c:txPr>
        <c:crossAx val="0"/>
        <c:crosses val="autoZero"/>
        <c:crossBetween val="between"/>
      </c:valAx>
      <c:spPr>
        <a:noFill/>
        <a:ln>
          <a:noFill/>
        </a:ln>
      </c:spPr>
    </c:plotArea>
    <c:legend>
      <c:legendPos val="b"/>
      <c:legendEntry>
        <c:idx val="2"/>
        <c:delete val="1"/>
      </c:legendEntry>
      <c:layout/>
      <c:overlay val="0"/>
      <c:spPr>
        <a:noFill/>
        <a:ln>
          <a:noFill/>
        </a:ln>
      </c:spPr>
      <c:txPr>
        <a:bodyPr rot="0" spcFirstLastPara="0" vertOverflow="ellipsis" vert="horz" wrap="square" anchor="ctr" anchorCtr="1"/>
        <a:lstStyle/>
        <a:p>
          <a:pPr>
            <a:defRPr lang="zh-CN" sz="900" b="0" i="0" u="none" strike="noStrike" kern="1200" baseline="0">
              <a:solidFill>
                <a:srgbClr val="7F7F7F"/>
              </a:solidFill>
              <a:latin typeface="Times New Roman" panose="02020603050405020304"/>
              <a:ea typeface="宋体" panose="02010600030101010101" charset="-122"/>
              <a:cs typeface="Lucida Sans" panose="020B0602030504020204"/>
            </a:defRPr>
          </a:pPr>
        </a:p>
      </c:txPr>
    </c:legend>
    <c:plotVisOnly val="1"/>
    <c:dispBlanksAs val="gap"/>
    <c:showDLblsOverMax val="0"/>
  </c:chart>
  <c:spPr>
    <a:solidFill>
      <a:srgbClr val="FFFFFF"/>
    </a:solidFill>
    <a:ln w="12700" cap="flat" cmpd="sng">
      <a:solidFill>
        <a:srgbClr val="D8D8D8"/>
      </a:solidFill>
      <a:prstDash val="solid"/>
      <a:round/>
    </a:ln>
  </c:spPr>
  <c:txPr>
    <a:bodyPr/>
    <a:lstStyle/>
    <a:p>
      <a:pPr>
        <a:defRPr lang="zh-CN" sz="900" b="0" i="0" u="none" strike="noStrike" baseline="0">
          <a:solidFill>
            <a:srgbClr val="000000"/>
          </a:solidFill>
          <a:latin typeface="Times New Roman" panose="02020603050405020304"/>
          <a:ea typeface="宋体" panose="02010600030101010101" charset="-122"/>
          <a:cs typeface="Lucida Sans" panose="020B0602030504020204"/>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lgn="ctr">
              <a:defRPr lang="zh-CN" sz="1600" b="1" i="0" u="none" strike="noStrike" kern="1200" baseline="0">
                <a:solidFill>
                  <a:srgbClr val="44546A"/>
                </a:solidFill>
                <a:latin typeface="Times New Roman" panose="02020603050405020304"/>
                <a:ea typeface="宋体" panose="02010600030101010101" charset="-122"/>
                <a:cs typeface="Lucida Sans" panose="020B0602030504020204"/>
              </a:defRPr>
            </a:pPr>
            <a:r>
              <a:rPr lang="zh-CN"/>
              <a:t>支出决算结构图</a:t>
            </a:r>
            <a:endParaRPr lang="zh-CN"/>
          </a:p>
        </c:rich>
      </c:tx>
      <c:layout>
        <c:manualLayout>
          <c:xMode val="edge"/>
          <c:yMode val="edge"/>
          <c:x val="0.39"/>
          <c:y val="0.00706713780918728"/>
        </c:manualLayout>
      </c:layout>
      <c:overlay val="0"/>
      <c:spPr>
        <a:ln>
          <a:noFill/>
        </a:ln>
      </c:spPr>
    </c:title>
    <c:autoTitleDeleted val="0"/>
    <c:plotArea>
      <c:layout/>
      <c:pieChart>
        <c:varyColors val="1"/>
        <c:ser>
          <c:idx val="0"/>
          <c:order val="0"/>
          <c:tx>
            <c:strRef>
              <c:f>'工作表1'!$B$1</c:f>
              <c:strCache>
                <c:ptCount val="1"/>
                <c:pt idx="0">
                  <c:v>销售额</c:v>
                </c:pt>
              </c:strCache>
            </c:strRef>
          </c:tx>
          <c:spPr>
            <a:ln>
              <a:noFill/>
            </a:ln>
          </c:spPr>
          <c:explosion val="0"/>
          <c:dPt>
            <c:idx val="0"/>
            <c:bubble3D val="0"/>
            <c:spPr>
              <a:gradFill rotWithShape="0">
                <a:gsLst>
                  <a:gs pos="0">
                    <a:srgbClr val="5A87D2">
                      <a:alpha val="100000"/>
                    </a:srgbClr>
                  </a:gs>
                  <a:gs pos="100000">
                    <a:srgbClr val="3367BD">
                      <a:alpha val="100000"/>
                    </a:srgbClr>
                  </a:gs>
                </a:gsLst>
                <a:lin ang="5400000" scaled="1"/>
              </a:gradFill>
              <a:ln>
                <a:noFill/>
              </a:ln>
            </c:spPr>
          </c:dPt>
          <c:dPt>
            <c:idx val="1"/>
            <c:bubble3D val="0"/>
            <c:spPr>
              <a:gradFill rotWithShape="0">
                <a:gsLst>
                  <a:gs pos="0">
                    <a:srgbClr val="F88E48">
                      <a:alpha val="100000"/>
                    </a:srgbClr>
                  </a:gs>
                  <a:gs pos="100000">
                    <a:srgbClr val="F56C11">
                      <a:alpha val="100000"/>
                    </a:srgbClr>
                  </a:gs>
                </a:gsLst>
                <a:lin ang="5400000" scaled="1"/>
              </a:gradFill>
              <a:ln>
                <a:noFill/>
              </a:ln>
            </c:spPr>
          </c:dPt>
          <c:dPt>
            <c:idx val="2"/>
            <c:bubble3D val="0"/>
            <c:spPr>
              <a:gradFill rotWithShape="0">
                <a:gsLst>
                  <a:gs pos="0">
                    <a:srgbClr val="B2B2B2">
                      <a:alpha val="100000"/>
                    </a:srgbClr>
                  </a:gs>
                  <a:gs pos="100000">
                    <a:srgbClr val="999999">
                      <a:alpha val="100000"/>
                    </a:srgbClr>
                  </a:gs>
                </a:gsLst>
                <a:lin ang="5400000" scaled="1"/>
              </a:gradFill>
              <a:ln>
                <a:noFill/>
              </a:ln>
            </c:spPr>
          </c:dPt>
          <c:dPt>
            <c:idx val="3"/>
            <c:bubble3D val="0"/>
            <c:spPr>
              <a:gradFill rotWithShape="0">
                <a:gsLst>
                  <a:gs pos="0">
                    <a:srgbClr val="FFCA27">
                      <a:alpha val="100000"/>
                    </a:srgbClr>
                  </a:gs>
                  <a:gs pos="100000">
                    <a:srgbClr val="E8AF00">
                      <a:alpha val="100000"/>
                    </a:srgbClr>
                  </a:gs>
                </a:gsLst>
                <a:lin ang="5400000" scaled="1"/>
              </a:gradFill>
              <a:ln>
                <a:noFill/>
              </a:ln>
            </c:spPr>
          </c:dPt>
          <c:dLbls>
            <c:dLbl>
              <c:idx val="0"/>
              <c:layout/>
              <c:numFmt formatCode="General" sourceLinked="1"/>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333F4F"/>
                      </a:solidFill>
                      <a:latin typeface="Times New Roman" panose="02020603050405020304"/>
                      <a:ea typeface="宋体" panose="02010600030101010101" charset="-122"/>
                      <a:cs typeface="Lucida Sans" panose="020B0602030504020204"/>
                    </a:defRPr>
                  </a:pPr>
                </a:p>
              </c:txPr>
              <c:dLblPos val="inEnd"/>
              <c:showLegendKey val="0"/>
              <c:showVal val="0"/>
              <c:showCatName val="0"/>
              <c:showSerName val="0"/>
              <c:showPercent val="1"/>
              <c:showBubbleSize val="0"/>
              <c:extLst>
                <c:ext xmlns:c15="http://schemas.microsoft.com/office/drawing/2012/chart" uri="{CE6537A1-D6FC-4f65-9D91-7224C49458BB}"/>
              </c:extLst>
            </c:dLbl>
            <c:dLbl>
              <c:idx val="1"/>
              <c:layout/>
              <c:numFmt formatCode="General" sourceLinked="1"/>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333F4F"/>
                      </a:solidFill>
                      <a:latin typeface="Times New Roman" panose="02020603050405020304"/>
                      <a:ea typeface="宋体" panose="02010600030101010101" charset="-122"/>
                      <a:cs typeface="Lucida Sans" panose="020B0602030504020204"/>
                    </a:defRPr>
                  </a:pPr>
                </a:p>
              </c:txPr>
              <c:dLblPos val="inEnd"/>
              <c:showLegendKey val="0"/>
              <c:showVal val="0"/>
              <c:showCatName val="0"/>
              <c:showSerName val="0"/>
              <c:showPercent val="1"/>
              <c:showBubbleSize val="0"/>
              <c:extLst>
                <c:ext xmlns:c15="http://schemas.microsoft.com/office/drawing/2012/chart" uri="{CE6537A1-D6FC-4f65-9D91-7224C49458BB}"/>
              </c:extLst>
            </c:dLbl>
            <c:dLbl>
              <c:idx val="2"/>
              <c:layout/>
              <c:numFmt formatCode="General" sourceLinked="1"/>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333F4F"/>
                      </a:solidFill>
                      <a:latin typeface="Times New Roman" panose="02020603050405020304"/>
                      <a:ea typeface="宋体" panose="02010600030101010101" charset="-122"/>
                      <a:cs typeface="Lucida Sans" panose="020B0602030504020204"/>
                    </a:defRPr>
                  </a:pPr>
                </a:p>
              </c:txPr>
              <c:dLblPos val="inEnd"/>
              <c:showLegendKey val="0"/>
              <c:showVal val="0"/>
              <c:showCatName val="0"/>
              <c:showSerName val="0"/>
              <c:showPercent val="1"/>
              <c:showBubbleSize val="0"/>
              <c:extLst>
                <c:ext xmlns:c15="http://schemas.microsoft.com/office/drawing/2012/chart" uri="{CE6537A1-D6FC-4f65-9D91-7224C49458BB}"/>
              </c:extLst>
            </c:dLbl>
            <c:dLbl>
              <c:idx val="3"/>
              <c:layout/>
              <c:numFmt formatCode="General" sourceLinked="1"/>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333F4F"/>
                      </a:solidFill>
                      <a:latin typeface="Times New Roman" panose="02020603050405020304"/>
                      <a:ea typeface="宋体" panose="02010600030101010101" charset="-122"/>
                      <a:cs typeface="Lucida Sans" panose="020B0602030504020204"/>
                    </a:defRPr>
                  </a:pPr>
                </a:p>
              </c:txPr>
              <c:dLblPos val="inEnd"/>
              <c:showLegendKey val="0"/>
              <c:showVal val="0"/>
              <c:showCatName val="0"/>
              <c:showSerName val="0"/>
              <c:showPercent val="1"/>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333F4F"/>
                    </a:solidFill>
                    <a:latin typeface="Times New Roman" panose="02020603050405020304"/>
                    <a:ea typeface="宋体" panose="02010600030101010101" charset="-122"/>
                    <a:cs typeface="Lucida Sans" panose="020B0602030504020204"/>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'工作表1'!$A$2:$A$5</c:f>
              <c:strCache>
                <c:ptCount val="4"/>
                <c:pt idx="0">
                  <c:v>基本支出</c:v>
                </c:pt>
                <c:pt idx="1">
                  <c:v>项目支出</c:v>
                </c:pt>
              </c:strCache>
            </c:strRef>
          </c:cat>
          <c:val>
            <c:numRef>
              <c:f>'工作表1'!$B$2:$B$5</c:f>
              <c:numCache>
                <c:formatCode>0.00%</c:formatCode>
                <c:ptCount val="4"/>
                <c:pt idx="0">
                  <c:v>0.6995</c:v>
                </c:pt>
                <c:pt idx="1">
                  <c:v>0.3004</c:v>
                </c:pt>
              </c:numCache>
            </c:numRef>
          </c:val>
        </c:ser>
        <c:dLbls>
          <c:showLegendKey val="0"/>
          <c:showVal val="0"/>
          <c:showCatName val="0"/>
          <c:showSerName val="0"/>
          <c:showPercent val="1"/>
          <c:showBubbleSize val="0"/>
          <c:showLeaderLines val="1"/>
        </c:dLbls>
        <c:firstSliceAng val="0"/>
      </c:pieChart>
      <c:spPr>
        <a:noFill/>
        <a:ln>
          <a:noFill/>
        </a:ln>
      </c:spPr>
    </c:plotArea>
    <c:legend>
      <c:legendPos val="b"/>
      <c:layout/>
      <c:overlay val="0"/>
      <c:spPr>
        <a:noFill/>
        <a:ln>
          <a:noFill/>
        </a:ln>
      </c:spPr>
      <c:txPr>
        <a:bodyPr rot="0" spcFirstLastPara="0" vertOverflow="ellipsis" vert="horz" wrap="square" anchor="ctr" anchorCtr="1"/>
        <a:lstStyle/>
        <a:p>
          <a:pPr>
            <a:defRPr lang="zh-CN" sz="900" b="0" i="0" u="none" strike="noStrike" kern="1200" baseline="0">
              <a:solidFill>
                <a:srgbClr val="333F4F"/>
              </a:solidFill>
              <a:latin typeface="Times New Roman" panose="02020603050405020304"/>
              <a:ea typeface="宋体" panose="02010600030101010101" charset="-122"/>
              <a:cs typeface="Lucida Sans" panose="020B0602030504020204"/>
            </a:defRPr>
          </a:pPr>
        </a:p>
      </c:txPr>
    </c:legend>
    <c:plotVisOnly val="1"/>
    <c:dispBlanksAs val="gap"/>
    <c:showDLblsOverMax val="0"/>
  </c:chart>
  <c:spPr>
    <a:solidFill>
      <a:srgbClr val="FFFFFF"/>
    </a:solidFill>
    <a:ln w="12700" cap="flat" cmpd="sng">
      <a:solidFill>
        <a:srgbClr val="DFE4EB"/>
      </a:solidFill>
      <a:prstDash val="solid"/>
      <a:round/>
    </a:ln>
  </c:spPr>
  <c:txPr>
    <a:bodyPr/>
    <a:lstStyle/>
    <a:p>
      <a:pPr>
        <a:defRPr lang="zh-CN" sz="900" b="0" i="0" u="none" strike="noStrike" baseline="0">
          <a:solidFill>
            <a:srgbClr val="000000"/>
          </a:solidFill>
          <a:latin typeface="Times New Roman" panose="02020603050405020304"/>
          <a:ea typeface="宋体" panose="02010600030101010101" charset="-122"/>
          <a:cs typeface="Lucida Sans" panose="020B0602030504020204"/>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lgn="ctr">
              <a:defRPr lang="zh-CN" sz="1600" b="1" i="0" u="none" strike="noStrike" kern="1200" baseline="0">
                <a:solidFill>
                  <a:srgbClr val="595959"/>
                </a:solidFill>
                <a:latin typeface="Times New Roman" panose="02020603050405020304"/>
                <a:ea typeface="宋体" panose="02010600030101010101" charset="-122"/>
                <a:cs typeface="Lucida Sans" panose="020B0602030504020204"/>
              </a:defRPr>
            </a:pPr>
            <a:r>
              <a:rPr lang="zh-CN"/>
              <a:t>收入决算结构图</a:t>
            </a:r>
            <a:endParaRPr lang="zh-CN"/>
          </a:p>
        </c:rich>
      </c:tx>
      <c:layout/>
      <c:overlay val="0"/>
      <c:spPr>
        <a:ln>
          <a:noFill/>
        </a:ln>
      </c:spPr>
    </c:title>
    <c:autoTitleDeleted val="0"/>
    <c:plotArea>
      <c:layout/>
      <c:pieChart>
        <c:varyColors val="1"/>
        <c:ser>
          <c:idx val="0"/>
          <c:order val="0"/>
          <c:tx>
            <c:strRef>
              <c:f>'工作表1'!$B$1</c:f>
              <c:strCache>
                <c:ptCount val="1"/>
                <c:pt idx="0">
                  <c:v>销售</c:v>
                </c:pt>
              </c:strCache>
            </c:strRef>
          </c:tx>
          <c:spPr>
            <a:ln>
              <a:noFill/>
            </a:ln>
          </c:spPr>
          <c:explosion val="0"/>
          <c:dPt>
            <c:idx val="0"/>
            <c:bubble3D val="0"/>
            <c:spPr>
              <a:gradFill rotWithShape="0">
                <a:gsLst>
                  <a:gs pos="0">
                    <a:srgbClr val="5A87D2">
                      <a:alpha val="100000"/>
                    </a:srgbClr>
                  </a:gs>
                  <a:gs pos="100000">
                    <a:srgbClr val="3367BD">
                      <a:alpha val="100000"/>
                    </a:srgbClr>
                  </a:gs>
                </a:gsLst>
                <a:lin ang="5400000" scaled="1"/>
              </a:gradFill>
              <a:ln>
                <a:noFill/>
              </a:ln>
            </c:spPr>
          </c:dPt>
          <c:dPt>
            <c:idx val="1"/>
            <c:bubble3D val="0"/>
            <c:spPr>
              <a:gradFill rotWithShape="0">
                <a:gsLst>
                  <a:gs pos="0">
                    <a:srgbClr val="F88E48">
                      <a:alpha val="100000"/>
                    </a:srgbClr>
                  </a:gs>
                  <a:gs pos="100000">
                    <a:srgbClr val="F56C11">
                      <a:alpha val="100000"/>
                    </a:srgbClr>
                  </a:gs>
                </a:gsLst>
                <a:lin ang="5400000" scaled="1"/>
              </a:gradFill>
              <a:ln>
                <a:noFill/>
              </a:ln>
            </c:spPr>
          </c:dPt>
          <c:dPt>
            <c:idx val="2"/>
            <c:bubble3D val="0"/>
            <c:spPr>
              <a:gradFill rotWithShape="0">
                <a:gsLst>
                  <a:gs pos="0">
                    <a:srgbClr val="B2B2B2">
                      <a:alpha val="100000"/>
                    </a:srgbClr>
                  </a:gs>
                  <a:gs pos="100000">
                    <a:srgbClr val="999999">
                      <a:alpha val="100000"/>
                    </a:srgbClr>
                  </a:gs>
                </a:gsLst>
                <a:lin ang="5400000" scaled="1"/>
              </a:gradFill>
              <a:ln>
                <a:noFill/>
              </a:ln>
            </c:spPr>
          </c:dPt>
          <c:dPt>
            <c:idx val="3"/>
            <c:bubble3D val="0"/>
            <c:spPr>
              <a:gradFill rotWithShape="0">
                <a:gsLst>
                  <a:gs pos="0">
                    <a:srgbClr val="FFCA27">
                      <a:alpha val="100000"/>
                    </a:srgbClr>
                  </a:gs>
                  <a:gs pos="100000">
                    <a:srgbClr val="E8AF00">
                      <a:alpha val="100000"/>
                    </a:srgbClr>
                  </a:gs>
                </a:gsLst>
                <a:lin ang="5400000" scaled="1"/>
              </a:gradFill>
              <a:ln>
                <a:noFill/>
              </a:ln>
            </c:spPr>
          </c:dPt>
          <c:dLbls>
            <c:dLbl>
              <c:idx val="0"/>
              <c:layout/>
              <c:numFmt formatCode="General" sourceLinked="1"/>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3F3F3F"/>
                      </a:solidFill>
                      <a:latin typeface="Times New Roman" panose="02020603050405020304"/>
                      <a:ea typeface="宋体" panose="02010600030101010101" charset="-122"/>
                      <a:cs typeface="Lucida Sans" panose="020B0602030504020204"/>
                    </a:defRPr>
                  </a:pPr>
                </a:p>
              </c:txPr>
              <c:dLblPos val="inEnd"/>
              <c:showLegendKey val="0"/>
              <c:showVal val="0"/>
              <c:showCatName val="1"/>
              <c:showSerName val="0"/>
              <c:showPercent val="1"/>
              <c:showBubbleSize val="0"/>
              <c:separator>
</c:separator>
              <c:extLst>
                <c:ext xmlns:c15="http://schemas.microsoft.com/office/drawing/2012/chart" uri="{CE6537A1-D6FC-4f65-9D91-7224C49458BB}"/>
              </c:extLst>
            </c:dLbl>
            <c:dLbl>
              <c:idx val="1"/>
              <c:layout>
                <c:manualLayout>
                  <c:x val="0.0018065199677871"/>
                  <c:y val="0.340506944443298"/>
                </c:manualLayout>
              </c:layout>
              <c:numFmt formatCode="General" sourceLinked="1"/>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3F3F3F"/>
                      </a:solidFill>
                      <a:latin typeface="Times New Roman" panose="02020603050405020304"/>
                      <a:ea typeface="宋体" panose="02010600030101010101" charset="-122"/>
                      <a:cs typeface="Lucida Sans" panose="020B0602030504020204"/>
                    </a:defRPr>
                  </a:pPr>
                </a:p>
              </c:txPr>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dLbl>
              <c:idx val="2"/>
              <c:delete val="1"/>
            </c:dLbl>
            <c:dLbl>
              <c:idx val="3"/>
              <c:delete val="1"/>
            </c:dLbl>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3F3F3F"/>
                    </a:solidFill>
                    <a:latin typeface="Times New Roman" panose="02020603050405020304"/>
                    <a:ea typeface="宋体" panose="02010600030101010101" charset="-122"/>
                    <a:cs typeface="Lucida Sans" panose="020B0602030504020204"/>
                  </a:defRPr>
                </a:pPr>
              </a:p>
            </c:txPr>
            <c:dLblPos val="in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ext>
            </c:extLst>
          </c:dLbls>
          <c:cat>
            <c:strRef>
              <c:f>'工作表1'!$A$2:$A$5</c:f>
              <c:strCache>
                <c:ptCount val="4"/>
                <c:pt idx="0">
                  <c:v>一般公共预算财政拨款收入</c:v>
                </c:pt>
                <c:pt idx="1">
                  <c:v>政府性预算财政拨款收入</c:v>
                </c:pt>
                <c:pt idx="2">
                  <c:v>国有资本经营预算财政拨款收入</c:v>
                </c:pt>
                <c:pt idx="3">
                  <c:v>上级补助收入</c:v>
                </c:pt>
              </c:strCache>
            </c:strRef>
          </c:cat>
          <c:val>
            <c:numRef>
              <c:f>'工作表1'!$B$2:$B$5</c:f>
              <c:numCache>
                <c:formatCode>0%</c:formatCode>
                <c:ptCount val="4"/>
                <c:pt idx="0">
                  <c:v>1</c:v>
                </c:pt>
                <c:pt idx="1" c:formatCode="General">
                  <c:v>0</c:v>
                </c:pt>
                <c:pt idx="2" c:formatCode="General">
                  <c:v>0</c:v>
                </c:pt>
                <c:pt idx="3" c:formatCode="General">
                  <c:v>0</c:v>
                </c:pt>
              </c:numCache>
            </c:numRef>
          </c:val>
        </c:ser>
        <c:dLbls>
          <c:showLegendKey val="0"/>
          <c:showVal val="0"/>
          <c:showCatName val="1"/>
          <c:showSerName val="0"/>
          <c:showPercent val="1"/>
          <c:showBubbleSize val="0"/>
          <c:showLeaderLines val="1"/>
        </c:dLbls>
        <c:firstSliceAng val="0"/>
      </c:pieChart>
      <c:spPr>
        <a:noFill/>
        <a:ln>
          <a:noFill/>
        </a:ln>
      </c:spPr>
    </c:plotArea>
    <c:legend>
      <c:legendPos val="b"/>
      <c:layout/>
      <c:overlay val="0"/>
      <c:spPr>
        <a:noFill/>
        <a:ln>
          <a:noFill/>
        </a:ln>
      </c:spPr>
      <c:txPr>
        <a:bodyPr rot="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Lucida Sans" panose="020B0602030504020204"/>
            </a:defRPr>
          </a:pPr>
        </a:p>
      </c:txPr>
    </c:legend>
    <c:plotVisOnly val="1"/>
    <c:dispBlanksAs val="gap"/>
    <c:showDLblsOverMax val="0"/>
  </c:chart>
  <c:spPr>
    <a:solidFill>
      <a:srgbClr val="FFFFFF"/>
    </a:solidFill>
    <a:ln w="12700" cap="flat" cmpd="sng">
      <a:solidFill>
        <a:srgbClr val="D8D8D8"/>
      </a:solidFill>
      <a:prstDash val="solid"/>
      <a:round/>
    </a:ln>
  </c:spPr>
  <c:txPr>
    <a:bodyPr/>
    <a:lstStyle/>
    <a:p>
      <a:pPr>
        <a:defRPr lang="zh-CN" sz="900" b="0" i="0" u="none" strike="noStrike" baseline="0">
          <a:solidFill>
            <a:srgbClr val="000000"/>
          </a:solidFill>
          <a:latin typeface="Times New Roman" panose="02020603050405020304"/>
          <a:ea typeface="宋体" panose="02010600030101010101" charset="-122"/>
          <a:cs typeface="Lucida Sans" panose="020B0602030504020204"/>
        </a:defRPr>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lgn="ctr">
              <a:defRPr lang="zh-CN" sz="1400" b="0" i="0" u="none" strike="noStrike" kern="1200" baseline="0">
                <a:solidFill>
                  <a:srgbClr val="000000"/>
                </a:solidFill>
                <a:latin typeface="Times New Roman" panose="02020603050405020304"/>
                <a:ea typeface="宋体" panose="02010600030101010101" charset="-122"/>
                <a:cs typeface="Lucida Sans" panose="020B0602030504020204"/>
              </a:defRPr>
            </a:pPr>
            <a:r>
              <a:rPr lang="zh-CN"/>
              <a:t>财政拨款收、支决算总计变动情况图</a:t>
            </a:r>
            <a:endParaRPr lang="zh-CN"/>
          </a:p>
        </c:rich>
      </c:tx>
      <c:layout>
        <c:manualLayout>
          <c:xMode val="edge"/>
          <c:yMode val="edge"/>
          <c:x val="0.223331214240305"/>
          <c:y val="0.00750562922191644"/>
        </c:manualLayout>
      </c:layout>
      <c:overlay val="0"/>
      <c:spPr>
        <a:ln>
          <a:noFill/>
        </a:ln>
      </c:spPr>
    </c:title>
    <c:autoTitleDeleted val="0"/>
    <c:plotArea>
      <c:layout/>
      <c:barChart>
        <c:barDir val="col"/>
        <c:grouping val="clustered"/>
        <c:varyColors val="0"/>
        <c:ser>
          <c:idx val="0"/>
          <c:order val="0"/>
          <c:tx>
            <c:strRef>
              <c:f>'工作表1'!$B$1</c:f>
              <c:strCache>
                <c:ptCount val="1"/>
                <c:pt idx="0">
                  <c:v>2024年</c:v>
                </c:pt>
              </c:strCache>
            </c:strRef>
          </c:tx>
          <c:spPr>
            <a:gradFill rotWithShape="0">
              <a:gsLst>
                <a:gs pos="0">
                  <a:srgbClr val="A1B9E1">
                    <a:alpha val="100000"/>
                  </a:srgbClr>
                </a:gs>
                <a:gs pos="100000">
                  <a:srgbClr val="7B9DD5">
                    <a:alpha val="100000"/>
                  </a:srgbClr>
                </a:gs>
              </a:gsLst>
              <a:lin ang="5400000" scaled="1"/>
            </a:gradFill>
            <a:ln w="12700">
              <a:solidFill>
                <a:srgbClr val="4472C4"/>
              </a:solidFill>
              <a:prstDash val="solid"/>
            </a:ln>
          </c:spPr>
          <c:invertIfNegative val="0"/>
          <c:dLbls>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7F7F7F"/>
                    </a:solidFill>
                    <a:latin typeface="Times New Roman" panose="02020603050405020304"/>
                    <a:ea typeface="宋体" panose="02010600030101010101" charset="-122"/>
                    <a:cs typeface="Lucida Sans" panose="020B0602030504020204"/>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'工作表1'!$A$2:$A$5</c:f>
              <c:strCache>
                <c:ptCount val="4"/>
                <c:pt idx="0">
                  <c:v>支出</c:v>
                </c:pt>
                <c:pt idx="1">
                  <c:v>收入</c:v>
                </c:pt>
                <c:pt idx="2">
                  <c:v>增加</c:v>
                </c:pt>
              </c:strCache>
            </c:strRef>
          </c:cat>
          <c:val>
            <c:numRef>
              <c:f>'工作表1'!$B$2:$B$5</c:f>
              <c:numCache>
                <c:formatCode>General</c:formatCode>
                <c:ptCount val="4"/>
                <c:pt idx="0">
                  <c:v>274</c:v>
                </c:pt>
                <c:pt idx="1">
                  <c:v>274</c:v>
                </c:pt>
                <c:pt idx="2">
                  <c:v>37</c:v>
                </c:pt>
              </c:numCache>
            </c:numRef>
          </c:val>
        </c:ser>
        <c:ser>
          <c:idx val="1"/>
          <c:order val="1"/>
          <c:tx>
            <c:strRef>
              <c:f>'工作表1'!$C$1</c:f>
              <c:strCache>
                <c:ptCount val="1"/>
                <c:pt idx="0">
                  <c:v>2025年</c:v>
                </c:pt>
              </c:strCache>
            </c:strRef>
          </c:tx>
          <c:spPr>
            <a:gradFill rotWithShape="0">
              <a:gsLst>
                <a:gs pos="0">
                  <a:srgbClr val="F6BE98">
                    <a:alpha val="100000"/>
                  </a:srgbClr>
                </a:gs>
                <a:gs pos="100000">
                  <a:srgbClr val="F2A36E">
                    <a:alpha val="100000"/>
                  </a:srgbClr>
                </a:gs>
              </a:gsLst>
              <a:lin ang="5400000" scaled="1"/>
            </a:gradFill>
            <a:ln w="12700">
              <a:solidFill>
                <a:srgbClr val="ED7D31"/>
              </a:solidFill>
              <a:prstDash val="solid"/>
            </a:ln>
          </c:spPr>
          <c:invertIfNegative val="0"/>
          <c:dLbls>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7F7F7F"/>
                    </a:solidFill>
                    <a:latin typeface="Times New Roman" panose="02020603050405020304"/>
                    <a:ea typeface="宋体" panose="02010600030101010101" charset="-122"/>
                    <a:cs typeface="Lucida Sans" panose="020B0602030504020204"/>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'工作表1'!$A$2:$A$5</c:f>
              <c:strCache>
                <c:ptCount val="4"/>
                <c:pt idx="0">
                  <c:v>支出</c:v>
                </c:pt>
                <c:pt idx="1">
                  <c:v>收入</c:v>
                </c:pt>
                <c:pt idx="2">
                  <c:v>增加</c:v>
                </c:pt>
              </c:strCache>
            </c:strRef>
          </c:cat>
          <c:val>
            <c:numRef>
              <c:f>'工作表1'!$C$2:$C$5</c:f>
              <c:numCache>
                <c:formatCode>General</c:formatCode>
                <c:ptCount val="4"/>
                <c:pt idx="0">
                  <c:v>237</c:v>
                </c:pt>
                <c:pt idx="1">
                  <c:v>237</c:v>
                </c:pt>
                <c:pt idx="2" c:formatCode="0.00%">
                  <c:v>0.1561</c:v>
                </c:pt>
              </c:numCache>
            </c:numRef>
          </c:val>
        </c:ser>
        <c:ser>
          <c:idx val="2"/>
          <c:order val="2"/>
          <c:tx>
            <c:strRef>
              <c:f>'工作表1'!$D$1</c:f>
              <c:strCache>
                <c:ptCount val="1"/>
                <c:pt idx="0">
                  <c:v/>
                </c:pt>
              </c:strCache>
            </c:strRef>
          </c:tx>
          <c:spPr>
            <a:gradFill rotWithShape="0">
              <a:gsLst>
                <a:gs pos="0">
                  <a:srgbClr val="D2D2D2">
                    <a:alpha val="100000"/>
                  </a:srgbClr>
                </a:gs>
                <a:gs pos="100000">
                  <a:srgbClr val="BFBFBF">
                    <a:alpha val="100000"/>
                  </a:srgbClr>
                </a:gs>
              </a:gsLst>
              <a:lin ang="5400000" scaled="1"/>
            </a:gradFill>
            <a:ln w="12700">
              <a:solidFill>
                <a:srgbClr val="A5A5A5"/>
              </a:solidFill>
              <a:prstDash val="solid"/>
            </a:ln>
          </c:spPr>
          <c:invertIfNegative val="0"/>
          <c:dLbls>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7F7F7F"/>
                    </a:solidFill>
                    <a:latin typeface="Times New Roman" panose="02020603050405020304"/>
                    <a:ea typeface="宋体" panose="02010600030101010101" charset="-122"/>
                    <a:cs typeface="Lucida Sans" panose="020B0602030504020204"/>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'工作表1'!$A$2:$A$5</c:f>
              <c:strCache>
                <c:ptCount val="4"/>
                <c:pt idx="0">
                  <c:v>支出</c:v>
                </c:pt>
                <c:pt idx="1">
                  <c:v>收入</c:v>
                </c:pt>
                <c:pt idx="2">
                  <c:v>增加</c:v>
                </c:pt>
              </c:strCache>
            </c:strRef>
          </c:cat>
          <c:val>
            <c:numRef>
              <c:f>'工作表1'!$D$2:$D$5</c:f>
              <c:numCache>
                <c:formatCode>General</c:formatCode>
                <c:ptCount val="4"/>
              </c:numCache>
            </c:numRef>
          </c:val>
        </c:ser>
        <c:dLbls>
          <c:showLegendKey val="0"/>
          <c:showVal val="1"/>
          <c:showCatName val="0"/>
          <c:showSerName val="0"/>
          <c:showPercent val="0"/>
          <c:showBubbleSize val="0"/>
        </c:dLbls>
        <c:gapWidth val="100"/>
        <c:overlap val="-24"/>
        <c:axId val="0"/>
        <c:axId val="1"/>
      </c:barChart>
      <c:catAx>
        <c:axId val="0"/>
        <c:scaling>
          <c:orientation val="minMax"/>
        </c:scaling>
        <c:delete val="0"/>
        <c:axPos val="b"/>
        <c:numFmt formatCode="General" sourceLinked="1"/>
        <c:majorTickMark val="none"/>
        <c:minorTickMark val="none"/>
        <c:tickLblPos val="nextTo"/>
        <c:spPr>
          <a:ln w="12700" cap="flat" cmpd="sng">
            <a:solidFill>
              <a:srgbClr val="D8D8D8"/>
            </a:solidFill>
            <a:prstDash val="solid"/>
            <a:round/>
          </a:ln>
        </c:spPr>
        <c:txPr>
          <a:bodyPr rot="-60000000" spcFirstLastPara="0" vertOverflow="ellipsis" vert="horz" wrap="square" anchor="ctr" anchorCtr="1"/>
          <a:lstStyle/>
          <a:p>
            <a:pPr>
              <a:defRPr lang="zh-CN" sz="900" b="0" i="0" u="none" strike="noStrike" kern="1200" baseline="0">
                <a:solidFill>
                  <a:srgbClr val="7F7F7F"/>
                </a:solidFill>
                <a:latin typeface="Times New Roman" panose="02020603050405020304"/>
                <a:ea typeface="宋体" panose="02010600030101010101" charset="-122"/>
                <a:cs typeface="Lucida Sans" panose="020B0602030504020204"/>
              </a:defRPr>
            </a:pPr>
          </a:p>
        </c:txPr>
        <c:crossAx val="1"/>
        <c:crosses val="autoZero"/>
        <c:auto val="1"/>
        <c:lblAlgn val="ctr"/>
        <c:lblOffset val="100"/>
        <c:noMultiLvlLbl val="0"/>
      </c:catAx>
      <c:valAx>
        <c:axId val="1"/>
        <c:scaling>
          <c:orientation val="minMax"/>
        </c:scaling>
        <c:delete val="0"/>
        <c:axPos val="l"/>
        <c:majorGridlines>
          <c:spPr>
            <a:ln w="12700" cap="flat" cmpd="sng">
              <a:solidFill>
                <a:srgbClr val="D8D8D8"/>
              </a:solidFill>
              <a:prstDash val="solid"/>
              <a:round/>
            </a:ln>
          </c:spPr>
        </c:majorGridlines>
        <c:numFmt formatCode="General" sourceLinked="1"/>
        <c:majorTickMark val="none"/>
        <c:minorTickMark val="none"/>
        <c:tickLblPos val="nextTo"/>
        <c:spPr>
          <a:ln w="9525" cap="flat" cmpd="sng">
            <a:noFill/>
            <a:prstDash val="solid"/>
            <a:round/>
          </a:ln>
        </c:spPr>
        <c:txPr>
          <a:bodyPr rot="-60000000" spcFirstLastPara="0" vertOverflow="ellipsis" vert="horz" wrap="square" anchor="ctr" anchorCtr="1"/>
          <a:lstStyle/>
          <a:p>
            <a:pPr>
              <a:defRPr lang="zh-CN" sz="900" b="0" i="0" u="none" strike="noStrike" kern="1200" baseline="0">
                <a:solidFill>
                  <a:srgbClr val="7F7F7F"/>
                </a:solidFill>
                <a:latin typeface="Times New Roman" panose="02020603050405020304"/>
                <a:ea typeface="宋体" panose="02010600030101010101" charset="-122"/>
                <a:cs typeface="Lucida Sans" panose="020B0602030504020204"/>
              </a:defRPr>
            </a:pPr>
          </a:p>
        </c:txPr>
        <c:crossAx val="0"/>
        <c:crosses val="autoZero"/>
        <c:crossBetween val="between"/>
      </c:valAx>
      <c:spPr>
        <a:noFill/>
        <a:ln>
          <a:noFill/>
        </a:ln>
      </c:spPr>
    </c:plotArea>
    <c:legend>
      <c:legendPos val="b"/>
      <c:legendEntry>
        <c:idx val="2"/>
        <c:delete val="1"/>
      </c:legendEntry>
      <c:layout/>
      <c:overlay val="0"/>
      <c:spPr>
        <a:noFill/>
        <a:ln>
          <a:noFill/>
        </a:ln>
      </c:spPr>
      <c:txPr>
        <a:bodyPr rot="0" spcFirstLastPara="0" vertOverflow="ellipsis" vert="horz" wrap="square" anchor="ctr" anchorCtr="1"/>
        <a:lstStyle/>
        <a:p>
          <a:pPr>
            <a:defRPr lang="zh-CN" sz="900" b="0" i="0" u="none" strike="noStrike" kern="1200" baseline="0">
              <a:solidFill>
                <a:srgbClr val="7F7F7F"/>
              </a:solidFill>
              <a:latin typeface="Times New Roman" panose="02020603050405020304"/>
              <a:ea typeface="宋体" panose="02010600030101010101" charset="-122"/>
              <a:cs typeface="Lucida Sans" panose="020B0602030504020204"/>
            </a:defRPr>
          </a:pPr>
        </a:p>
      </c:txPr>
    </c:legend>
    <c:plotVisOnly val="1"/>
    <c:dispBlanksAs val="gap"/>
    <c:showDLblsOverMax val="0"/>
  </c:chart>
  <c:spPr>
    <a:solidFill>
      <a:srgbClr val="FFFFFF"/>
    </a:solidFill>
    <a:ln w="12700" cap="flat" cmpd="sng">
      <a:solidFill>
        <a:srgbClr val="D8D8D8"/>
      </a:solidFill>
      <a:prstDash val="solid"/>
      <a:round/>
    </a:ln>
  </c:spPr>
  <c:txPr>
    <a:bodyPr/>
    <a:lstStyle/>
    <a:p>
      <a:pPr>
        <a:defRPr lang="zh-CN" sz="900" b="0" i="0" u="none" strike="noStrike" baseline="0">
          <a:solidFill>
            <a:srgbClr val="000000"/>
          </a:solidFill>
          <a:latin typeface="Times New Roman" panose="02020603050405020304"/>
          <a:ea typeface="宋体" panose="02010600030101010101" charset="-122"/>
          <a:cs typeface="Lucida Sans" panose="020B0602030504020204"/>
        </a:defRPr>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lgn="ctr">
              <a:defRPr lang="zh-CN" sz="1400" b="0" i="0" u="none" strike="noStrike" kern="1200" baseline="0">
                <a:solidFill>
                  <a:srgbClr val="000000"/>
                </a:solidFill>
                <a:latin typeface="Times New Roman" panose="02020603050405020304"/>
                <a:ea typeface="宋体" panose="02010600030101010101" charset="-122"/>
                <a:cs typeface="Lucida Sans" panose="020B0602030504020204"/>
              </a:defRPr>
            </a:pPr>
            <a:r>
              <a:rPr lang="zh-CN"/>
              <a:t>一般公共预算财政拨款支出决算变动情况图</a:t>
            </a:r>
            <a:endParaRPr lang="zh-CN"/>
          </a:p>
        </c:rich>
      </c:tx>
      <c:layout/>
      <c:overlay val="0"/>
      <c:spPr>
        <a:ln>
          <a:noFill/>
        </a:ln>
      </c:spPr>
    </c:title>
    <c:autoTitleDeleted val="0"/>
    <c:plotArea>
      <c:layout/>
      <c:barChart>
        <c:barDir val="col"/>
        <c:grouping val="clustered"/>
        <c:varyColors val="0"/>
        <c:ser>
          <c:idx val="0"/>
          <c:order val="0"/>
          <c:tx>
            <c:strRef>
              <c:f>'工作表1'!$B$1</c:f>
              <c:strCache>
                <c:ptCount val="1"/>
                <c:pt idx="0">
                  <c:v>2024年</c:v>
                </c:pt>
              </c:strCache>
            </c:strRef>
          </c:tx>
          <c:spPr>
            <a:gradFill rotWithShape="0">
              <a:gsLst>
                <a:gs pos="0">
                  <a:srgbClr val="A1B9E1">
                    <a:alpha val="100000"/>
                  </a:srgbClr>
                </a:gs>
                <a:gs pos="100000">
                  <a:srgbClr val="7B9DD5">
                    <a:alpha val="100000"/>
                  </a:srgbClr>
                </a:gs>
              </a:gsLst>
              <a:lin ang="5400000" scaled="1"/>
            </a:gradFill>
            <a:ln w="12700">
              <a:solidFill>
                <a:srgbClr val="4472C4"/>
              </a:solidFill>
              <a:prstDash val="solid"/>
            </a:ln>
          </c:spPr>
          <c:invertIfNegative val="0"/>
          <c:dLbls>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7F7F7F"/>
                    </a:solidFill>
                    <a:latin typeface="Times New Roman" panose="02020603050405020304"/>
                    <a:ea typeface="宋体" panose="02010600030101010101" charset="-122"/>
                    <a:cs typeface="Lucida Sans" panose="020B0602030504020204"/>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'工作表1'!$A$2:$A$5</c:f>
              <c:strCache>
                <c:ptCount val="4"/>
                <c:pt idx="0">
                  <c:v>支出</c:v>
                </c:pt>
                <c:pt idx="1">
                  <c:v>收入</c:v>
                </c:pt>
                <c:pt idx="2">
                  <c:v>增加</c:v>
                </c:pt>
              </c:strCache>
            </c:strRef>
          </c:cat>
          <c:val>
            <c:numRef>
              <c:f>'工作表1'!$B$2:$B$5</c:f>
              <c:numCache>
                <c:formatCode>General</c:formatCode>
                <c:ptCount val="4"/>
                <c:pt idx="0">
                  <c:v>274</c:v>
                </c:pt>
                <c:pt idx="1">
                  <c:v>274</c:v>
                </c:pt>
                <c:pt idx="2">
                  <c:v>37</c:v>
                </c:pt>
              </c:numCache>
            </c:numRef>
          </c:val>
        </c:ser>
        <c:ser>
          <c:idx val="1"/>
          <c:order val="1"/>
          <c:tx>
            <c:strRef>
              <c:f>'工作表1'!$C$1</c:f>
              <c:strCache>
                <c:ptCount val="1"/>
                <c:pt idx="0">
                  <c:v>2025年</c:v>
                </c:pt>
              </c:strCache>
            </c:strRef>
          </c:tx>
          <c:spPr>
            <a:gradFill rotWithShape="0">
              <a:gsLst>
                <a:gs pos="0">
                  <a:srgbClr val="F6BE98">
                    <a:alpha val="100000"/>
                  </a:srgbClr>
                </a:gs>
                <a:gs pos="100000">
                  <a:srgbClr val="F2A36E">
                    <a:alpha val="100000"/>
                  </a:srgbClr>
                </a:gs>
              </a:gsLst>
              <a:lin ang="5400000" scaled="1"/>
            </a:gradFill>
            <a:ln w="12700">
              <a:solidFill>
                <a:srgbClr val="ED7D31"/>
              </a:solidFill>
              <a:prstDash val="solid"/>
            </a:ln>
          </c:spPr>
          <c:invertIfNegative val="0"/>
          <c:dLbls>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7F7F7F"/>
                    </a:solidFill>
                    <a:latin typeface="Times New Roman" panose="02020603050405020304"/>
                    <a:ea typeface="宋体" panose="02010600030101010101" charset="-122"/>
                    <a:cs typeface="Lucida Sans" panose="020B0602030504020204"/>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'工作表1'!$A$2:$A$5</c:f>
              <c:strCache>
                <c:ptCount val="4"/>
                <c:pt idx="0">
                  <c:v>支出</c:v>
                </c:pt>
                <c:pt idx="1">
                  <c:v>收入</c:v>
                </c:pt>
                <c:pt idx="2">
                  <c:v>增加</c:v>
                </c:pt>
              </c:strCache>
            </c:strRef>
          </c:cat>
          <c:val>
            <c:numRef>
              <c:f>'工作表1'!$C$2:$C$5</c:f>
              <c:numCache>
                <c:formatCode>General</c:formatCode>
                <c:ptCount val="4"/>
                <c:pt idx="0">
                  <c:v>237</c:v>
                </c:pt>
                <c:pt idx="1">
                  <c:v>237</c:v>
                </c:pt>
                <c:pt idx="2" c:formatCode="0.00%">
                  <c:v>0.1561</c:v>
                </c:pt>
              </c:numCache>
            </c:numRef>
          </c:val>
        </c:ser>
        <c:ser>
          <c:idx val="2"/>
          <c:order val="2"/>
          <c:tx>
            <c:strRef>
              <c:f>'工作表1'!$D$1</c:f>
              <c:strCache>
                <c:ptCount val="1"/>
                <c:pt idx="0">
                  <c:v/>
                </c:pt>
              </c:strCache>
            </c:strRef>
          </c:tx>
          <c:spPr>
            <a:gradFill rotWithShape="0">
              <a:gsLst>
                <a:gs pos="0">
                  <a:srgbClr val="D2D2D2">
                    <a:alpha val="100000"/>
                  </a:srgbClr>
                </a:gs>
                <a:gs pos="100000">
                  <a:srgbClr val="BFBFBF">
                    <a:alpha val="100000"/>
                  </a:srgbClr>
                </a:gs>
              </a:gsLst>
              <a:lin ang="5400000" scaled="1"/>
            </a:gradFill>
            <a:ln w="12700">
              <a:solidFill>
                <a:srgbClr val="A5A5A5"/>
              </a:solidFill>
              <a:prstDash val="solid"/>
            </a:ln>
          </c:spPr>
          <c:invertIfNegative val="0"/>
          <c:dLbls>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7F7F7F"/>
                    </a:solidFill>
                    <a:latin typeface="Times New Roman" panose="02020603050405020304"/>
                    <a:ea typeface="宋体" panose="02010600030101010101" charset="-122"/>
                    <a:cs typeface="Lucida Sans" panose="020B0602030504020204"/>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'工作表1'!$A$2:$A$5</c:f>
              <c:strCache>
                <c:ptCount val="4"/>
                <c:pt idx="0">
                  <c:v>支出</c:v>
                </c:pt>
                <c:pt idx="1">
                  <c:v>收入</c:v>
                </c:pt>
                <c:pt idx="2">
                  <c:v>增加</c:v>
                </c:pt>
              </c:strCache>
            </c:strRef>
          </c:cat>
          <c:val>
            <c:numRef>
              <c:f>'工作表1'!$D$2:$D$5</c:f>
              <c:numCache>
                <c:formatCode>General</c:formatCode>
                <c:ptCount val="4"/>
              </c:numCache>
            </c:numRef>
          </c:val>
        </c:ser>
        <c:dLbls>
          <c:showLegendKey val="0"/>
          <c:showVal val="1"/>
          <c:showCatName val="0"/>
          <c:showSerName val="0"/>
          <c:showPercent val="0"/>
          <c:showBubbleSize val="0"/>
        </c:dLbls>
        <c:gapWidth val="100"/>
        <c:overlap val="-24"/>
        <c:axId val="0"/>
        <c:axId val="1"/>
      </c:barChart>
      <c:catAx>
        <c:axId val="0"/>
        <c:scaling>
          <c:orientation val="minMax"/>
        </c:scaling>
        <c:delete val="0"/>
        <c:axPos val="b"/>
        <c:numFmt formatCode="General" sourceLinked="1"/>
        <c:majorTickMark val="none"/>
        <c:minorTickMark val="none"/>
        <c:tickLblPos val="nextTo"/>
        <c:spPr>
          <a:ln w="12700" cap="flat" cmpd="sng">
            <a:solidFill>
              <a:srgbClr val="D8D8D8"/>
            </a:solidFill>
            <a:prstDash val="solid"/>
            <a:round/>
          </a:ln>
        </c:spPr>
        <c:txPr>
          <a:bodyPr rot="-60000000" spcFirstLastPara="0" vertOverflow="ellipsis" vert="horz" wrap="square" anchor="ctr" anchorCtr="1"/>
          <a:lstStyle/>
          <a:p>
            <a:pPr>
              <a:defRPr lang="zh-CN" sz="900" b="0" i="0" u="none" strike="noStrike" kern="1200" baseline="0">
                <a:solidFill>
                  <a:srgbClr val="7F7F7F"/>
                </a:solidFill>
                <a:latin typeface="Times New Roman" panose="02020603050405020304"/>
                <a:ea typeface="宋体" panose="02010600030101010101" charset="-122"/>
                <a:cs typeface="Lucida Sans" panose="020B0602030504020204"/>
              </a:defRPr>
            </a:pPr>
          </a:p>
        </c:txPr>
        <c:crossAx val="1"/>
        <c:crosses val="autoZero"/>
        <c:auto val="1"/>
        <c:lblAlgn val="ctr"/>
        <c:lblOffset val="100"/>
        <c:noMultiLvlLbl val="0"/>
      </c:catAx>
      <c:valAx>
        <c:axId val="1"/>
        <c:scaling>
          <c:orientation val="minMax"/>
        </c:scaling>
        <c:delete val="0"/>
        <c:axPos val="l"/>
        <c:majorGridlines>
          <c:spPr>
            <a:ln w="12700" cap="flat" cmpd="sng">
              <a:solidFill>
                <a:srgbClr val="D8D8D8"/>
              </a:solidFill>
              <a:prstDash val="solid"/>
              <a:round/>
            </a:ln>
          </c:spPr>
        </c:majorGridlines>
        <c:numFmt formatCode="General" sourceLinked="1"/>
        <c:majorTickMark val="none"/>
        <c:minorTickMark val="none"/>
        <c:tickLblPos val="nextTo"/>
        <c:spPr>
          <a:ln w="9525" cap="flat" cmpd="sng">
            <a:noFill/>
            <a:prstDash val="solid"/>
            <a:round/>
          </a:ln>
        </c:spPr>
        <c:txPr>
          <a:bodyPr rot="-60000000" spcFirstLastPara="0" vertOverflow="ellipsis" vert="horz" wrap="square" anchor="ctr" anchorCtr="1"/>
          <a:lstStyle/>
          <a:p>
            <a:pPr>
              <a:defRPr lang="zh-CN" sz="900" b="0" i="0" u="none" strike="noStrike" kern="1200" baseline="0">
                <a:solidFill>
                  <a:srgbClr val="7F7F7F"/>
                </a:solidFill>
                <a:latin typeface="Times New Roman" panose="02020603050405020304"/>
                <a:ea typeface="宋体" panose="02010600030101010101" charset="-122"/>
                <a:cs typeface="Lucida Sans" panose="020B0602030504020204"/>
              </a:defRPr>
            </a:pPr>
          </a:p>
        </c:txPr>
        <c:crossAx val="0"/>
        <c:crosses val="autoZero"/>
        <c:crossBetween val="between"/>
      </c:valAx>
      <c:spPr>
        <a:noFill/>
        <a:ln>
          <a:noFill/>
        </a:ln>
      </c:spPr>
    </c:plotArea>
    <c:legend>
      <c:legendPos val="b"/>
      <c:legendEntry>
        <c:idx val="2"/>
        <c:delete val="1"/>
      </c:legendEntry>
      <c:layout/>
      <c:overlay val="0"/>
      <c:spPr>
        <a:noFill/>
        <a:ln>
          <a:noFill/>
        </a:ln>
      </c:spPr>
      <c:txPr>
        <a:bodyPr rot="0" spcFirstLastPara="0" vertOverflow="ellipsis" vert="horz" wrap="square" anchor="ctr" anchorCtr="1"/>
        <a:lstStyle/>
        <a:p>
          <a:pPr>
            <a:defRPr lang="zh-CN" sz="900" b="0" i="0" u="none" strike="noStrike" kern="1200" baseline="0">
              <a:solidFill>
                <a:srgbClr val="7F7F7F"/>
              </a:solidFill>
              <a:latin typeface="Times New Roman" panose="02020603050405020304"/>
              <a:ea typeface="宋体" panose="02010600030101010101" charset="-122"/>
              <a:cs typeface="Lucida Sans" panose="020B0602030504020204"/>
            </a:defRPr>
          </a:pPr>
        </a:p>
      </c:txPr>
    </c:legend>
    <c:plotVisOnly val="1"/>
    <c:dispBlanksAs val="gap"/>
    <c:showDLblsOverMax val="0"/>
  </c:chart>
  <c:spPr>
    <a:solidFill>
      <a:srgbClr val="FFFFFF"/>
    </a:solidFill>
    <a:ln w="12700" cap="flat" cmpd="sng">
      <a:solidFill>
        <a:srgbClr val="D8D8D8"/>
      </a:solidFill>
      <a:prstDash val="solid"/>
      <a:round/>
    </a:ln>
  </c:spPr>
  <c:txPr>
    <a:bodyPr/>
    <a:lstStyle/>
    <a:p>
      <a:pPr>
        <a:defRPr lang="zh-CN" sz="900" b="0" i="0" u="none" strike="noStrike" baseline="0">
          <a:solidFill>
            <a:srgbClr val="000000"/>
          </a:solidFill>
          <a:latin typeface="Times New Roman" panose="02020603050405020304"/>
          <a:ea typeface="宋体" panose="02010600030101010101" charset="-122"/>
          <a:cs typeface="Lucida Sans" panose="020B0602030504020204"/>
        </a:defRPr>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lgn="ctr">
              <a:defRPr lang="zh-CN" sz="1800" b="1" i="0" u="none" strike="noStrike" kern="1200" baseline="0">
                <a:solidFill>
                  <a:srgbClr val="595959"/>
                </a:solidFill>
                <a:latin typeface="Times New Roman" panose="02020603050405020304"/>
                <a:ea typeface="宋体" panose="02010600030101010101" charset="-122"/>
                <a:cs typeface="Lucida Sans" panose="020B0602030504020204"/>
              </a:defRPr>
            </a:pPr>
            <a:r>
              <a:rPr lang="zh-CN"/>
              <a:t>一般公共预算财政拨款支出决算结构图</a:t>
            </a:r>
            <a:endParaRPr lang="zh-CN"/>
          </a:p>
        </c:rich>
      </c:tx>
      <c:layout>
        <c:manualLayout>
          <c:xMode val="edge"/>
          <c:yMode val="edge"/>
          <c:x val="0.122530120481928"/>
          <c:y val="0.037037037037037"/>
        </c:manualLayout>
      </c:layout>
      <c:overlay val="0"/>
      <c:spPr>
        <a:ln>
          <a:noFill/>
        </a:ln>
      </c:spPr>
    </c:title>
    <c:autoTitleDeleted val="0"/>
    <c:plotArea>
      <c:layout/>
      <c:pieChart>
        <c:varyColors val="1"/>
        <c:ser>
          <c:idx val="0"/>
          <c:order val="0"/>
          <c:tx>
            <c:strRef>
              <c:f>'工作表1'!$B$1</c:f>
              <c:strCache>
                <c:ptCount val="1"/>
                <c:pt idx="0">
                  <c:v>销售额</c:v>
                </c:pt>
              </c:strCache>
            </c:strRef>
          </c:tx>
          <c:spPr>
            <a:ln>
              <a:noFill/>
            </a:ln>
          </c:spPr>
          <c:explosion val="0"/>
          <c:dPt>
            <c:idx val="0"/>
            <c:bubble3D val="0"/>
            <c:spPr>
              <a:solidFill>
                <a:srgbClr val="4472C4"/>
              </a:solidFill>
              <a:ln>
                <a:noFill/>
              </a:ln>
            </c:spPr>
          </c:dPt>
          <c:dPt>
            <c:idx val="1"/>
            <c:bubble3D val="0"/>
            <c:spPr>
              <a:solidFill>
                <a:srgbClr val="ED7D31"/>
              </a:solidFill>
              <a:ln>
                <a:noFill/>
              </a:ln>
            </c:spPr>
          </c:dPt>
          <c:dPt>
            <c:idx val="2"/>
            <c:bubble3D val="0"/>
            <c:spPr>
              <a:solidFill>
                <a:srgbClr val="A5A5A5"/>
              </a:solidFill>
              <a:ln>
                <a:noFill/>
              </a:ln>
            </c:spPr>
          </c:dPt>
          <c:dPt>
            <c:idx val="3"/>
            <c:bubble3D val="0"/>
            <c:spPr>
              <a:solidFill>
                <a:srgbClr val="FFC000"/>
              </a:solidFill>
              <a:ln>
                <a:noFill/>
              </a:ln>
            </c:spPr>
          </c:dPt>
          <c:dLbls>
            <c:dLbl>
              <c:idx val="0"/>
              <c:layout/>
              <c:numFmt formatCode="General" sourceLinked="1"/>
              <c:spPr>
                <a:noFill/>
                <a:ln>
                  <a:noFill/>
                </a:ln>
                <a:effectLst/>
              </c:spPr>
              <c:txPr>
                <a:bodyPr rot="0" spcFirstLastPara="0" vertOverflow="ellipsis" vert="horz" wrap="square" lIns="38100" tIns="19050" rIns="38100" bIns="19050" anchor="ctr" anchorCtr="1"/>
                <a:lstStyle/>
                <a:p>
                  <a:pPr algn="ctr">
                    <a:defRPr lang="zh-CN" sz="900" b="1" i="0" u="none" strike="noStrike" kern="1200" baseline="0">
                      <a:solidFill>
                        <a:srgbClr val="FFFFFF"/>
                      </a:solidFill>
                      <a:latin typeface="Times New Roman" panose="02020603050405020304"/>
                      <a:ea typeface="宋体" panose="02010600030101010101" charset="-122"/>
                      <a:cs typeface="Lucida Sans" panose="020B0602030504020204"/>
                    </a:defRPr>
                  </a:pPr>
                </a:p>
              </c:txPr>
              <c:dLblPos val="inEnd"/>
              <c:showLegendKey val="0"/>
              <c:showVal val="0"/>
              <c:showCatName val="0"/>
              <c:showSerName val="0"/>
              <c:showPercent val="1"/>
              <c:showBubbleSize val="0"/>
              <c:extLst>
                <c:ext xmlns:c15="http://schemas.microsoft.com/office/drawing/2012/chart" uri="{CE6537A1-D6FC-4f65-9D91-7224C49458BB}"/>
              </c:extLst>
            </c:dLbl>
            <c:dLbl>
              <c:idx val="1"/>
              <c:layout/>
              <c:numFmt formatCode="General" sourceLinked="1"/>
              <c:spPr>
                <a:noFill/>
                <a:ln>
                  <a:noFill/>
                </a:ln>
                <a:effectLst/>
              </c:spPr>
              <c:txPr>
                <a:bodyPr rot="0" spcFirstLastPara="0" vertOverflow="ellipsis" vert="horz" wrap="square" lIns="38100" tIns="19050" rIns="38100" bIns="19050" anchor="ctr" anchorCtr="1"/>
                <a:lstStyle/>
                <a:p>
                  <a:pPr algn="ctr">
                    <a:defRPr lang="zh-CN" sz="900" b="1" i="0" u="none" strike="noStrike" kern="1200" baseline="0">
                      <a:solidFill>
                        <a:srgbClr val="FFFFFF"/>
                      </a:solidFill>
                      <a:latin typeface="Times New Roman" panose="02020603050405020304"/>
                      <a:ea typeface="宋体" panose="02010600030101010101" charset="-122"/>
                      <a:cs typeface="Lucida Sans" panose="020B0602030504020204"/>
                    </a:defRPr>
                  </a:pPr>
                </a:p>
              </c:txPr>
              <c:dLblPos val="inEnd"/>
              <c:showLegendKey val="0"/>
              <c:showVal val="0"/>
              <c:showCatName val="0"/>
              <c:showSerName val="0"/>
              <c:showPercent val="1"/>
              <c:showBubbleSize val="0"/>
              <c:extLst>
                <c:ext xmlns:c15="http://schemas.microsoft.com/office/drawing/2012/chart" uri="{CE6537A1-D6FC-4f65-9D91-7224C49458BB}"/>
              </c:extLst>
            </c:dLbl>
            <c:dLbl>
              <c:idx val="2"/>
              <c:layout/>
              <c:numFmt formatCode="General" sourceLinked="1"/>
              <c:spPr>
                <a:noFill/>
                <a:ln>
                  <a:noFill/>
                </a:ln>
                <a:effectLst/>
              </c:spPr>
              <c:txPr>
                <a:bodyPr rot="0" spcFirstLastPara="0" vertOverflow="ellipsis" vert="horz" wrap="square" lIns="38100" tIns="19050" rIns="38100" bIns="19050" anchor="ctr" anchorCtr="1"/>
                <a:lstStyle/>
                <a:p>
                  <a:pPr algn="ctr">
                    <a:defRPr lang="zh-CN" sz="900" b="1" i="0" u="none" strike="noStrike" kern="1200" baseline="0">
                      <a:solidFill>
                        <a:srgbClr val="FFFFFF"/>
                      </a:solidFill>
                      <a:latin typeface="Times New Roman" panose="02020603050405020304"/>
                      <a:ea typeface="宋体" panose="02010600030101010101" charset="-122"/>
                      <a:cs typeface="Lucida Sans" panose="020B0602030504020204"/>
                    </a:defRPr>
                  </a:pPr>
                </a:p>
              </c:txPr>
              <c:dLblPos val="inEnd"/>
              <c:showLegendKey val="0"/>
              <c:showVal val="0"/>
              <c:showCatName val="0"/>
              <c:showSerName val="0"/>
              <c:showPercent val="1"/>
              <c:showBubbleSize val="0"/>
              <c:extLst>
                <c:ext xmlns:c15="http://schemas.microsoft.com/office/drawing/2012/chart" uri="{CE6537A1-D6FC-4f65-9D91-7224C49458BB}"/>
              </c:extLst>
            </c:dLbl>
            <c:dLbl>
              <c:idx val="3"/>
              <c:layout/>
              <c:numFmt formatCode="General" sourceLinked="1"/>
              <c:spPr>
                <a:noFill/>
                <a:ln>
                  <a:noFill/>
                </a:ln>
                <a:effectLst/>
              </c:spPr>
              <c:txPr>
                <a:bodyPr rot="0" spcFirstLastPara="0" vertOverflow="ellipsis" vert="horz" wrap="square" lIns="38100" tIns="19050" rIns="38100" bIns="19050" anchor="ctr" anchorCtr="1"/>
                <a:lstStyle/>
                <a:p>
                  <a:pPr algn="ctr">
                    <a:defRPr lang="zh-CN" sz="900" b="1" i="0" u="none" strike="noStrike" kern="1200" baseline="0">
                      <a:solidFill>
                        <a:srgbClr val="FFFFFF"/>
                      </a:solidFill>
                      <a:latin typeface="Times New Roman" panose="02020603050405020304"/>
                      <a:ea typeface="宋体" panose="02010600030101010101" charset="-122"/>
                      <a:cs typeface="Lucida Sans" panose="020B0602030504020204"/>
                    </a:defRPr>
                  </a:pPr>
                </a:p>
              </c:txPr>
              <c:dLblPos val="inEnd"/>
              <c:showLegendKey val="0"/>
              <c:showVal val="0"/>
              <c:showCatName val="0"/>
              <c:showSerName val="0"/>
              <c:showPercent val="1"/>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lgn="ctr">
                  <a:defRPr lang="zh-CN" sz="900" b="1" i="0" u="none" strike="noStrike" kern="1200" baseline="0">
                    <a:solidFill>
                      <a:srgbClr val="FFFFFF"/>
                    </a:solidFill>
                    <a:latin typeface="Times New Roman" panose="02020603050405020304"/>
                    <a:ea typeface="宋体" panose="02010600030101010101" charset="-122"/>
                    <a:cs typeface="Lucida Sans" panose="020B0602030504020204"/>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'工作表1'!$A$2:$A$5</c:f>
              <c:strCache>
                <c:ptCount val="4"/>
                <c:pt idx="0">
                  <c:v>一般公共服务支出</c:v>
                </c:pt>
                <c:pt idx="1">
                  <c:v>社会保障和就业支出</c:v>
                </c:pt>
                <c:pt idx="2">
                  <c:v>卫生健康支出</c:v>
                </c:pt>
                <c:pt idx="3">
                  <c:v>住房保障支出</c:v>
                </c:pt>
              </c:strCache>
            </c:strRef>
          </c:cat>
          <c:val>
            <c:numRef>
              <c:f>'工作表1'!$B$2:$B$5</c:f>
              <c:numCache>
                <c:formatCode>General</c:formatCode>
                <c:ptCount val="4"/>
                <c:pt idx="0">
                  <c:v>222.86</c:v>
                </c:pt>
                <c:pt idx="1">
                  <c:v>27.22</c:v>
                </c:pt>
                <c:pt idx="2">
                  <c:v>9.9</c:v>
                </c:pt>
                <c:pt idx="3">
                  <c:v>14.01</c:v>
                </c:pt>
              </c:numCache>
            </c:numRef>
          </c:val>
        </c:ser>
        <c:dLbls>
          <c:showLegendKey val="0"/>
          <c:showVal val="0"/>
          <c:showCatName val="0"/>
          <c:showSerName val="0"/>
          <c:showPercent val="1"/>
          <c:showBubbleSize val="0"/>
          <c:showLeaderLines val="1"/>
        </c:dLbls>
        <c:firstSliceAng val="0"/>
      </c:pieChart>
      <c:spPr>
        <a:noFill/>
        <a:ln>
          <a:noFill/>
        </a:ln>
      </c:spPr>
    </c:plotArea>
    <c:legend>
      <c:legendPos val="b"/>
      <c:layout/>
      <c:overlay val="0"/>
      <c:spPr>
        <a:solidFill>
          <a:srgbClr val="FFFFFF">
            <a:alpha val="80000"/>
          </a:srgbClr>
        </a:solidFill>
        <a:ln>
          <a:noFill/>
        </a:ln>
      </c:spPr>
      <c:txPr>
        <a:bodyPr rot="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Lucida Sans" panose="020B0602030504020204"/>
            </a:defRPr>
          </a:pPr>
        </a:p>
      </c:txPr>
    </c:legend>
    <c:plotVisOnly val="1"/>
    <c:dispBlanksAs val="gap"/>
    <c:showDLblsOverMax val="0"/>
  </c:chart>
  <c:spPr>
    <a:pattFill prst="dkDnDiag">
      <a:fgClr>
        <a:srgbClr val="F2F2F2"/>
      </a:fgClr>
      <a:bgClr>
        <a:srgbClr val="FFFFFF"/>
      </a:bgClr>
    </a:pattFill>
    <a:ln w="12700" cap="flat" cmpd="sng">
      <a:solidFill>
        <a:srgbClr val="D8D8D8"/>
      </a:solidFill>
      <a:prstDash val="solid"/>
      <a:round/>
    </a:ln>
  </c:spPr>
  <c:txPr>
    <a:bodyPr/>
    <a:lstStyle/>
    <a:p>
      <a:pPr>
        <a:defRPr lang="zh-CN" sz="900" b="0" i="0" u="none" strike="noStrike" baseline="0">
          <a:solidFill>
            <a:srgbClr val="000000"/>
          </a:solidFill>
          <a:latin typeface="Times New Roman" panose="02020603050405020304"/>
          <a:ea typeface="宋体" panose="02010600030101010101" charset="-122"/>
          <a:cs typeface="Lucida Sans" panose="020B0602030504020204"/>
        </a:defRPr>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lgn="ctr">
              <a:defRPr lang="zh-CN" sz="1600" b="1" i="0" u="none" strike="noStrike" kern="1200" baseline="0">
                <a:solidFill>
                  <a:srgbClr val="595959"/>
                </a:solidFill>
                <a:latin typeface="Times New Roman" panose="02020603050405020304"/>
                <a:ea typeface="宋体" panose="02010600030101010101" charset="-122"/>
                <a:cs typeface="Lucida Sans" panose="020B0602030504020204"/>
              </a:defRPr>
            </a:pPr>
            <a:r>
              <a:rPr lang="zh-CN"/>
              <a:t>财政拨款“三公”经费支出结构</a:t>
            </a:r>
            <a:endParaRPr lang="zh-CN"/>
          </a:p>
        </c:rich>
      </c:tx>
      <c:layout/>
      <c:overlay val="0"/>
      <c:spPr>
        <a:ln>
          <a:noFill/>
        </a:ln>
      </c:spPr>
    </c:title>
    <c:autoTitleDeleted val="0"/>
    <c:plotArea>
      <c:layout/>
      <c:pieChart>
        <c:varyColors val="1"/>
        <c:ser>
          <c:idx val="0"/>
          <c:order val="0"/>
          <c:tx>
            <c:strRef>
              <c:f>'工作表1'!$B$1</c:f>
              <c:strCache>
                <c:ptCount val="1"/>
                <c:pt idx="0">
                  <c:v>财政拨款“三公”经费支出结构</c:v>
                </c:pt>
              </c:strCache>
            </c:strRef>
          </c:tx>
          <c:spPr>
            <a:ln>
              <a:noFill/>
            </a:ln>
          </c:spPr>
          <c:explosion val="0"/>
          <c:dPt>
            <c:idx val="0"/>
            <c:bubble3D val="0"/>
            <c:spPr>
              <a:gradFill rotWithShape="0">
                <a:gsLst>
                  <a:gs pos="0">
                    <a:srgbClr val="5A87D2">
                      <a:alpha val="100000"/>
                    </a:srgbClr>
                  </a:gs>
                  <a:gs pos="100000">
                    <a:srgbClr val="3367BD">
                      <a:alpha val="100000"/>
                    </a:srgbClr>
                  </a:gs>
                </a:gsLst>
                <a:lin ang="5400000" scaled="1"/>
              </a:gradFill>
              <a:ln>
                <a:noFill/>
              </a:ln>
            </c:spPr>
          </c:dPt>
          <c:dPt>
            <c:idx val="1"/>
            <c:bubble3D val="0"/>
            <c:spPr>
              <a:gradFill rotWithShape="0">
                <a:gsLst>
                  <a:gs pos="0">
                    <a:srgbClr val="F88E48">
                      <a:alpha val="100000"/>
                    </a:srgbClr>
                  </a:gs>
                  <a:gs pos="100000">
                    <a:srgbClr val="F56C11">
                      <a:alpha val="100000"/>
                    </a:srgbClr>
                  </a:gs>
                </a:gsLst>
                <a:lin ang="5400000" scaled="1"/>
              </a:gradFill>
              <a:ln>
                <a:noFill/>
              </a:ln>
            </c:spPr>
          </c:dPt>
          <c:dPt>
            <c:idx val="2"/>
            <c:bubble3D val="0"/>
            <c:spPr>
              <a:gradFill rotWithShape="0">
                <a:gsLst>
                  <a:gs pos="0">
                    <a:srgbClr val="B2B2B2">
                      <a:alpha val="100000"/>
                    </a:srgbClr>
                  </a:gs>
                  <a:gs pos="100000">
                    <a:srgbClr val="999999">
                      <a:alpha val="100000"/>
                    </a:srgbClr>
                  </a:gs>
                </a:gsLst>
                <a:lin ang="5400000" scaled="1"/>
              </a:gradFill>
              <a:ln>
                <a:noFill/>
              </a:ln>
            </c:spPr>
          </c:dPt>
          <c:dPt>
            <c:idx val="3"/>
            <c:bubble3D val="0"/>
            <c:spPr>
              <a:gradFill rotWithShape="0">
                <a:gsLst>
                  <a:gs pos="0">
                    <a:srgbClr val="FFCA27">
                      <a:alpha val="100000"/>
                    </a:srgbClr>
                  </a:gs>
                  <a:gs pos="100000">
                    <a:srgbClr val="E8AF00">
                      <a:alpha val="100000"/>
                    </a:srgbClr>
                  </a:gs>
                </a:gsLst>
                <a:lin ang="5400000" scaled="1"/>
              </a:gradFill>
              <a:ln>
                <a:noFill/>
              </a:ln>
            </c:spPr>
          </c:dPt>
          <c:dLbls>
            <c:dLbl>
              <c:idx val="0"/>
              <c:layout/>
              <c:numFmt formatCode="General" sourceLinked="1"/>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3F3F3F"/>
                      </a:solidFill>
                      <a:latin typeface="Times New Roman" panose="02020603050405020304"/>
                      <a:ea typeface="宋体" panose="02010600030101010101" charset="-122"/>
                      <a:cs typeface="Lucida Sans" panose="020B0602030504020204"/>
                    </a:defRPr>
                  </a:pPr>
                </a:p>
              </c:txPr>
              <c:dLblPos val="inEnd"/>
              <c:showLegendKey val="0"/>
              <c:showVal val="0"/>
              <c:showCatName val="1"/>
              <c:showSerName val="0"/>
              <c:showPercent val="1"/>
              <c:showBubbleSize val="0"/>
              <c:separator>
</c:separator>
              <c:extLst>
                <c:ext xmlns:c15="http://schemas.microsoft.com/office/drawing/2012/chart" uri="{CE6537A1-D6FC-4f65-9D91-7224C49458BB}"/>
              </c:extLst>
            </c:dLbl>
            <c:dLbl>
              <c:idx val="1"/>
              <c:layout/>
              <c:numFmt formatCode="General" sourceLinked="1"/>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3F3F3F"/>
                      </a:solidFill>
                      <a:latin typeface="Times New Roman" panose="02020603050405020304"/>
                      <a:ea typeface="宋体" panose="02010600030101010101" charset="-122"/>
                      <a:cs typeface="Lucida Sans" panose="020B0602030504020204"/>
                    </a:defRPr>
                  </a:pPr>
                </a:p>
              </c:txPr>
              <c:dLblPos val="inEnd"/>
              <c:showLegendKey val="0"/>
              <c:showVal val="0"/>
              <c:showCatName val="1"/>
              <c:showSerName val="0"/>
              <c:showPercent val="1"/>
              <c:showBubbleSize val="0"/>
              <c:separator>
</c:separator>
              <c:extLst>
                <c:ext xmlns:c15="http://schemas.microsoft.com/office/drawing/2012/chart" uri="{CE6537A1-D6FC-4f65-9D91-7224C49458BB}"/>
              </c:extLst>
            </c:dLbl>
            <c:dLbl>
              <c:idx val="2"/>
              <c:layout>
                <c:manualLayout>
                  <c:x val="-5.55342295743926e-7"/>
                  <c:y val="0.27866700075078"/>
                </c:manualLayout>
              </c:layout>
              <c:numFmt formatCode="General" sourceLinked="1"/>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3F3F3F"/>
                      </a:solidFill>
                      <a:latin typeface="Times New Roman" panose="02020603050405020304"/>
                      <a:ea typeface="宋体" panose="02010600030101010101" charset="-122"/>
                      <a:cs typeface="Lucida Sans" panose="020B0602030504020204"/>
                    </a:defRPr>
                  </a:pPr>
                </a:p>
              </c:txPr>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dLbl>
              <c:idx val="3"/>
              <c:layout/>
              <c:numFmt formatCode="General" sourceLinked="1"/>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3F3F3F"/>
                      </a:solidFill>
                      <a:latin typeface="Times New Roman" panose="02020603050405020304"/>
                      <a:ea typeface="宋体" panose="02010600030101010101" charset="-122"/>
                      <a:cs typeface="Lucida Sans" panose="020B0602030504020204"/>
                    </a:defRPr>
                  </a:pPr>
                </a:p>
              </c:txPr>
              <c:dLblPos val="inEnd"/>
              <c:showLegendKey val="0"/>
              <c:showVal val="0"/>
              <c:showCatName val="1"/>
              <c:showSerName val="0"/>
              <c:showPercent val="1"/>
              <c:showBubbleSize val="0"/>
              <c:separator>
</c:separator>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3F3F3F"/>
                    </a:solidFill>
                    <a:latin typeface="Times New Roman" panose="02020603050405020304"/>
                    <a:ea typeface="宋体" panose="02010600030101010101" charset="-122"/>
                    <a:cs typeface="Lucida Sans" panose="020B0602030504020204"/>
                  </a:defRPr>
                </a:pPr>
              </a:p>
            </c:txPr>
            <c:dLblPos val="in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ext>
            </c:extLst>
          </c:dLbls>
          <c:cat>
            <c:strRef>
              <c:f>'工作表1'!$A$2:$A$5</c:f>
              <c:strCache>
                <c:ptCount val="4"/>
                <c:pt idx="0">
                  <c:v>公务用车购置机运行维护费</c:v>
                </c:pt>
                <c:pt idx="1">
                  <c:v>公务接待费</c:v>
                </c:pt>
                <c:pt idx="2">
                  <c:v>因公出国经费</c:v>
                </c:pt>
              </c:strCache>
            </c:strRef>
          </c:cat>
          <c:val>
            <c:numRef>
              <c:f>'工作表1'!$B$2:$B$5</c:f>
              <c:numCache>
                <c:formatCode>General</c:formatCode>
                <c:ptCount val="4"/>
                <c:pt idx="0">
                  <c:v>0.72</c:v>
                </c:pt>
                <c:pt idx="1">
                  <c:v>0</c:v>
                </c:pt>
                <c:pt idx="2">
                  <c:v>0</c:v>
                </c:pt>
              </c:numCache>
            </c:numRef>
          </c:val>
        </c:ser>
        <c:dLbls>
          <c:showLegendKey val="0"/>
          <c:showVal val="0"/>
          <c:showCatName val="1"/>
          <c:showSerName val="0"/>
          <c:showPercent val="1"/>
          <c:showBubbleSize val="0"/>
          <c:showLeaderLines val="1"/>
        </c:dLbls>
        <c:firstSliceAng val="0"/>
      </c:pieChart>
      <c:spPr>
        <a:noFill/>
        <a:ln>
          <a:noFill/>
        </a:ln>
      </c:spPr>
    </c:plotArea>
    <c:legend>
      <c:legendPos val="b"/>
      <c:layout/>
      <c:overlay val="0"/>
      <c:spPr>
        <a:noFill/>
        <a:ln>
          <a:noFill/>
        </a:ln>
      </c:spPr>
      <c:txPr>
        <a:bodyPr rot="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Lucida Sans" panose="020B0602030504020204"/>
            </a:defRPr>
          </a:pPr>
        </a:p>
      </c:txPr>
    </c:legend>
    <c:plotVisOnly val="1"/>
    <c:dispBlanksAs val="gap"/>
    <c:showDLblsOverMax val="0"/>
  </c:chart>
  <c:spPr>
    <a:solidFill>
      <a:srgbClr val="FFFFFF"/>
    </a:solidFill>
    <a:ln w="12700" cap="flat" cmpd="sng">
      <a:solidFill>
        <a:srgbClr val="D8D8D8"/>
      </a:solidFill>
      <a:prstDash val="solid"/>
      <a:round/>
    </a:ln>
  </c:spPr>
  <c:txPr>
    <a:bodyPr/>
    <a:lstStyle/>
    <a:p>
      <a:pPr>
        <a:defRPr lang="zh-CN" sz="900" b="0" i="0" u="none" strike="noStrike" baseline="0">
          <a:solidFill>
            <a:srgbClr val="000000"/>
          </a:solidFill>
          <a:latin typeface="Times New Roman" panose="02020603050405020304"/>
          <a:ea typeface="宋体" panose="02010600030101010101" charset="-122"/>
          <a:cs typeface="Lucida Sans" panose="020B0602030504020204"/>
        </a:defRPr>
      </a:pPr>
    </a:p>
  </c:txPr>
  <c:externalData r:id="rId1">
    <c:autoUpdate val="0"/>
  </c:externalData>
</c:chartSpace>
</file>

<file path=word/theme/theme1.xml><?xml version="1.0" encoding="utf-8"?>
<a:theme xmlns:a="http://schemas.openxmlformats.org/drawingml/2006/main" name="Office Theme">
  <a:themeElements>
    <a:clrScheme name="Office The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Theme">
      <a:majorFont>
        <a:latin typeface=""/>
        <a:ea typeface=""/>
        <a:cs typeface=""/>
      </a:majorFont>
      <a:minorFont>
        <a:latin typeface=""/>
        <a:ea typeface=""/>
        <a:cs typefac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1"/>
        </a:gradFill>
      </a:fillStyleLst>
      <a:lnStyleLst>
        <a:ln w="9525" cap="flat" cmpd="sng">
          <a:solidFill>
            <a:schemeClr val="phClr">
              <a:shade val="95000"/>
              <a:satMod val="105000"/>
            </a:schemeClr>
          </a:solidFill>
          <a:prstDash val="solid"/>
          <a:round/>
        </a:ln>
        <a:ln w="25400" cap="flat" cmpd="sng">
          <a:solidFill>
            <a:schemeClr val="phClr"/>
          </a:solidFill>
          <a:prstDash val="solid"/>
          <a:round/>
        </a:ln>
        <a:ln w="38100" cap="flat" cmpd="sng">
          <a:solidFill>
            <a:schemeClr val="phClr"/>
          </a:solidFill>
          <a:prstDash val="solid"/>
          <a:round/>
        </a:ln>
      </a:lnStyleLst>
      <a:effectStyleLst>
        <a:effectStyle>
          <a:effectLst>
            <a:outerShdw blurRad="40000" dist="20000" dir="5400000" rotWithShape="0">
              <a:srgbClr val="000000">
                <a:alpha val="37647"/>
              </a:srgbClr>
            </a:outerShdw>
          </a:effectLst>
        </a:effectStyle>
        <a:effectStyle>
          <a:effectLst>
            <a:outerShdw blurRad="40000" dist="23000" dir="5400000" rotWithShape="0">
              <a:srgbClr val="000000">
                <a:alpha val="34509"/>
              </a:srgbClr>
            </a:outerShdw>
          </a:effectLst>
        </a:effectStyle>
        <a:effectStyle>
          <a:effectLst>
            <a:outerShdw blurRad="40000" dist="23000" dir="5400000" rotWithShape="0">
              <a:srgbClr val="000000">
                <a:alpha val="34509"/>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50000" r="50000" b="5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ustomData xmlns="http://www.yozosoft.com.cn/officeDocument/2016/customData">
  <customProps>
    <docPr revisions="3 0 5 0 0 0 1 0 0 0 26650 1 1 1 1 1"/>
    <sectPr/>
    <sectPr/>
    <sectPr/>
  </customProps>
</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BAC097-A6FD-462F-A849-756CA9DB3FF8}">
  <ds:schemaRefs/>
</ds:datastoreItem>
</file>

<file path=docProps/app.xml><?xml version="1.0" encoding="utf-8"?>
<Properties xmlns="http://schemas.openxmlformats.org/officeDocument/2006/extended-properties" xmlns:vt="http://schemas.openxmlformats.org/officeDocument/2006/docPropsVTypes">
  <Template>Normal.eit</Template>
  <Company>四川省财政厅</Company>
  <Pages>24</Pages>
  <Words>0</Words>
  <Characters>5039</Characters>
  <Lines>0</Lines>
  <Paragraphs>248</Paragraphs>
  <TotalTime>16</TotalTime>
  <ScaleCrop>false</ScaleCrop>
  <LinksUpToDate>false</LinksUpToDate>
  <CharactersWithSpaces>6719</CharactersWithSpaces>
  <Application>WPS Office_11.8.2.8696_F1E327BC-269C-435d-A152-05C5408002CA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2026-10-14T02:48:00Z</dcterms:created>
  <dc:creator>曹颖</dc:creator>
  <cp:lastModifiedBy>潘腾龙</cp:lastModifiedBy>
  <cp:lastPrinted>2026-10-26T08:25:00Z</cp:lastPrinted>
  <dcterms:modified xsi:type="dcterms:W3CDTF">2026-10-27T02:08:55Z</dcterms:modified>
  <dc:title>四川省***</dc:title>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400D301575C74348A5277D00A7902E06</vt:lpwstr>
  </property>
</Properties>
</file>