
<file path=[Content_Types].xml><?xml version="1.0" encoding="utf-8"?>
<Types xmlns="http://schemas.openxmlformats.org/package/2006/content-types">
  <Default Extension="xml" ContentType="application/xml"/>
  <Default Extension="xlsx" ContentType="application/vnd.openxmlformats-officedocument.spreadsheetml.sheet"/>
  <Default Extension="bin" ContentType="application/vnd.openxmlformats-officedocument.oleObjec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keepNext w:val="0"/>
        <w:keepLines w:val="0"/>
        <w:widowControl/>
        <w:suppressLineNumbers w:val="0"/>
        <w:ind w:left="0" w:right="75"/>
        <w:jc w:val="center"/>
        <w:rPr>
          <w:rFonts w:hint="eastAsia" w:ascii="方正小标宋简体" w:hAnsi="方正小标宋简体" w:eastAsia="方正小标宋简体" w:cs="方正小标宋简体"/>
          <w:sz w:val="44"/>
          <w:szCs w:val="44"/>
        </w:rPr>
      </w:pPr>
      <w:bookmarkStart w:id="21" w:name="_GoBack"/>
      <w:bookmarkEnd w:id="21"/>
      <w:r>
        <w:rPr>
          <w:rStyle w:val="16"/>
          <w:rFonts w:hint="eastAsia" w:ascii="方正小标宋简体" w:hAnsi="方正小标宋简体" w:eastAsia="方正小标宋简体" w:cs="方正小标宋简体"/>
          <w:sz w:val="44"/>
          <w:szCs w:val="44"/>
          <w:shd w:val="clear" w:color="auto" w:fill="FFFFFF"/>
        </w:rPr>
        <w:t>202</w:t>
      </w:r>
      <w:r>
        <w:rPr>
          <w:rStyle w:val="16"/>
          <w:rFonts w:hint="default" w:ascii="方正小标宋简体" w:hAnsi="方正小标宋简体" w:eastAsia="方正小标宋简体" w:cs="方正小标宋简体"/>
          <w:sz w:val="44"/>
          <w:szCs w:val="44"/>
          <w:shd w:val="clear" w:color="auto" w:fill="FFFFFF"/>
          <w:lang w:val="en-US" w:eastAsia="zh-CN"/>
        </w:rPr>
        <w:t>5</w:t>
      </w:r>
      <w:r>
        <w:rPr>
          <w:rStyle w:val="16"/>
          <w:rFonts w:hint="eastAsia" w:ascii="方正小标宋简体" w:hAnsi="方正小标宋简体" w:eastAsia="方正小标宋简体" w:cs="方正小标宋简体"/>
          <w:sz w:val="44"/>
          <w:szCs w:val="44"/>
          <w:shd w:val="clear" w:color="auto" w:fill="FFFFFF"/>
        </w:rPr>
        <w:t>年度</w:t>
      </w:r>
    </w:p>
    <w:p>
      <w:pPr>
        <w:pStyle w:val="13"/>
        <w:keepNext w:val="0"/>
        <w:keepLines w:val="0"/>
        <w:widowControl/>
        <w:suppressLineNumbers w:val="0"/>
        <w:ind w:left="0" w:right="75"/>
        <w:jc w:val="center"/>
        <w:rPr>
          <w:rFonts w:hint="eastAsia" w:ascii="方正小标宋简体" w:hAnsi="方正小标宋简体" w:eastAsia="方正小标宋简体" w:cs="方正小标宋简体"/>
          <w:sz w:val="44"/>
          <w:szCs w:val="44"/>
          <w:lang w:eastAsia="zh-CN"/>
        </w:rPr>
      </w:pPr>
      <w:r>
        <w:rPr>
          <w:rStyle w:val="16"/>
          <w:rFonts w:hint="eastAsia" w:ascii="方正小标宋简体" w:hAnsi="方正小标宋简体" w:eastAsia="方正小标宋简体" w:cs="方正小标宋简体"/>
          <w:sz w:val="44"/>
          <w:szCs w:val="44"/>
          <w:shd w:val="clear" w:color="auto" w:fill="FFFFFF"/>
          <w:lang w:eastAsia="zh-CN"/>
        </w:rPr>
        <w:t>中共红原县委机构编制委员会办公室</w:t>
      </w:r>
      <w:r>
        <w:rPr>
          <w:rStyle w:val="16"/>
          <w:rFonts w:hint="eastAsia" w:ascii="方正小标宋简体" w:hAnsi="方正小标宋简体" w:eastAsia="方正小标宋简体" w:cs="方正小标宋简体"/>
          <w:sz w:val="44"/>
          <w:szCs w:val="44"/>
          <w:shd w:val="clear" w:color="auto" w:fill="FFFFFF"/>
        </w:rPr>
        <w:t>部门决算</w:t>
      </w:r>
      <w:r>
        <w:rPr>
          <w:rStyle w:val="16"/>
          <w:rFonts w:hint="eastAsia" w:ascii="方正小标宋简体" w:hAnsi="方正小标宋简体" w:eastAsia="方正小标宋简体" w:cs="方正小标宋简体"/>
          <w:sz w:val="44"/>
          <w:szCs w:val="44"/>
          <w:shd w:val="clear" w:color="auto" w:fill="FFFFFF"/>
          <w:lang w:eastAsia="zh-CN"/>
        </w:rPr>
        <w:t>公开编制说明</w:t>
      </w: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rPr>
          <w:sz w:val="24"/>
          <w:szCs w:val="24"/>
          <w:shd w:val="clear" w:color="auto" w:fill="FFFFFF"/>
        </w:rPr>
      </w:pPr>
    </w:p>
    <w:p>
      <w:pPr>
        <w:pStyle w:val="13"/>
        <w:keepNext w:val="0"/>
        <w:keepLines w:val="0"/>
        <w:widowControl/>
        <w:suppressLineNumbers w:val="0"/>
        <w:ind w:left="0" w:right="75"/>
        <w:jc w:val="left"/>
      </w:pPr>
      <w:r>
        <w:rPr>
          <w:sz w:val="24"/>
          <w:szCs w:val="24"/>
          <w:shd w:val="clear" w:color="auto" w:fill="FFFFFF"/>
        </w:rPr>
        <w:t>保密审查情况：已审查，内容审定</w:t>
      </w:r>
    </w:p>
    <w:p>
      <w:pPr>
        <w:pStyle w:val="13"/>
        <w:keepNext w:val="0"/>
        <w:keepLines w:val="0"/>
        <w:widowControl/>
        <w:suppressLineNumbers w:val="0"/>
        <w:ind w:left="0" w:right="75"/>
        <w:jc w:val="left"/>
      </w:pPr>
      <w:r>
        <w:rPr>
          <w:sz w:val="24"/>
          <w:szCs w:val="24"/>
          <w:shd w:val="clear" w:color="auto" w:fill="FFFFFF"/>
        </w:rPr>
        <w:t>部门主要负责人审签情况：已审签，同意对外公开</w:t>
      </w:r>
    </w:p>
    <w:p>
      <w:pPr>
        <w:pStyle w:val="13"/>
        <w:keepNext w:val="0"/>
        <w:keepLines w:val="0"/>
        <w:widowControl/>
        <w:suppressLineNumbers w:val="0"/>
        <w:ind w:left="0" w:right="75"/>
        <w:jc w:val="both"/>
        <w:rPr>
          <w:rStyle w:val="16"/>
          <w:sz w:val="30"/>
          <w:szCs w:val="30"/>
          <w:shd w:val="clear" w:color="auto" w:fill="FFFFFF"/>
        </w:rPr>
        <w:sectPr>
          <w:footerReference r:id="rId3" w:type="default"/>
          <w:pgSz w:w="11906" w:h="16838"/>
          <w:pgMar w:top="1440" w:right="1800" w:bottom="1440" w:left="1800" w:header="851" w:footer="992" w:gutter="0"/>
          <w:cols w:space="720" w:num="1"/>
          <w:docGrid w:type="lines" w:linePitch="312" w:charSpace="0"/>
        </w:sectPr>
      </w:pPr>
    </w:p>
    <w:p>
      <w:pPr>
        <w:pStyle w:val="13"/>
        <w:keepNext w:val="0"/>
        <w:keepLines w:val="0"/>
        <w:widowControl/>
        <w:suppressLineNumbers w:val="0"/>
        <w:ind w:left="0" w:right="75"/>
        <w:jc w:val="center"/>
      </w:pPr>
      <w:r>
        <w:rPr>
          <w:rStyle w:val="16"/>
          <w:sz w:val="30"/>
          <w:szCs w:val="30"/>
          <w:shd w:val="clear" w:color="auto" w:fill="FFFFFF"/>
        </w:rPr>
        <w:t>目 录</w:t>
      </w:r>
    </w:p>
    <w:p>
      <w:pPr>
        <w:pStyle w:val="13"/>
        <w:keepNext w:val="0"/>
        <w:keepLines w:val="0"/>
        <w:widowControl/>
        <w:suppressLineNumbers w:val="0"/>
        <w:ind w:left="0" w:right="75"/>
        <w:jc w:val="center"/>
        <w:rPr>
          <w:rFonts w:hint="eastAsia"/>
        </w:rPr>
      </w:pPr>
      <w:r>
        <w:rPr>
          <w:sz w:val="24"/>
          <w:szCs w:val="24"/>
          <w:shd w:val="clear" w:color="auto" w:fill="FFFFFF"/>
        </w:rPr>
        <w:t>公开时间：202</w:t>
      </w:r>
      <w:r>
        <w:rPr>
          <w:rFonts w:hint="default"/>
          <w:sz w:val="24"/>
          <w:szCs w:val="24"/>
          <w:shd w:val="clear" w:color="auto" w:fill="FFFFFF"/>
          <w:lang w:val="en-US" w:eastAsia="zh-CN"/>
        </w:rPr>
        <w:t>5</w:t>
      </w:r>
      <w:r>
        <w:rPr>
          <w:sz w:val="24"/>
          <w:szCs w:val="24"/>
          <w:shd w:val="clear" w:color="auto" w:fill="FFFFFF"/>
        </w:rPr>
        <w:t xml:space="preserve">年 </w:t>
      </w:r>
      <w:r>
        <w:rPr>
          <w:rFonts w:hint="default"/>
          <w:sz w:val="24"/>
          <w:szCs w:val="24"/>
          <w:shd w:val="clear" w:color="auto" w:fill="FFFFFF"/>
          <w:lang w:val="en-US" w:eastAsia="zh-CN"/>
        </w:rPr>
        <w:t>10</w:t>
      </w:r>
      <w:r>
        <w:rPr>
          <w:sz w:val="24"/>
          <w:szCs w:val="24"/>
          <w:shd w:val="clear" w:color="auto" w:fill="FFFFFF"/>
        </w:rPr>
        <w:t>月</w:t>
      </w:r>
      <w:r>
        <w:rPr>
          <w:rFonts w:hint="default"/>
          <w:sz w:val="24"/>
          <w:szCs w:val="24"/>
          <w:shd w:val="clear" w:color="auto" w:fill="FFFFFF"/>
          <w:lang w:val="en-US" w:eastAsia="zh-CN"/>
        </w:rPr>
        <w:t>8</w:t>
      </w:r>
      <w:r>
        <w:rPr>
          <w:sz w:val="24"/>
          <w:szCs w:val="24"/>
          <w:shd w:val="clear" w:color="auto" w:fill="FFFFFF"/>
        </w:rPr>
        <w:t>日</w:t>
      </w:r>
    </w:p>
    <w:sdt>
      <w:sdtPr>
        <w:rPr>
          <w:rFonts w:ascii="宋体" w:hAnsi="宋体" w:eastAsia="宋体" w:cs="Times New Roman"/>
          <w:kern w:val="2"/>
          <w:sz w:val="21"/>
          <w:szCs w:val="24"/>
          <w:lang w:val="en-US" w:eastAsia="zh-CN" w:bidi="ar-SA"/>
        </w:rPr>
        <w:id w:val="147458493"/>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p>
        <w:p>
          <w:pPr>
            <w:pStyle w:val="10"/>
            <w:tabs>
              <w:tab w:val="right" w:leader="dot" w:pos="8306"/>
              <w:tab w:val="clear" w:pos="829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TOC \o "1-3" \h \u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_Toc27360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第一部分 部门概况</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fldChar w:fldCharType="end"/>
          </w:r>
        </w:p>
        <w:p>
          <w:pPr>
            <w:pStyle w:val="12"/>
            <w:tabs>
              <w:tab w:val="right" w:leader="dot" w:pos="8306"/>
              <w:tab w:val="clear" w:pos="829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_Toc14224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一、基本职能及主要工作</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fldChar w:fldCharType="end"/>
          </w:r>
        </w:p>
        <w:p>
          <w:pPr>
            <w:pStyle w:val="12"/>
            <w:tabs>
              <w:tab w:val="right" w:leader="dot" w:pos="8306"/>
              <w:tab w:val="clear" w:pos="829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_Toc10295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二、机构设置</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fldChar w:fldCharType="end"/>
          </w:r>
        </w:p>
        <w:p>
          <w:pPr>
            <w:pStyle w:val="10"/>
            <w:tabs>
              <w:tab w:val="right" w:leader="dot" w:pos="8306"/>
              <w:tab w:val="clear" w:pos="829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_Toc6796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第二部分 202</w:t>
          </w:r>
          <w:r>
            <w:rPr>
              <w:rFonts w:hint="default" w:ascii="仿宋_GB2312" w:hAnsi="仿宋_GB2312" w:eastAsia="仿宋_GB2312" w:cs="仿宋_GB2312"/>
              <w:sz w:val="30"/>
              <w:szCs w:val="30"/>
              <w:shd w:val="clear" w:color="auto" w:fill="FFFFFF"/>
              <w:lang w:val="en-US" w:eastAsia="zh-CN"/>
            </w:rPr>
            <w:t>5</w:t>
          </w:r>
          <w:r>
            <w:rPr>
              <w:rFonts w:hint="eastAsia" w:ascii="仿宋_GB2312" w:hAnsi="仿宋_GB2312" w:eastAsia="仿宋_GB2312" w:cs="仿宋_GB2312"/>
              <w:sz w:val="30"/>
              <w:szCs w:val="30"/>
              <w:shd w:val="clear" w:color="auto" w:fill="FFFFFF"/>
            </w:rPr>
            <w:t>年度部门决算情况说明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fldChar w:fldCharType="end"/>
          </w:r>
        </w:p>
        <w:p>
          <w:pPr>
            <w:pStyle w:val="12"/>
            <w:tabs>
              <w:tab w:val="right" w:leader="dot" w:pos="8306"/>
              <w:tab w:val="clear" w:pos="829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_Toc23902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一、 收入支出决算总体情况说明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fldChar w:fldCharType="end"/>
          </w:r>
        </w:p>
        <w:p>
          <w:pPr>
            <w:pStyle w:val="12"/>
            <w:tabs>
              <w:tab w:val="right" w:leader="dot" w:pos="8306"/>
              <w:tab w:val="clear" w:pos="829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_Toc21346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lang w:eastAsia="zh-CN"/>
            </w:rPr>
            <w:t xml:space="preserve">二、 </w:t>
          </w:r>
          <w:r>
            <w:rPr>
              <w:rFonts w:hint="eastAsia" w:ascii="仿宋_GB2312" w:hAnsi="仿宋_GB2312" w:eastAsia="仿宋_GB2312" w:cs="仿宋_GB2312"/>
              <w:sz w:val="30"/>
              <w:szCs w:val="30"/>
              <w:shd w:val="clear" w:color="auto" w:fill="FFFFFF"/>
            </w:rPr>
            <w:t>收入决算情况说明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7</w:t>
          </w:r>
          <w:r>
            <w:rPr>
              <w:rFonts w:hint="eastAsia" w:ascii="仿宋_GB2312" w:hAnsi="仿宋_GB2312" w:eastAsia="仿宋_GB2312" w:cs="仿宋_GB2312"/>
              <w:sz w:val="30"/>
              <w:szCs w:val="30"/>
            </w:rPr>
            <w:fldChar w:fldCharType="end"/>
          </w:r>
        </w:p>
        <w:p>
          <w:pPr>
            <w:pStyle w:val="12"/>
            <w:tabs>
              <w:tab w:val="right" w:leader="dot" w:pos="8306"/>
              <w:tab w:val="clear" w:pos="829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_Toc21019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fill="FFFFFF"/>
            </w:rPr>
            <w:t xml:space="preserve">三、 </w:t>
          </w:r>
          <w:r>
            <w:rPr>
              <w:rFonts w:hint="eastAsia" w:ascii="仿宋_GB2312" w:hAnsi="仿宋_GB2312" w:eastAsia="仿宋_GB2312" w:cs="仿宋_GB2312"/>
              <w:sz w:val="30"/>
              <w:szCs w:val="30"/>
              <w:shd w:val="clear" w:color="auto" w:fill="FFFFFF"/>
            </w:rPr>
            <w:t>支出决算情况说明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8</w:t>
          </w:r>
          <w:r>
            <w:rPr>
              <w:rFonts w:hint="eastAsia" w:ascii="仿宋_GB2312" w:hAnsi="仿宋_GB2312" w:eastAsia="仿宋_GB2312" w:cs="仿宋_GB2312"/>
              <w:sz w:val="30"/>
              <w:szCs w:val="30"/>
            </w:rPr>
            <w:fldChar w:fldCharType="end"/>
          </w:r>
        </w:p>
        <w:p>
          <w:pPr>
            <w:pStyle w:val="12"/>
            <w:tabs>
              <w:tab w:val="right" w:leader="dot" w:pos="8306"/>
              <w:tab w:val="clear" w:pos="829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_Toc7956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fill="FFFFFF"/>
            </w:rPr>
            <w:t xml:space="preserve">四、 </w:t>
          </w:r>
          <w:r>
            <w:rPr>
              <w:rFonts w:hint="eastAsia" w:ascii="仿宋_GB2312" w:hAnsi="仿宋_GB2312" w:eastAsia="仿宋_GB2312" w:cs="仿宋_GB2312"/>
              <w:sz w:val="30"/>
              <w:szCs w:val="30"/>
              <w:shd w:val="clear" w:color="auto" w:fill="FFFFFF"/>
            </w:rPr>
            <w:t>财政拨款收入支出决算总体情况说明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8</w:t>
          </w:r>
          <w:r>
            <w:rPr>
              <w:rFonts w:hint="eastAsia" w:ascii="仿宋_GB2312" w:hAnsi="仿宋_GB2312" w:eastAsia="仿宋_GB2312" w:cs="仿宋_GB2312"/>
              <w:sz w:val="30"/>
              <w:szCs w:val="30"/>
            </w:rPr>
            <w:fldChar w:fldCharType="end"/>
          </w:r>
        </w:p>
        <w:p>
          <w:pPr>
            <w:pStyle w:val="12"/>
            <w:tabs>
              <w:tab w:val="right" w:leader="dot" w:pos="8306"/>
              <w:tab w:val="clear" w:pos="829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_Toc23149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五、一般公共预算财政拨款支出决算情况说明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9</w:t>
          </w:r>
          <w:r>
            <w:rPr>
              <w:rFonts w:hint="eastAsia" w:ascii="仿宋_GB2312" w:hAnsi="仿宋_GB2312" w:eastAsia="仿宋_GB2312" w:cs="仿宋_GB2312"/>
              <w:sz w:val="30"/>
              <w:szCs w:val="30"/>
            </w:rPr>
            <w:fldChar w:fldCharType="end"/>
          </w:r>
        </w:p>
        <w:p>
          <w:pPr>
            <w:pStyle w:val="12"/>
            <w:tabs>
              <w:tab w:val="right" w:leader="dot" w:pos="8306"/>
              <w:tab w:val="clear" w:pos="8296"/>
            </w:tabs>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_Toc2180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lang w:eastAsia="zh-CN"/>
            </w:rPr>
            <w:t>六、</w:t>
          </w:r>
          <w:r>
            <w:rPr>
              <w:rFonts w:hint="eastAsia" w:ascii="仿宋_GB2312" w:hAnsi="仿宋_GB2312" w:eastAsia="仿宋_GB2312" w:cs="仿宋_GB2312"/>
              <w:sz w:val="30"/>
              <w:szCs w:val="30"/>
              <w:shd w:val="clear" w:color="auto" w:fill="FFFFFF"/>
            </w:rPr>
            <w:t>一般公共预算财政拨款基本支出决算情况说明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val="en-US" w:eastAsia="zh-CN"/>
            </w:rPr>
            <w:t>1</w:t>
          </w:r>
        </w:p>
        <w:p>
          <w:pPr>
            <w:pStyle w:val="12"/>
            <w:tabs>
              <w:tab w:val="right" w:leader="dot" w:pos="8306"/>
              <w:tab w:val="clear" w:pos="8296"/>
            </w:tabs>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_Toc18699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七、“三公”经费财政拨款支出决算情况说明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val="en-US" w:eastAsia="zh-CN"/>
            </w:rPr>
            <w:t>2</w:t>
          </w:r>
        </w:p>
        <w:p>
          <w:pPr>
            <w:pStyle w:val="12"/>
            <w:tabs>
              <w:tab w:val="right" w:leader="dot" w:pos="8306"/>
              <w:tab w:val="clear" w:pos="8296"/>
            </w:tabs>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_Toc9599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fill="FFFFFF"/>
            </w:rPr>
            <w:t xml:space="preserve">八、 </w:t>
          </w:r>
          <w:r>
            <w:rPr>
              <w:rFonts w:hint="eastAsia" w:ascii="仿宋_GB2312" w:hAnsi="仿宋_GB2312" w:eastAsia="仿宋_GB2312" w:cs="仿宋_GB2312"/>
              <w:sz w:val="30"/>
              <w:szCs w:val="30"/>
              <w:shd w:val="clear" w:color="auto" w:fill="FFFFFF"/>
            </w:rPr>
            <w:t>政府性基金预算支出决算情况说明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val="en-US" w:eastAsia="zh-CN"/>
            </w:rPr>
            <w:t>4</w:t>
          </w:r>
        </w:p>
        <w:p>
          <w:pPr>
            <w:pStyle w:val="12"/>
            <w:tabs>
              <w:tab w:val="right" w:leader="dot" w:pos="8306"/>
              <w:tab w:val="clear" w:pos="8296"/>
            </w:tabs>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_Toc31416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fill="FFFFFF"/>
            </w:rPr>
            <w:t xml:space="preserve">九、 </w:t>
          </w:r>
          <w:r>
            <w:rPr>
              <w:rFonts w:hint="eastAsia" w:ascii="仿宋_GB2312" w:hAnsi="仿宋_GB2312" w:eastAsia="仿宋_GB2312" w:cs="仿宋_GB2312"/>
              <w:sz w:val="30"/>
              <w:szCs w:val="30"/>
              <w:shd w:val="clear" w:color="auto" w:fill="FFFFFF"/>
            </w:rPr>
            <w:t>国有资本经营预算支出决算情况说明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val="en-US" w:eastAsia="zh-CN"/>
            </w:rPr>
            <w:t>4</w:t>
          </w:r>
        </w:p>
        <w:p>
          <w:pPr>
            <w:pStyle w:val="12"/>
            <w:tabs>
              <w:tab w:val="right" w:leader="dot" w:pos="8306"/>
              <w:tab w:val="clear" w:pos="8296"/>
            </w:tabs>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_Toc11587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十、其他重要事项的情况说明</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val="en-US" w:eastAsia="zh-CN"/>
            </w:rPr>
            <w:t>4</w:t>
          </w:r>
        </w:p>
        <w:p>
          <w:pPr>
            <w:pStyle w:val="10"/>
            <w:tabs>
              <w:tab w:val="right" w:leader="dot" w:pos="8306"/>
              <w:tab w:val="clear" w:pos="8296"/>
            </w:tabs>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_Toc26931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fill="FFFFFF"/>
            </w:rPr>
            <w:t xml:space="preserve">第三部分 </w:t>
          </w:r>
          <w:r>
            <w:rPr>
              <w:rFonts w:hint="eastAsia" w:ascii="仿宋_GB2312" w:hAnsi="仿宋_GB2312" w:eastAsia="仿宋_GB2312" w:cs="仿宋_GB2312"/>
              <w:sz w:val="30"/>
              <w:szCs w:val="30"/>
              <w:shd w:val="clear" w:color="auto" w:fill="FFFFFF"/>
            </w:rPr>
            <w:t>名词解释</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val="en-US" w:eastAsia="zh-CN"/>
            </w:rPr>
            <w:t>2</w:t>
          </w:r>
        </w:p>
        <w:p>
          <w:pPr>
            <w:pStyle w:val="10"/>
            <w:tabs>
              <w:tab w:val="right" w:leader="dot" w:pos="8306"/>
              <w:tab w:val="clear" w:pos="8296"/>
            </w:tabs>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_Toc15389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第四部分 附件</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val="en-US" w:eastAsia="zh-CN"/>
            </w:rPr>
            <w:t>4</w:t>
          </w:r>
        </w:p>
        <w:p>
          <w:pPr>
            <w:pStyle w:val="12"/>
            <w:tabs>
              <w:tab w:val="right" w:leader="dot" w:pos="8306"/>
              <w:tab w:val="clear" w:pos="8296"/>
            </w:tabs>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_Toc27357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附件</w:t>
          </w:r>
          <w:r>
            <w:rPr>
              <w:rFonts w:hint="eastAsia" w:ascii="仿宋_GB2312" w:hAnsi="仿宋_GB2312" w:eastAsia="仿宋_GB2312" w:cs="仿宋_GB2312"/>
              <w:sz w:val="30"/>
              <w:szCs w:val="30"/>
              <w:shd w:val="clear" w:color="auto" w:fill="FFFFFF"/>
              <w:lang w:val="en-US" w:eastAsia="zh-CN"/>
            </w:rPr>
            <w:t>1</w:t>
          </w:r>
          <w:r>
            <w:rPr>
              <w:rFonts w:hint="eastAsia" w:ascii="仿宋_GB2312" w:hAnsi="仿宋_GB2312" w:eastAsia="仿宋_GB2312" w:cs="仿宋_GB2312"/>
              <w:sz w:val="30"/>
              <w:szCs w:val="30"/>
              <w:shd w:val="clear" w:color="auto" w:fill="FFFFFF"/>
              <w:lang w:eastAsia="zh-CN"/>
            </w:rPr>
            <w:t>：县委编办202</w:t>
          </w:r>
          <w:r>
            <w:rPr>
              <w:rFonts w:hint="default" w:ascii="仿宋_GB2312" w:hAnsi="仿宋_GB2312" w:eastAsia="仿宋_GB2312" w:cs="仿宋_GB2312"/>
              <w:sz w:val="30"/>
              <w:szCs w:val="30"/>
              <w:shd w:val="clear" w:color="auto" w:fill="FFFFFF"/>
              <w:lang w:val="en-US" w:eastAsia="zh-CN"/>
            </w:rPr>
            <w:t>5</w:t>
          </w:r>
          <w:r>
            <w:rPr>
              <w:rFonts w:hint="eastAsia" w:ascii="仿宋_GB2312" w:hAnsi="仿宋_GB2312" w:eastAsia="仿宋_GB2312" w:cs="仿宋_GB2312"/>
              <w:sz w:val="30"/>
              <w:szCs w:val="30"/>
              <w:shd w:val="clear" w:color="auto" w:fill="FFFFFF"/>
              <w:lang w:eastAsia="zh-CN"/>
            </w:rPr>
            <w:t>年部门整体支出绩效评价报告</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val="en-US" w:eastAsia="zh-CN"/>
            </w:rPr>
            <w:t>4</w:t>
          </w:r>
        </w:p>
        <w:p>
          <w:pPr>
            <w:pStyle w:val="10"/>
            <w:tabs>
              <w:tab w:val="right" w:leader="dot" w:pos="8306"/>
              <w:tab w:val="clear" w:pos="8296"/>
            </w:tabs>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_Toc29972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shd w:val="clear" w:color="auto" w:fill="FFFFFF"/>
            </w:rPr>
            <w:t>第五部分 附表</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val="en-US" w:eastAsia="zh-CN"/>
            </w:rPr>
            <w:t>0</w:t>
          </w:r>
        </w:p>
        <w:p>
          <w:pPr>
            <w:keepNext w:val="0"/>
            <w:keepLines w:val="0"/>
            <w:pageBreakBefore w:val="0"/>
            <w:widowControl w:val="0"/>
            <w:kinsoku/>
            <w:wordWrap/>
            <w:overflowPunct/>
            <w:topLinePunct w:val="0"/>
            <w:autoSpaceDE/>
            <w:autoSpaceDN/>
            <w:bidi w:val="0"/>
            <w:adjustRightInd/>
            <w:snapToGrid/>
            <w:spacing w:line="20" w:lineRule="exact"/>
            <w:textAlignment w:val="auto"/>
            <w:rPr>
              <w:rFonts w:ascii="宋体" w:hAnsi="宋体" w:eastAsia="宋体" w:cs="Times New Roman"/>
              <w:kern w:val="2"/>
              <w:sz w:val="21"/>
              <w:szCs w:val="24"/>
              <w:lang w:val="en-US" w:eastAsia="zh-CN" w:bidi="ar-SA"/>
            </w:rPr>
            <w:sectPr>
              <w:footerReference r:id="rId4" w:type="default"/>
              <w:pgSz w:w="11906" w:h="16838"/>
              <w:pgMar w:top="1440" w:right="1800" w:bottom="1440" w:left="1800" w:header="851" w:footer="992" w:gutter="0"/>
              <w:pgNumType w:fmt="decimal" w:start="1"/>
              <w:cols w:space="720" w:num="1"/>
              <w:docGrid w:type="lines" w:linePitch="312" w:charSpace="0"/>
            </w:sectPr>
          </w:pPr>
          <w:r>
            <w:rPr>
              <w:rFonts w:hint="eastAsia" w:ascii="仿宋_GB2312" w:hAnsi="仿宋_GB2312" w:eastAsia="仿宋_GB2312" w:cs="仿宋_GB2312"/>
              <w:sz w:val="30"/>
              <w:szCs w:val="30"/>
            </w:rPr>
            <w:fldChar w:fldCharType="end"/>
          </w:r>
        </w:p>
      </w:sdtContent>
    </w:sdt>
    <w:p>
      <w:pPr>
        <w:pStyle w:val="13"/>
        <w:keepNext w:val="0"/>
        <w:keepLines w:val="0"/>
        <w:widowControl/>
        <w:suppressLineNumbers w:val="0"/>
        <w:ind w:left="0" w:right="75"/>
        <w:jc w:val="center"/>
        <w:outlineLvl w:val="0"/>
        <w:rPr>
          <w:rFonts w:hint="eastAsia" w:ascii="黑体" w:hAnsi="黑体" w:eastAsia="黑体" w:cs="黑体"/>
          <w:sz w:val="44"/>
          <w:szCs w:val="44"/>
        </w:rPr>
      </w:pPr>
      <w:bookmarkStart w:id="0" w:name="_Toc27360"/>
      <w:r>
        <w:rPr>
          <w:rFonts w:hint="eastAsia" w:ascii="黑体" w:hAnsi="黑体" w:eastAsia="黑体" w:cs="黑体"/>
          <w:sz w:val="44"/>
          <w:szCs w:val="44"/>
          <w:shd w:val="clear" w:color="auto" w:fill="FFFFFF"/>
        </w:rPr>
        <w:t>第一部分 部门概况</w:t>
      </w:r>
      <w:bookmarkEnd w:id="0"/>
    </w:p>
    <w:p>
      <w:pPr>
        <w:pStyle w:val="13"/>
        <w:keepNext w:val="0"/>
        <w:keepLines w:val="0"/>
        <w:widowControl/>
        <w:suppressLineNumbers w:val="0"/>
        <w:ind w:left="0" w:right="75"/>
        <w:outlineLvl w:val="1"/>
        <w:rPr>
          <w:rFonts w:hint="eastAsia" w:ascii="黑体" w:hAnsi="黑体" w:eastAsia="黑体" w:cs="黑体"/>
          <w:sz w:val="32"/>
          <w:szCs w:val="32"/>
        </w:rPr>
      </w:pPr>
      <w:bookmarkStart w:id="1" w:name="_Toc14224"/>
      <w:r>
        <w:rPr>
          <w:rFonts w:hint="eastAsia" w:ascii="黑体" w:hAnsi="黑体" w:eastAsia="黑体" w:cs="黑体"/>
          <w:sz w:val="32"/>
          <w:szCs w:val="32"/>
          <w:shd w:val="clear" w:color="auto" w:fill="FFFFFF"/>
        </w:rPr>
        <w:t>一、基本职能及主要工作</w:t>
      </w:r>
      <w:bookmarkEnd w:id="1"/>
    </w:p>
    <w:p>
      <w:pPr>
        <w:pStyle w:val="13"/>
        <w:keepNext w:val="0"/>
        <w:keepLines w:val="0"/>
        <w:widowControl/>
        <w:suppressLineNumbers w:val="0"/>
        <w:ind w:left="0" w:right="75"/>
        <w:rPr>
          <w:rFonts w:hint="eastAsia" w:ascii="楷体_GB2312" w:hAnsi="楷体_GB2312" w:eastAsia="楷体_GB2312" w:cs="楷体_GB2312"/>
          <w:b/>
          <w:bCs/>
          <w:sz w:val="32"/>
          <w:szCs w:val="32"/>
          <w:shd w:val="clear" w:color="auto" w:fill="FFFFFF"/>
        </w:rPr>
      </w:pPr>
      <w:r>
        <w:rPr>
          <w:rFonts w:hint="eastAsia" w:ascii="楷体_GB2312" w:hAnsi="楷体_GB2312" w:eastAsia="楷体_GB2312" w:cs="楷体_GB2312"/>
          <w:b/>
          <w:bCs/>
          <w:sz w:val="32"/>
          <w:szCs w:val="32"/>
          <w:shd w:val="clear" w:color="auto" w:fill="FFFFFF"/>
        </w:rPr>
        <w:t>（一）主要职能。</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1、</w:t>
      </w:r>
      <w:r>
        <w:rPr>
          <w:rFonts w:hint="eastAsia" w:ascii="仿宋" w:hAnsi="仿宋" w:eastAsia="仿宋" w:cs="仿宋"/>
          <w:snapToGrid w:val="0"/>
          <w:color w:val="000000"/>
          <w:kern w:val="56"/>
          <w:sz w:val="32"/>
          <w:szCs w:val="32"/>
          <w:shd w:val="clear" w:color="auto" w:fill="FFFFFF"/>
        </w:rPr>
        <w:t>贯彻执行中央、省、州关于行政管理体制改革和机构改革、事业单位改革及机构编制管理的方针政策、法律法规，研究拟定本县的政策规定、管理办法和实施细则。</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2、</w:t>
      </w:r>
      <w:r>
        <w:rPr>
          <w:rFonts w:hint="eastAsia" w:ascii="仿宋" w:hAnsi="仿宋" w:eastAsia="仿宋" w:cs="仿宋"/>
          <w:snapToGrid w:val="0"/>
          <w:color w:val="000000"/>
          <w:kern w:val="56"/>
          <w:sz w:val="32"/>
          <w:szCs w:val="32"/>
          <w:shd w:val="clear" w:color="auto" w:fill="FFFFFF"/>
        </w:rPr>
        <w:t>研究拟定全县行政管理体制改革和机构改革方案，审核县直各部门“三定”规定和县直各部门、乡镇机构改革方案，指导县直各部门、乡镇行政管理体制改革和机构改革，评估改革方案。参与行政审批制度改革和行政区划调整的有关工作。</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3、</w:t>
      </w:r>
      <w:r>
        <w:rPr>
          <w:rFonts w:hint="eastAsia" w:ascii="仿宋" w:hAnsi="仿宋" w:eastAsia="仿宋" w:cs="仿宋"/>
          <w:snapToGrid w:val="0"/>
          <w:color w:val="000000"/>
          <w:kern w:val="56"/>
          <w:sz w:val="32"/>
          <w:szCs w:val="32"/>
          <w:shd w:val="clear" w:color="auto" w:fill="FFFFFF"/>
        </w:rPr>
        <w:t>拟定全县各级行政编制、政法专项编制总额分配方案，审核跨层级调整行政编制事项。负责全县行政事业编制总量控制、结构调整和机关事业单位机构编制实名制管理工作。对县直机关和县属事业单位使用空缺编制补充人员以及进入县级财政供养范围的人员（工勤人员除外）进行核批。</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4、</w:t>
      </w:r>
      <w:r>
        <w:rPr>
          <w:rFonts w:hint="eastAsia" w:ascii="仿宋" w:hAnsi="仿宋" w:eastAsia="仿宋" w:cs="仿宋"/>
          <w:snapToGrid w:val="0"/>
          <w:color w:val="000000"/>
          <w:kern w:val="56"/>
          <w:sz w:val="32"/>
          <w:szCs w:val="32"/>
          <w:shd w:val="clear" w:color="auto" w:fill="FFFFFF"/>
        </w:rPr>
        <w:t>负责县委、县政府各部门，县人大、县政协机关，县法院、县检察院机关及县人民团体机关的机构编制管理工作。协调县直各部门之间的职能划分。</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5、</w:t>
      </w:r>
      <w:r>
        <w:rPr>
          <w:rFonts w:hint="eastAsia" w:ascii="仿宋" w:hAnsi="仿宋" w:eastAsia="仿宋" w:cs="仿宋"/>
          <w:snapToGrid w:val="0"/>
          <w:color w:val="000000"/>
          <w:kern w:val="56"/>
          <w:sz w:val="32"/>
          <w:szCs w:val="32"/>
          <w:shd w:val="clear" w:color="auto" w:fill="FFFFFF"/>
        </w:rPr>
        <w:t>审核股级规格管理机构的设置、调整，按程序向州委编委请示县内副科级或按照副科级及以上规格管理机构的设置、调整。</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lang w:eastAsia="zh-CN"/>
        </w:rPr>
      </w:pPr>
      <w:r>
        <w:rPr>
          <w:rFonts w:hint="eastAsia" w:ascii="仿宋" w:hAnsi="仿宋" w:eastAsia="仿宋" w:cs="仿宋"/>
          <w:snapToGrid w:val="0"/>
          <w:color w:val="000000"/>
          <w:kern w:val="56"/>
          <w:sz w:val="32"/>
          <w:szCs w:val="32"/>
          <w:shd w:val="clear" w:color="auto" w:fill="FFFFFF"/>
          <w:lang w:val="en-US" w:eastAsia="zh-CN"/>
        </w:rPr>
        <w:t>6、</w:t>
      </w:r>
      <w:r>
        <w:rPr>
          <w:rFonts w:hint="eastAsia" w:ascii="仿宋" w:hAnsi="仿宋" w:eastAsia="仿宋" w:cs="仿宋"/>
          <w:snapToGrid w:val="0"/>
          <w:color w:val="000000"/>
          <w:kern w:val="56"/>
          <w:sz w:val="32"/>
          <w:szCs w:val="32"/>
          <w:shd w:val="clear" w:color="auto" w:fill="FFFFFF"/>
        </w:rPr>
        <w:t>研究拟定全县事业单位改革方案及其实施意见，负责县属事业单位机构编制管理，审核县属事业单位的机构编制方案，负责拟参照公务员法管理事业单位的职责审核工作，指导并协调县、乡镇事业单位改革和机构编制管理工作。</w:t>
      </w:r>
      <w:r>
        <w:rPr>
          <w:rFonts w:hint="eastAsia" w:ascii="仿宋" w:hAnsi="仿宋" w:eastAsia="仿宋" w:cs="仿宋"/>
          <w:snapToGrid w:val="0"/>
          <w:color w:val="000000"/>
          <w:kern w:val="56"/>
          <w:sz w:val="32"/>
          <w:szCs w:val="32"/>
          <w:shd w:val="clear" w:color="auto" w:fill="FFFFFF"/>
        </w:rPr>
        <w:br w:type="textWrapping"/>
      </w:r>
      <w:r>
        <w:rPr>
          <w:rFonts w:hint="eastAsia" w:ascii="仿宋" w:hAnsi="仿宋" w:eastAsia="仿宋" w:cs="仿宋"/>
          <w:snapToGrid w:val="0"/>
          <w:color w:val="000000"/>
          <w:kern w:val="56"/>
          <w:sz w:val="32"/>
          <w:szCs w:val="32"/>
          <w:shd w:val="clear" w:color="auto" w:fill="FFFFFF"/>
        </w:rPr>
        <w:t xml:space="preserve">   </w:t>
      </w:r>
      <w:r>
        <w:rPr>
          <w:rFonts w:hint="eastAsia" w:ascii="仿宋" w:hAnsi="仿宋" w:eastAsia="仿宋" w:cs="仿宋"/>
          <w:snapToGrid w:val="0"/>
          <w:color w:val="000000"/>
          <w:kern w:val="56"/>
          <w:sz w:val="32"/>
          <w:szCs w:val="32"/>
          <w:shd w:val="clear" w:color="auto" w:fill="FFFFFF"/>
          <w:lang w:val="en-US" w:eastAsia="zh-CN"/>
        </w:rPr>
        <w:t>7、</w:t>
      </w:r>
      <w:r>
        <w:rPr>
          <w:rFonts w:hint="eastAsia" w:ascii="仿宋" w:hAnsi="仿宋" w:eastAsia="仿宋" w:cs="仿宋"/>
          <w:snapToGrid w:val="0"/>
          <w:color w:val="000000"/>
          <w:kern w:val="56"/>
          <w:sz w:val="32"/>
          <w:szCs w:val="32"/>
          <w:shd w:val="clear" w:color="auto" w:fill="FFFFFF"/>
        </w:rPr>
        <w:t>监督检查全县行政管理体制改革和机构改革方案及机构编制规定执行情况，建立机构编制工作考核评估制度，会同有关部门查处机构编制违法违纪行为。</w:t>
      </w:r>
      <w:r>
        <w:rPr>
          <w:rFonts w:hint="eastAsia" w:ascii="仿宋" w:hAnsi="仿宋" w:eastAsia="仿宋" w:cs="仿宋"/>
          <w:snapToGrid w:val="0"/>
          <w:color w:val="000000"/>
          <w:kern w:val="56"/>
          <w:sz w:val="32"/>
          <w:szCs w:val="32"/>
          <w:shd w:val="clear" w:color="auto" w:fill="FFFFFF"/>
        </w:rPr>
        <w:br w:type="textWrapping"/>
      </w:r>
      <w:r>
        <w:rPr>
          <w:rFonts w:hint="eastAsia" w:ascii="仿宋" w:hAnsi="仿宋" w:eastAsia="仿宋" w:cs="仿宋"/>
          <w:snapToGrid w:val="0"/>
          <w:color w:val="000000"/>
          <w:kern w:val="56"/>
          <w:sz w:val="32"/>
          <w:szCs w:val="32"/>
          <w:shd w:val="clear" w:color="auto" w:fill="FFFFFF"/>
        </w:rPr>
        <w:t xml:space="preserve"> </w:t>
      </w:r>
      <w:r>
        <w:rPr>
          <w:rFonts w:hint="eastAsia" w:ascii="仿宋" w:hAnsi="仿宋" w:eastAsia="仿宋" w:cs="仿宋"/>
          <w:snapToGrid w:val="0"/>
          <w:color w:val="000000"/>
          <w:kern w:val="56"/>
          <w:sz w:val="32"/>
          <w:szCs w:val="32"/>
          <w:shd w:val="clear" w:color="auto" w:fill="FFFFFF"/>
          <w:lang w:val="en-US" w:eastAsia="zh-CN"/>
        </w:rPr>
        <w:t xml:space="preserve">  8、</w:t>
      </w:r>
      <w:r>
        <w:rPr>
          <w:rFonts w:hint="eastAsia" w:ascii="仿宋" w:hAnsi="仿宋" w:eastAsia="仿宋" w:cs="仿宋"/>
          <w:snapToGrid w:val="0"/>
          <w:color w:val="000000"/>
          <w:kern w:val="56"/>
          <w:sz w:val="32"/>
          <w:szCs w:val="32"/>
          <w:shd w:val="clear" w:color="auto" w:fill="FFFFFF"/>
        </w:rPr>
        <w:t>负责全县事业单位登记管理工作，组织实施县属事业单位登记和年检工作</w:t>
      </w:r>
      <w:r>
        <w:rPr>
          <w:rFonts w:hint="eastAsia" w:ascii="仿宋" w:hAnsi="仿宋" w:eastAsia="仿宋" w:cs="仿宋"/>
          <w:snapToGrid w:val="0"/>
          <w:color w:val="000000"/>
          <w:kern w:val="56"/>
          <w:sz w:val="32"/>
          <w:szCs w:val="32"/>
          <w:shd w:val="clear" w:color="auto" w:fill="FFFFFF"/>
          <w:lang w:eastAsia="zh-CN"/>
        </w:rPr>
        <w:t>。</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left="0" w:leftChars="0" w:firstLine="419" w:firstLineChars="131"/>
        <w:textAlignment w:val="auto"/>
        <w:rPr>
          <w:rFonts w:hint="eastAsia" w:ascii="仿宋" w:hAnsi="仿宋" w:eastAsia="仿宋" w:cs="仿宋"/>
          <w:snapToGrid w:val="0"/>
          <w:color w:val="000000"/>
          <w:kern w:val="56"/>
          <w:sz w:val="32"/>
          <w:szCs w:val="32"/>
          <w:shd w:val="clear" w:color="auto" w:fill="FFFFFF"/>
          <w:lang w:val="en-US" w:eastAsia="zh-CN"/>
        </w:rPr>
      </w:pPr>
      <w:r>
        <w:rPr>
          <w:rFonts w:hint="eastAsia" w:ascii="仿宋" w:hAnsi="仿宋" w:eastAsia="仿宋" w:cs="仿宋"/>
          <w:snapToGrid w:val="0"/>
          <w:color w:val="000000"/>
          <w:kern w:val="56"/>
          <w:sz w:val="32"/>
          <w:szCs w:val="32"/>
          <w:shd w:val="clear" w:color="auto" w:fill="FFFFFF"/>
          <w:lang w:val="en-US" w:eastAsia="zh-CN"/>
        </w:rPr>
        <w:t>9、</w:t>
      </w:r>
      <w:r>
        <w:rPr>
          <w:rFonts w:hint="eastAsia" w:ascii="仿宋" w:hAnsi="仿宋" w:eastAsia="仿宋" w:cs="仿宋"/>
          <w:snapToGrid w:val="0"/>
          <w:color w:val="000000"/>
          <w:kern w:val="56"/>
          <w:sz w:val="32"/>
          <w:szCs w:val="32"/>
          <w:shd w:val="clear" w:color="auto" w:fill="FFFFFF"/>
        </w:rPr>
        <w:t>承办县委、县政府和县委编委交办的其他工作。</w:t>
      </w:r>
      <w:r>
        <w:rPr>
          <w:rFonts w:hint="eastAsia" w:ascii="仿宋" w:hAnsi="仿宋" w:eastAsia="仿宋" w:cs="仿宋"/>
          <w:snapToGrid w:val="0"/>
          <w:color w:val="000000"/>
          <w:kern w:val="56"/>
          <w:sz w:val="32"/>
          <w:szCs w:val="32"/>
          <w:shd w:val="clear" w:color="auto" w:fill="FFFFFF"/>
          <w:lang w:val="en-US" w:eastAsia="zh-CN"/>
        </w:rPr>
        <w:t xml:space="preserve"> </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321" w:firstLineChars="100"/>
        <w:textAlignment w:val="auto"/>
        <w:rPr>
          <w:rFonts w:hint="eastAsia" w:ascii="楷体_GB2312" w:hAnsi="楷体_GB2312" w:eastAsia="楷体_GB2312" w:cs="楷体_GB2312"/>
          <w:b/>
          <w:bCs w:val="0"/>
          <w:sz w:val="32"/>
          <w:szCs w:val="32"/>
          <w:lang w:eastAsia="zh-CN"/>
        </w:rPr>
      </w:pPr>
      <w:bookmarkStart w:id="2" w:name="_Toc10295"/>
      <w:r>
        <w:rPr>
          <w:rFonts w:hint="eastAsia" w:ascii="楷体_GB2312" w:hAnsi="楷体_GB2312" w:eastAsia="楷体_GB2312" w:cs="楷体_GB2312"/>
          <w:b/>
          <w:bCs w:val="0"/>
          <w:sz w:val="32"/>
          <w:szCs w:val="32"/>
          <w:lang w:eastAsia="zh-CN"/>
        </w:rPr>
        <w:t>（二）202</w:t>
      </w:r>
      <w:r>
        <w:rPr>
          <w:rFonts w:hint="default" w:ascii="楷体_GB2312" w:hAnsi="楷体_GB2312" w:eastAsia="楷体_GB2312" w:cs="楷体_GB2312"/>
          <w:b/>
          <w:bCs w:val="0"/>
          <w:sz w:val="32"/>
          <w:szCs w:val="32"/>
          <w:lang w:val="en-US" w:eastAsia="zh-CN"/>
        </w:rPr>
        <w:t>6</w:t>
      </w:r>
      <w:r>
        <w:rPr>
          <w:rFonts w:hint="eastAsia" w:ascii="楷体_GB2312" w:hAnsi="楷体_GB2312" w:eastAsia="楷体_GB2312" w:cs="楷体_GB2312"/>
          <w:b/>
          <w:bCs w:val="0"/>
          <w:sz w:val="32"/>
          <w:szCs w:val="32"/>
          <w:lang w:eastAsia="zh-CN"/>
        </w:rPr>
        <w:t>年重点工作任务</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481" w:firstLineChars="15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一是深化改革成果巩固提升。</w:t>
      </w:r>
      <w:r>
        <w:rPr>
          <w:rFonts w:hint="default" w:ascii="Times New Roman" w:hAnsi="Times New Roman" w:eastAsia="方正仿宋_GBK" w:cs="Times New Roman"/>
          <w:sz w:val="32"/>
          <w:szCs w:val="32"/>
        </w:rPr>
        <w:t>持续跟踪重点领域改革落实情况，及时发现并解决职能运行、权责衔接中的突出问题，进一步优化部门职能配置和运行机制，释放改革红利。</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481" w:firstLineChars="15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二是创新编制管理方式方法。</w:t>
      </w:r>
      <w:r>
        <w:rPr>
          <w:rFonts w:hint="default" w:ascii="Times New Roman" w:hAnsi="Times New Roman" w:eastAsia="方正仿宋_GBK" w:cs="Times New Roman"/>
          <w:sz w:val="32"/>
          <w:szCs w:val="32"/>
        </w:rPr>
        <w:t>探索建立“编制周转池”动态调整机制，统筹盘活编制资源，精准调配至急需领域，提高编制使用灵活性和效益，保障重点工作开展。</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481" w:firstLineChars="150"/>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b/>
          <w:bCs/>
          <w:sz w:val="32"/>
          <w:szCs w:val="32"/>
        </w:rPr>
        <w:t>三是加强政策法规宣传教育。</w:t>
      </w:r>
      <w:r>
        <w:rPr>
          <w:rFonts w:hint="default" w:ascii="Times New Roman" w:hAnsi="Times New Roman" w:eastAsia="方正仿宋_GBK" w:cs="Times New Roman"/>
          <w:sz w:val="32"/>
          <w:szCs w:val="32"/>
        </w:rPr>
        <w:t>将机构编制政策法规纳入县级学法计划及各类干部培训内容，通过专题宣讲、案例解读等方式扩大宣传覆盖面，提升各级干部依法管编用编意识</w:t>
      </w:r>
      <w:r>
        <w:rPr>
          <w:rFonts w:hint="eastAsia" w:ascii="Times New Roman" w:hAnsi="Times New Roman" w:eastAsia="方正仿宋_GBK" w:cs="Times New Roman"/>
          <w:sz w:val="32"/>
          <w:szCs w:val="32"/>
          <w:lang w:eastAsia="zh-CN"/>
        </w:rPr>
        <w:t>。</w:t>
      </w:r>
    </w:p>
    <w:p>
      <w:pPr>
        <w:pStyle w:val="6"/>
        <w:rPr>
          <w:rFonts w:hint="eastAsia" w:ascii="黑体" w:hAnsi="黑体" w:eastAsia="黑体" w:cs="黑体"/>
          <w:sz w:val="32"/>
          <w:szCs w:val="32"/>
        </w:rPr>
      </w:pPr>
      <w:r>
        <w:rPr>
          <w:rFonts w:hint="eastAsia" w:ascii="黑体" w:hAnsi="黑体" w:eastAsia="黑体" w:cs="黑体"/>
          <w:sz w:val="32"/>
          <w:szCs w:val="32"/>
          <w:shd w:val="clear" w:color="auto" w:fill="FFFFFF"/>
        </w:rPr>
        <w:t>二、机构设置</w:t>
      </w:r>
      <w:bookmarkEnd w:id="2"/>
    </w:p>
    <w:p>
      <w:pPr>
        <w:snapToGrid w:val="0"/>
        <w:spacing w:line="520" w:lineRule="exact"/>
        <w:ind w:firstLine="640" w:firstLineChars="200"/>
        <w:rPr>
          <w:rFonts w:hint="eastAsia" w:ascii="仿宋_GB2312" w:eastAsia="仿宋_GB2312" w:cs="仿宋_GB2312"/>
          <w:kern w:val="0"/>
          <w:sz w:val="32"/>
          <w:szCs w:val="32"/>
        </w:rPr>
      </w:pP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为独立核算全额拨款行政单位。</w:t>
      </w:r>
      <w:r>
        <w:rPr>
          <w:rFonts w:hint="eastAsia" w:ascii="仿宋_GB2312" w:hAnsi="仿宋_GB2312" w:eastAsia="仿宋_GB2312" w:cs="仿宋_GB2312"/>
          <w:sz w:val="32"/>
          <w:szCs w:val="32"/>
          <w:lang w:eastAsia="zh-CN"/>
        </w:rPr>
        <w:t>中共红原县委机构编制委员会办公室</w:t>
      </w:r>
      <w:r>
        <w:rPr>
          <w:rFonts w:hint="eastAsia" w:ascii="仿宋_GB2312" w:hAnsi="仿宋_GB2312" w:eastAsia="仿宋_GB2312" w:cs="仿宋_GB2312"/>
          <w:sz w:val="32"/>
          <w:szCs w:val="32"/>
        </w:rPr>
        <w:t>内设</w:t>
      </w:r>
      <w:r>
        <w:rPr>
          <w:rFonts w:hint="eastAsia" w:ascii="仿宋_GB2312" w:hAnsi="仿宋_GB2312" w:eastAsia="仿宋_GB2312" w:cs="仿宋_GB2312"/>
          <w:sz w:val="32"/>
          <w:szCs w:val="32"/>
          <w:lang w:eastAsia="zh-CN"/>
        </w:rPr>
        <w:t>综合股、机构编制股、机构编制督查股，下设红原县事业单位登记服务中心（参公）、红原县机构编制实名制中心（事业）</w:t>
      </w:r>
      <w:r>
        <w:rPr>
          <w:rFonts w:hint="eastAsia" w:ascii="仿宋_GB2312" w:hAnsi="仿宋_GB2312" w:eastAsia="仿宋_GB2312" w:cs="仿宋_GB2312"/>
          <w:sz w:val="32"/>
          <w:szCs w:val="32"/>
        </w:rPr>
        <w:t>。</w:t>
      </w:r>
    </w:p>
    <w:p>
      <w:pPr>
        <w:pStyle w:val="21"/>
        <w:keepNext w:val="0"/>
        <w:keepLines w:val="0"/>
        <w:widowControl/>
        <w:suppressLineNumbers w:val="0"/>
        <w:autoSpaceDE w:val="0"/>
        <w:autoSpaceDN/>
        <w:spacing w:before="0" w:beforeAutospacing="0" w:line="576" w:lineRule="exact"/>
        <w:ind w:left="0" w:firstLine="640" w:firstLineChars="200"/>
        <w:jc w:val="left"/>
        <w:rPr>
          <w:rFonts w:hint="eastAsia" w:ascii="仿宋_GB2312" w:eastAsia="仿宋_GB2312" w:cs="仿宋_GB2312"/>
          <w:kern w:val="0"/>
          <w:sz w:val="32"/>
          <w:szCs w:val="32"/>
        </w:rPr>
      </w:pPr>
      <w:bookmarkStart w:id="3" w:name="_Toc6796"/>
      <w:r>
        <w:rPr>
          <w:rFonts w:hint="eastAsia" w:ascii="仿宋_GB2312" w:hAnsi="仿宋_GB2312" w:eastAsia="仿宋_GB2312" w:cs="仿宋_GB2312"/>
          <w:bCs/>
          <w:sz w:val="32"/>
          <w:szCs w:val="32"/>
        </w:rPr>
        <w:t>截止</w:t>
      </w:r>
      <w:r>
        <w:rPr>
          <w:rFonts w:hint="eastAsia" w:ascii="仿宋_GB2312" w:hAnsi="仿宋_GB2312" w:eastAsia="仿宋_GB2312" w:cs="仿宋_GB2312"/>
          <w:bCs/>
          <w:sz w:val="32"/>
          <w:szCs w:val="32"/>
          <w:lang w:val="en-US" w:eastAsia="zh-CN"/>
        </w:rPr>
        <w:t>202</w:t>
      </w:r>
      <w:r>
        <w:rPr>
          <w:rFonts w:hint="default"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年底我单位共有编制</w:t>
      </w:r>
      <w:r>
        <w:rPr>
          <w:rFonts w:hint="eastAsia" w:ascii="仿宋_GB2312" w:eastAsia="仿宋_GB2312" w:cs="仿宋_GB2312"/>
          <w:kern w:val="0"/>
          <w:sz w:val="32"/>
          <w:szCs w:val="32"/>
          <w:shd w:val="clear" w:fill="FFFFFF"/>
        </w:rPr>
        <w:t>1</w:t>
      </w:r>
      <w:r>
        <w:rPr>
          <w:rFonts w:hint="eastAsia" w:ascii="仿宋_GB2312" w:eastAsia="仿宋_GB2312" w:cs="仿宋_GB2312"/>
          <w:kern w:val="0"/>
          <w:sz w:val="32"/>
          <w:szCs w:val="32"/>
          <w:shd w:val="clear" w:fill="FFFFFF"/>
          <w:lang w:val="en-US" w:eastAsia="zh-CN"/>
        </w:rPr>
        <w:t>8</w:t>
      </w:r>
      <w:r>
        <w:rPr>
          <w:rFonts w:hint="eastAsia" w:ascii="仿宋_GB2312" w:eastAsia="仿宋_GB2312" w:cs="仿宋_GB2312"/>
          <w:kern w:val="0"/>
          <w:sz w:val="32"/>
          <w:szCs w:val="32"/>
          <w:shd w:val="clear" w:fill="FFFFFF"/>
          <w:lang w:eastAsia="zh-CN"/>
        </w:rPr>
        <w:t>个</w:t>
      </w:r>
      <w:r>
        <w:rPr>
          <w:rFonts w:hint="eastAsia" w:ascii="仿宋_GB2312" w:eastAsia="仿宋_GB2312" w:cs="仿宋_GB2312"/>
          <w:kern w:val="0"/>
          <w:sz w:val="32"/>
          <w:szCs w:val="32"/>
          <w:shd w:val="clear" w:fill="FFFFFF"/>
        </w:rPr>
        <w:t>，</w:t>
      </w:r>
      <w:r>
        <w:rPr>
          <w:rFonts w:hint="eastAsia" w:ascii="仿宋_GB2312" w:eastAsia="仿宋_GB2312" w:cs="仿宋_GB2312"/>
          <w:kern w:val="0"/>
          <w:sz w:val="32"/>
          <w:szCs w:val="32"/>
          <w:shd w:val="clear" w:fill="FFFFFF"/>
          <w:lang w:eastAsia="zh-CN"/>
        </w:rPr>
        <w:t>其中公务员编制</w:t>
      </w:r>
      <w:r>
        <w:rPr>
          <w:rFonts w:hint="eastAsia" w:ascii="仿宋_GB2312" w:eastAsia="仿宋_GB2312" w:cs="仿宋_GB2312"/>
          <w:kern w:val="0"/>
          <w:sz w:val="32"/>
          <w:szCs w:val="32"/>
          <w:shd w:val="clear" w:fill="FFFFFF"/>
          <w:lang w:val="en-US" w:eastAsia="zh-CN"/>
        </w:rPr>
        <w:t>6</w:t>
      </w:r>
      <w:r>
        <w:rPr>
          <w:rFonts w:hint="eastAsia" w:ascii="仿宋_GB2312" w:eastAsia="仿宋_GB2312" w:cs="仿宋_GB2312"/>
          <w:kern w:val="0"/>
          <w:sz w:val="32"/>
          <w:szCs w:val="32"/>
          <w:shd w:val="clear" w:fill="FFFFFF"/>
          <w:lang w:eastAsia="zh-CN"/>
        </w:rPr>
        <w:t>个，</w:t>
      </w:r>
      <w:r>
        <w:rPr>
          <w:rFonts w:hint="eastAsia" w:ascii="仿宋_GB2312" w:hAnsi="仿宋_GB2312" w:eastAsia="仿宋_GB2312" w:cs="仿宋_GB2312"/>
          <w:bCs/>
          <w:sz w:val="32"/>
          <w:szCs w:val="32"/>
          <w:lang w:eastAsia="zh-CN"/>
        </w:rPr>
        <w:t>机关</w:t>
      </w:r>
      <w:r>
        <w:rPr>
          <w:rFonts w:hint="eastAsia" w:ascii="仿宋_GB2312" w:hAnsi="仿宋_GB2312" w:eastAsia="仿宋_GB2312" w:cs="仿宋_GB2312"/>
          <w:bCs/>
          <w:sz w:val="32"/>
          <w:szCs w:val="32"/>
        </w:rPr>
        <w:t>工勤编制</w:t>
      </w:r>
      <w:r>
        <w:rPr>
          <w:rFonts w:hint="eastAsia" w:ascii="仿宋_GB2312" w:hAnsi="仿宋_GB2312" w:eastAsia="仿宋_GB2312" w:cs="仿宋_GB2312"/>
          <w:bCs/>
          <w:sz w:val="32"/>
          <w:szCs w:val="32"/>
          <w:lang w:val="en-US" w:eastAsia="zh-CN"/>
        </w:rPr>
        <w:t>1个,参公编制7个，事业编制4个，</w:t>
      </w:r>
      <w:r>
        <w:rPr>
          <w:rFonts w:hint="eastAsia" w:ascii="仿宋_GB2312" w:hAnsi="仿宋_GB2312" w:eastAsia="仿宋_GB2312" w:cs="仿宋_GB2312"/>
          <w:bCs/>
          <w:sz w:val="32"/>
          <w:szCs w:val="32"/>
          <w:lang w:eastAsia="zh-CN"/>
        </w:rPr>
        <w:t>年底</w:t>
      </w:r>
      <w:r>
        <w:rPr>
          <w:rFonts w:hint="eastAsia" w:ascii="仿宋_GB2312" w:hAnsi="仿宋_GB2312" w:eastAsia="仿宋_GB2312" w:cs="仿宋_GB2312"/>
          <w:sz w:val="32"/>
          <w:szCs w:val="32"/>
        </w:rPr>
        <w:t>在职</w:t>
      </w:r>
      <w:r>
        <w:rPr>
          <w:rFonts w:hint="default"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人，其中公务员</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人，行政工勤</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，参公</w:t>
      </w:r>
      <w:r>
        <w:rPr>
          <w:rFonts w:hint="default"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val="en-US" w:eastAsia="zh-CN"/>
        </w:rPr>
        <w:t>人，事业</w:t>
      </w:r>
      <w:r>
        <w:rPr>
          <w:rFonts w:hint="default"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en-US" w:eastAsia="zh-CN"/>
        </w:rPr>
        <w:t>人。</w:t>
      </w:r>
    </w:p>
    <w:p>
      <w:pPr>
        <w:pStyle w:val="13"/>
        <w:keepNext w:val="0"/>
        <w:keepLines w:val="0"/>
        <w:widowControl/>
        <w:suppressLineNumbers w:val="0"/>
        <w:ind w:right="75"/>
        <w:jc w:val="center"/>
        <w:outlineLvl w:val="0"/>
        <w:rPr>
          <w:rFonts w:hint="eastAsia" w:ascii="黑体" w:hAnsi="黑体" w:eastAsia="黑体" w:cs="黑体"/>
          <w:sz w:val="44"/>
          <w:szCs w:val="44"/>
        </w:rPr>
      </w:pPr>
      <w:r>
        <w:rPr>
          <w:rFonts w:hint="eastAsia" w:ascii="黑体" w:hAnsi="黑体" w:eastAsia="黑体" w:cs="黑体"/>
          <w:sz w:val="44"/>
          <w:szCs w:val="44"/>
          <w:shd w:val="clear" w:color="auto" w:fill="FFFFFF"/>
        </w:rPr>
        <w:t>第二部分 202</w:t>
      </w:r>
      <w:r>
        <w:rPr>
          <w:rFonts w:hint="default" w:ascii="黑体" w:hAnsi="黑体" w:eastAsia="黑体" w:cs="黑体"/>
          <w:sz w:val="44"/>
          <w:szCs w:val="44"/>
          <w:shd w:val="clear" w:color="auto" w:fill="FFFFFF"/>
          <w:lang w:val="en-US" w:eastAsia="zh-CN"/>
        </w:rPr>
        <w:t>5</w:t>
      </w:r>
      <w:r>
        <w:rPr>
          <w:rFonts w:hint="eastAsia" w:ascii="黑体" w:hAnsi="黑体" w:eastAsia="黑体" w:cs="黑体"/>
          <w:sz w:val="44"/>
          <w:szCs w:val="44"/>
          <w:shd w:val="clear" w:color="auto" w:fill="FFFFFF"/>
        </w:rPr>
        <w:t>年度部门决算情况说明</w:t>
      </w:r>
      <w:bookmarkEnd w:id="3"/>
    </w:p>
    <w:p>
      <w:pPr>
        <w:pStyle w:val="13"/>
        <w:keepNext w:val="0"/>
        <w:keepLines w:val="0"/>
        <w:widowControl/>
        <w:suppressLineNumbers w:val="0"/>
        <w:ind w:left="0" w:right="75"/>
        <w:outlineLvl w:val="1"/>
        <w:rPr>
          <w:rFonts w:hint="eastAsia" w:ascii="黑体" w:hAnsi="黑体" w:eastAsia="黑体" w:cs="黑体"/>
          <w:sz w:val="32"/>
          <w:szCs w:val="32"/>
          <w:shd w:val="clear" w:color="auto" w:fill="FFFFFF"/>
        </w:rPr>
      </w:pPr>
      <w:bookmarkStart w:id="4" w:name="_Toc23902"/>
      <w:r>
        <w:rPr>
          <w:rFonts w:hint="eastAsia" w:ascii="黑体" w:hAnsi="黑体" w:eastAsia="黑体" w:cs="黑体"/>
          <w:sz w:val="32"/>
          <w:szCs w:val="32"/>
          <w:shd w:val="clear" w:color="auto" w:fill="FFFFFF"/>
        </w:rPr>
        <w:t>一、 收入支出决算总体情况说明</w:t>
      </w:r>
      <w:bookmarkEnd w:id="4"/>
    </w:p>
    <w:p>
      <w:pPr>
        <w:pStyle w:val="21"/>
        <w:keepNext w:val="0"/>
        <w:keepLines w:val="0"/>
        <w:widowControl/>
        <w:suppressLineNumbers w:val="0"/>
        <w:autoSpaceDE w:val="0"/>
        <w:autoSpaceDN/>
        <w:spacing w:before="0" w:beforeAutospacing="0" w:line="576" w:lineRule="exact"/>
        <w:ind w:left="0" w:firstLine="640" w:firstLineChars="200"/>
        <w:jc w:val="left"/>
        <w:rPr>
          <w:rFonts w:hint="eastAsia" w:ascii="仿宋" w:hAnsi="仿宋" w:eastAsia="仿宋"/>
          <w:color w:val="000000"/>
          <w:sz w:val="32"/>
          <w:szCs w:val="32"/>
        </w:rPr>
      </w:pPr>
      <w:r>
        <w:rPr>
          <w:rFonts w:hint="eastAsia" w:ascii="黑体" w:hAnsi="黑体" w:eastAsia="黑体" w:cs="黑体"/>
          <w:sz w:val="32"/>
          <w:szCs w:val="32"/>
          <w:shd w:val="clear" w:color="auto" w:fill="FFFFFF"/>
          <w:lang w:val="en-US" w:eastAsia="zh-CN"/>
        </w:rPr>
        <w:t xml:space="preserve"> </w:t>
      </w:r>
      <w:r>
        <w:rPr>
          <w:rFonts w:hint="eastAsia" w:ascii="仿宋_GB2312" w:eastAsia="仿宋_GB2312" w:cs="仿宋_GB2312"/>
          <w:kern w:val="0"/>
          <w:sz w:val="32"/>
          <w:szCs w:val="32"/>
          <w:shd w:val="clear" w:fill="FFFFFF"/>
          <w:lang w:val="en-US" w:eastAsia="zh-CN"/>
        </w:rPr>
        <w:t>202</w:t>
      </w:r>
      <w:r>
        <w:rPr>
          <w:rFonts w:hint="default" w:ascii="仿宋_GB2312" w:eastAsia="仿宋_GB2312" w:cs="仿宋_GB2312"/>
          <w:kern w:val="0"/>
          <w:sz w:val="32"/>
          <w:szCs w:val="32"/>
          <w:shd w:val="clear" w:fill="FFFFFF"/>
          <w:lang w:val="en-US" w:eastAsia="zh-CN"/>
        </w:rPr>
        <w:t>5</w:t>
      </w:r>
      <w:r>
        <w:rPr>
          <w:rFonts w:hint="eastAsia" w:ascii="仿宋_GB2312" w:eastAsia="仿宋_GB2312" w:cs="仿宋_GB2312"/>
          <w:kern w:val="0"/>
          <w:sz w:val="32"/>
          <w:szCs w:val="32"/>
          <w:shd w:val="clear" w:fill="FFFFFF"/>
          <w:lang w:val="en-US" w:eastAsia="zh-CN"/>
        </w:rPr>
        <w:t>年度收入</w:t>
      </w:r>
      <w:r>
        <w:rPr>
          <w:rFonts w:hint="default" w:ascii="仿宋_GB2312" w:eastAsia="仿宋_GB2312" w:cs="仿宋_GB2312"/>
          <w:kern w:val="0"/>
          <w:sz w:val="32"/>
          <w:szCs w:val="32"/>
          <w:shd w:val="clear" w:fill="FFFFFF"/>
          <w:lang w:val="en-US" w:eastAsia="zh-CN"/>
        </w:rPr>
        <w:t>408.26</w:t>
      </w:r>
      <w:r>
        <w:rPr>
          <w:rFonts w:hint="eastAsia" w:ascii="仿宋_GB2312" w:eastAsia="仿宋_GB2312" w:cs="仿宋_GB2312"/>
          <w:kern w:val="0"/>
          <w:sz w:val="32"/>
          <w:szCs w:val="32"/>
          <w:shd w:val="clear" w:fill="FFFFFF"/>
        </w:rPr>
        <w:t>万元，</w:t>
      </w:r>
      <w:r>
        <w:rPr>
          <w:rFonts w:hint="eastAsia" w:ascii="仿宋_GB2312" w:eastAsia="仿宋_GB2312" w:cs="仿宋_GB2312"/>
          <w:kern w:val="0"/>
          <w:sz w:val="32"/>
          <w:szCs w:val="32"/>
          <w:shd w:val="clear" w:fill="FFFFFF"/>
          <w:lang w:eastAsia="zh-CN"/>
        </w:rPr>
        <w:t>支出</w:t>
      </w:r>
      <w:r>
        <w:rPr>
          <w:rFonts w:hint="eastAsia" w:ascii="仿宋_GB2312" w:eastAsia="仿宋_GB2312" w:cs="仿宋_GB2312"/>
          <w:kern w:val="0"/>
          <w:sz w:val="32"/>
          <w:szCs w:val="32"/>
          <w:shd w:val="clear" w:fill="FFFFFF"/>
          <w:lang w:val="en-US" w:eastAsia="zh-CN"/>
        </w:rPr>
        <w:t>408.26万元</w:t>
      </w:r>
      <w:r>
        <w:rPr>
          <w:rFonts w:hint="eastAsia" w:ascii="仿宋_GB2312" w:eastAsia="仿宋_GB2312" w:cs="仿宋_GB2312"/>
          <w:kern w:val="0"/>
          <w:sz w:val="32"/>
          <w:szCs w:val="32"/>
          <w:shd w:val="clear" w:fill="FFFFFF"/>
          <w:lang w:eastAsia="zh-CN"/>
        </w:rPr>
        <w:t>。资金与</w:t>
      </w:r>
      <w:r>
        <w:rPr>
          <w:rFonts w:hint="eastAsia" w:ascii="仿宋_GB2312" w:eastAsia="仿宋_GB2312" w:cs="仿宋_GB2312"/>
          <w:kern w:val="0"/>
          <w:sz w:val="32"/>
          <w:szCs w:val="32"/>
          <w:shd w:val="clear" w:fill="FFFFFF"/>
          <w:lang w:val="en-US" w:eastAsia="zh-CN"/>
        </w:rPr>
        <w:t>202</w:t>
      </w:r>
      <w:r>
        <w:rPr>
          <w:rFonts w:hint="default" w:ascii="仿宋_GB2312" w:eastAsia="仿宋_GB2312" w:cs="仿宋_GB2312"/>
          <w:kern w:val="0"/>
          <w:sz w:val="32"/>
          <w:szCs w:val="32"/>
          <w:shd w:val="clear" w:fill="FFFFFF"/>
          <w:lang w:val="en-US" w:eastAsia="zh-CN"/>
        </w:rPr>
        <w:t>4</w:t>
      </w:r>
      <w:r>
        <w:rPr>
          <w:rFonts w:hint="eastAsia" w:ascii="仿宋_GB2312" w:eastAsia="仿宋_GB2312" w:cs="仿宋_GB2312"/>
          <w:kern w:val="0"/>
          <w:sz w:val="32"/>
          <w:szCs w:val="32"/>
          <w:shd w:val="clear" w:fill="FFFFFF"/>
          <w:lang w:val="en-US" w:eastAsia="zh-CN"/>
        </w:rPr>
        <w:t>年相比，收入减少了11.08万元，下降了2.71%，支出减少了11.08万元，下降了2.71%，</w:t>
      </w:r>
      <w:r>
        <w:rPr>
          <w:rStyle w:val="16"/>
          <w:rFonts w:hint="eastAsia" w:ascii="仿宋_GB2312" w:hAnsi="仿宋_GB2312" w:eastAsia="仿宋_GB2312" w:cs="仿宋_GB2312"/>
          <w:sz w:val="32"/>
          <w:szCs w:val="32"/>
        </w:rPr>
        <w:t>主要原因为</w:t>
      </w:r>
      <w:r>
        <w:rPr>
          <w:rStyle w:val="16"/>
          <w:rFonts w:hint="eastAsia" w:ascii="仿宋_GB2312" w:hAnsi="宋体" w:eastAsia="仿宋_GB2312" w:cs="宋体"/>
          <w:sz w:val="32"/>
          <w:szCs w:val="32"/>
          <w:lang w:eastAsia="zh-CN"/>
        </w:rPr>
        <w:t>人员变动、厉行节约、经费调整</w:t>
      </w:r>
      <w:r>
        <w:rPr>
          <w:rFonts w:hint="eastAsia" w:ascii="仿宋_GB2312" w:hAnsi="仿宋_GB2312" w:eastAsia="仿宋_GB2312" w:cs="仿宋_GB2312"/>
          <w:sz w:val="32"/>
          <w:szCs w:val="32"/>
        </w:rPr>
        <w:t>。</w:t>
      </w:r>
    </w:p>
    <w:p>
      <w:pPr>
        <w:spacing w:line="600" w:lineRule="exact"/>
        <w:ind w:firstLine="640" w:firstLineChars="200"/>
        <w:jc w:val="center"/>
        <w:rPr>
          <w:rFonts w:hint="eastAsia"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1</w:t>
      </w:r>
      <w:r>
        <w:rPr>
          <w:rFonts w:hint="eastAsia" w:ascii="仿宋" w:hAnsi="仿宋" w:eastAsia="仿宋"/>
          <w:color w:val="000000"/>
          <w:sz w:val="32"/>
          <w:szCs w:val="32"/>
        </w:rPr>
        <w:t>：收、支决算变动情况图）（柱状图）</w:t>
      </w:r>
    </w:p>
    <w:p>
      <w:pPr>
        <w:pStyle w:val="6"/>
        <w:rPr>
          <w:rFonts w:hint="default" w:ascii="仿宋" w:hAnsi="仿宋" w:eastAsia="仿宋"/>
          <w:color w:val="000000"/>
          <w:sz w:val="32"/>
          <w:szCs w:val="32"/>
          <w:lang w:val="en-US" w:eastAsia="zh-CN"/>
        </w:rPr>
      </w:pPr>
      <w:r>
        <w:rPr>
          <w:rFonts w:hint="default" w:ascii="仿宋" w:hAnsi="仿宋" w:eastAsia="仿宋"/>
          <w:color w:val="000000"/>
          <w:sz w:val="32"/>
          <w:szCs w:val="32"/>
          <w:lang w:val="en-US" w:eastAsia="zh-CN"/>
        </w:rPr>
        <w:drawing>
          <wp:inline distT="0" distB="0" distL="114300" distR="114300">
            <wp:extent cx="5080000" cy="3070225"/>
            <wp:effectExtent l="4445" t="4445" r="20955" b="1143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13"/>
        <w:keepNext w:val="0"/>
        <w:keepLines w:val="0"/>
        <w:widowControl/>
        <w:numPr>
          <w:ilvl w:val="0"/>
          <w:numId w:val="1"/>
        </w:numPr>
        <w:suppressLineNumbers w:val="0"/>
        <w:shd w:val="clear" w:color="auto" w:fill="auto"/>
        <w:ind w:left="0" w:right="75"/>
        <w:jc w:val="left"/>
        <w:outlineLvl w:val="1"/>
        <w:rPr>
          <w:rFonts w:hint="eastAsia" w:ascii="仿宋" w:hAnsi="仿宋" w:eastAsia="仿宋"/>
          <w:color w:val="000000"/>
          <w:sz w:val="32"/>
          <w:szCs w:val="32"/>
          <w:lang w:eastAsia="zh-CN"/>
        </w:rPr>
      </w:pPr>
      <w:bookmarkStart w:id="5" w:name="_Toc21346"/>
      <w:r>
        <w:rPr>
          <w:rFonts w:hint="eastAsia" w:ascii="黑体" w:hAnsi="黑体" w:eastAsia="黑体" w:cs="黑体"/>
          <w:sz w:val="32"/>
          <w:szCs w:val="32"/>
          <w:shd w:val="clear" w:color="auto" w:fill="FFFFFF"/>
        </w:rPr>
        <w:t>收入决算情况说明</w:t>
      </w:r>
      <w:bookmarkEnd w:id="5"/>
    </w:p>
    <w:p>
      <w:pPr>
        <w:pStyle w:val="13"/>
        <w:keepNext w:val="0"/>
        <w:keepLines w:val="0"/>
        <w:widowControl/>
        <w:numPr>
          <w:ilvl w:val="0"/>
          <w:numId w:val="0"/>
        </w:numPr>
        <w:suppressLineNumbers w:val="0"/>
        <w:shd w:val="clear" w:color="auto" w:fill="auto"/>
        <w:ind w:right="75" w:rightChars="0" w:firstLine="640" w:firstLineChars="200"/>
        <w:jc w:val="left"/>
        <w:rPr>
          <w:rFonts w:hint="eastAsia" w:ascii="仿宋" w:hAnsi="仿宋" w:eastAsia="仿宋"/>
          <w:color w:val="000000"/>
          <w:sz w:val="32"/>
          <w:szCs w:val="32"/>
          <w:lang w:eastAsia="zh-CN"/>
        </w:rPr>
      </w:pPr>
      <w:r>
        <w:rPr>
          <w:rFonts w:ascii="仿宋" w:hAnsi="仿宋" w:eastAsia="仿宋"/>
          <w:color w:val="000000"/>
          <w:sz w:val="32"/>
          <w:szCs w:val="32"/>
        </w:rPr>
        <w:t>20</w:t>
      </w:r>
      <w:r>
        <w:rPr>
          <w:rFonts w:hint="eastAsia" w:ascii="仿宋" w:hAnsi="仿宋" w:eastAsia="仿宋"/>
          <w:color w:val="000000"/>
          <w:sz w:val="32"/>
          <w:szCs w:val="32"/>
          <w:lang w:val="en-US" w:eastAsia="zh-CN"/>
        </w:rPr>
        <w:t>25</w:t>
      </w:r>
      <w:r>
        <w:rPr>
          <w:rFonts w:hint="eastAsia" w:ascii="仿宋" w:hAnsi="仿宋" w:eastAsia="仿宋"/>
          <w:color w:val="000000"/>
          <w:sz w:val="32"/>
          <w:szCs w:val="32"/>
        </w:rPr>
        <w:t>年本年收入合计</w:t>
      </w:r>
      <w:r>
        <w:rPr>
          <w:rFonts w:hint="eastAsia" w:ascii="仿宋" w:hAnsi="仿宋" w:eastAsia="仿宋"/>
          <w:color w:val="000000"/>
          <w:sz w:val="32"/>
          <w:szCs w:val="32"/>
          <w:lang w:val="en-US" w:eastAsia="zh-CN"/>
        </w:rPr>
        <w:t>408.26</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其中一般公共财政拨款收入</w:t>
      </w:r>
      <w:r>
        <w:rPr>
          <w:rFonts w:hint="eastAsia" w:ascii="仿宋" w:hAnsi="仿宋" w:eastAsia="仿宋"/>
          <w:color w:val="000000"/>
          <w:sz w:val="32"/>
          <w:szCs w:val="32"/>
          <w:lang w:val="en-US" w:eastAsia="zh-CN"/>
        </w:rPr>
        <w:t>408.26万元</w:t>
      </w:r>
      <w:r>
        <w:rPr>
          <w:rFonts w:hint="eastAsia" w:ascii="仿宋" w:hAnsi="仿宋" w:eastAsia="仿宋"/>
          <w:color w:val="000000"/>
          <w:sz w:val="32"/>
          <w:szCs w:val="32"/>
          <w:lang w:eastAsia="zh-CN"/>
        </w:rPr>
        <w:t>。</w:t>
      </w: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（图2：收入决算结构图）（饼状图）</w:t>
      </w:r>
    </w:p>
    <w:p>
      <w:pPr>
        <w:pStyle w:val="13"/>
        <w:keepNext w:val="0"/>
        <w:keepLines w:val="0"/>
        <w:widowControl/>
        <w:numPr>
          <w:ilvl w:val="0"/>
          <w:numId w:val="0"/>
        </w:numPr>
        <w:suppressLineNumbers w:val="0"/>
        <w:shd w:val="clear" w:color="auto" w:fill="auto"/>
        <w:ind w:right="75" w:rightChars="0" w:firstLine="640" w:firstLineChars="200"/>
        <w:jc w:val="left"/>
        <w:rPr>
          <w:rFonts w:hint="eastAsia" w:ascii="黑体" w:hAnsi="黑体" w:eastAsia="黑体" w:cs="黑体"/>
          <w:sz w:val="32"/>
          <w:szCs w:val="32"/>
          <w:shd w:val="clear" w:color="auto" w:fill="FFFFFF"/>
        </w:rPr>
      </w:pPr>
      <w:r>
        <w:rPr>
          <w:rFonts w:hint="eastAsia" w:ascii="仿宋" w:hAnsi="仿宋" w:eastAsia="仿宋"/>
          <w:color w:val="000000"/>
          <w:sz w:val="32"/>
          <w:szCs w:val="32"/>
          <w:lang w:eastAsia="zh-CN"/>
        </w:rPr>
        <w:object>
          <v:shape id="_x0000_i1025" o:spt="75" type="#_x0000_t75" style="height:0.05pt;width:0.05pt;" o:ole="t" filled="f" stroked="f" coordsize="21600,21600">
            <v:path/>
            <v:fill on="f" focussize="0,0"/>
            <v:stroke on="f"/>
            <v:imagedata o:title=""/>
            <o:lock v:ext="edit" aspectratio="t"/>
            <w10:wrap type="none"/>
            <w10:anchorlock/>
          </v:shape>
          <o:OLEObject Type="Embed" ProgID="Excel.Chart.8" ShapeID="_x0000_i1025" DrawAspect="Content" ObjectID="_1468075725" r:id="rId8">
            <o:LockedField>false</o:LockedField>
          </o:OLEObject>
        </w:object>
      </w:r>
      <w:r>
        <w:rPr>
          <w:rFonts w:hint="eastAsia" w:ascii="仿宋" w:hAnsi="仿宋" w:eastAsia="仿宋"/>
          <w:color w:val="000000"/>
          <w:sz w:val="32"/>
          <w:szCs w:val="32"/>
          <w:lang w:eastAsia="zh-CN"/>
        </w:rPr>
        <w:object>
          <v:shape id="_x0000_i1026" o:spt="75" type="#_x0000_t75" style="height:0.05pt;width:0.05pt;" o:ole="t" filled="f" stroked="f" coordsize="21600,21600">
            <v:path/>
            <v:fill on="f" focussize="0,0"/>
            <v:stroke on="f"/>
            <v:imagedata o:title=""/>
            <o:lock v:ext="edit" aspectratio="t"/>
            <w10:wrap type="none"/>
            <w10:anchorlock/>
          </v:shape>
          <o:OLEObject Type="Embed" ProgID="Excel.Chart.8" ShapeID="_x0000_i1026" DrawAspect="Content" ObjectID="_1468075726" r:id="rId9">
            <o:LockedField>false</o:LockedField>
          </o:OLEObject>
        </w:object>
      </w:r>
      <w:r>
        <w:rPr>
          <w:rFonts w:hint="eastAsia" w:ascii="仿宋" w:hAnsi="仿宋" w:eastAsia="仿宋"/>
          <w:color w:val="000000"/>
          <w:sz w:val="32"/>
          <w:szCs w:val="32"/>
          <w:lang w:eastAsia="zh-CN"/>
        </w:rPr>
        <w:drawing>
          <wp:inline distT="0" distB="0" distL="114300" distR="114300">
            <wp:extent cx="4670425" cy="2008505"/>
            <wp:effectExtent l="4445" t="4445" r="11430" b="635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13"/>
        <w:keepNext w:val="0"/>
        <w:keepLines w:val="0"/>
        <w:widowControl/>
        <w:numPr>
          <w:ilvl w:val="0"/>
          <w:numId w:val="1"/>
        </w:numPr>
        <w:suppressLineNumbers w:val="0"/>
        <w:shd w:val="clear" w:color="auto" w:fill="auto"/>
        <w:ind w:left="0" w:leftChars="0" w:right="75" w:firstLine="0" w:firstLineChars="0"/>
        <w:jc w:val="left"/>
        <w:outlineLvl w:val="1"/>
        <w:rPr>
          <w:rFonts w:hint="eastAsia" w:ascii="黑体" w:hAnsi="黑体" w:eastAsia="黑体" w:cs="黑体"/>
          <w:sz w:val="32"/>
          <w:szCs w:val="32"/>
          <w:shd w:val="clear" w:color="auto" w:fill="FFFFFF"/>
        </w:rPr>
      </w:pPr>
      <w:bookmarkStart w:id="6" w:name="_Toc21019"/>
      <w:r>
        <w:rPr>
          <w:rFonts w:hint="eastAsia" w:ascii="黑体" w:hAnsi="黑体" w:eastAsia="黑体" w:cs="黑体"/>
          <w:sz w:val="32"/>
          <w:szCs w:val="32"/>
          <w:shd w:val="clear" w:color="auto" w:fill="FFFFFF"/>
        </w:rPr>
        <w:t>支出决算情况说明</w:t>
      </w:r>
      <w:bookmarkEnd w:id="6"/>
    </w:p>
    <w:p>
      <w:pPr>
        <w:pStyle w:val="13"/>
        <w:keepNext w:val="0"/>
        <w:keepLines w:val="0"/>
        <w:widowControl/>
        <w:suppressLineNumbers w:val="0"/>
        <w:shd w:val="clear" w:color="auto" w:fill="auto"/>
        <w:ind w:left="0" w:right="75" w:firstLine="640" w:firstLineChars="200"/>
        <w:rPr>
          <w:rFonts w:hint="eastAsia"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年本年支出合计</w:t>
      </w:r>
      <w:r>
        <w:rPr>
          <w:rFonts w:hint="eastAsia" w:ascii="仿宋" w:hAnsi="仿宋" w:eastAsia="仿宋"/>
          <w:color w:val="000000"/>
          <w:sz w:val="32"/>
          <w:szCs w:val="32"/>
          <w:lang w:val="en-US" w:eastAsia="zh-CN"/>
        </w:rPr>
        <w:t>408.26</w:t>
      </w:r>
      <w:r>
        <w:rPr>
          <w:rFonts w:hint="eastAsia" w:ascii="仿宋" w:hAnsi="仿宋" w:eastAsia="仿宋"/>
          <w:color w:val="000000"/>
          <w:sz w:val="32"/>
          <w:szCs w:val="32"/>
        </w:rPr>
        <w:t>万元，其中：基本支出</w:t>
      </w:r>
      <w:r>
        <w:rPr>
          <w:rFonts w:hint="eastAsia" w:ascii="仿宋" w:hAnsi="仿宋" w:eastAsia="仿宋"/>
          <w:color w:val="000000"/>
          <w:sz w:val="32"/>
          <w:szCs w:val="32"/>
          <w:lang w:val="en-US" w:eastAsia="zh-CN"/>
        </w:rPr>
        <w:t>408.26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100</w:t>
      </w:r>
      <w:r>
        <w:rPr>
          <w:rFonts w:hint="eastAsia" w:ascii="仿宋" w:hAnsi="仿宋" w:eastAsia="仿宋"/>
          <w:color w:val="000000"/>
          <w:sz w:val="32"/>
          <w:szCs w:val="32"/>
        </w:rPr>
        <w:t>%；项目支出</w:t>
      </w:r>
      <w:r>
        <w:rPr>
          <w:rFonts w:hint="eastAsia" w:ascii="仿宋" w:hAnsi="仿宋" w:eastAsia="仿宋"/>
          <w:color w:val="000000"/>
          <w:sz w:val="32"/>
          <w:szCs w:val="32"/>
          <w:lang w:val="en-US" w:eastAsia="zh-CN"/>
        </w:rPr>
        <w:t>0.00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0.00</w:t>
      </w:r>
      <w:r>
        <w:rPr>
          <w:rFonts w:hint="eastAsia" w:ascii="仿宋" w:hAnsi="仿宋" w:eastAsia="仿宋"/>
          <w:color w:val="000000"/>
          <w:sz w:val="32"/>
          <w:szCs w:val="32"/>
        </w:rPr>
        <w:t>%；上缴上级支出0.00万元，占0.00%；经营支出0.00万元，占经营支出0.00万元，占 0.00%；对附属单位补助支出0.00万元，占0.00%</w:t>
      </w:r>
    </w:p>
    <w:p>
      <w:pPr>
        <w:pStyle w:val="13"/>
        <w:keepNext w:val="0"/>
        <w:keepLines w:val="0"/>
        <w:widowControl/>
        <w:suppressLineNumbers w:val="0"/>
        <w:shd w:val="clear" w:color="auto" w:fill="auto"/>
        <w:ind w:left="0" w:right="75" w:firstLine="640" w:firstLineChars="200"/>
        <w:rPr>
          <w:rFonts w:hint="eastAsia" w:ascii="仿宋" w:hAnsi="仿宋" w:eastAsia="仿宋"/>
          <w:color w:val="000000"/>
          <w:sz w:val="32"/>
          <w:szCs w:val="32"/>
        </w:rPr>
      </w:pPr>
      <w:r>
        <w:rPr>
          <w:rFonts w:hint="eastAsia" w:ascii="仿宋" w:hAnsi="仿宋" w:eastAsia="仿宋"/>
          <w:color w:val="000000"/>
          <w:sz w:val="32"/>
          <w:szCs w:val="32"/>
        </w:rPr>
        <w:t>（图3：支出决算结构图）（饼状图）</w:t>
      </w:r>
    </w:p>
    <w:p>
      <w:pPr>
        <w:pStyle w:val="13"/>
        <w:keepNext w:val="0"/>
        <w:keepLines w:val="0"/>
        <w:widowControl/>
        <w:suppressLineNumbers w:val="0"/>
        <w:shd w:val="clear" w:color="auto" w:fill="auto"/>
        <w:ind w:left="0" w:right="75" w:firstLine="640" w:firstLineChars="200"/>
        <w:rPr>
          <w:rFonts w:hint="eastAsia" w:ascii="仿宋" w:hAnsi="仿宋" w:eastAsia="仿宋"/>
          <w:color w:val="000000"/>
          <w:sz w:val="32"/>
          <w:szCs w:val="32"/>
        </w:rPr>
      </w:pPr>
      <w:r>
        <w:rPr>
          <w:rFonts w:hint="eastAsia" w:ascii="仿宋" w:hAnsi="仿宋" w:eastAsia="仿宋"/>
          <w:color w:val="000000"/>
          <w:sz w:val="32"/>
          <w:szCs w:val="32"/>
          <w:lang w:eastAsia="zh-CN"/>
        </w:rPr>
        <w:drawing>
          <wp:inline distT="0" distB="0" distL="114300" distR="114300">
            <wp:extent cx="5080000" cy="2918460"/>
            <wp:effectExtent l="4445" t="4445" r="20955" b="1079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pStyle w:val="13"/>
        <w:keepNext w:val="0"/>
        <w:keepLines w:val="0"/>
        <w:widowControl/>
        <w:numPr>
          <w:ilvl w:val="0"/>
          <w:numId w:val="1"/>
        </w:numPr>
        <w:suppressLineNumbers w:val="0"/>
        <w:shd w:val="clear" w:color="auto" w:fill="auto"/>
        <w:ind w:left="0" w:leftChars="0" w:right="75" w:firstLine="0" w:firstLineChars="0"/>
        <w:jc w:val="left"/>
        <w:outlineLvl w:val="1"/>
        <w:rPr>
          <w:rFonts w:hint="eastAsia" w:ascii="黑体" w:hAnsi="黑体" w:eastAsia="黑体" w:cs="黑体"/>
          <w:sz w:val="32"/>
          <w:szCs w:val="32"/>
          <w:shd w:val="clear" w:color="auto" w:fill="FFFFFF"/>
        </w:rPr>
      </w:pPr>
      <w:bookmarkStart w:id="7" w:name="_Toc7956"/>
      <w:r>
        <w:rPr>
          <w:rFonts w:hint="eastAsia" w:ascii="黑体" w:hAnsi="黑体" w:eastAsia="黑体" w:cs="黑体"/>
          <w:sz w:val="32"/>
          <w:szCs w:val="32"/>
          <w:shd w:val="clear" w:color="auto" w:fill="FFFFFF"/>
        </w:rPr>
        <w:t>财政拨款收入支出决算总体情况说明</w:t>
      </w:r>
      <w:bookmarkEnd w:id="7"/>
    </w:p>
    <w:p>
      <w:pPr>
        <w:pStyle w:val="21"/>
        <w:keepNext w:val="0"/>
        <w:keepLines w:val="0"/>
        <w:widowControl/>
        <w:suppressLineNumbers w:val="0"/>
        <w:autoSpaceDE w:val="0"/>
        <w:autoSpaceDN/>
        <w:spacing w:before="0" w:beforeAutospacing="0" w:line="576" w:lineRule="exact"/>
        <w:ind w:left="0" w:firstLine="640" w:firstLineChars="200"/>
        <w:jc w:val="left"/>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sz w:val="32"/>
          <w:szCs w:val="32"/>
          <w:lang w:val="en-US" w:eastAsia="zh-CN"/>
        </w:rPr>
        <w:t>2025</w:t>
      </w:r>
      <w:r>
        <w:rPr>
          <w:rFonts w:hint="eastAsia" w:ascii="仿宋" w:hAnsi="仿宋" w:eastAsia="仿宋"/>
          <w:color w:val="000000"/>
          <w:sz w:val="32"/>
          <w:szCs w:val="32"/>
        </w:rPr>
        <w:t>年度收入</w:t>
      </w:r>
      <w:r>
        <w:rPr>
          <w:rFonts w:hint="eastAsia" w:ascii="仿宋" w:hAnsi="仿宋" w:eastAsia="仿宋"/>
          <w:color w:val="000000"/>
          <w:sz w:val="32"/>
          <w:szCs w:val="32"/>
          <w:lang w:val="en-US" w:eastAsia="zh-CN"/>
        </w:rPr>
        <w:t>408.26</w:t>
      </w:r>
      <w:r>
        <w:rPr>
          <w:rFonts w:hint="eastAsia" w:ascii="仿宋" w:hAnsi="仿宋" w:eastAsia="仿宋"/>
          <w:color w:val="000000"/>
          <w:sz w:val="32"/>
          <w:szCs w:val="32"/>
        </w:rPr>
        <w:t>万元，支出</w:t>
      </w:r>
      <w:r>
        <w:rPr>
          <w:rFonts w:hint="eastAsia" w:ascii="仿宋" w:hAnsi="仿宋" w:eastAsia="仿宋"/>
          <w:color w:val="000000"/>
          <w:sz w:val="32"/>
          <w:szCs w:val="32"/>
          <w:lang w:val="en-US" w:eastAsia="zh-CN"/>
        </w:rPr>
        <w:t>408.26</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与2</w:t>
      </w:r>
      <w:r>
        <w:rPr>
          <w:rFonts w:hint="eastAsia" w:ascii="仿宋" w:hAnsi="仿宋" w:eastAsia="仿宋"/>
          <w:color w:val="000000"/>
          <w:sz w:val="32"/>
          <w:szCs w:val="32"/>
          <w:lang w:val="en-US" w:eastAsia="zh-CN"/>
        </w:rPr>
        <w:t>024</w:t>
      </w:r>
      <w:r>
        <w:rPr>
          <w:rFonts w:hint="eastAsia" w:ascii="仿宋" w:hAnsi="仿宋" w:eastAsia="仿宋"/>
          <w:color w:val="000000"/>
          <w:sz w:val="32"/>
          <w:szCs w:val="32"/>
        </w:rPr>
        <w:t>年相比，</w:t>
      </w:r>
      <w:r>
        <w:rPr>
          <w:rFonts w:hint="eastAsia" w:ascii="仿宋" w:hAnsi="仿宋" w:eastAsia="仿宋"/>
          <w:color w:val="000000"/>
          <w:sz w:val="32"/>
          <w:szCs w:val="32"/>
          <w:lang w:eastAsia="zh-CN"/>
        </w:rPr>
        <w:t>收入</w:t>
      </w:r>
      <w:r>
        <w:rPr>
          <w:rFonts w:hint="eastAsia" w:ascii="仿宋_GB2312" w:eastAsia="仿宋_GB2312" w:cs="仿宋_GB2312"/>
          <w:kern w:val="0"/>
          <w:sz w:val="32"/>
          <w:szCs w:val="32"/>
          <w:shd w:val="clear" w:fill="FFFFFF"/>
          <w:lang w:val="en-US" w:eastAsia="zh-CN"/>
        </w:rPr>
        <w:t>减少了11.08万元，下降了2.71%</w:t>
      </w:r>
      <w:r>
        <w:rPr>
          <w:rFonts w:hint="eastAsia" w:ascii="仿宋" w:hAnsi="仿宋" w:eastAsia="仿宋"/>
          <w:color w:val="000000"/>
          <w:sz w:val="32"/>
          <w:szCs w:val="32"/>
        </w:rPr>
        <w:t>。</w:t>
      </w:r>
      <w:r>
        <w:rPr>
          <w:rFonts w:hint="eastAsia" w:ascii="仿宋" w:hAnsi="仿宋" w:eastAsia="仿宋"/>
          <w:color w:val="000000"/>
          <w:sz w:val="32"/>
          <w:szCs w:val="32"/>
          <w:lang w:eastAsia="zh-CN"/>
        </w:rPr>
        <w:t>支出</w:t>
      </w:r>
      <w:r>
        <w:rPr>
          <w:rFonts w:hint="eastAsia" w:ascii="仿宋_GB2312" w:eastAsia="仿宋_GB2312" w:cs="仿宋_GB2312"/>
          <w:kern w:val="0"/>
          <w:sz w:val="32"/>
          <w:szCs w:val="32"/>
          <w:shd w:val="clear" w:fill="FFFFFF"/>
          <w:lang w:val="en-US" w:eastAsia="zh-CN"/>
        </w:rPr>
        <w:t>减少了11.08万元，下降了2.71%</w:t>
      </w:r>
      <w:r>
        <w:rPr>
          <w:rFonts w:hint="eastAsia" w:ascii="仿宋" w:hAnsi="仿宋" w:eastAsia="仿宋"/>
          <w:color w:val="000000"/>
          <w:sz w:val="32"/>
          <w:szCs w:val="32"/>
          <w:lang w:eastAsia="zh-CN"/>
        </w:rPr>
        <w:t>，收入支出均增加主要原因：</w:t>
      </w:r>
      <w:r>
        <w:rPr>
          <w:rStyle w:val="16"/>
          <w:rFonts w:hint="eastAsia" w:ascii="仿宋_GB2312" w:hAnsi="仿宋_GB2312" w:eastAsia="仿宋_GB2312" w:cs="仿宋_GB2312"/>
          <w:sz w:val="32"/>
          <w:szCs w:val="32"/>
        </w:rPr>
        <w:t>主要原因为</w:t>
      </w:r>
      <w:r>
        <w:rPr>
          <w:rStyle w:val="16"/>
          <w:rFonts w:hint="eastAsia" w:ascii="仿宋_GB2312" w:hAnsi="宋体" w:eastAsia="仿宋_GB2312" w:cs="宋体"/>
          <w:sz w:val="32"/>
          <w:szCs w:val="32"/>
          <w:lang w:eastAsia="zh-CN"/>
        </w:rPr>
        <w:t>人员变动、厉行节约、经费调整</w:t>
      </w:r>
      <w:r>
        <w:rPr>
          <w:rFonts w:hint="eastAsia" w:ascii="仿宋_GB2312" w:hAnsi="仿宋_GB2312" w:eastAsia="仿宋_GB2312" w:cs="仿宋_GB2312"/>
          <w:sz w:val="32"/>
          <w:szCs w:val="32"/>
        </w:rPr>
        <w:t>。</w:t>
      </w:r>
    </w:p>
    <w:p>
      <w:pPr>
        <w:pStyle w:val="21"/>
        <w:keepNext w:val="0"/>
        <w:keepLines w:val="0"/>
        <w:widowControl/>
        <w:suppressLineNumbers w:val="0"/>
        <w:autoSpaceDE w:val="0"/>
        <w:autoSpaceDN/>
        <w:spacing w:before="0" w:beforeAutospacing="0" w:line="576" w:lineRule="exact"/>
        <w:ind w:left="0" w:firstLine="640" w:firstLineChars="200"/>
        <w:jc w:val="left"/>
        <w:rPr>
          <w:rFonts w:hint="eastAsia" w:ascii="仿宋" w:hAnsi="仿宋" w:eastAsia="仿宋"/>
          <w:color w:val="000000" w:themeColor="text1"/>
          <w:sz w:val="32"/>
          <w:szCs w:val="32"/>
          <w14:textFill>
            <w14:solidFill>
              <w14:schemeClr w14:val="tx1"/>
            </w14:solidFill>
          </w14:textFill>
        </w:rPr>
      </w:pP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（图4：财政拨款收、支决算总计变动情况）（柱状图）</w:t>
      </w:r>
    </w:p>
    <w:p>
      <w:pPr>
        <w:pStyle w:val="13"/>
        <w:keepNext w:val="0"/>
        <w:keepLines w:val="0"/>
        <w:widowControl/>
        <w:numPr>
          <w:ilvl w:val="0"/>
          <w:numId w:val="0"/>
        </w:numPr>
        <w:suppressLineNumbers w:val="0"/>
        <w:shd w:val="clear" w:color="auto" w:fill="auto"/>
        <w:ind w:leftChars="0" w:right="75" w:rightChars="0"/>
        <w:jc w:val="left"/>
        <w:rPr>
          <w:rFonts w:hint="eastAsia" w:ascii="黑体" w:hAnsi="黑体" w:eastAsia="黑体" w:cs="黑体"/>
          <w:sz w:val="32"/>
          <w:szCs w:val="32"/>
          <w:shd w:val="clear" w:color="auto" w:fill="FFFFFF"/>
          <w:lang w:eastAsia="zh-CN"/>
        </w:rPr>
      </w:pPr>
      <w:r>
        <w:rPr>
          <w:rFonts w:hint="eastAsia" w:ascii="黑体" w:hAnsi="黑体" w:eastAsia="黑体" w:cs="黑体"/>
          <w:sz w:val="32"/>
          <w:szCs w:val="32"/>
          <w:shd w:val="clear" w:color="auto" w:fill="FFFFFF"/>
          <w:lang w:eastAsia="zh-CN"/>
        </w:rPr>
        <w:drawing>
          <wp:inline distT="0" distB="0" distL="114300" distR="114300">
            <wp:extent cx="5080000" cy="2628900"/>
            <wp:effectExtent l="4445" t="4445" r="20955" b="1460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pStyle w:val="13"/>
        <w:keepNext w:val="0"/>
        <w:keepLines w:val="0"/>
        <w:widowControl/>
        <w:suppressLineNumbers w:val="0"/>
        <w:shd w:val="clear" w:color="auto" w:fill="auto"/>
        <w:ind w:left="0" w:right="75"/>
        <w:jc w:val="left"/>
        <w:outlineLvl w:val="1"/>
        <w:rPr>
          <w:rFonts w:hint="eastAsia" w:ascii="黑体" w:hAnsi="黑体" w:eastAsia="黑体" w:cs="黑体"/>
          <w:sz w:val="32"/>
          <w:szCs w:val="32"/>
          <w:shd w:val="clear" w:color="auto" w:fill="FFFFFF"/>
        </w:rPr>
      </w:pPr>
      <w:bookmarkStart w:id="8" w:name="_Toc23149"/>
      <w:r>
        <w:rPr>
          <w:rFonts w:hint="eastAsia" w:ascii="黑体" w:hAnsi="黑体" w:eastAsia="黑体" w:cs="黑体"/>
          <w:sz w:val="32"/>
          <w:szCs w:val="32"/>
          <w:shd w:val="clear" w:color="auto" w:fill="FFFFFF"/>
        </w:rPr>
        <w:t>五、一般公共预算财政拨款支出决算情况说明</w:t>
      </w:r>
      <w:bookmarkEnd w:id="8"/>
    </w:p>
    <w:p>
      <w:pPr>
        <w:pStyle w:val="13"/>
        <w:keepNext w:val="0"/>
        <w:keepLines w:val="0"/>
        <w:widowControl/>
        <w:suppressLineNumbers w:val="0"/>
        <w:ind w:left="0" w:right="75"/>
        <w:rPr>
          <w:rStyle w:val="16"/>
          <w:rFonts w:hint="eastAsia" w:ascii="仿宋_GB2312" w:hAnsi="仿宋_GB2312" w:eastAsia="仿宋_GB2312" w:cs="仿宋_GB2312"/>
          <w:sz w:val="32"/>
          <w:szCs w:val="32"/>
          <w:shd w:val="clear" w:color="auto" w:fill="FFFFFF"/>
        </w:rPr>
      </w:pPr>
      <w:r>
        <w:rPr>
          <w:rStyle w:val="16"/>
          <w:rFonts w:hint="eastAsia" w:ascii="仿宋_GB2312" w:hAnsi="仿宋_GB2312" w:eastAsia="仿宋_GB2312" w:cs="仿宋_GB2312"/>
          <w:sz w:val="32"/>
          <w:szCs w:val="32"/>
          <w:shd w:val="clear" w:color="auto" w:fill="FFFFFF"/>
        </w:rPr>
        <w:t>（一）一般公共预算财政拨款支出决算总体情况</w:t>
      </w:r>
    </w:p>
    <w:p>
      <w:pPr>
        <w:pStyle w:val="21"/>
        <w:keepNext w:val="0"/>
        <w:keepLines w:val="0"/>
        <w:widowControl/>
        <w:suppressLineNumbers w:val="0"/>
        <w:autoSpaceDE w:val="0"/>
        <w:autoSpaceDN/>
        <w:spacing w:before="0" w:beforeAutospacing="0" w:line="576" w:lineRule="exact"/>
        <w:ind w:left="0" w:firstLine="640" w:firstLineChars="200"/>
        <w:jc w:val="left"/>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sz w:val="32"/>
          <w:szCs w:val="32"/>
          <w:lang w:val="en-US" w:eastAsia="zh-CN"/>
        </w:rPr>
        <w:t>2025</w:t>
      </w:r>
      <w:r>
        <w:rPr>
          <w:rFonts w:hint="eastAsia" w:ascii="仿宋" w:hAnsi="仿宋" w:eastAsia="仿宋"/>
          <w:color w:val="000000"/>
          <w:sz w:val="32"/>
          <w:szCs w:val="32"/>
        </w:rPr>
        <w:t>年一般公共预算财政拨款支出</w:t>
      </w:r>
      <w:r>
        <w:rPr>
          <w:rFonts w:hint="eastAsia" w:ascii="仿宋" w:hAnsi="仿宋" w:eastAsia="仿宋"/>
          <w:color w:val="000000"/>
          <w:sz w:val="32"/>
          <w:szCs w:val="32"/>
          <w:lang w:val="en-US" w:eastAsia="zh-CN"/>
        </w:rPr>
        <w:t>408.26</w:t>
      </w:r>
      <w:r>
        <w:rPr>
          <w:rFonts w:hint="eastAsia" w:ascii="仿宋" w:hAnsi="仿宋" w:eastAsia="仿宋"/>
          <w:color w:val="000000"/>
          <w:sz w:val="32"/>
          <w:szCs w:val="32"/>
        </w:rPr>
        <w:t>万元，占本年支出合计的</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。与2</w:t>
      </w:r>
      <w:r>
        <w:rPr>
          <w:rFonts w:hint="eastAsia" w:ascii="仿宋" w:hAnsi="仿宋" w:eastAsia="仿宋"/>
          <w:color w:val="000000"/>
          <w:sz w:val="32"/>
          <w:szCs w:val="32"/>
          <w:lang w:val="en-US" w:eastAsia="zh-CN"/>
        </w:rPr>
        <w:t>024</w:t>
      </w:r>
      <w:r>
        <w:rPr>
          <w:rFonts w:hint="eastAsia" w:ascii="仿宋" w:hAnsi="仿宋" w:eastAsia="仿宋"/>
          <w:color w:val="000000"/>
          <w:sz w:val="32"/>
          <w:szCs w:val="32"/>
        </w:rPr>
        <w:t>年相比，</w:t>
      </w:r>
      <w:r>
        <w:rPr>
          <w:rFonts w:hint="eastAsia" w:ascii="仿宋" w:hAnsi="仿宋" w:eastAsia="仿宋"/>
          <w:color w:val="000000"/>
          <w:sz w:val="32"/>
          <w:szCs w:val="32"/>
          <w:lang w:eastAsia="zh-CN"/>
        </w:rPr>
        <w:t>收入</w:t>
      </w:r>
      <w:r>
        <w:rPr>
          <w:rFonts w:hint="eastAsia" w:ascii="仿宋_GB2312" w:eastAsia="仿宋_GB2312" w:cs="仿宋_GB2312"/>
          <w:kern w:val="0"/>
          <w:sz w:val="32"/>
          <w:szCs w:val="32"/>
          <w:shd w:val="clear" w:fill="FFFFFF"/>
          <w:lang w:val="en-US" w:eastAsia="zh-CN"/>
        </w:rPr>
        <w:t>减少了11.08万元，下降了2.71%</w:t>
      </w:r>
      <w:r>
        <w:rPr>
          <w:rFonts w:hint="eastAsia" w:ascii="仿宋" w:hAnsi="仿宋" w:eastAsia="仿宋"/>
          <w:color w:val="000000"/>
          <w:sz w:val="32"/>
          <w:szCs w:val="32"/>
        </w:rPr>
        <w:t>。</w:t>
      </w:r>
      <w:r>
        <w:rPr>
          <w:rFonts w:hint="eastAsia" w:ascii="仿宋" w:hAnsi="仿宋" w:eastAsia="仿宋"/>
          <w:color w:val="000000"/>
          <w:sz w:val="32"/>
          <w:szCs w:val="32"/>
          <w:lang w:eastAsia="zh-CN"/>
        </w:rPr>
        <w:t>增加主要原因：</w:t>
      </w:r>
      <w:r>
        <w:rPr>
          <w:rStyle w:val="16"/>
          <w:rFonts w:hint="eastAsia" w:ascii="仿宋_GB2312" w:hAnsi="仿宋_GB2312" w:eastAsia="仿宋_GB2312" w:cs="仿宋_GB2312"/>
          <w:sz w:val="32"/>
          <w:szCs w:val="32"/>
        </w:rPr>
        <w:t>主要原因为</w:t>
      </w:r>
      <w:r>
        <w:rPr>
          <w:rStyle w:val="16"/>
          <w:rFonts w:hint="eastAsia" w:ascii="仿宋_GB2312" w:hAnsi="宋体" w:eastAsia="仿宋_GB2312" w:cs="宋体"/>
          <w:sz w:val="32"/>
          <w:szCs w:val="32"/>
          <w:lang w:eastAsia="zh-CN"/>
        </w:rPr>
        <w:t>人员变动、厉行节约、经费调整</w:t>
      </w:r>
      <w:r>
        <w:rPr>
          <w:rFonts w:hint="eastAsia" w:ascii="仿宋_GB2312" w:hAnsi="仿宋_GB2312" w:eastAsia="仿宋_GB2312" w:cs="仿宋_GB2312"/>
          <w:sz w:val="32"/>
          <w:szCs w:val="32"/>
        </w:rPr>
        <w:t>。</w:t>
      </w:r>
    </w:p>
    <w:p>
      <w:pPr>
        <w:spacing w:line="600" w:lineRule="exact"/>
        <w:rPr>
          <w:rFonts w:hint="eastAsia" w:ascii="仿宋" w:hAnsi="仿宋" w:eastAsia="仿宋"/>
          <w:color w:val="000000" w:themeColor="text1"/>
          <w:sz w:val="32"/>
          <w:szCs w:val="32"/>
          <w:lang w:eastAsia="zh-CN"/>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（图5：一般公共预算财政拨款支出决算变动情况）（柱状</w:t>
      </w:r>
      <w:r>
        <w:rPr>
          <w:rFonts w:hint="eastAsia" w:ascii="仿宋" w:hAnsi="仿宋" w:eastAsia="仿宋"/>
          <w:color w:val="000000" w:themeColor="text1"/>
          <w:sz w:val="32"/>
          <w:szCs w:val="32"/>
          <w:lang w:eastAsia="zh-CN"/>
          <w14:textFill>
            <w14:solidFill>
              <w14:schemeClr w14:val="tx1"/>
            </w14:solidFill>
          </w14:textFill>
        </w:rPr>
        <w:t>图）</w:t>
      </w:r>
    </w:p>
    <w:p>
      <w:pPr>
        <w:pStyle w:val="6"/>
        <w:rPr>
          <w:rFonts w:hint="eastAsia" w:ascii="仿宋" w:hAnsi="仿宋" w:eastAsia="仿宋"/>
          <w:color w:val="000000" w:themeColor="text1"/>
          <w:sz w:val="32"/>
          <w:szCs w:val="32"/>
          <w:lang w:eastAsia="zh-CN"/>
          <w14:textFill>
            <w14:solidFill>
              <w14:schemeClr w14:val="tx1"/>
            </w14:solidFill>
          </w14:textFill>
        </w:rPr>
      </w:pPr>
      <w:r>
        <w:rPr>
          <w:rFonts w:hint="eastAsia" w:ascii="仿宋" w:hAnsi="仿宋" w:eastAsia="仿宋"/>
          <w:color w:val="000000" w:themeColor="text1"/>
          <w:sz w:val="32"/>
          <w:szCs w:val="32"/>
          <w:lang w:eastAsia="zh-CN"/>
          <w14:textFill>
            <w14:solidFill>
              <w14:schemeClr w14:val="tx1"/>
            </w14:solidFill>
          </w14:textFill>
        </w:rPr>
        <w:drawing>
          <wp:inline distT="0" distB="0" distL="114300" distR="114300">
            <wp:extent cx="5080000" cy="2581275"/>
            <wp:effectExtent l="4445" t="4445" r="20955" b="508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pStyle w:val="13"/>
        <w:keepNext w:val="0"/>
        <w:keepLines w:val="0"/>
        <w:widowControl/>
        <w:numPr>
          <w:ilvl w:val="0"/>
          <w:numId w:val="2"/>
        </w:numPr>
        <w:suppressLineNumbers w:val="0"/>
        <w:ind w:left="0" w:right="75"/>
        <w:rPr>
          <w:rStyle w:val="16"/>
          <w:rFonts w:hint="eastAsia" w:ascii="仿宋_GB2312" w:hAnsi="仿宋_GB2312" w:eastAsia="仿宋_GB2312" w:cs="仿宋_GB2312"/>
          <w:sz w:val="32"/>
          <w:szCs w:val="32"/>
          <w:shd w:val="clear" w:color="auto" w:fill="FFFFFF"/>
        </w:rPr>
      </w:pPr>
      <w:r>
        <w:rPr>
          <w:rStyle w:val="16"/>
          <w:rFonts w:hint="eastAsia" w:ascii="仿宋_GB2312" w:hAnsi="仿宋_GB2312" w:eastAsia="仿宋_GB2312" w:cs="仿宋_GB2312"/>
          <w:sz w:val="32"/>
          <w:szCs w:val="32"/>
          <w:shd w:val="clear" w:color="auto" w:fill="FFFFFF"/>
        </w:rPr>
        <w:t>一般公共预算财政拨款支出决算结构情况</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0" w:afterAutospacing="0"/>
        <w:ind w:left="0" w:right="76" w:firstLine="640" w:firstLineChars="200"/>
        <w:jc w:val="left"/>
        <w:rPr>
          <w:rStyle w:val="16"/>
          <w:rFonts w:hint="default" w:ascii="仿宋" w:hAnsi="仿宋" w:eastAsia="仿宋" w:cs="Times New Roman"/>
          <w:b w:val="0"/>
          <w:bCs/>
          <w:color w:val="000000"/>
          <w:kern w:val="2"/>
          <w:sz w:val="32"/>
          <w:szCs w:val="32"/>
          <w:shd w:val="clear"/>
          <w:lang w:val="en-US" w:eastAsia="zh-CN" w:bidi="ar-SA"/>
        </w:rPr>
      </w:pPr>
      <w:r>
        <w:rPr>
          <w:rStyle w:val="16"/>
          <w:rFonts w:hint="default" w:ascii="仿宋" w:hAnsi="仿宋" w:eastAsia="仿宋" w:cs="Times New Roman"/>
          <w:b w:val="0"/>
          <w:bCs/>
          <w:color w:val="000000"/>
          <w:kern w:val="2"/>
          <w:sz w:val="32"/>
          <w:szCs w:val="32"/>
          <w:shd w:val="clear"/>
          <w:lang w:val="en-US" w:eastAsia="zh-CN" w:bidi="ar-SA"/>
        </w:rPr>
        <w:t>202</w:t>
      </w:r>
      <w:r>
        <w:rPr>
          <w:rStyle w:val="16"/>
          <w:rFonts w:hint="eastAsia" w:ascii="仿宋" w:hAnsi="仿宋" w:eastAsia="仿宋" w:cs="Times New Roman"/>
          <w:b w:val="0"/>
          <w:bCs/>
          <w:color w:val="000000"/>
          <w:kern w:val="2"/>
          <w:sz w:val="32"/>
          <w:szCs w:val="32"/>
          <w:shd w:val="clear"/>
          <w:lang w:val="en-US" w:eastAsia="zh-CN" w:bidi="ar-SA"/>
        </w:rPr>
        <w:t>5</w:t>
      </w:r>
      <w:r>
        <w:rPr>
          <w:rStyle w:val="16"/>
          <w:rFonts w:hint="default" w:ascii="仿宋" w:hAnsi="仿宋" w:eastAsia="仿宋" w:cs="Times New Roman"/>
          <w:b w:val="0"/>
          <w:bCs/>
          <w:color w:val="000000"/>
          <w:kern w:val="2"/>
          <w:sz w:val="32"/>
          <w:szCs w:val="32"/>
          <w:shd w:val="clear"/>
          <w:lang w:val="en-US" w:eastAsia="zh-CN" w:bidi="ar-SA"/>
        </w:rPr>
        <w:t>年一般公共预算财政拨款支出</w:t>
      </w:r>
      <w:r>
        <w:rPr>
          <w:rStyle w:val="16"/>
          <w:rFonts w:hint="eastAsia" w:ascii="仿宋" w:hAnsi="仿宋" w:eastAsia="仿宋" w:cs="Times New Roman"/>
          <w:b w:val="0"/>
          <w:bCs/>
          <w:color w:val="000000"/>
          <w:kern w:val="2"/>
          <w:sz w:val="32"/>
          <w:szCs w:val="32"/>
          <w:shd w:val="clear"/>
          <w:lang w:val="en-US" w:eastAsia="zh-CN" w:bidi="ar-SA"/>
        </w:rPr>
        <w:t>408.26</w:t>
      </w:r>
      <w:r>
        <w:rPr>
          <w:rStyle w:val="16"/>
          <w:rFonts w:hint="default" w:ascii="仿宋" w:hAnsi="仿宋" w:eastAsia="仿宋" w:cs="Times New Roman"/>
          <w:b w:val="0"/>
          <w:bCs/>
          <w:color w:val="000000"/>
          <w:kern w:val="2"/>
          <w:sz w:val="32"/>
          <w:szCs w:val="32"/>
          <w:shd w:val="clear"/>
          <w:lang w:val="en-US" w:eastAsia="zh-CN" w:bidi="ar-SA"/>
        </w:rPr>
        <w:t>万元，主要用于以下方面:一般公共服务（类）支出</w:t>
      </w:r>
      <w:r>
        <w:rPr>
          <w:rStyle w:val="16"/>
          <w:rFonts w:hint="eastAsia" w:ascii="仿宋" w:hAnsi="仿宋" w:eastAsia="仿宋" w:cs="Times New Roman"/>
          <w:b w:val="0"/>
          <w:bCs/>
          <w:color w:val="000000"/>
          <w:kern w:val="2"/>
          <w:sz w:val="32"/>
          <w:szCs w:val="32"/>
          <w:shd w:val="clear"/>
          <w:lang w:val="en-US" w:eastAsia="zh-CN" w:bidi="ar-SA"/>
        </w:rPr>
        <w:t>303.17</w:t>
      </w:r>
      <w:r>
        <w:rPr>
          <w:rStyle w:val="16"/>
          <w:rFonts w:hint="default" w:ascii="仿宋" w:hAnsi="仿宋" w:eastAsia="仿宋" w:cs="Times New Roman"/>
          <w:b w:val="0"/>
          <w:bCs/>
          <w:color w:val="000000"/>
          <w:kern w:val="2"/>
          <w:sz w:val="32"/>
          <w:szCs w:val="32"/>
          <w:shd w:val="clear"/>
          <w:lang w:val="en-US" w:eastAsia="zh-CN" w:bidi="ar-SA"/>
        </w:rPr>
        <w:t>万元，占</w:t>
      </w:r>
      <w:r>
        <w:rPr>
          <w:rStyle w:val="16"/>
          <w:rFonts w:hint="eastAsia" w:ascii="仿宋" w:hAnsi="仿宋" w:eastAsia="仿宋" w:cs="Times New Roman"/>
          <w:b w:val="0"/>
          <w:bCs/>
          <w:color w:val="000000"/>
          <w:kern w:val="2"/>
          <w:sz w:val="32"/>
          <w:szCs w:val="32"/>
          <w:shd w:val="clear"/>
          <w:lang w:val="en-US" w:eastAsia="zh-CN" w:bidi="ar-SA"/>
        </w:rPr>
        <w:t>74.26</w:t>
      </w:r>
      <w:r>
        <w:rPr>
          <w:rStyle w:val="16"/>
          <w:rFonts w:hint="default" w:ascii="仿宋" w:hAnsi="仿宋" w:eastAsia="仿宋" w:cs="Times New Roman"/>
          <w:b w:val="0"/>
          <w:bCs/>
          <w:color w:val="000000"/>
          <w:kern w:val="2"/>
          <w:sz w:val="32"/>
          <w:szCs w:val="32"/>
          <w:shd w:val="clear"/>
          <w:lang w:val="en-US" w:eastAsia="zh-CN" w:bidi="ar-SA"/>
        </w:rPr>
        <w:t>%；社会保障和就业（类）支出</w:t>
      </w:r>
      <w:r>
        <w:rPr>
          <w:rStyle w:val="16"/>
          <w:rFonts w:hint="eastAsia" w:ascii="仿宋" w:hAnsi="仿宋" w:eastAsia="仿宋" w:cs="Times New Roman"/>
          <w:b w:val="0"/>
          <w:bCs/>
          <w:color w:val="000000"/>
          <w:kern w:val="2"/>
          <w:sz w:val="32"/>
          <w:szCs w:val="32"/>
          <w:shd w:val="clear"/>
          <w:lang w:val="en-US" w:eastAsia="zh-CN" w:bidi="ar-SA"/>
        </w:rPr>
        <w:t>55.64</w:t>
      </w:r>
      <w:r>
        <w:rPr>
          <w:rStyle w:val="16"/>
          <w:rFonts w:hint="default" w:ascii="仿宋" w:hAnsi="仿宋" w:eastAsia="仿宋" w:cs="Times New Roman"/>
          <w:b w:val="0"/>
          <w:bCs/>
          <w:color w:val="000000"/>
          <w:kern w:val="2"/>
          <w:sz w:val="32"/>
          <w:szCs w:val="32"/>
          <w:shd w:val="clear"/>
          <w:lang w:val="en-US" w:eastAsia="zh-CN" w:bidi="ar-SA"/>
        </w:rPr>
        <w:t>万元，占</w:t>
      </w:r>
      <w:r>
        <w:rPr>
          <w:rStyle w:val="16"/>
          <w:rFonts w:hint="eastAsia" w:ascii="仿宋" w:hAnsi="仿宋" w:eastAsia="仿宋" w:cs="Times New Roman"/>
          <w:b w:val="0"/>
          <w:bCs/>
          <w:color w:val="000000"/>
          <w:kern w:val="2"/>
          <w:sz w:val="32"/>
          <w:szCs w:val="32"/>
          <w:shd w:val="clear"/>
          <w:lang w:val="en-US" w:eastAsia="zh-CN" w:bidi="ar-SA"/>
        </w:rPr>
        <w:t>13.63</w:t>
      </w:r>
      <w:r>
        <w:rPr>
          <w:rStyle w:val="16"/>
          <w:rFonts w:hint="default" w:ascii="仿宋" w:hAnsi="仿宋" w:eastAsia="仿宋" w:cs="Times New Roman"/>
          <w:b w:val="0"/>
          <w:bCs/>
          <w:color w:val="000000"/>
          <w:kern w:val="2"/>
          <w:sz w:val="32"/>
          <w:szCs w:val="32"/>
          <w:shd w:val="clear"/>
          <w:lang w:val="en-US" w:eastAsia="zh-CN" w:bidi="ar-SA"/>
        </w:rPr>
        <w:t>%；卫生健康支出</w:t>
      </w:r>
      <w:r>
        <w:rPr>
          <w:rStyle w:val="16"/>
          <w:rFonts w:hint="eastAsia" w:ascii="仿宋" w:hAnsi="仿宋" w:eastAsia="仿宋" w:cs="Times New Roman"/>
          <w:b w:val="0"/>
          <w:bCs/>
          <w:color w:val="000000"/>
          <w:kern w:val="2"/>
          <w:sz w:val="32"/>
          <w:szCs w:val="32"/>
          <w:shd w:val="clear"/>
          <w:lang w:val="en-US" w:eastAsia="zh-CN" w:bidi="ar-SA"/>
        </w:rPr>
        <w:t>20.38</w:t>
      </w:r>
      <w:r>
        <w:rPr>
          <w:rStyle w:val="16"/>
          <w:rFonts w:hint="default" w:ascii="仿宋" w:hAnsi="仿宋" w:eastAsia="仿宋" w:cs="Times New Roman"/>
          <w:b w:val="0"/>
          <w:bCs/>
          <w:color w:val="000000"/>
          <w:kern w:val="2"/>
          <w:sz w:val="32"/>
          <w:szCs w:val="32"/>
          <w:shd w:val="clear"/>
          <w:lang w:val="en-US" w:eastAsia="zh-CN" w:bidi="ar-SA"/>
        </w:rPr>
        <w:t>万元，占</w:t>
      </w:r>
      <w:r>
        <w:rPr>
          <w:rStyle w:val="16"/>
          <w:rFonts w:hint="eastAsia" w:ascii="仿宋" w:hAnsi="仿宋" w:eastAsia="仿宋" w:cs="Times New Roman"/>
          <w:b w:val="0"/>
          <w:bCs/>
          <w:color w:val="000000"/>
          <w:kern w:val="2"/>
          <w:sz w:val="32"/>
          <w:szCs w:val="32"/>
          <w:shd w:val="clear"/>
          <w:lang w:val="en-US" w:eastAsia="zh-CN" w:bidi="ar-SA"/>
        </w:rPr>
        <w:t>5</w:t>
      </w:r>
      <w:r>
        <w:rPr>
          <w:rStyle w:val="16"/>
          <w:rFonts w:hint="default" w:ascii="仿宋" w:hAnsi="仿宋" w:eastAsia="仿宋" w:cs="Times New Roman"/>
          <w:b w:val="0"/>
          <w:bCs/>
          <w:color w:val="000000"/>
          <w:kern w:val="2"/>
          <w:sz w:val="32"/>
          <w:szCs w:val="32"/>
          <w:shd w:val="clear"/>
          <w:lang w:val="en-US" w:eastAsia="zh-CN" w:bidi="ar-SA"/>
        </w:rPr>
        <w:t>%；住房保障支出</w:t>
      </w:r>
      <w:r>
        <w:rPr>
          <w:rStyle w:val="16"/>
          <w:rFonts w:hint="eastAsia" w:ascii="仿宋" w:hAnsi="仿宋" w:eastAsia="仿宋" w:cs="Times New Roman"/>
          <w:b w:val="0"/>
          <w:bCs/>
          <w:color w:val="000000"/>
          <w:kern w:val="2"/>
          <w:sz w:val="32"/>
          <w:szCs w:val="32"/>
          <w:shd w:val="clear"/>
          <w:lang w:val="en-US" w:eastAsia="zh-CN" w:bidi="ar-SA"/>
        </w:rPr>
        <w:t>29.06</w:t>
      </w:r>
      <w:r>
        <w:rPr>
          <w:rStyle w:val="16"/>
          <w:rFonts w:hint="default" w:ascii="仿宋" w:hAnsi="仿宋" w:eastAsia="仿宋" w:cs="Times New Roman"/>
          <w:b w:val="0"/>
          <w:bCs/>
          <w:color w:val="000000"/>
          <w:kern w:val="2"/>
          <w:sz w:val="32"/>
          <w:szCs w:val="32"/>
          <w:shd w:val="clear"/>
          <w:lang w:val="en-US" w:eastAsia="zh-CN" w:bidi="ar-SA"/>
        </w:rPr>
        <w:t>万元，占</w:t>
      </w:r>
      <w:r>
        <w:rPr>
          <w:rStyle w:val="16"/>
          <w:rFonts w:hint="eastAsia" w:ascii="仿宋" w:hAnsi="仿宋" w:eastAsia="仿宋" w:cs="Times New Roman"/>
          <w:b w:val="0"/>
          <w:bCs/>
          <w:color w:val="000000"/>
          <w:kern w:val="2"/>
          <w:sz w:val="32"/>
          <w:szCs w:val="32"/>
          <w:shd w:val="clear"/>
          <w:lang w:val="en-US" w:eastAsia="zh-CN" w:bidi="ar-SA"/>
        </w:rPr>
        <w:t>7.12</w:t>
      </w:r>
      <w:r>
        <w:rPr>
          <w:rStyle w:val="16"/>
          <w:rFonts w:hint="default" w:ascii="仿宋" w:hAnsi="仿宋" w:eastAsia="仿宋" w:cs="Times New Roman"/>
          <w:b w:val="0"/>
          <w:bCs/>
          <w:color w:val="000000"/>
          <w:kern w:val="2"/>
          <w:sz w:val="32"/>
          <w:szCs w:val="32"/>
          <w:shd w:val="clear"/>
          <w:lang w:val="en-US" w:eastAsia="zh-CN" w:bidi="ar-SA"/>
        </w:rPr>
        <w:t>%。</w:t>
      </w:r>
    </w:p>
    <w:p>
      <w:pPr>
        <w:pStyle w:val="13"/>
        <w:keepNext w:val="0"/>
        <w:keepLines w:val="0"/>
        <w:widowControl/>
        <w:numPr>
          <w:ilvl w:val="0"/>
          <w:numId w:val="0"/>
        </w:numPr>
        <w:suppressLineNumbers w:val="0"/>
        <w:ind w:right="75" w:rightChars="0"/>
        <w:rPr>
          <w:rStyle w:val="16"/>
          <w:rFonts w:hint="eastAsia" w:ascii="仿宋_GB2312" w:hAnsi="仿宋_GB2312" w:eastAsia="仿宋" w:cs="仿宋_GB2312"/>
          <w:sz w:val="28"/>
          <w:szCs w:val="28"/>
          <w:shd w:val="clear" w:color="auto" w:fill="FFFFFF"/>
          <w:lang w:eastAsia="zh-CN"/>
        </w:rPr>
      </w:pPr>
      <w:r>
        <w:rPr>
          <w:rFonts w:hint="eastAsia" w:ascii="仿宋" w:hAnsi="仿宋" w:eastAsia="仿宋"/>
          <w:color w:val="000000"/>
          <w:sz w:val="28"/>
          <w:szCs w:val="28"/>
          <w:lang w:eastAsia="zh-CN"/>
        </w:rPr>
        <w:drawing>
          <wp:anchor distT="0" distB="0" distL="114300" distR="114300" simplePos="0" relativeHeight="251659264" behindDoc="1" locked="0" layoutInCell="1" allowOverlap="1">
            <wp:simplePos x="0" y="0"/>
            <wp:positionH relativeFrom="column">
              <wp:posOffset>339725</wp:posOffset>
            </wp:positionH>
            <wp:positionV relativeFrom="paragraph">
              <wp:posOffset>627380</wp:posOffset>
            </wp:positionV>
            <wp:extent cx="4765040" cy="2182495"/>
            <wp:effectExtent l="4445" t="4445" r="12065" b="22860"/>
            <wp:wrapTight wrapText="bothSides">
              <wp:wrapPolygon>
                <wp:start x="-20" y="-44"/>
                <wp:lineTo x="-20" y="21449"/>
                <wp:lineTo x="21568" y="21449"/>
                <wp:lineTo x="21568" y="-44"/>
                <wp:lineTo x="-20" y="-44"/>
              </wp:wrapPolygon>
            </wp:wrapTight>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ascii="仿宋" w:hAnsi="仿宋" w:eastAsia="仿宋"/>
          <w:color w:val="000000"/>
          <w:sz w:val="28"/>
          <w:szCs w:val="28"/>
        </w:rPr>
        <w:t>（图6：一般公共预算财政拨款支出决算结构</w:t>
      </w:r>
      <w:r>
        <w:rPr>
          <w:rFonts w:hint="eastAsia" w:ascii="仿宋" w:hAnsi="仿宋" w:eastAsia="仿宋"/>
          <w:color w:val="000000"/>
          <w:sz w:val="28"/>
          <w:szCs w:val="28"/>
          <w:lang w:eastAsia="zh-CN"/>
        </w:rPr>
        <w:t>图</w:t>
      </w:r>
      <w:r>
        <w:rPr>
          <w:rFonts w:hint="eastAsia" w:ascii="仿宋" w:hAnsi="仿宋" w:eastAsia="仿宋"/>
          <w:color w:val="000000"/>
          <w:sz w:val="28"/>
          <w:szCs w:val="28"/>
        </w:rPr>
        <w:t>（饼状</w:t>
      </w:r>
      <w:r>
        <w:rPr>
          <w:rFonts w:hint="eastAsia" w:ascii="仿宋" w:hAnsi="仿宋" w:eastAsia="仿宋"/>
          <w:color w:val="000000"/>
          <w:sz w:val="28"/>
          <w:szCs w:val="28"/>
          <w:lang w:eastAsia="zh-CN"/>
        </w:rPr>
        <w:t>图）</w:t>
      </w:r>
    </w:p>
    <w:p>
      <w:pPr>
        <w:pStyle w:val="13"/>
        <w:keepNext w:val="0"/>
        <w:keepLines w:val="0"/>
        <w:widowControl/>
        <w:numPr>
          <w:ilvl w:val="0"/>
          <w:numId w:val="2"/>
        </w:numPr>
        <w:suppressLineNumbers w:val="0"/>
        <w:ind w:left="0" w:leftChars="0" w:right="75" w:firstLine="0" w:firstLineChars="0"/>
        <w:rPr>
          <w:rStyle w:val="16"/>
          <w:rFonts w:hint="eastAsia" w:ascii="仿宋_GB2312" w:hAnsi="仿宋_GB2312" w:eastAsia="仿宋_GB2312" w:cs="仿宋_GB2312"/>
          <w:sz w:val="32"/>
          <w:szCs w:val="32"/>
          <w:shd w:val="clear" w:color="auto" w:fill="FFFFFF"/>
        </w:rPr>
      </w:pPr>
      <w:r>
        <w:rPr>
          <w:rStyle w:val="16"/>
          <w:rFonts w:hint="eastAsia" w:ascii="仿宋_GB2312" w:hAnsi="仿宋_GB2312" w:eastAsia="仿宋_GB2312" w:cs="仿宋_GB2312"/>
          <w:sz w:val="32"/>
          <w:szCs w:val="32"/>
          <w:shd w:val="clear" w:color="auto" w:fill="FFFFFF"/>
        </w:rPr>
        <w:t>一般公共预算财政拨款支出决算具体情况</w:t>
      </w:r>
    </w:p>
    <w:p>
      <w:pPr>
        <w:spacing w:line="600" w:lineRule="exact"/>
        <w:ind w:firstLine="642" w:firstLineChars="200"/>
        <w:outlineLvl w:val="9"/>
        <w:rPr>
          <w:rFonts w:ascii="仿宋" w:hAnsi="仿宋" w:eastAsia="仿宋"/>
          <w:color w:val="FF0000"/>
          <w:sz w:val="32"/>
          <w:szCs w:val="32"/>
        </w:rPr>
      </w:pPr>
      <w:bookmarkStart w:id="9" w:name="_Toc15378460"/>
      <w:bookmarkStart w:id="10" w:name="_Toc15377213"/>
      <w:bookmarkStart w:id="11" w:name="_Toc15377444"/>
      <w:r>
        <w:rPr>
          <w:rFonts w:hint="eastAsia" w:ascii="仿宋" w:hAnsi="仿宋" w:eastAsia="仿宋"/>
          <w:b/>
          <w:color w:val="000000" w:themeColor="text1"/>
          <w:sz w:val="32"/>
          <w:szCs w:val="32"/>
          <w14:textFill>
            <w14:solidFill>
              <w14:schemeClr w14:val="tx1"/>
            </w14:solidFill>
          </w14:textFill>
        </w:rPr>
        <w:t>20</w:t>
      </w:r>
      <w:r>
        <w:rPr>
          <w:rFonts w:hint="eastAsia" w:ascii="仿宋" w:hAnsi="仿宋" w:eastAsia="仿宋"/>
          <w:b/>
          <w:color w:val="000000" w:themeColor="text1"/>
          <w:sz w:val="32"/>
          <w:szCs w:val="32"/>
          <w:lang w:val="en-US" w:eastAsia="zh-CN"/>
          <w14:textFill>
            <w14:solidFill>
              <w14:schemeClr w14:val="tx1"/>
            </w14:solidFill>
          </w14:textFill>
        </w:rPr>
        <w:t>25</w:t>
      </w:r>
      <w:r>
        <w:rPr>
          <w:rFonts w:hint="eastAsia" w:ascii="仿宋" w:hAnsi="仿宋" w:eastAsia="仿宋"/>
          <w:b/>
          <w:color w:val="000000" w:themeColor="text1"/>
          <w:sz w:val="32"/>
          <w:szCs w:val="32"/>
          <w14:textFill>
            <w14:solidFill>
              <w14:schemeClr w14:val="tx1"/>
            </w14:solidFill>
          </w14:textFill>
        </w:rPr>
        <w:t>年</w:t>
      </w:r>
      <w:r>
        <w:rPr>
          <w:rFonts w:hint="eastAsia" w:ascii="仿宋" w:hAnsi="仿宋" w:eastAsia="仿宋"/>
          <w:b/>
          <w:color w:val="000000" w:themeColor="text1"/>
          <w:sz w:val="32"/>
          <w:szCs w:val="32"/>
          <w:lang w:eastAsia="zh-CN"/>
          <w14:textFill>
            <w14:solidFill>
              <w14:schemeClr w14:val="tx1"/>
            </w14:solidFill>
          </w14:textFill>
        </w:rPr>
        <w:t>一</w:t>
      </w:r>
      <w:r>
        <w:rPr>
          <w:rFonts w:hint="eastAsia" w:ascii="仿宋" w:hAnsi="仿宋" w:eastAsia="仿宋"/>
          <w:b/>
          <w:color w:val="000000" w:themeColor="text1"/>
          <w:sz w:val="32"/>
          <w:szCs w:val="32"/>
          <w14:textFill>
            <w14:solidFill>
              <w14:schemeClr w14:val="tx1"/>
            </w14:solidFill>
          </w14:textFill>
        </w:rPr>
        <w:t>般公共预算支出决算数为</w:t>
      </w:r>
      <w:r>
        <w:rPr>
          <w:rFonts w:hint="eastAsia" w:ascii="仿宋" w:hAnsi="仿宋" w:eastAsia="仿宋"/>
          <w:b/>
          <w:color w:val="000000" w:themeColor="text1"/>
          <w:sz w:val="32"/>
          <w:szCs w:val="32"/>
          <w:lang w:val="en-US" w:eastAsia="zh-CN"/>
          <w14:textFill>
            <w14:solidFill>
              <w14:schemeClr w14:val="tx1"/>
            </w14:solidFill>
          </w14:textFill>
        </w:rPr>
        <w:t>408.26</w:t>
      </w:r>
      <w:r>
        <w:rPr>
          <w:rFonts w:hint="eastAsia" w:ascii="仿宋" w:hAnsi="仿宋" w:eastAsia="仿宋"/>
          <w:b/>
          <w:color w:val="000000" w:themeColor="text1"/>
          <w:sz w:val="32"/>
          <w:szCs w:val="32"/>
          <w:lang w:eastAsia="zh-CN"/>
          <w14:textFill>
            <w14:solidFill>
              <w14:schemeClr w14:val="tx1"/>
            </w14:solidFill>
          </w14:textFill>
        </w:rPr>
        <w:t>万元</w:t>
      </w:r>
      <w:r>
        <w:rPr>
          <w:rFonts w:hint="eastAsia" w:ascii="仿宋" w:hAnsi="仿宋" w:eastAsia="仿宋"/>
          <w:color w:val="000000" w:themeColor="text1"/>
          <w:sz w:val="32"/>
          <w:szCs w:val="32"/>
          <w14:textFill>
            <w14:solidFill>
              <w14:schemeClr w14:val="tx1"/>
            </w14:solidFill>
          </w14:textFill>
        </w:rPr>
        <w:t>，</w:t>
      </w:r>
      <w:r>
        <w:rPr>
          <w:rStyle w:val="16"/>
          <w:rFonts w:hint="eastAsia" w:ascii="仿宋" w:hAnsi="仿宋" w:eastAsia="仿宋"/>
          <w:bCs/>
          <w:color w:val="000000" w:themeColor="text1"/>
          <w:sz w:val="32"/>
          <w:szCs w:val="32"/>
          <w14:textFill>
            <w14:solidFill>
              <w14:schemeClr w14:val="tx1"/>
            </w14:solidFill>
          </w14:textFill>
        </w:rPr>
        <w:t>完成</w:t>
      </w:r>
      <w:r>
        <w:rPr>
          <w:rStyle w:val="16"/>
          <w:rFonts w:hint="eastAsia" w:ascii="仿宋" w:hAnsi="仿宋" w:eastAsia="仿宋"/>
          <w:bCs/>
          <w:color w:val="000000"/>
          <w:sz w:val="32"/>
          <w:szCs w:val="32"/>
        </w:rPr>
        <w:t>预算</w:t>
      </w:r>
      <w:r>
        <w:rPr>
          <w:rStyle w:val="16"/>
          <w:rFonts w:hint="eastAsia" w:ascii="仿宋" w:hAnsi="仿宋" w:eastAsia="仿宋"/>
          <w:bCs/>
          <w:color w:val="000000"/>
          <w:sz w:val="32"/>
          <w:szCs w:val="32"/>
          <w:lang w:val="en-US" w:eastAsia="zh-CN"/>
        </w:rPr>
        <w:t>100</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。其中：</w:t>
      </w:r>
      <w:bookmarkEnd w:id="9"/>
      <w:bookmarkEnd w:id="10"/>
      <w:bookmarkEnd w:id="11"/>
    </w:p>
    <w:p>
      <w:pPr>
        <w:numPr>
          <w:ilvl w:val="0"/>
          <w:numId w:val="3"/>
        </w:numPr>
        <w:spacing w:line="600" w:lineRule="exact"/>
        <w:ind w:left="0" w:leftChars="0" w:firstLine="642" w:firstLineChars="200"/>
        <w:rPr>
          <w:rFonts w:ascii="仿宋" w:hAnsi="仿宋" w:eastAsia="仿宋"/>
          <w:b/>
          <w:color w:val="000000"/>
          <w:sz w:val="32"/>
          <w:szCs w:val="32"/>
        </w:rPr>
      </w:pPr>
      <w:r>
        <w:rPr>
          <w:rStyle w:val="16"/>
          <w:rFonts w:hint="eastAsia" w:ascii="仿宋" w:hAnsi="仿宋" w:eastAsia="仿宋"/>
          <w:bCs/>
          <w:color w:val="000000"/>
          <w:sz w:val="32"/>
          <w:szCs w:val="32"/>
        </w:rPr>
        <w:t>一般公共服务</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lang w:val="en-US" w:eastAsia="zh-CN"/>
        </w:rPr>
        <w:t>2013101-</w:t>
      </w:r>
      <w:r>
        <w:rPr>
          <w:rStyle w:val="16"/>
          <w:rFonts w:hint="eastAsia" w:ascii="仿宋" w:hAnsi="仿宋" w:eastAsia="仿宋"/>
          <w:b w:val="0"/>
          <w:bCs/>
          <w:color w:val="000000"/>
          <w:sz w:val="32"/>
          <w:szCs w:val="32"/>
        </w:rPr>
        <w:t>行政运行支出决算为</w:t>
      </w:r>
      <w:r>
        <w:rPr>
          <w:rStyle w:val="16"/>
          <w:rFonts w:hint="eastAsia" w:ascii="仿宋" w:hAnsi="仿宋" w:eastAsia="仿宋"/>
          <w:b w:val="0"/>
          <w:bCs/>
          <w:color w:val="000000"/>
          <w:sz w:val="32"/>
          <w:szCs w:val="32"/>
          <w:lang w:val="en-US" w:eastAsia="zh-CN"/>
        </w:rPr>
        <w:t>229.29</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，主要用于开支日常公用经费及人员经费；</w:t>
      </w:r>
      <w:r>
        <w:rPr>
          <w:rStyle w:val="16"/>
          <w:rFonts w:hint="eastAsia" w:ascii="仿宋" w:hAnsi="仿宋" w:eastAsia="仿宋"/>
          <w:b w:val="0"/>
          <w:bCs/>
          <w:color w:val="000000"/>
          <w:sz w:val="32"/>
          <w:szCs w:val="32"/>
          <w:lang w:val="en-US" w:eastAsia="zh-CN"/>
        </w:rPr>
        <w:t>2011302-</w:t>
      </w:r>
      <w:r>
        <w:rPr>
          <w:rStyle w:val="16"/>
          <w:rFonts w:hint="eastAsia" w:ascii="仿宋" w:hAnsi="仿宋" w:eastAsia="仿宋"/>
          <w:b w:val="0"/>
          <w:bCs/>
          <w:color w:val="000000"/>
          <w:sz w:val="32"/>
          <w:szCs w:val="32"/>
          <w:lang w:eastAsia="zh-CN"/>
        </w:rPr>
        <w:t>一般行政管理事务</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14.07</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，主要用于专项公用经费及生活补助（退休一次性补贴、建房补贴）；</w:t>
      </w:r>
      <w:r>
        <w:rPr>
          <w:rStyle w:val="16"/>
          <w:rFonts w:hint="eastAsia" w:ascii="仿宋" w:hAnsi="仿宋" w:eastAsia="仿宋"/>
          <w:b w:val="0"/>
          <w:bCs/>
          <w:color w:val="000000"/>
          <w:sz w:val="32"/>
          <w:szCs w:val="32"/>
          <w:lang w:val="en-US" w:eastAsia="zh-CN"/>
        </w:rPr>
        <w:t>2013150</w:t>
      </w:r>
      <w:r>
        <w:rPr>
          <w:rStyle w:val="16"/>
          <w:rFonts w:hint="eastAsia" w:ascii="仿宋" w:hAnsi="仿宋" w:eastAsia="仿宋"/>
          <w:b w:val="0"/>
          <w:bCs/>
          <w:color w:val="000000"/>
          <w:sz w:val="32"/>
          <w:szCs w:val="32"/>
          <w:lang w:eastAsia="zh-CN"/>
        </w:rPr>
        <w:tab/>
      </w:r>
      <w:r>
        <w:rPr>
          <w:rStyle w:val="16"/>
          <w:rFonts w:hint="eastAsia" w:ascii="仿宋" w:hAnsi="仿宋" w:eastAsia="仿宋"/>
          <w:b w:val="0"/>
          <w:bCs/>
          <w:color w:val="000000"/>
          <w:sz w:val="32"/>
          <w:szCs w:val="32"/>
          <w:lang w:val="en-US" w:eastAsia="zh-CN"/>
        </w:rPr>
        <w:t>-</w:t>
      </w:r>
      <w:r>
        <w:rPr>
          <w:rStyle w:val="16"/>
          <w:rFonts w:hint="eastAsia" w:ascii="仿宋" w:hAnsi="仿宋" w:eastAsia="仿宋"/>
          <w:b w:val="0"/>
          <w:bCs/>
          <w:color w:val="000000"/>
          <w:sz w:val="32"/>
          <w:szCs w:val="32"/>
          <w:lang w:eastAsia="zh-CN"/>
        </w:rPr>
        <w:t>事业运行</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59.80</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，主要用于主要用于事业开支日常公用经费及人员经费；</w:t>
      </w:r>
    </w:p>
    <w:p>
      <w:pPr>
        <w:numPr>
          <w:ilvl w:val="0"/>
          <w:numId w:val="3"/>
        </w:numPr>
        <w:spacing w:line="600" w:lineRule="exact"/>
        <w:ind w:left="0" w:leftChars="0" w:firstLine="642" w:firstLineChars="200"/>
        <w:rPr>
          <w:rFonts w:ascii="仿宋" w:hAnsi="仿宋" w:eastAsia="仿宋"/>
          <w:b/>
          <w:color w:val="000000"/>
          <w:sz w:val="32"/>
          <w:szCs w:val="32"/>
        </w:rPr>
      </w:pPr>
      <w:r>
        <w:rPr>
          <w:rStyle w:val="16"/>
          <w:rFonts w:hint="eastAsia" w:ascii="仿宋" w:hAnsi="仿宋" w:eastAsia="仿宋"/>
          <w:bCs/>
          <w:color w:val="000000"/>
          <w:sz w:val="32"/>
          <w:szCs w:val="32"/>
        </w:rPr>
        <w:t>社会保障和就业</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2080505</w:t>
      </w:r>
      <w:r>
        <w:rPr>
          <w:rStyle w:val="16"/>
          <w:rFonts w:hint="eastAsia" w:ascii="仿宋" w:hAnsi="仿宋" w:eastAsia="仿宋"/>
          <w:b w:val="0"/>
          <w:bCs/>
          <w:color w:val="000000"/>
          <w:sz w:val="32"/>
          <w:szCs w:val="32"/>
          <w:lang w:val="en-US" w:eastAsia="zh-CN"/>
        </w:rPr>
        <w:t>-</w:t>
      </w:r>
      <w:r>
        <w:rPr>
          <w:rStyle w:val="16"/>
          <w:rFonts w:hint="eastAsia" w:ascii="仿宋" w:hAnsi="仿宋" w:eastAsia="仿宋"/>
          <w:b w:val="0"/>
          <w:bCs/>
          <w:color w:val="000000"/>
          <w:sz w:val="32"/>
          <w:szCs w:val="32"/>
        </w:rPr>
        <w:t>机关事业单位基本养老保险缴费支出决算为</w:t>
      </w:r>
      <w:r>
        <w:rPr>
          <w:rStyle w:val="16"/>
          <w:rFonts w:hint="eastAsia" w:ascii="仿宋" w:hAnsi="仿宋" w:eastAsia="仿宋"/>
          <w:b w:val="0"/>
          <w:bCs/>
          <w:color w:val="000000"/>
          <w:sz w:val="32"/>
          <w:szCs w:val="32"/>
          <w:lang w:val="en-US" w:eastAsia="zh-CN"/>
        </w:rPr>
        <w:t>37.09</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全部用于职工缴纳养老保险单位部分；2080506</w:t>
      </w:r>
      <w:r>
        <w:rPr>
          <w:rStyle w:val="16"/>
          <w:rFonts w:hint="eastAsia" w:ascii="仿宋" w:hAnsi="仿宋" w:eastAsia="仿宋"/>
          <w:b w:val="0"/>
          <w:bCs/>
          <w:color w:val="000000"/>
          <w:sz w:val="32"/>
          <w:szCs w:val="32"/>
          <w:lang w:val="en-US" w:eastAsia="zh-CN"/>
        </w:rPr>
        <w:t>-</w:t>
      </w:r>
      <w:r>
        <w:rPr>
          <w:rStyle w:val="16"/>
          <w:rFonts w:hint="eastAsia" w:ascii="仿宋" w:hAnsi="仿宋" w:eastAsia="仿宋"/>
          <w:b w:val="0"/>
          <w:bCs/>
          <w:color w:val="000000"/>
          <w:sz w:val="32"/>
          <w:szCs w:val="32"/>
          <w:lang w:eastAsia="zh-CN"/>
        </w:rPr>
        <w:t>机关事业单位职业年金缴费支出</w:t>
      </w:r>
      <w:r>
        <w:rPr>
          <w:rStyle w:val="16"/>
          <w:rFonts w:hint="eastAsia" w:ascii="仿宋" w:hAnsi="仿宋" w:eastAsia="仿宋"/>
          <w:b w:val="0"/>
          <w:bCs/>
          <w:color w:val="000000"/>
          <w:sz w:val="32"/>
          <w:szCs w:val="32"/>
        </w:rPr>
        <w:t>决算为</w:t>
      </w:r>
      <w:r>
        <w:rPr>
          <w:rStyle w:val="16"/>
          <w:rFonts w:hint="eastAsia" w:ascii="仿宋" w:hAnsi="仿宋" w:eastAsia="仿宋"/>
          <w:b w:val="0"/>
          <w:bCs/>
          <w:color w:val="000000"/>
          <w:sz w:val="32"/>
          <w:szCs w:val="32"/>
          <w:lang w:val="en-US" w:eastAsia="zh-CN"/>
        </w:rPr>
        <w:t>18.55</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全部用于职工缴纳职业年金单位部分。</w:t>
      </w:r>
    </w:p>
    <w:p>
      <w:pPr>
        <w:numPr>
          <w:ilvl w:val="0"/>
          <w:numId w:val="3"/>
        </w:numPr>
        <w:spacing w:line="600" w:lineRule="exact"/>
        <w:ind w:left="0" w:leftChars="0" w:firstLine="642" w:firstLineChars="200"/>
        <w:rPr>
          <w:rFonts w:ascii="仿宋" w:hAnsi="仿宋" w:eastAsia="仿宋"/>
          <w:b/>
          <w:color w:val="000000"/>
          <w:sz w:val="32"/>
          <w:szCs w:val="32"/>
        </w:rPr>
      </w:pPr>
      <w:r>
        <w:rPr>
          <w:rFonts w:hint="eastAsia" w:ascii="仿宋" w:hAnsi="仿宋" w:eastAsia="仿宋"/>
          <w:b/>
          <w:bCs/>
          <w:color w:val="000000" w:themeColor="text1"/>
          <w:sz w:val="32"/>
          <w:szCs w:val="32"/>
          <w14:textFill>
            <w14:solidFill>
              <w14:schemeClr w14:val="tx1"/>
            </w14:solidFill>
          </w14:textFill>
        </w:rPr>
        <w:t>卫生健康</w:t>
      </w:r>
      <w:r>
        <w:rPr>
          <w:rStyle w:val="16"/>
          <w:rFonts w:ascii="仿宋" w:hAnsi="仿宋" w:eastAsia="仿宋"/>
          <w:bCs/>
          <w:color w:val="000000"/>
          <w:sz w:val="32"/>
          <w:szCs w:val="32"/>
        </w:rPr>
        <w:t>:</w:t>
      </w:r>
      <w:r>
        <w:rPr>
          <w:rStyle w:val="16"/>
          <w:rFonts w:hint="eastAsia" w:ascii="仿宋" w:hAnsi="仿宋" w:eastAsia="仿宋"/>
          <w:b w:val="0"/>
          <w:bCs/>
          <w:color w:val="000000"/>
          <w:sz w:val="32"/>
          <w:szCs w:val="32"/>
          <w:lang w:eastAsia="zh-CN"/>
        </w:rPr>
        <w:t>2101101</w:t>
      </w:r>
      <w:r>
        <w:rPr>
          <w:rStyle w:val="16"/>
          <w:rFonts w:hint="eastAsia" w:ascii="仿宋" w:hAnsi="仿宋" w:eastAsia="仿宋"/>
          <w:b w:val="0"/>
          <w:bCs/>
          <w:color w:val="000000"/>
          <w:sz w:val="32"/>
          <w:szCs w:val="32"/>
          <w:lang w:val="en-US" w:eastAsia="zh-CN"/>
        </w:rPr>
        <w:t>-</w:t>
      </w:r>
      <w:r>
        <w:rPr>
          <w:rStyle w:val="16"/>
          <w:rFonts w:hint="eastAsia" w:ascii="仿宋" w:hAnsi="仿宋" w:eastAsia="仿宋"/>
          <w:b w:val="0"/>
          <w:bCs/>
          <w:color w:val="000000"/>
          <w:sz w:val="32"/>
          <w:szCs w:val="32"/>
          <w:lang w:eastAsia="zh-CN"/>
        </w:rPr>
        <w:t>行政单位医疗支出</w:t>
      </w:r>
      <w:r>
        <w:rPr>
          <w:rStyle w:val="16"/>
          <w:rFonts w:hint="eastAsia" w:ascii="仿宋" w:hAnsi="仿宋" w:eastAsia="仿宋"/>
          <w:b w:val="0"/>
          <w:bCs/>
          <w:color w:val="000000"/>
          <w:sz w:val="32"/>
          <w:szCs w:val="32"/>
        </w:rPr>
        <w:t>决算为</w:t>
      </w:r>
      <w:r>
        <w:rPr>
          <w:rStyle w:val="16"/>
          <w:rFonts w:hint="eastAsia" w:ascii="仿宋" w:hAnsi="仿宋" w:eastAsia="仿宋"/>
          <w:b w:val="0"/>
          <w:bCs/>
          <w:color w:val="000000"/>
          <w:sz w:val="32"/>
          <w:szCs w:val="32"/>
          <w:lang w:val="en-US" w:eastAsia="zh-CN"/>
        </w:rPr>
        <w:t>13.25</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，全部用于行政职工缴纳医疗保险单位部分；</w:t>
      </w:r>
      <w:r>
        <w:rPr>
          <w:rStyle w:val="16"/>
          <w:rFonts w:hint="eastAsia" w:ascii="仿宋" w:hAnsi="仿宋" w:eastAsia="仿宋"/>
          <w:b w:val="0"/>
          <w:bCs/>
          <w:color w:val="000000"/>
          <w:sz w:val="32"/>
          <w:szCs w:val="32"/>
          <w:lang w:val="en-US" w:eastAsia="zh-CN"/>
        </w:rPr>
        <w:t>2101102-事业单位医疗支出决算为3.41万元，完成预算100%，</w:t>
      </w:r>
      <w:r>
        <w:rPr>
          <w:rStyle w:val="16"/>
          <w:rFonts w:hint="eastAsia" w:ascii="仿宋" w:hAnsi="仿宋" w:eastAsia="仿宋"/>
          <w:b w:val="0"/>
          <w:bCs/>
          <w:color w:val="000000"/>
          <w:sz w:val="32"/>
          <w:szCs w:val="32"/>
          <w:lang w:eastAsia="zh-CN"/>
        </w:rPr>
        <w:t>全部用于事业职工缴纳医疗保险单位部分；2101103</w:t>
      </w:r>
      <w:r>
        <w:rPr>
          <w:rStyle w:val="16"/>
          <w:rFonts w:hint="eastAsia" w:ascii="仿宋" w:hAnsi="仿宋" w:eastAsia="仿宋"/>
          <w:b w:val="0"/>
          <w:bCs/>
          <w:color w:val="000000"/>
          <w:sz w:val="32"/>
          <w:szCs w:val="32"/>
          <w:lang w:eastAsia="zh-CN"/>
        </w:rPr>
        <w:tab/>
      </w:r>
      <w:r>
        <w:rPr>
          <w:rStyle w:val="16"/>
          <w:rFonts w:hint="eastAsia" w:ascii="仿宋" w:hAnsi="仿宋" w:eastAsia="仿宋"/>
          <w:b w:val="0"/>
          <w:bCs/>
          <w:color w:val="000000"/>
          <w:sz w:val="32"/>
          <w:szCs w:val="32"/>
          <w:lang w:val="en-US" w:eastAsia="zh-CN"/>
        </w:rPr>
        <w:t>-</w:t>
      </w:r>
      <w:r>
        <w:rPr>
          <w:rStyle w:val="16"/>
          <w:rFonts w:hint="eastAsia" w:ascii="仿宋" w:hAnsi="仿宋" w:eastAsia="仿宋"/>
          <w:b w:val="0"/>
          <w:bCs/>
          <w:color w:val="000000"/>
          <w:sz w:val="32"/>
          <w:szCs w:val="32"/>
          <w:lang w:eastAsia="zh-CN"/>
        </w:rPr>
        <w:t>公务员医疗补助支出</w:t>
      </w:r>
      <w:r>
        <w:rPr>
          <w:rStyle w:val="16"/>
          <w:rFonts w:hint="eastAsia" w:ascii="仿宋" w:hAnsi="仿宋" w:eastAsia="仿宋"/>
          <w:b w:val="0"/>
          <w:bCs/>
          <w:color w:val="000000"/>
          <w:sz w:val="32"/>
          <w:szCs w:val="32"/>
        </w:rPr>
        <w:t>决算为</w:t>
      </w:r>
      <w:r>
        <w:rPr>
          <w:rStyle w:val="16"/>
          <w:rFonts w:hint="eastAsia" w:ascii="仿宋" w:hAnsi="仿宋" w:eastAsia="仿宋"/>
          <w:b w:val="0"/>
          <w:bCs/>
          <w:color w:val="000000"/>
          <w:sz w:val="32"/>
          <w:szCs w:val="32"/>
          <w:lang w:val="en-US" w:eastAsia="zh-CN"/>
        </w:rPr>
        <w:t>3.13</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，全部用于行政职工公务员补充医保；21011</w:t>
      </w:r>
      <w:r>
        <w:rPr>
          <w:rStyle w:val="16"/>
          <w:rFonts w:hint="eastAsia" w:ascii="仿宋" w:hAnsi="仿宋" w:eastAsia="仿宋"/>
          <w:b w:val="0"/>
          <w:bCs/>
          <w:color w:val="000000"/>
          <w:sz w:val="32"/>
          <w:szCs w:val="32"/>
          <w:lang w:val="en-US" w:eastAsia="zh-CN"/>
        </w:rPr>
        <w:t>99</w:t>
      </w:r>
      <w:r>
        <w:rPr>
          <w:rStyle w:val="16"/>
          <w:rFonts w:hint="eastAsia" w:ascii="仿宋" w:hAnsi="仿宋" w:eastAsia="仿宋"/>
          <w:b w:val="0"/>
          <w:bCs/>
          <w:color w:val="000000"/>
          <w:sz w:val="32"/>
          <w:szCs w:val="32"/>
          <w:lang w:eastAsia="zh-CN"/>
        </w:rPr>
        <w:tab/>
      </w:r>
      <w:r>
        <w:rPr>
          <w:rStyle w:val="16"/>
          <w:rFonts w:hint="eastAsia" w:ascii="仿宋" w:hAnsi="仿宋" w:eastAsia="仿宋"/>
          <w:b w:val="0"/>
          <w:bCs/>
          <w:color w:val="000000"/>
          <w:sz w:val="32"/>
          <w:szCs w:val="32"/>
          <w:lang w:val="en-US" w:eastAsia="zh-CN"/>
        </w:rPr>
        <w:t>-</w:t>
      </w:r>
      <w:r>
        <w:rPr>
          <w:rStyle w:val="16"/>
          <w:rFonts w:hint="eastAsia" w:ascii="仿宋" w:hAnsi="仿宋" w:eastAsia="仿宋"/>
          <w:b w:val="0"/>
          <w:bCs/>
          <w:color w:val="000000"/>
          <w:sz w:val="32"/>
          <w:szCs w:val="32"/>
          <w:lang w:eastAsia="zh-CN"/>
        </w:rPr>
        <w:t>其他行政事业单位医疗支出支出</w:t>
      </w:r>
      <w:r>
        <w:rPr>
          <w:rStyle w:val="16"/>
          <w:rFonts w:hint="eastAsia" w:ascii="仿宋" w:hAnsi="仿宋" w:eastAsia="仿宋"/>
          <w:b w:val="0"/>
          <w:bCs/>
          <w:color w:val="000000"/>
          <w:sz w:val="32"/>
          <w:szCs w:val="32"/>
        </w:rPr>
        <w:t>决算为</w:t>
      </w:r>
      <w:r>
        <w:rPr>
          <w:rStyle w:val="16"/>
          <w:rFonts w:hint="eastAsia" w:ascii="仿宋" w:hAnsi="仿宋" w:eastAsia="仿宋"/>
          <w:b w:val="0"/>
          <w:bCs/>
          <w:color w:val="000000"/>
          <w:sz w:val="32"/>
          <w:szCs w:val="32"/>
          <w:lang w:val="en-US" w:eastAsia="zh-CN"/>
        </w:rPr>
        <w:t>0.59</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，全部用于事业职工公务员补充医保。</w:t>
      </w:r>
    </w:p>
    <w:p>
      <w:pPr>
        <w:numPr>
          <w:ilvl w:val="0"/>
          <w:numId w:val="3"/>
        </w:numPr>
        <w:tabs>
          <w:tab w:val="clear" w:pos="312"/>
        </w:tabs>
        <w:spacing w:line="600" w:lineRule="exact"/>
        <w:ind w:left="0" w:leftChars="0" w:firstLine="642" w:firstLineChars="200"/>
        <w:rPr>
          <w:rStyle w:val="16"/>
          <w:rFonts w:hint="eastAsia" w:ascii="仿宋_GB2312" w:hAnsi="仿宋_GB2312" w:eastAsia="仿宋_GB2312" w:cs="仿宋_GB2312"/>
          <w:sz w:val="32"/>
          <w:szCs w:val="32"/>
          <w:shd w:val="clear" w:color="auto" w:fill="FFFFFF"/>
        </w:rPr>
      </w:pPr>
      <w:r>
        <w:rPr>
          <w:rFonts w:hint="eastAsia" w:ascii="仿宋" w:hAnsi="仿宋" w:eastAsia="仿宋"/>
          <w:b/>
          <w:color w:val="000000"/>
          <w:sz w:val="32"/>
          <w:szCs w:val="32"/>
          <w:lang w:val="en-US" w:eastAsia="zh-CN"/>
        </w:rPr>
        <w:t>住房保障支出：</w:t>
      </w:r>
      <w:r>
        <w:rPr>
          <w:rStyle w:val="16"/>
          <w:rFonts w:hint="eastAsia" w:ascii="仿宋" w:hAnsi="仿宋" w:eastAsia="仿宋"/>
          <w:b w:val="0"/>
          <w:bCs/>
          <w:color w:val="000000"/>
          <w:sz w:val="32"/>
          <w:szCs w:val="32"/>
          <w:lang w:val="en-US" w:eastAsia="zh-CN"/>
        </w:rPr>
        <w:t>2210201-住房公积金</w:t>
      </w:r>
      <w:r>
        <w:rPr>
          <w:rStyle w:val="16"/>
          <w:rFonts w:hint="eastAsia" w:ascii="仿宋" w:hAnsi="仿宋" w:eastAsia="仿宋"/>
          <w:b w:val="0"/>
          <w:bCs/>
          <w:color w:val="000000"/>
          <w:sz w:val="32"/>
          <w:szCs w:val="32"/>
          <w:lang w:eastAsia="zh-CN"/>
        </w:rPr>
        <w:t>支出决</w:t>
      </w:r>
      <w:r>
        <w:rPr>
          <w:rStyle w:val="16"/>
          <w:rFonts w:hint="eastAsia" w:ascii="仿宋" w:hAnsi="仿宋" w:eastAsia="仿宋"/>
          <w:b w:val="0"/>
          <w:bCs/>
          <w:color w:val="000000"/>
          <w:sz w:val="32"/>
          <w:szCs w:val="32"/>
        </w:rPr>
        <w:t>算为</w:t>
      </w:r>
      <w:r>
        <w:rPr>
          <w:rStyle w:val="16"/>
          <w:rFonts w:hint="eastAsia" w:ascii="仿宋" w:hAnsi="仿宋" w:eastAsia="仿宋"/>
          <w:b w:val="0"/>
          <w:bCs/>
          <w:color w:val="000000"/>
          <w:sz w:val="32"/>
          <w:szCs w:val="32"/>
          <w:lang w:val="en-US" w:eastAsia="zh-CN"/>
        </w:rPr>
        <w:t>29.06</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lang w:eastAsia="zh-CN"/>
        </w:rPr>
        <w:t>，全部用于职工缴纳住房公积金单位部分。</w:t>
      </w:r>
    </w:p>
    <w:p>
      <w:pPr>
        <w:pStyle w:val="13"/>
        <w:keepNext w:val="0"/>
        <w:keepLines w:val="0"/>
        <w:widowControl/>
        <w:numPr>
          <w:ilvl w:val="0"/>
          <w:numId w:val="0"/>
        </w:numPr>
        <w:suppressLineNumbers w:val="0"/>
        <w:shd w:val="clear" w:color="auto" w:fill="auto"/>
        <w:ind w:leftChars="0" w:right="75" w:rightChars="0"/>
        <w:jc w:val="left"/>
        <w:outlineLvl w:val="1"/>
        <w:rPr>
          <w:rFonts w:hint="eastAsia" w:ascii="黑体" w:hAnsi="黑体" w:eastAsia="黑体" w:cs="黑体"/>
          <w:sz w:val="32"/>
          <w:szCs w:val="32"/>
          <w:shd w:val="clear" w:color="auto" w:fill="FFFFFF"/>
        </w:rPr>
      </w:pPr>
      <w:bookmarkStart w:id="12" w:name="_Toc2180"/>
      <w:r>
        <w:rPr>
          <w:rFonts w:hint="eastAsia" w:ascii="黑体" w:hAnsi="黑体" w:eastAsia="黑体" w:cs="黑体"/>
          <w:sz w:val="32"/>
          <w:szCs w:val="32"/>
          <w:shd w:val="clear" w:color="auto" w:fill="FFFFFF"/>
          <w:lang w:eastAsia="zh-CN"/>
        </w:rPr>
        <w:t>六、</w:t>
      </w:r>
      <w:r>
        <w:rPr>
          <w:rFonts w:hint="eastAsia" w:ascii="黑体" w:hAnsi="黑体" w:eastAsia="黑体" w:cs="黑体"/>
          <w:sz w:val="32"/>
          <w:szCs w:val="32"/>
          <w:shd w:val="clear" w:color="auto" w:fill="FFFFFF"/>
        </w:rPr>
        <w:t>一般公共预算财政拨款基本支出决算情况说明</w:t>
      </w:r>
      <w:bookmarkEnd w:id="12"/>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lang w:val="en-US" w:eastAsia="zh-CN"/>
        </w:rPr>
        <w:t>2025</w:t>
      </w:r>
      <w:r>
        <w:rPr>
          <w:rFonts w:hint="eastAsia" w:ascii="仿宋" w:hAnsi="仿宋" w:eastAsia="仿宋"/>
          <w:color w:val="000000"/>
          <w:sz w:val="32"/>
          <w:szCs w:val="32"/>
        </w:rPr>
        <w:t>年一般公共预算财政拨款基本支出</w:t>
      </w:r>
      <w:r>
        <w:rPr>
          <w:rFonts w:hint="eastAsia" w:ascii="仿宋" w:hAnsi="仿宋" w:eastAsia="仿宋"/>
          <w:color w:val="000000"/>
          <w:sz w:val="32"/>
          <w:szCs w:val="32"/>
          <w:lang w:val="en-US" w:eastAsia="zh-CN"/>
        </w:rPr>
        <w:t>408.26</w:t>
      </w:r>
      <w:r>
        <w:rPr>
          <w:rFonts w:hint="eastAsia" w:ascii="仿宋" w:hAnsi="仿宋" w:eastAsia="仿宋"/>
          <w:color w:val="000000"/>
          <w:sz w:val="32"/>
          <w:szCs w:val="32"/>
        </w:rPr>
        <w:t>万元，其中：</w:t>
      </w:r>
    </w:p>
    <w:p>
      <w:pPr>
        <w:spacing w:line="600" w:lineRule="exact"/>
        <w:ind w:firstLine="645"/>
        <w:rPr>
          <w:rFonts w:hint="eastAsia" w:ascii="仿宋" w:hAnsi="仿宋" w:eastAsia="仿宋"/>
          <w:color w:val="000000"/>
          <w:sz w:val="32"/>
          <w:szCs w:val="32"/>
          <w:lang w:eastAsia="zh-CN"/>
        </w:rPr>
      </w:pPr>
      <w:r>
        <w:rPr>
          <w:rFonts w:hint="eastAsia" w:ascii="仿宋" w:hAnsi="仿宋" w:eastAsia="仿宋"/>
          <w:color w:val="000000"/>
          <w:sz w:val="32"/>
          <w:szCs w:val="32"/>
        </w:rPr>
        <w:t>人员经费</w:t>
      </w:r>
      <w:r>
        <w:rPr>
          <w:rFonts w:hint="eastAsia" w:ascii="仿宋" w:hAnsi="仿宋" w:eastAsia="仿宋"/>
          <w:color w:val="000000"/>
          <w:sz w:val="32"/>
          <w:szCs w:val="32"/>
          <w:lang w:val="en-US" w:eastAsia="zh-CN"/>
        </w:rPr>
        <w:t>367.17</w:t>
      </w:r>
      <w:r>
        <w:rPr>
          <w:rFonts w:hint="eastAsia" w:ascii="仿宋" w:hAnsi="仿宋" w:eastAsia="仿宋"/>
          <w:color w:val="000000"/>
          <w:sz w:val="32"/>
          <w:szCs w:val="32"/>
        </w:rPr>
        <w:t>万元，包括：基本工资</w:t>
      </w:r>
      <w:r>
        <w:rPr>
          <w:rFonts w:hint="eastAsia" w:ascii="仿宋" w:hAnsi="仿宋" w:eastAsia="仿宋"/>
          <w:color w:val="000000"/>
          <w:sz w:val="32"/>
          <w:szCs w:val="32"/>
          <w:lang w:val="en-US" w:eastAsia="zh-CN"/>
        </w:rPr>
        <w:t>75.59</w:t>
      </w:r>
      <w:r>
        <w:rPr>
          <w:rFonts w:hint="eastAsia" w:ascii="仿宋" w:hAnsi="仿宋" w:eastAsia="仿宋"/>
          <w:color w:val="000000"/>
          <w:sz w:val="32"/>
          <w:szCs w:val="32"/>
          <w:lang w:eastAsia="zh-CN"/>
        </w:rPr>
        <w:t>万元</w:t>
      </w:r>
      <w:r>
        <w:rPr>
          <w:rFonts w:hint="eastAsia" w:ascii="仿宋" w:hAnsi="仿宋" w:eastAsia="仿宋"/>
          <w:color w:val="000000"/>
          <w:sz w:val="32"/>
          <w:szCs w:val="32"/>
        </w:rPr>
        <w:t>、津贴补贴</w:t>
      </w:r>
      <w:r>
        <w:rPr>
          <w:rFonts w:hint="eastAsia" w:ascii="仿宋" w:hAnsi="仿宋" w:eastAsia="仿宋"/>
          <w:color w:val="000000"/>
          <w:sz w:val="32"/>
          <w:szCs w:val="32"/>
          <w:lang w:val="en-US" w:eastAsia="zh-CN"/>
        </w:rPr>
        <w:t>90.80</w:t>
      </w:r>
      <w:r>
        <w:rPr>
          <w:rFonts w:hint="eastAsia" w:ascii="仿宋" w:hAnsi="仿宋" w:eastAsia="仿宋"/>
          <w:color w:val="000000"/>
          <w:sz w:val="32"/>
          <w:szCs w:val="32"/>
          <w:lang w:eastAsia="zh-CN"/>
        </w:rPr>
        <w:t>万元</w:t>
      </w:r>
      <w:r>
        <w:rPr>
          <w:rFonts w:hint="eastAsia" w:ascii="仿宋" w:hAnsi="仿宋" w:eastAsia="仿宋"/>
          <w:color w:val="000000"/>
          <w:sz w:val="32"/>
          <w:szCs w:val="32"/>
        </w:rPr>
        <w:t>、奖金</w:t>
      </w:r>
      <w:r>
        <w:rPr>
          <w:rFonts w:hint="eastAsia" w:ascii="仿宋" w:hAnsi="仿宋" w:eastAsia="仿宋"/>
          <w:color w:val="000000"/>
          <w:sz w:val="32"/>
          <w:szCs w:val="32"/>
          <w:lang w:val="en-US" w:eastAsia="zh-CN"/>
        </w:rPr>
        <w:t>77.13</w:t>
      </w:r>
      <w:r>
        <w:rPr>
          <w:rFonts w:hint="eastAsia" w:ascii="仿宋" w:hAnsi="仿宋" w:eastAsia="仿宋"/>
          <w:color w:val="000000"/>
          <w:sz w:val="32"/>
          <w:szCs w:val="32"/>
          <w:lang w:eastAsia="zh-CN"/>
        </w:rPr>
        <w:t>万元</w:t>
      </w:r>
      <w:r>
        <w:rPr>
          <w:rFonts w:hint="eastAsia" w:ascii="仿宋" w:hAnsi="仿宋" w:eastAsia="仿宋"/>
          <w:color w:val="000000"/>
          <w:sz w:val="32"/>
          <w:szCs w:val="32"/>
        </w:rPr>
        <w:t>、</w:t>
      </w:r>
      <w:r>
        <w:rPr>
          <w:rFonts w:hint="eastAsia" w:ascii="仿宋" w:hAnsi="仿宋" w:eastAsia="仿宋"/>
          <w:color w:val="000000"/>
          <w:sz w:val="32"/>
          <w:szCs w:val="32"/>
          <w:lang w:eastAsia="zh-CN"/>
        </w:rPr>
        <w:t>绩效工资</w:t>
      </w:r>
      <w:r>
        <w:rPr>
          <w:rFonts w:hint="eastAsia" w:ascii="仿宋" w:hAnsi="仿宋" w:eastAsia="仿宋"/>
          <w:color w:val="000000"/>
          <w:sz w:val="32"/>
          <w:szCs w:val="32"/>
          <w:lang w:val="en-US" w:eastAsia="zh-CN"/>
        </w:rPr>
        <w:t>10.04万元、</w:t>
      </w:r>
      <w:r>
        <w:rPr>
          <w:rFonts w:hint="eastAsia" w:ascii="仿宋" w:hAnsi="仿宋" w:eastAsia="仿宋"/>
          <w:color w:val="000000"/>
          <w:sz w:val="32"/>
          <w:szCs w:val="32"/>
        </w:rPr>
        <w:t>机关事业单位基本养老保险缴费</w:t>
      </w:r>
      <w:r>
        <w:rPr>
          <w:rFonts w:hint="eastAsia" w:ascii="仿宋" w:hAnsi="仿宋" w:eastAsia="仿宋"/>
          <w:color w:val="000000"/>
          <w:sz w:val="32"/>
          <w:szCs w:val="32"/>
          <w:lang w:val="en-US" w:eastAsia="zh-CN"/>
        </w:rPr>
        <w:t>37.09</w:t>
      </w:r>
      <w:r>
        <w:rPr>
          <w:rFonts w:hint="eastAsia" w:ascii="仿宋" w:hAnsi="仿宋" w:eastAsia="仿宋"/>
          <w:color w:val="000000"/>
          <w:sz w:val="32"/>
          <w:szCs w:val="32"/>
          <w:lang w:eastAsia="zh-CN"/>
        </w:rPr>
        <w:t>万元</w:t>
      </w:r>
      <w:r>
        <w:rPr>
          <w:rFonts w:hint="eastAsia" w:ascii="仿宋" w:hAnsi="仿宋" w:eastAsia="仿宋"/>
          <w:color w:val="000000"/>
          <w:sz w:val="32"/>
          <w:szCs w:val="32"/>
        </w:rPr>
        <w:t>、职业年金缴费</w:t>
      </w:r>
      <w:r>
        <w:rPr>
          <w:rStyle w:val="16"/>
          <w:rFonts w:hint="eastAsia" w:ascii="仿宋" w:hAnsi="仿宋" w:eastAsia="仿宋"/>
          <w:b w:val="0"/>
          <w:bCs/>
          <w:color w:val="000000"/>
          <w:sz w:val="32"/>
          <w:szCs w:val="32"/>
          <w:lang w:val="en-US" w:eastAsia="zh-CN"/>
        </w:rPr>
        <w:t>18.55</w:t>
      </w:r>
      <w:r>
        <w:rPr>
          <w:rFonts w:hint="eastAsia" w:ascii="仿宋" w:hAnsi="仿宋" w:eastAsia="仿宋"/>
          <w:color w:val="000000"/>
          <w:sz w:val="32"/>
          <w:szCs w:val="32"/>
          <w:lang w:eastAsia="zh-CN"/>
        </w:rPr>
        <w:t>万元</w:t>
      </w:r>
      <w:r>
        <w:rPr>
          <w:rFonts w:hint="eastAsia" w:ascii="仿宋" w:hAnsi="仿宋" w:eastAsia="仿宋"/>
          <w:color w:val="000000"/>
          <w:sz w:val="32"/>
          <w:szCs w:val="32"/>
        </w:rPr>
        <w:t>、其他社会保障缴费</w:t>
      </w:r>
      <w:r>
        <w:rPr>
          <w:rFonts w:hint="eastAsia" w:ascii="仿宋" w:hAnsi="仿宋" w:eastAsia="仿宋"/>
          <w:color w:val="000000"/>
          <w:sz w:val="32"/>
          <w:szCs w:val="32"/>
          <w:lang w:val="en-US" w:eastAsia="zh-CN"/>
        </w:rPr>
        <w:t>0.8</w:t>
      </w:r>
      <w:r>
        <w:rPr>
          <w:rFonts w:hint="eastAsia" w:ascii="仿宋" w:hAnsi="仿宋" w:eastAsia="仿宋"/>
          <w:color w:val="000000"/>
          <w:sz w:val="32"/>
          <w:szCs w:val="32"/>
          <w:lang w:eastAsia="zh-CN"/>
        </w:rPr>
        <w:t>万元</w:t>
      </w:r>
      <w:r>
        <w:rPr>
          <w:rFonts w:hint="eastAsia" w:ascii="仿宋" w:hAnsi="仿宋" w:eastAsia="仿宋"/>
          <w:color w:val="000000"/>
          <w:sz w:val="32"/>
          <w:szCs w:val="32"/>
        </w:rPr>
        <w:t>、职工基本医疗保险缴费</w:t>
      </w:r>
      <w:r>
        <w:rPr>
          <w:rFonts w:hint="eastAsia" w:ascii="仿宋" w:hAnsi="仿宋" w:eastAsia="仿宋"/>
          <w:color w:val="000000"/>
          <w:sz w:val="32"/>
          <w:szCs w:val="32"/>
          <w:lang w:val="en-US" w:eastAsia="zh-CN"/>
        </w:rPr>
        <w:t>16.67</w:t>
      </w:r>
      <w:r>
        <w:rPr>
          <w:rFonts w:hint="eastAsia" w:ascii="仿宋" w:hAnsi="仿宋" w:eastAsia="仿宋"/>
          <w:color w:val="000000"/>
          <w:sz w:val="32"/>
          <w:szCs w:val="32"/>
          <w:lang w:eastAsia="zh-CN"/>
        </w:rPr>
        <w:t>万元、公务员医疗补助缴费</w:t>
      </w:r>
      <w:r>
        <w:rPr>
          <w:rFonts w:hint="eastAsia" w:ascii="仿宋" w:hAnsi="仿宋" w:eastAsia="仿宋"/>
          <w:color w:val="000000"/>
          <w:sz w:val="32"/>
          <w:szCs w:val="32"/>
          <w:lang w:val="en-US" w:eastAsia="zh-CN"/>
        </w:rPr>
        <w:t>3.71</w:t>
      </w:r>
      <w:r>
        <w:rPr>
          <w:rFonts w:hint="eastAsia" w:ascii="仿宋" w:hAnsi="仿宋" w:eastAsia="仿宋"/>
          <w:color w:val="000000"/>
          <w:sz w:val="32"/>
          <w:szCs w:val="32"/>
          <w:lang w:eastAsia="zh-CN"/>
        </w:rPr>
        <w:t>万元、住房公积金</w:t>
      </w:r>
      <w:r>
        <w:rPr>
          <w:rFonts w:hint="eastAsia" w:ascii="仿宋" w:hAnsi="仿宋" w:eastAsia="仿宋"/>
          <w:color w:val="000000"/>
          <w:sz w:val="32"/>
          <w:szCs w:val="32"/>
          <w:lang w:val="en-US" w:eastAsia="zh-CN"/>
        </w:rPr>
        <w:t>29.06</w:t>
      </w:r>
      <w:r>
        <w:rPr>
          <w:rFonts w:hint="eastAsia" w:ascii="仿宋" w:hAnsi="仿宋" w:eastAsia="仿宋"/>
          <w:color w:val="000000"/>
          <w:sz w:val="32"/>
          <w:szCs w:val="32"/>
          <w:lang w:eastAsia="zh-CN"/>
        </w:rPr>
        <w:t>万元、医疗费</w:t>
      </w:r>
      <w:r>
        <w:rPr>
          <w:rFonts w:hint="eastAsia" w:ascii="仿宋" w:hAnsi="仿宋" w:eastAsia="仿宋"/>
          <w:color w:val="000000"/>
          <w:sz w:val="32"/>
          <w:szCs w:val="32"/>
          <w:lang w:val="en-US" w:eastAsia="zh-CN"/>
        </w:rPr>
        <w:t>0.78万元、生活补助6.13万元、医疗费补助0.8万元。</w:t>
      </w:r>
      <w:r>
        <w:rPr>
          <w:rFonts w:ascii="仿宋" w:hAnsi="仿宋" w:eastAsia="仿宋"/>
          <w:color w:val="000000"/>
          <w:sz w:val="32"/>
          <w:szCs w:val="32"/>
        </w:rPr>
        <w:br w:type="textWrapping"/>
      </w:r>
      <w:r>
        <w:rPr>
          <w:rFonts w:hint="eastAsia" w:ascii="仿宋" w:hAnsi="仿宋" w:eastAsia="仿宋"/>
          <w:color w:val="000000"/>
          <w:sz w:val="32"/>
          <w:szCs w:val="32"/>
        </w:rPr>
        <w:t>　　日常公用经费</w:t>
      </w:r>
      <w:r>
        <w:rPr>
          <w:rFonts w:hint="eastAsia" w:ascii="仿宋" w:hAnsi="仿宋" w:eastAsia="仿宋"/>
          <w:color w:val="000000"/>
          <w:sz w:val="32"/>
          <w:szCs w:val="32"/>
          <w:lang w:val="en-US" w:eastAsia="zh-CN"/>
        </w:rPr>
        <w:t>27.02</w:t>
      </w:r>
      <w:r>
        <w:rPr>
          <w:rFonts w:hint="eastAsia" w:ascii="仿宋" w:hAnsi="仿宋" w:eastAsia="仿宋"/>
          <w:color w:val="000000"/>
          <w:sz w:val="32"/>
          <w:szCs w:val="32"/>
        </w:rPr>
        <w:t>万元，包括：办公费</w:t>
      </w:r>
      <w:r>
        <w:rPr>
          <w:rFonts w:hint="eastAsia" w:ascii="仿宋" w:hAnsi="仿宋" w:eastAsia="仿宋"/>
          <w:color w:val="000000"/>
          <w:sz w:val="32"/>
          <w:szCs w:val="32"/>
          <w:lang w:val="en-US" w:eastAsia="zh-CN"/>
        </w:rPr>
        <w:t>5.23</w:t>
      </w:r>
      <w:r>
        <w:rPr>
          <w:rFonts w:hint="eastAsia" w:ascii="仿宋" w:hAnsi="仿宋" w:eastAsia="仿宋"/>
          <w:color w:val="000000"/>
          <w:sz w:val="32"/>
          <w:szCs w:val="32"/>
          <w:lang w:eastAsia="zh-CN"/>
        </w:rPr>
        <w:t>万元、印刷费</w:t>
      </w:r>
      <w:r>
        <w:rPr>
          <w:rFonts w:hint="eastAsia" w:ascii="仿宋" w:hAnsi="仿宋" w:eastAsia="仿宋"/>
          <w:color w:val="000000"/>
          <w:sz w:val="32"/>
          <w:szCs w:val="32"/>
          <w:lang w:val="en-US" w:eastAsia="zh-CN"/>
        </w:rPr>
        <w:t>1万元、</w:t>
      </w:r>
      <w:r>
        <w:rPr>
          <w:rFonts w:hint="eastAsia" w:ascii="仿宋" w:hAnsi="仿宋" w:eastAsia="仿宋"/>
          <w:color w:val="000000"/>
          <w:sz w:val="32"/>
          <w:szCs w:val="32"/>
          <w:lang w:eastAsia="zh-CN"/>
        </w:rPr>
        <w:t>水费</w:t>
      </w:r>
      <w:r>
        <w:rPr>
          <w:rFonts w:hint="eastAsia" w:ascii="仿宋" w:hAnsi="仿宋" w:eastAsia="仿宋"/>
          <w:color w:val="000000"/>
          <w:sz w:val="32"/>
          <w:szCs w:val="32"/>
          <w:lang w:val="en-US" w:eastAsia="zh-CN"/>
        </w:rPr>
        <w:t>0.8万元，电费2.5万元、</w:t>
      </w:r>
      <w:r>
        <w:rPr>
          <w:rFonts w:hint="eastAsia" w:ascii="仿宋" w:hAnsi="仿宋" w:eastAsia="仿宋"/>
          <w:color w:val="000000"/>
          <w:sz w:val="32"/>
          <w:szCs w:val="32"/>
          <w:lang w:eastAsia="zh-CN"/>
        </w:rPr>
        <w:t>差旅费</w:t>
      </w:r>
      <w:r>
        <w:rPr>
          <w:rFonts w:hint="eastAsia" w:ascii="仿宋" w:hAnsi="仿宋" w:eastAsia="仿宋"/>
          <w:color w:val="000000"/>
          <w:sz w:val="32"/>
          <w:szCs w:val="32"/>
          <w:lang w:val="en-US" w:eastAsia="zh-CN"/>
        </w:rPr>
        <w:t>4.78</w:t>
      </w:r>
      <w:r>
        <w:rPr>
          <w:rFonts w:hint="eastAsia" w:ascii="仿宋" w:hAnsi="仿宋" w:eastAsia="仿宋"/>
          <w:color w:val="000000"/>
          <w:sz w:val="32"/>
          <w:szCs w:val="32"/>
          <w:lang w:eastAsia="zh-CN"/>
        </w:rPr>
        <w:t>万元、维修（护）费</w:t>
      </w:r>
      <w:r>
        <w:rPr>
          <w:rFonts w:hint="eastAsia" w:ascii="仿宋" w:hAnsi="仿宋" w:eastAsia="仿宋"/>
          <w:color w:val="000000"/>
          <w:sz w:val="32"/>
          <w:szCs w:val="32"/>
          <w:lang w:val="en-US" w:eastAsia="zh-CN"/>
        </w:rPr>
        <w:t>2.06万元、公务接待费0.15万元、劳务费0.08万元、</w:t>
      </w:r>
      <w:r>
        <w:rPr>
          <w:rFonts w:hint="eastAsia" w:ascii="仿宋" w:hAnsi="仿宋" w:eastAsia="仿宋"/>
          <w:color w:val="000000"/>
          <w:sz w:val="32"/>
          <w:szCs w:val="32"/>
          <w:lang w:eastAsia="zh-CN"/>
        </w:rPr>
        <w:t>委托业务费</w:t>
      </w:r>
      <w:r>
        <w:rPr>
          <w:rFonts w:hint="eastAsia" w:ascii="仿宋" w:hAnsi="仿宋" w:eastAsia="仿宋"/>
          <w:color w:val="000000"/>
          <w:sz w:val="32"/>
          <w:szCs w:val="32"/>
          <w:lang w:val="en-US" w:eastAsia="zh-CN"/>
        </w:rPr>
        <w:t>0.6万元、工会经费2.73万元、</w:t>
      </w:r>
      <w:r>
        <w:rPr>
          <w:rFonts w:hint="eastAsia" w:ascii="仿宋" w:hAnsi="仿宋" w:eastAsia="仿宋"/>
          <w:color w:val="000000"/>
          <w:sz w:val="32"/>
          <w:szCs w:val="32"/>
          <w:lang w:eastAsia="zh-CN"/>
        </w:rPr>
        <w:t>公务用车运行维护费</w:t>
      </w:r>
      <w:r>
        <w:rPr>
          <w:rFonts w:hint="eastAsia" w:ascii="仿宋" w:hAnsi="仿宋" w:eastAsia="仿宋"/>
          <w:color w:val="000000"/>
          <w:sz w:val="32"/>
          <w:szCs w:val="32"/>
          <w:lang w:val="en-US" w:eastAsia="zh-CN"/>
        </w:rPr>
        <w:t>2.36</w:t>
      </w:r>
      <w:r>
        <w:rPr>
          <w:rFonts w:hint="eastAsia" w:ascii="仿宋" w:hAnsi="仿宋" w:eastAsia="仿宋"/>
          <w:color w:val="000000"/>
          <w:sz w:val="32"/>
          <w:szCs w:val="32"/>
          <w:lang w:eastAsia="zh-CN"/>
        </w:rPr>
        <w:t>万元、福利费</w:t>
      </w:r>
      <w:r>
        <w:rPr>
          <w:rFonts w:hint="eastAsia" w:ascii="仿宋" w:hAnsi="仿宋" w:eastAsia="仿宋"/>
          <w:color w:val="000000"/>
          <w:sz w:val="32"/>
          <w:szCs w:val="32"/>
          <w:lang w:val="en-US" w:eastAsia="zh-CN"/>
        </w:rPr>
        <w:t>0.9万元、其他商品和服务支出3.82万元</w:t>
      </w:r>
      <w:r>
        <w:rPr>
          <w:rFonts w:hint="eastAsia" w:ascii="仿宋" w:hAnsi="仿宋" w:eastAsia="仿宋"/>
          <w:color w:val="000000"/>
          <w:sz w:val="32"/>
          <w:szCs w:val="32"/>
          <w:lang w:eastAsia="zh-CN"/>
        </w:rPr>
        <w:t>。</w:t>
      </w:r>
    </w:p>
    <w:p>
      <w:pPr>
        <w:pStyle w:val="11"/>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项目支出14.07万元，包括专项公用费2.57、印刷费0.57</w:t>
      </w:r>
    </w:p>
    <w:p>
      <w:pPr>
        <w:pStyle w:val="11"/>
        <w:ind w:left="0" w:leftChars="0" w:firstLine="0" w:firstLineChars="0"/>
        <w:rPr>
          <w:rFonts w:hint="default"/>
          <w:lang w:val="en-US"/>
        </w:rPr>
      </w:pPr>
      <w:r>
        <w:rPr>
          <w:rFonts w:hint="eastAsia" w:ascii="仿宋" w:hAnsi="仿宋" w:eastAsia="仿宋"/>
          <w:color w:val="000000"/>
          <w:sz w:val="32"/>
          <w:szCs w:val="32"/>
          <w:lang w:val="en-US" w:eastAsia="zh-CN"/>
        </w:rPr>
        <w:t xml:space="preserve">万元、电费0.9万元、邮电费0.77万元、维修维护费0.85万元，生活补助5.62万元。   </w:t>
      </w:r>
    </w:p>
    <w:p>
      <w:pPr>
        <w:pStyle w:val="13"/>
        <w:keepNext w:val="0"/>
        <w:keepLines w:val="0"/>
        <w:widowControl/>
        <w:suppressLineNumbers w:val="0"/>
        <w:shd w:val="clear" w:color="auto" w:fill="auto"/>
        <w:ind w:left="0" w:right="75"/>
        <w:jc w:val="left"/>
        <w:outlineLvl w:val="1"/>
        <w:rPr>
          <w:rFonts w:hint="eastAsia" w:ascii="黑体" w:hAnsi="黑体" w:eastAsia="黑体" w:cs="黑体"/>
          <w:color w:val="auto"/>
          <w:sz w:val="32"/>
          <w:szCs w:val="32"/>
          <w:shd w:val="clear" w:color="auto" w:fill="FFFFFF"/>
        </w:rPr>
      </w:pPr>
      <w:bookmarkStart w:id="13" w:name="_Toc18699"/>
      <w:r>
        <w:rPr>
          <w:rFonts w:hint="eastAsia" w:ascii="黑体" w:hAnsi="黑体" w:eastAsia="黑体" w:cs="黑体"/>
          <w:color w:val="auto"/>
          <w:sz w:val="32"/>
          <w:szCs w:val="32"/>
          <w:shd w:val="clear" w:color="auto" w:fill="FFFFFF"/>
        </w:rPr>
        <w:t>七、“三公”经费财政拨款支出决算情况说明</w:t>
      </w:r>
      <w:bookmarkEnd w:id="13"/>
    </w:p>
    <w:p>
      <w:pPr>
        <w:pStyle w:val="13"/>
        <w:keepNext w:val="0"/>
        <w:keepLines w:val="0"/>
        <w:widowControl/>
        <w:suppressLineNumbers w:val="0"/>
        <w:ind w:left="0" w:right="75"/>
        <w:rPr>
          <w:rStyle w:val="16"/>
          <w:rFonts w:hint="eastAsia" w:ascii="仿宋_GB2312" w:hAnsi="仿宋_GB2312" w:eastAsia="仿宋_GB2312" w:cs="仿宋_GB2312"/>
          <w:sz w:val="32"/>
          <w:szCs w:val="32"/>
          <w:shd w:val="clear" w:color="auto" w:fill="FFFFFF"/>
        </w:rPr>
      </w:pPr>
      <w:r>
        <w:rPr>
          <w:rStyle w:val="16"/>
          <w:rFonts w:hint="eastAsia" w:ascii="仿宋_GB2312" w:hAnsi="仿宋_GB2312" w:eastAsia="仿宋_GB2312" w:cs="仿宋_GB2312"/>
          <w:sz w:val="32"/>
          <w:szCs w:val="32"/>
          <w:shd w:val="clear" w:color="auto" w:fill="FFFFFF"/>
        </w:rPr>
        <w:t>（一）“三公”经费财政拨款支出决算总体情况说明</w:t>
      </w:r>
    </w:p>
    <w:p>
      <w:pPr>
        <w:spacing w:line="600" w:lineRule="exact"/>
        <w:ind w:firstLine="640"/>
        <w:rPr>
          <w:rStyle w:val="16"/>
          <w:rFonts w:hint="eastAsia" w:ascii="仿宋_GB2312" w:hAnsi="仿宋_GB2312" w:eastAsia="仿宋_GB2312" w:cs="仿宋_GB2312"/>
          <w:sz w:val="32"/>
          <w:szCs w:val="32"/>
          <w:shd w:val="clear" w:color="auto" w:fill="FFFFFF"/>
        </w:rPr>
      </w:pPr>
      <w:r>
        <w:rPr>
          <w:rFonts w:hint="eastAsia" w:ascii="仿宋" w:hAnsi="仿宋" w:eastAsia="仿宋"/>
          <w:color w:val="000000"/>
          <w:sz w:val="32"/>
          <w:szCs w:val="32"/>
          <w:lang w:val="en-US" w:eastAsia="zh-CN"/>
        </w:rPr>
        <w:t>2025</w:t>
      </w:r>
      <w:r>
        <w:rPr>
          <w:rFonts w:hint="eastAsia" w:ascii="仿宋" w:hAnsi="仿宋" w:eastAsia="仿宋"/>
          <w:color w:val="000000"/>
          <w:sz w:val="32"/>
          <w:szCs w:val="32"/>
        </w:rPr>
        <w:t>年“三公”经费财政拨款支出决算为</w:t>
      </w:r>
      <w:r>
        <w:rPr>
          <w:rFonts w:hint="eastAsia" w:ascii="仿宋" w:hAnsi="仿宋" w:eastAsia="仿宋"/>
          <w:color w:val="000000"/>
          <w:sz w:val="32"/>
          <w:szCs w:val="32"/>
          <w:lang w:val="en-US" w:eastAsia="zh-CN"/>
        </w:rPr>
        <w:t>2.51</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89.01</w:t>
      </w:r>
      <w:r>
        <w:rPr>
          <w:rFonts w:ascii="仿宋" w:hAnsi="仿宋" w:eastAsia="仿宋"/>
          <w:color w:val="000000"/>
          <w:sz w:val="32"/>
          <w:szCs w:val="32"/>
        </w:rPr>
        <w:t>%</w:t>
      </w:r>
      <w:r>
        <w:rPr>
          <w:rFonts w:hint="eastAsia" w:ascii="仿宋" w:hAnsi="仿宋" w:eastAsia="仿宋"/>
          <w:color w:val="000000"/>
          <w:sz w:val="32"/>
          <w:szCs w:val="32"/>
        </w:rPr>
        <w:t>。</w:t>
      </w:r>
    </w:p>
    <w:p>
      <w:pPr>
        <w:pStyle w:val="13"/>
        <w:keepNext w:val="0"/>
        <w:keepLines w:val="0"/>
        <w:widowControl/>
        <w:numPr>
          <w:ilvl w:val="0"/>
          <w:numId w:val="4"/>
        </w:numPr>
        <w:suppressLineNumbers w:val="0"/>
        <w:ind w:left="0" w:right="75"/>
        <w:rPr>
          <w:rStyle w:val="16"/>
          <w:rFonts w:hint="eastAsia" w:ascii="仿宋_GB2312" w:hAnsi="仿宋_GB2312" w:eastAsia="仿宋_GB2312" w:cs="仿宋_GB2312"/>
          <w:sz w:val="32"/>
          <w:szCs w:val="32"/>
          <w:shd w:val="clear" w:color="auto" w:fill="FFFFFF"/>
        </w:rPr>
      </w:pPr>
      <w:r>
        <w:rPr>
          <w:rStyle w:val="16"/>
          <w:rFonts w:hint="eastAsia" w:ascii="仿宋_GB2312" w:hAnsi="仿宋_GB2312" w:eastAsia="仿宋_GB2312" w:cs="仿宋_GB2312"/>
          <w:sz w:val="32"/>
          <w:szCs w:val="32"/>
          <w:shd w:val="clear" w:color="auto" w:fill="FFFFFF"/>
        </w:rPr>
        <w:t>“三公”经费财政拨款支出决算具体情况说明</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2</w:t>
      </w:r>
      <w:r>
        <w:rPr>
          <w:rFonts w:hint="eastAsia" w:ascii="仿宋" w:hAnsi="仿宋" w:eastAsia="仿宋"/>
          <w:color w:val="000000"/>
          <w:sz w:val="32"/>
          <w:szCs w:val="32"/>
          <w:lang w:val="en-US" w:eastAsia="zh-CN"/>
        </w:rPr>
        <w:t>025</w:t>
      </w:r>
      <w:r>
        <w:rPr>
          <w:rFonts w:hint="eastAsia" w:ascii="仿宋" w:hAnsi="仿宋" w:eastAsia="仿宋"/>
          <w:color w:val="000000"/>
          <w:sz w:val="32"/>
          <w:szCs w:val="32"/>
        </w:rPr>
        <w:t>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szCs w:val="32"/>
          <w:lang w:val="en-US" w:eastAsia="zh-CN"/>
        </w:rPr>
        <w:t>2.36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94.02</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0.15</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5.98</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rPr>
        <w:t>（图7：“三公”经费财政拨款支出结构）（饼状图）</w:t>
      </w:r>
    </w:p>
    <w:p>
      <w:pPr>
        <w:pStyle w:val="13"/>
        <w:keepNext w:val="0"/>
        <w:keepLines w:val="0"/>
        <w:widowControl/>
        <w:numPr>
          <w:ilvl w:val="0"/>
          <w:numId w:val="0"/>
        </w:numPr>
        <w:suppressLineNumbers w:val="0"/>
        <w:ind w:right="75" w:rightChars="0"/>
        <w:rPr>
          <w:rStyle w:val="16"/>
          <w:rFonts w:hint="eastAsia" w:ascii="仿宋_GB2312" w:hAnsi="仿宋_GB2312" w:eastAsia="仿宋_GB2312" w:cs="仿宋_GB2312"/>
          <w:sz w:val="32"/>
          <w:szCs w:val="32"/>
          <w:shd w:val="clear" w:color="auto" w:fill="FFFFFF"/>
          <w:lang w:eastAsia="zh-CN"/>
        </w:rPr>
      </w:pPr>
      <w:r>
        <w:rPr>
          <w:rStyle w:val="16"/>
          <w:rFonts w:hint="eastAsia" w:ascii="仿宋_GB2312" w:hAnsi="仿宋_GB2312" w:eastAsia="仿宋_GB2312" w:cs="仿宋_GB2312"/>
          <w:sz w:val="32"/>
          <w:szCs w:val="32"/>
          <w:shd w:val="clear" w:color="auto" w:fill="FFFFFF"/>
          <w:lang w:eastAsia="zh-CN"/>
        </w:rPr>
        <w:drawing>
          <wp:inline distT="0" distB="0" distL="114300" distR="114300">
            <wp:extent cx="5080000" cy="2305050"/>
            <wp:effectExtent l="4445" t="4445" r="20955" b="1460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numPr>
          <w:ilvl w:val="0"/>
          <w:numId w:val="0"/>
        </w:numPr>
        <w:spacing w:line="600" w:lineRule="exact"/>
        <w:ind w:firstLine="642" w:firstLineChars="200"/>
        <w:rPr>
          <w:rFonts w:hint="eastAsia" w:ascii="仿宋_GB2312" w:hAnsi="仿宋_GB2312" w:eastAsia="仿宋_GB2312" w:cs="仿宋_GB2312"/>
          <w:color w:val="000000"/>
          <w:sz w:val="32"/>
          <w:szCs w:val="32"/>
          <w:lang w:eastAsia="zh-CN"/>
        </w:rPr>
      </w:pPr>
      <w:r>
        <w:rPr>
          <w:rFonts w:hint="eastAsia" w:ascii="仿宋_GB2312" w:eastAsia="仿宋_GB2312"/>
          <w:b/>
          <w:color w:val="000000"/>
          <w:sz w:val="32"/>
          <w:szCs w:val="32"/>
          <w:lang w:val="en-US" w:eastAsia="zh-CN"/>
        </w:rPr>
        <w:t>1.</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全年安排因公出</w:t>
      </w:r>
      <w:r>
        <w:rPr>
          <w:rFonts w:hint="eastAsia" w:ascii="仿宋_GB2312" w:hAnsi="仿宋_GB2312" w:eastAsia="仿宋_GB2312" w:cs="仿宋_GB2312"/>
          <w:color w:val="000000"/>
          <w:sz w:val="32"/>
          <w:szCs w:val="32"/>
        </w:rPr>
        <w:t>国（境）团组</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次，出国（境）</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人。因公出国（境）支出决算</w:t>
      </w:r>
      <w:r>
        <w:rPr>
          <w:rFonts w:hint="eastAsia" w:ascii="仿宋_GB2312" w:hAnsi="仿宋_GB2312" w:eastAsia="仿宋_GB2312" w:cs="仿宋_GB2312"/>
          <w:color w:val="000000"/>
          <w:sz w:val="32"/>
          <w:szCs w:val="32"/>
          <w:lang w:eastAsia="zh-CN"/>
        </w:rPr>
        <w:t>与</w:t>
      </w:r>
      <w:r>
        <w:rPr>
          <w:rFonts w:hint="eastAsia" w:ascii="仿宋_GB2312" w:hAnsi="仿宋_GB2312" w:eastAsia="仿宋_GB2312" w:cs="仿宋_GB2312"/>
          <w:color w:val="000000"/>
          <w:sz w:val="32"/>
          <w:szCs w:val="32"/>
          <w:lang w:val="en-US" w:eastAsia="zh-CN"/>
        </w:rPr>
        <w:t>2024</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eastAsia="zh-CN"/>
        </w:rPr>
        <w:t>持平。</w:t>
      </w:r>
    </w:p>
    <w:p>
      <w:pPr>
        <w:numPr>
          <w:ilvl w:val="0"/>
          <w:numId w:val="0"/>
        </w:numPr>
        <w:spacing w:line="600" w:lineRule="exact"/>
        <w:ind w:firstLine="642" w:firstLineChars="200"/>
        <w:rPr>
          <w:rFonts w:hint="default" w:ascii="仿宋_GB2312" w:hAnsi="仿宋_GB2312" w:eastAsia="仿宋_GB2312" w:cs="仿宋_GB2312"/>
          <w:b/>
          <w:color w:val="000000"/>
          <w:sz w:val="32"/>
          <w:szCs w:val="32"/>
          <w:lang w:val="en-US" w:eastAsia="zh-CN"/>
        </w:rPr>
      </w:pPr>
      <w:r>
        <w:rPr>
          <w:rFonts w:hint="eastAsia" w:ascii="仿宋_GB2312" w:hAnsi="仿宋_GB2312" w:eastAsia="仿宋_GB2312" w:cs="仿宋_GB2312"/>
          <w:b/>
          <w:color w:val="000000"/>
          <w:sz w:val="32"/>
          <w:szCs w:val="32"/>
          <w:lang w:val="en-US" w:eastAsia="zh-CN"/>
        </w:rPr>
        <w:t>2.</w:t>
      </w:r>
      <w:r>
        <w:rPr>
          <w:rFonts w:hint="eastAsia" w:ascii="仿宋_GB2312" w:hAnsi="仿宋_GB2312" w:eastAsia="仿宋_GB2312" w:cs="仿宋_GB2312"/>
          <w:b/>
          <w:color w:val="000000"/>
          <w:sz w:val="32"/>
          <w:szCs w:val="32"/>
        </w:rPr>
        <w:t>公务用车购置及运行维护费支出</w:t>
      </w:r>
      <w:r>
        <w:rPr>
          <w:rFonts w:hint="eastAsia" w:ascii="仿宋_GB2312" w:hAnsi="仿宋_GB2312" w:eastAsia="仿宋_GB2312" w:cs="仿宋_GB2312"/>
          <w:b/>
          <w:color w:val="000000"/>
          <w:sz w:val="32"/>
          <w:szCs w:val="32"/>
          <w:lang w:val="en-US" w:eastAsia="zh-CN"/>
        </w:rPr>
        <w:t>2.36</w:t>
      </w:r>
      <w:r>
        <w:rPr>
          <w:rFonts w:hint="eastAsia" w:ascii="仿宋_GB2312" w:hAnsi="仿宋_GB2312" w:eastAsia="仿宋_GB2312" w:cs="仿宋_GB2312"/>
          <w:color w:val="000000"/>
          <w:sz w:val="32"/>
          <w:szCs w:val="32"/>
        </w:rPr>
        <w:t>万元,</w:t>
      </w:r>
      <w:r>
        <w:rPr>
          <w:rStyle w:val="16"/>
          <w:rFonts w:hint="eastAsia" w:ascii="仿宋_GB2312" w:hAnsi="仿宋_GB2312" w:eastAsia="仿宋_GB2312" w:cs="仿宋_GB2312"/>
          <w:b w:val="0"/>
          <w:bCs/>
          <w:color w:val="000000"/>
          <w:sz w:val="32"/>
          <w:szCs w:val="32"/>
        </w:rPr>
        <w:t>完成预算</w:t>
      </w:r>
      <w:r>
        <w:rPr>
          <w:rStyle w:val="16"/>
          <w:rFonts w:hint="eastAsia" w:ascii="仿宋_GB2312" w:hAnsi="仿宋_GB2312" w:eastAsia="仿宋_GB2312" w:cs="仿宋_GB2312"/>
          <w:b w:val="0"/>
          <w:bCs/>
          <w:color w:val="000000"/>
          <w:sz w:val="32"/>
          <w:szCs w:val="32"/>
          <w:lang w:val="en-US" w:eastAsia="zh-CN"/>
        </w:rPr>
        <w:t>90.08</w:t>
      </w:r>
      <w:r>
        <w:rPr>
          <w:rStyle w:val="16"/>
          <w:rFonts w:hint="eastAsia" w:ascii="仿宋_GB2312" w:hAnsi="仿宋_GB2312" w:eastAsia="仿宋_GB2312" w:cs="仿宋_GB2312"/>
          <w:b w:val="0"/>
          <w:bCs/>
          <w:color w:val="000000"/>
          <w:sz w:val="32"/>
          <w:szCs w:val="32"/>
        </w:rPr>
        <w:t>%。</w:t>
      </w:r>
      <w:r>
        <w:rPr>
          <w:rFonts w:hint="eastAsia" w:ascii="仿宋_GB2312" w:hAnsi="仿宋_GB2312" w:eastAsia="仿宋_GB2312" w:cs="仿宋_GB2312"/>
          <w:color w:val="000000"/>
          <w:sz w:val="32"/>
          <w:szCs w:val="32"/>
        </w:rPr>
        <w:t>公务用车购置及运行维护费支出决算</w:t>
      </w:r>
      <w:r>
        <w:rPr>
          <w:rFonts w:hint="eastAsia" w:ascii="仿宋_GB2312" w:hAnsi="仿宋_GB2312" w:eastAsia="仿宋_GB2312" w:cs="仿宋_GB2312"/>
          <w:color w:val="000000"/>
          <w:sz w:val="32"/>
          <w:szCs w:val="32"/>
          <w:lang w:eastAsia="zh-CN"/>
        </w:rPr>
        <w:t>比</w:t>
      </w:r>
      <w:r>
        <w:rPr>
          <w:rFonts w:hint="eastAsia" w:ascii="仿宋_GB2312" w:hAnsi="仿宋_GB2312" w:eastAsia="仿宋_GB2312" w:cs="仿宋_GB2312"/>
          <w:color w:val="000000"/>
          <w:sz w:val="32"/>
          <w:szCs w:val="32"/>
          <w:lang w:val="en-US" w:eastAsia="zh-CN"/>
        </w:rPr>
        <w:t>2024年增加。</w:t>
      </w:r>
    </w:p>
    <w:p>
      <w:pPr>
        <w:spacing w:line="600" w:lineRule="exact"/>
        <w:ind w:firstLine="640" w:firstLineChars="200"/>
        <w:rPr>
          <w:rFonts w:hint="eastAsia" w:ascii="仿宋_GB2312" w:hAnsi="仿宋_GB2312" w:eastAsia="仿宋_GB2312" w:cs="仿宋_GB2312"/>
          <w:color w:val="000000"/>
          <w:sz w:val="32"/>
          <w:szCs w:val="32"/>
          <w:lang w:eastAsia="zh-CN"/>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公务用车运行维护费支出</w:t>
      </w:r>
      <w:r>
        <w:rPr>
          <w:rFonts w:hint="eastAsia" w:ascii="仿宋_GB2312" w:hAnsi="仿宋_GB2312" w:eastAsia="仿宋_GB2312" w:cs="仿宋_GB2312"/>
          <w:color w:val="000000"/>
          <w:sz w:val="32"/>
          <w:szCs w:val="32"/>
          <w:lang w:val="en-US" w:eastAsia="zh-CN"/>
        </w:rPr>
        <w:t>2.36</w:t>
      </w:r>
      <w:r>
        <w:rPr>
          <w:rFonts w:hint="eastAsia" w:ascii="仿宋_GB2312" w:hAnsi="仿宋_GB2312" w:eastAsia="仿宋_GB2312" w:cs="仿宋_GB2312"/>
          <w:color w:val="000000"/>
          <w:sz w:val="32"/>
          <w:szCs w:val="32"/>
          <w:lang w:eastAsia="zh-CN"/>
        </w:rPr>
        <w:t>万元，比</w:t>
      </w:r>
      <w:r>
        <w:rPr>
          <w:rFonts w:hint="eastAsia" w:ascii="仿宋_GB2312" w:hAnsi="仿宋_GB2312" w:eastAsia="仿宋_GB2312" w:cs="仿宋_GB2312"/>
          <w:color w:val="000000"/>
          <w:sz w:val="32"/>
          <w:szCs w:val="32"/>
          <w:lang w:val="en-US" w:eastAsia="zh-CN"/>
        </w:rPr>
        <w:t>2024年增加。</w:t>
      </w:r>
      <w:r>
        <w:rPr>
          <w:rFonts w:hint="eastAsia" w:ascii="仿宋_GB2312" w:hAnsi="仿宋_GB2312" w:eastAsia="仿宋_GB2312" w:cs="仿宋_GB2312"/>
          <w:color w:val="000000"/>
          <w:sz w:val="32"/>
          <w:szCs w:val="32"/>
          <w:lang w:eastAsia="zh-CN"/>
        </w:rPr>
        <w:t>主要用于编办工作出差、开展脱贫攻坚、两联一进、联寺联僧工作下乡等所需的公务用车燃料费、维修费、过路过桥费、保险费等支出。</w:t>
      </w:r>
    </w:p>
    <w:p>
      <w:pPr>
        <w:spacing w:line="600" w:lineRule="exact"/>
        <w:ind w:firstLine="642" w:firstLineChars="200"/>
        <w:rPr>
          <w:rStyle w:val="16"/>
          <w:rFonts w:hint="eastAsia" w:ascii="仿宋_GB2312" w:hAnsi="仿宋_GB2312" w:eastAsia="仿宋_GB2312" w:cs="仿宋_GB2312"/>
          <w:sz w:val="32"/>
          <w:szCs w:val="32"/>
          <w:shd w:val="clear" w:color="auto" w:fill="FFFFFF"/>
          <w:lang w:eastAsia="zh-CN"/>
        </w:rPr>
      </w:pPr>
      <w:r>
        <w:rPr>
          <w:rFonts w:hint="eastAsia" w:ascii="仿宋_GB2312" w:eastAsia="仿宋_GB2312"/>
          <w:b/>
          <w:color w:val="000000"/>
          <w:sz w:val="32"/>
          <w:szCs w:val="32"/>
          <w:lang w:val="en-US" w:eastAsia="zh-CN"/>
        </w:rPr>
        <w:t>3.</w:t>
      </w:r>
      <w:r>
        <w:rPr>
          <w:rFonts w:hint="eastAsia" w:ascii="仿宋_GB2312" w:eastAsia="仿宋_GB2312"/>
          <w:b/>
          <w:color w:val="000000"/>
          <w:sz w:val="32"/>
          <w:szCs w:val="32"/>
        </w:rPr>
        <w:t>公务接待费支出</w:t>
      </w:r>
      <w:r>
        <w:rPr>
          <w:rFonts w:hint="eastAsia" w:ascii="仿宋_GB2312" w:hAnsi="仿宋_GB2312" w:eastAsia="仿宋_GB2312" w:cs="仿宋_GB2312"/>
          <w:color w:val="000000"/>
          <w:sz w:val="32"/>
          <w:szCs w:val="32"/>
          <w:lang w:val="en-US" w:eastAsia="zh-CN"/>
        </w:rPr>
        <w:t>0.15</w:t>
      </w:r>
      <w:r>
        <w:rPr>
          <w:rFonts w:hint="eastAsia" w:ascii="仿宋_GB2312" w:hAnsi="仿宋_GB2312" w:eastAsia="仿宋_GB2312" w:cs="仿宋_GB2312"/>
          <w:color w:val="000000"/>
          <w:sz w:val="32"/>
          <w:szCs w:val="32"/>
        </w:rPr>
        <w:t>万元，</w:t>
      </w:r>
      <w:r>
        <w:rPr>
          <w:rStyle w:val="16"/>
          <w:rFonts w:hint="eastAsia" w:ascii="仿宋_GB2312" w:hAnsi="仿宋_GB2312" w:eastAsia="仿宋_GB2312" w:cs="仿宋_GB2312"/>
          <w:b w:val="0"/>
          <w:bCs/>
          <w:color w:val="000000"/>
          <w:sz w:val="32"/>
          <w:szCs w:val="32"/>
        </w:rPr>
        <w:t>完成预算</w:t>
      </w:r>
      <w:r>
        <w:rPr>
          <w:rStyle w:val="16"/>
          <w:rFonts w:hint="eastAsia" w:ascii="仿宋_GB2312" w:hAnsi="仿宋_GB2312" w:eastAsia="仿宋_GB2312" w:cs="仿宋_GB2312"/>
          <w:b w:val="0"/>
          <w:bCs/>
          <w:color w:val="000000"/>
          <w:sz w:val="32"/>
          <w:szCs w:val="32"/>
          <w:lang w:val="en-US" w:eastAsia="zh-CN"/>
        </w:rPr>
        <w:t>75</w:t>
      </w:r>
      <w:r>
        <w:rPr>
          <w:rStyle w:val="16"/>
          <w:rFonts w:hint="eastAsia" w:ascii="仿宋_GB2312" w:hAnsi="仿宋_GB2312" w:eastAsia="仿宋_GB2312" w:cs="仿宋_GB2312"/>
          <w:b w:val="0"/>
          <w:bCs/>
          <w:color w:val="000000"/>
          <w:sz w:val="32"/>
          <w:szCs w:val="32"/>
        </w:rPr>
        <w:t>%。</w:t>
      </w:r>
      <w:r>
        <w:rPr>
          <w:rFonts w:hint="eastAsia" w:ascii="仿宋_GB2312" w:hAnsi="仿宋_GB2312" w:eastAsia="仿宋_GB2312" w:cs="仿宋_GB2312"/>
          <w:color w:val="000000"/>
          <w:sz w:val="32"/>
          <w:szCs w:val="32"/>
        </w:rPr>
        <w:t>公务接待费支出决算</w:t>
      </w:r>
      <w:r>
        <w:rPr>
          <w:rFonts w:hint="eastAsia" w:ascii="仿宋_GB2312" w:hAnsi="仿宋_GB2312" w:eastAsia="仿宋_GB2312" w:cs="仿宋_GB2312"/>
          <w:color w:val="000000"/>
          <w:sz w:val="32"/>
          <w:szCs w:val="32"/>
          <w:lang w:eastAsia="zh-CN"/>
        </w:rPr>
        <w:t>比</w:t>
      </w:r>
      <w:r>
        <w:rPr>
          <w:rFonts w:hint="eastAsia" w:ascii="仿宋_GB2312" w:hAnsi="仿宋_GB2312" w:eastAsia="仿宋_GB2312" w:cs="仿宋_GB2312"/>
          <w:color w:val="000000"/>
          <w:sz w:val="32"/>
          <w:szCs w:val="32"/>
          <w:lang w:val="en-US" w:eastAsia="zh-CN"/>
        </w:rPr>
        <w:t>2024年增加，2025年增加公务接待三次。</w:t>
      </w:r>
    </w:p>
    <w:p>
      <w:pPr>
        <w:pStyle w:val="13"/>
        <w:keepNext w:val="0"/>
        <w:keepLines w:val="0"/>
        <w:widowControl/>
        <w:numPr>
          <w:ilvl w:val="0"/>
          <w:numId w:val="5"/>
        </w:numPr>
        <w:suppressLineNumbers w:val="0"/>
        <w:shd w:val="clear" w:color="auto" w:fill="auto"/>
        <w:ind w:left="0" w:right="75"/>
        <w:jc w:val="left"/>
        <w:outlineLvl w:val="1"/>
        <w:rPr>
          <w:rFonts w:hint="eastAsia" w:ascii="黑体" w:hAnsi="黑体" w:eastAsia="黑体" w:cs="黑体"/>
          <w:sz w:val="32"/>
          <w:szCs w:val="32"/>
          <w:shd w:val="clear" w:color="auto" w:fill="FFFFFF"/>
        </w:rPr>
      </w:pPr>
      <w:bookmarkStart w:id="14" w:name="_Toc9599"/>
      <w:r>
        <w:rPr>
          <w:rFonts w:hint="eastAsia" w:ascii="黑体" w:hAnsi="黑体" w:eastAsia="黑体" w:cs="黑体"/>
          <w:sz w:val="32"/>
          <w:szCs w:val="32"/>
          <w:shd w:val="clear" w:color="auto" w:fill="FFFFFF"/>
        </w:rPr>
        <w:t>政府性基金预算支出决算情况说明</w:t>
      </w:r>
      <w:bookmarkEnd w:id="14"/>
    </w:p>
    <w:p>
      <w:pPr>
        <w:spacing w:line="600" w:lineRule="exact"/>
        <w:ind w:firstLine="640" w:firstLineChars="200"/>
        <w:rPr>
          <w:rFonts w:hint="eastAsia" w:ascii="黑体" w:hAnsi="黑体" w:eastAsia="仿宋_GB2312" w:cs="黑体"/>
          <w:sz w:val="32"/>
          <w:szCs w:val="32"/>
          <w:shd w:val="clear" w:color="auto" w:fill="FFFFFF"/>
          <w:lang w:eastAsia="zh-CN"/>
        </w:rPr>
      </w:pPr>
      <w:r>
        <w:rPr>
          <w:rFonts w:ascii="仿宋_GB2312" w:eastAsia="仿宋_GB2312"/>
          <w:color w:val="000000"/>
          <w:sz w:val="32"/>
          <w:szCs w:val="32"/>
        </w:rPr>
        <w:t>20</w:t>
      </w: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p>
    <w:p>
      <w:pPr>
        <w:pStyle w:val="13"/>
        <w:keepNext w:val="0"/>
        <w:keepLines w:val="0"/>
        <w:widowControl/>
        <w:numPr>
          <w:ilvl w:val="0"/>
          <w:numId w:val="5"/>
        </w:numPr>
        <w:suppressLineNumbers w:val="0"/>
        <w:shd w:val="clear" w:color="auto" w:fill="auto"/>
        <w:ind w:left="0" w:leftChars="0" w:right="75" w:firstLine="0" w:firstLineChars="0"/>
        <w:jc w:val="left"/>
        <w:outlineLvl w:val="1"/>
        <w:rPr>
          <w:rFonts w:hint="eastAsia" w:ascii="黑体" w:hAnsi="黑体" w:eastAsia="黑体" w:cs="黑体"/>
          <w:sz w:val="32"/>
          <w:szCs w:val="32"/>
          <w:shd w:val="clear" w:color="auto" w:fill="FFFFFF"/>
        </w:rPr>
      </w:pPr>
      <w:bookmarkStart w:id="15" w:name="_Toc31416"/>
      <w:r>
        <w:rPr>
          <w:rFonts w:hint="eastAsia" w:ascii="黑体" w:hAnsi="黑体" w:eastAsia="黑体" w:cs="黑体"/>
          <w:sz w:val="32"/>
          <w:szCs w:val="32"/>
          <w:shd w:val="clear" w:color="auto" w:fill="FFFFFF"/>
        </w:rPr>
        <w:t>国有资本经营预算支出决算情况说明</w:t>
      </w:r>
      <w:bookmarkEnd w:id="15"/>
    </w:p>
    <w:p>
      <w:pPr>
        <w:spacing w:line="600" w:lineRule="exact"/>
        <w:ind w:firstLine="640"/>
        <w:rPr>
          <w:rFonts w:hint="eastAsia" w:ascii="黑体" w:hAnsi="黑体" w:eastAsia="黑体" w:cs="黑体"/>
          <w:sz w:val="32"/>
          <w:szCs w:val="32"/>
          <w:shd w:val="clear" w:color="auto" w:fill="FFFFFF"/>
        </w:rPr>
      </w:pPr>
      <w:r>
        <w:rPr>
          <w:rFonts w:ascii="仿宋_GB2312" w:eastAsia="仿宋_GB2312"/>
          <w:color w:val="000000"/>
          <w:sz w:val="32"/>
          <w:szCs w:val="32"/>
        </w:rPr>
        <w:t>20</w:t>
      </w: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p>
    <w:p>
      <w:pPr>
        <w:pStyle w:val="13"/>
        <w:keepNext w:val="0"/>
        <w:keepLines w:val="0"/>
        <w:widowControl/>
        <w:suppressLineNumbers w:val="0"/>
        <w:shd w:val="clear" w:color="auto" w:fill="auto"/>
        <w:ind w:left="0" w:right="75"/>
        <w:jc w:val="left"/>
        <w:outlineLvl w:val="1"/>
        <w:rPr>
          <w:rFonts w:hint="eastAsia" w:ascii="黑体" w:hAnsi="黑体" w:eastAsia="黑体" w:cs="黑体"/>
          <w:sz w:val="32"/>
          <w:szCs w:val="32"/>
          <w:shd w:val="clear" w:color="auto" w:fill="FFFFFF"/>
        </w:rPr>
      </w:pPr>
      <w:bookmarkStart w:id="16" w:name="_Toc11587"/>
      <w:r>
        <w:rPr>
          <w:rFonts w:hint="eastAsia" w:ascii="黑体" w:hAnsi="黑体" w:eastAsia="黑体" w:cs="黑体"/>
          <w:sz w:val="32"/>
          <w:szCs w:val="32"/>
          <w:shd w:val="clear" w:color="auto" w:fill="FFFFFF"/>
        </w:rPr>
        <w:t>十、其他重要事项的情况说明</w:t>
      </w:r>
      <w:bookmarkEnd w:id="16"/>
    </w:p>
    <w:p>
      <w:pPr>
        <w:pStyle w:val="13"/>
        <w:keepNext w:val="0"/>
        <w:keepLines w:val="0"/>
        <w:widowControl/>
        <w:suppressLineNumbers w:val="0"/>
        <w:ind w:left="0" w:right="75"/>
        <w:rPr>
          <w:rStyle w:val="16"/>
          <w:rFonts w:hint="eastAsia" w:ascii="仿宋_GB2312" w:hAnsi="仿宋_GB2312" w:eastAsia="仿宋_GB2312" w:cs="仿宋_GB2312"/>
          <w:sz w:val="32"/>
          <w:szCs w:val="32"/>
          <w:shd w:val="clear" w:color="auto" w:fill="FFFFFF"/>
        </w:rPr>
      </w:pPr>
      <w:r>
        <w:rPr>
          <w:rStyle w:val="16"/>
          <w:rFonts w:hint="eastAsia" w:ascii="仿宋_GB2312" w:hAnsi="仿宋_GB2312" w:eastAsia="仿宋_GB2312" w:cs="仿宋_GB2312"/>
          <w:sz w:val="32"/>
          <w:szCs w:val="32"/>
          <w:shd w:val="clear" w:color="auto" w:fill="FFFFFF"/>
        </w:rPr>
        <w:t>（一）机关运行经费支出情况</w:t>
      </w:r>
    </w:p>
    <w:p>
      <w:pPr>
        <w:pStyle w:val="13"/>
        <w:keepNext w:val="0"/>
        <w:keepLines w:val="0"/>
        <w:widowControl/>
        <w:suppressLineNumbers w:val="0"/>
        <w:ind w:left="0" w:right="75" w:firstLine="640" w:firstLineChars="200"/>
        <w:rPr>
          <w:rStyle w:val="16"/>
          <w:rFonts w:hint="default" w:ascii="仿宋_GB2312" w:hAnsi="仿宋_GB2312" w:eastAsia="仿宋_GB2312" w:cs="仿宋_GB2312"/>
          <w:b/>
          <w:bCs/>
          <w:sz w:val="32"/>
          <w:szCs w:val="32"/>
          <w:shd w:val="clear" w:color="auto" w:fill="FFFFFF"/>
          <w:lang w:val="en-US"/>
        </w:rPr>
      </w:pPr>
      <w:r>
        <w:rPr>
          <w:rFonts w:ascii="仿宋_GB2312" w:eastAsia="仿宋_GB2312"/>
          <w:color w:val="000000"/>
          <w:sz w:val="32"/>
          <w:szCs w:val="32"/>
        </w:rPr>
        <w:t>20</w:t>
      </w: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年，</w:t>
      </w:r>
      <w:r>
        <w:rPr>
          <w:rFonts w:hint="eastAsia" w:ascii="仿宋_GB2312" w:eastAsia="仿宋_GB2312"/>
          <w:color w:val="000000"/>
          <w:sz w:val="32"/>
          <w:szCs w:val="32"/>
          <w:lang w:eastAsia="zh-CN"/>
        </w:rPr>
        <w:t>县委编办</w:t>
      </w:r>
      <w:r>
        <w:rPr>
          <w:rFonts w:hint="eastAsia" w:ascii="仿宋_GB2312" w:eastAsia="仿宋_GB2312"/>
          <w:color w:val="000000"/>
          <w:sz w:val="32"/>
          <w:szCs w:val="32"/>
        </w:rPr>
        <w:t>机关运行经费支出</w:t>
      </w:r>
      <w:r>
        <w:rPr>
          <w:rFonts w:hint="eastAsia" w:ascii="仿宋_GB2312" w:eastAsia="仿宋_GB2312"/>
          <w:color w:val="000000"/>
          <w:sz w:val="32"/>
          <w:szCs w:val="32"/>
          <w:lang w:val="en-US" w:eastAsia="zh-CN"/>
        </w:rPr>
        <w:t>32.20</w:t>
      </w:r>
      <w:r>
        <w:rPr>
          <w:rFonts w:hint="eastAsia" w:ascii="仿宋_GB2312" w:eastAsia="仿宋_GB2312"/>
          <w:color w:val="000000"/>
          <w:sz w:val="32"/>
          <w:szCs w:val="32"/>
        </w:rPr>
        <w:t>万元，比</w:t>
      </w:r>
      <w:r>
        <w:rPr>
          <w:rFonts w:hint="eastAsia" w:ascii="仿宋_GB2312" w:eastAsia="仿宋_GB2312"/>
          <w:color w:val="000000"/>
          <w:sz w:val="32"/>
          <w:szCs w:val="32"/>
          <w:lang w:val="en-US" w:eastAsia="zh-CN"/>
        </w:rPr>
        <w:t>2024</w:t>
      </w:r>
      <w:r>
        <w:rPr>
          <w:rFonts w:hint="eastAsia" w:ascii="仿宋_GB2312" w:eastAsia="仿宋_GB2312"/>
          <w:color w:val="000000"/>
          <w:sz w:val="32"/>
          <w:szCs w:val="32"/>
        </w:rPr>
        <w:t>年</w:t>
      </w:r>
      <w:r>
        <w:rPr>
          <w:rFonts w:hint="eastAsia" w:ascii="仿宋_GB2312" w:eastAsia="仿宋_GB2312"/>
          <w:color w:val="000000"/>
          <w:sz w:val="32"/>
          <w:szCs w:val="32"/>
          <w:lang w:eastAsia="zh-CN"/>
        </w:rPr>
        <w:t>增加</w:t>
      </w:r>
      <w:r>
        <w:rPr>
          <w:rFonts w:hint="eastAsia" w:ascii="仿宋_GB2312" w:eastAsia="仿宋_GB2312"/>
          <w:color w:val="000000"/>
          <w:sz w:val="32"/>
          <w:szCs w:val="32"/>
          <w:lang w:val="en-US" w:eastAsia="zh-CN"/>
        </w:rPr>
        <w:t>5.58</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上升</w:t>
      </w:r>
      <w:r>
        <w:rPr>
          <w:rFonts w:hint="eastAsia" w:ascii="仿宋_GB2312" w:eastAsia="仿宋_GB2312"/>
          <w:color w:val="000000"/>
          <w:sz w:val="32"/>
          <w:szCs w:val="32"/>
          <w:lang w:val="en-US" w:eastAsia="zh-CN"/>
        </w:rPr>
        <w:t>17.43</w:t>
      </w:r>
      <w:r>
        <w:rPr>
          <w:rFonts w:ascii="仿宋_GB2312" w:eastAsia="仿宋_GB2312"/>
          <w:color w:val="000000"/>
          <w:sz w:val="32"/>
          <w:szCs w:val="32"/>
        </w:rPr>
        <w:t>%</w:t>
      </w:r>
      <w:r>
        <w:rPr>
          <w:rFonts w:hint="eastAsia" w:ascii="仿宋_GB2312" w:eastAsia="仿宋_GB2312"/>
          <w:color w:val="000000"/>
          <w:sz w:val="32"/>
          <w:szCs w:val="32"/>
          <w:lang w:eastAsia="zh-CN"/>
        </w:rPr>
        <w:t>，</w:t>
      </w:r>
      <w:r>
        <w:rPr>
          <w:rFonts w:hint="eastAsia" w:ascii="仿宋_GB2312" w:eastAsia="仿宋_GB2312"/>
          <w:b/>
          <w:bCs/>
          <w:color w:val="000000"/>
          <w:sz w:val="32"/>
          <w:szCs w:val="32"/>
          <w:lang w:eastAsia="zh-CN"/>
        </w:rPr>
        <w:t>主要原因费用增加（退休人员一次性补贴及建房补贴）</w:t>
      </w:r>
      <w:r>
        <w:rPr>
          <w:rFonts w:hint="eastAsia" w:ascii="仿宋_GB2312" w:hAnsi="仿宋_GB2312" w:eastAsia="仿宋_GB2312" w:cs="仿宋_GB2312"/>
          <w:b/>
          <w:bCs/>
          <w:color w:val="000000"/>
          <w:sz w:val="32"/>
          <w:szCs w:val="32"/>
          <w:lang w:val="en-US" w:eastAsia="zh-CN"/>
        </w:rPr>
        <w:t>。</w:t>
      </w:r>
    </w:p>
    <w:p>
      <w:pPr>
        <w:pStyle w:val="13"/>
        <w:keepNext w:val="0"/>
        <w:keepLines w:val="0"/>
        <w:widowControl/>
        <w:numPr>
          <w:ilvl w:val="0"/>
          <w:numId w:val="0"/>
        </w:numPr>
        <w:suppressLineNumbers w:val="0"/>
        <w:ind w:leftChars="0" w:right="75" w:rightChars="0"/>
        <w:rPr>
          <w:rStyle w:val="16"/>
          <w:rFonts w:hint="eastAsia" w:ascii="仿宋_GB2312" w:hAnsi="仿宋_GB2312" w:eastAsia="仿宋_GB2312" w:cs="仿宋_GB2312"/>
          <w:sz w:val="32"/>
          <w:szCs w:val="32"/>
          <w:shd w:val="clear" w:color="auto" w:fill="FFFFFF"/>
        </w:rPr>
      </w:pPr>
      <w:r>
        <w:rPr>
          <w:rStyle w:val="16"/>
          <w:rFonts w:hint="eastAsia" w:ascii="仿宋_GB2312" w:hAnsi="仿宋_GB2312" w:eastAsia="仿宋_GB2312" w:cs="仿宋_GB2312"/>
          <w:sz w:val="32"/>
          <w:szCs w:val="32"/>
          <w:shd w:val="clear" w:color="auto" w:fill="FFFFFF"/>
          <w:lang w:eastAsia="zh-CN"/>
        </w:rPr>
        <w:t>（二）</w:t>
      </w:r>
      <w:r>
        <w:rPr>
          <w:rStyle w:val="16"/>
          <w:rFonts w:hint="eastAsia" w:ascii="仿宋_GB2312" w:hAnsi="仿宋_GB2312" w:eastAsia="仿宋_GB2312" w:cs="仿宋_GB2312"/>
          <w:sz w:val="32"/>
          <w:szCs w:val="32"/>
          <w:shd w:val="clear" w:color="auto" w:fill="FFFFFF"/>
        </w:rPr>
        <w:t>政府采购支出情况</w:t>
      </w:r>
    </w:p>
    <w:p>
      <w:pPr>
        <w:spacing w:line="600" w:lineRule="exact"/>
        <w:ind w:firstLine="640"/>
        <w:rPr>
          <w:rStyle w:val="16"/>
          <w:rFonts w:hint="eastAsia" w:ascii="仿宋_GB2312" w:hAnsi="仿宋_GB2312" w:eastAsia="仿宋_GB2312" w:cs="仿宋_GB2312"/>
          <w:sz w:val="32"/>
          <w:szCs w:val="32"/>
          <w:shd w:val="clear" w:color="auto" w:fill="FFFFFF"/>
          <w:lang w:eastAsia="zh-CN"/>
        </w:rPr>
      </w:pPr>
      <w:r>
        <w:rPr>
          <w:rFonts w:hint="eastAsia" w:ascii="仿宋_GB2312" w:eastAsia="仿宋_GB2312"/>
          <w:color w:val="000000"/>
          <w:sz w:val="32"/>
          <w:szCs w:val="32"/>
          <w:lang w:val="en-US" w:eastAsia="zh-CN"/>
        </w:rPr>
        <w:t>2025</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政府采购</w:t>
      </w:r>
      <w:r>
        <w:rPr>
          <w:rFonts w:hint="eastAsia" w:ascii="仿宋_GB2312" w:eastAsia="仿宋_GB2312"/>
          <w:color w:val="000000"/>
          <w:sz w:val="32"/>
          <w:szCs w:val="32"/>
        </w:rPr>
        <w:t>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p>
    <w:p>
      <w:pPr>
        <w:pStyle w:val="13"/>
        <w:keepNext w:val="0"/>
        <w:keepLines w:val="0"/>
        <w:widowControl/>
        <w:numPr>
          <w:ilvl w:val="0"/>
          <w:numId w:val="4"/>
        </w:numPr>
        <w:suppressLineNumbers w:val="0"/>
        <w:ind w:left="0" w:leftChars="0" w:right="75" w:firstLine="0" w:firstLineChars="0"/>
        <w:rPr>
          <w:rStyle w:val="16"/>
          <w:rFonts w:hint="eastAsia" w:ascii="仿宋_GB2312" w:hAnsi="仿宋_GB2312" w:eastAsia="仿宋_GB2312" w:cs="仿宋_GB2312"/>
          <w:sz w:val="32"/>
          <w:szCs w:val="32"/>
          <w:shd w:val="clear" w:color="auto" w:fill="FFFFFF"/>
        </w:rPr>
      </w:pPr>
      <w:r>
        <w:rPr>
          <w:rStyle w:val="16"/>
          <w:rFonts w:hint="eastAsia" w:ascii="仿宋_GB2312" w:hAnsi="仿宋_GB2312" w:eastAsia="仿宋_GB2312" w:cs="仿宋_GB2312"/>
          <w:sz w:val="32"/>
          <w:szCs w:val="32"/>
          <w:shd w:val="clear" w:color="auto" w:fill="FFFFFF"/>
        </w:rPr>
        <w:t>国有资产占有使用情况</w:t>
      </w:r>
    </w:p>
    <w:p>
      <w:pPr>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截至20</w:t>
      </w: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年12月31日，</w:t>
      </w:r>
      <w:r>
        <w:rPr>
          <w:rFonts w:hint="eastAsia" w:ascii="仿宋_GB2312" w:eastAsia="仿宋_GB2312"/>
          <w:color w:val="000000"/>
          <w:sz w:val="32"/>
          <w:szCs w:val="32"/>
          <w:lang w:eastAsia="zh-CN"/>
        </w:rPr>
        <w:t>红原县委编办</w:t>
      </w:r>
      <w:r>
        <w:rPr>
          <w:rFonts w:hint="eastAsia" w:ascii="仿宋_GB2312" w:eastAsia="仿宋_GB2312"/>
          <w:color w:val="000000"/>
          <w:sz w:val="32"/>
          <w:szCs w:val="32"/>
        </w:rPr>
        <w:t>共有车辆</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辆，其中：主要领导干部用车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辆、机要通信用车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辆、应急保障用车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r>
        <w:rPr>
          <w:rFonts w:hint="eastAsia" w:ascii="仿宋_GB2312" w:eastAsia="仿宋_GB2312"/>
          <w:color w:val="000000"/>
          <w:sz w:val="32"/>
          <w:szCs w:val="32"/>
          <w:lang w:val="en-US" w:eastAsia="zh-CN"/>
        </w:rPr>
        <w:t>，</w:t>
      </w:r>
      <w:r>
        <w:rPr>
          <w:rFonts w:hint="eastAsia" w:ascii="仿宋_GB2312" w:eastAsia="仿宋_GB2312"/>
          <w:color w:val="000000"/>
          <w:sz w:val="32"/>
          <w:szCs w:val="32"/>
        </w:rPr>
        <w:t>单价50万元以上通用设备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台（套），单价100万元以上专用设备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台（套）。202</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年度，我单位配置固定资产</w:t>
      </w:r>
      <w:r>
        <w:rPr>
          <w:rFonts w:hint="eastAsia" w:ascii="仿宋_GB2312" w:eastAsia="仿宋_GB2312"/>
          <w:color w:val="000000"/>
          <w:sz w:val="32"/>
          <w:szCs w:val="32"/>
          <w:lang w:val="en-US" w:eastAsia="zh-CN"/>
        </w:rPr>
        <w:t>25.45</w:t>
      </w:r>
      <w:r>
        <w:rPr>
          <w:rFonts w:hint="eastAsia" w:ascii="仿宋_GB2312" w:eastAsia="仿宋_GB2312"/>
          <w:color w:val="000000"/>
          <w:sz w:val="32"/>
          <w:szCs w:val="32"/>
        </w:rPr>
        <w:t>万元（账面原值，下同）。从资产类别分析，配置土地、房屋及构筑物</w:t>
      </w:r>
      <w:r>
        <w:rPr>
          <w:rFonts w:hint="eastAsia" w:ascii="仿宋_GB2312" w:eastAsia="仿宋_GB2312"/>
          <w:color w:val="000000"/>
          <w:sz w:val="32"/>
          <w:szCs w:val="32"/>
          <w:lang w:val="en-US" w:eastAsia="zh-CN"/>
        </w:rPr>
        <w:t>0.00</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0.00</w:t>
      </w:r>
      <w:r>
        <w:rPr>
          <w:rFonts w:hint="eastAsia" w:ascii="仿宋_GB2312" w:eastAsia="仿宋_GB2312"/>
          <w:color w:val="000000"/>
          <w:sz w:val="32"/>
          <w:szCs w:val="32"/>
        </w:rPr>
        <w:t>%； 配置通用设备</w:t>
      </w:r>
      <w:r>
        <w:rPr>
          <w:rFonts w:hint="eastAsia" w:ascii="仿宋_GB2312" w:eastAsia="仿宋_GB2312"/>
          <w:color w:val="000000"/>
          <w:sz w:val="32"/>
          <w:szCs w:val="32"/>
          <w:lang w:val="en-US" w:eastAsia="zh-CN"/>
        </w:rPr>
        <w:t>22.42</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88.09</w:t>
      </w:r>
      <w:r>
        <w:rPr>
          <w:rFonts w:hint="eastAsia" w:ascii="仿宋_GB2312" w:eastAsia="仿宋_GB2312"/>
          <w:color w:val="000000"/>
          <w:sz w:val="32"/>
          <w:szCs w:val="32"/>
        </w:rPr>
        <w:t>% ； 配置家具、用具、装具及动植物</w:t>
      </w:r>
      <w:r>
        <w:rPr>
          <w:rFonts w:hint="eastAsia" w:ascii="仿宋_GB2312" w:eastAsia="仿宋_GB2312"/>
          <w:color w:val="000000"/>
          <w:sz w:val="32"/>
          <w:szCs w:val="32"/>
          <w:lang w:val="en-US" w:eastAsia="zh-CN"/>
        </w:rPr>
        <w:t>3.03</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11.91</w:t>
      </w:r>
      <w:r>
        <w:rPr>
          <w:rFonts w:hint="eastAsia" w:ascii="仿宋_GB2312" w:eastAsia="仿宋_GB2312"/>
          <w:color w:val="000000"/>
          <w:sz w:val="32"/>
          <w:szCs w:val="32"/>
        </w:rPr>
        <w:t>% 。</w:t>
      </w:r>
    </w:p>
    <w:p>
      <w:pPr>
        <w:pStyle w:val="13"/>
        <w:keepNext w:val="0"/>
        <w:keepLines w:val="0"/>
        <w:widowControl/>
        <w:numPr>
          <w:ilvl w:val="0"/>
          <w:numId w:val="4"/>
        </w:numPr>
        <w:suppressLineNumbers w:val="0"/>
        <w:shd w:val="clear" w:color="auto" w:fill="auto"/>
        <w:ind w:left="0" w:leftChars="0" w:right="75" w:firstLine="0" w:firstLineChars="0"/>
        <w:rPr>
          <w:rStyle w:val="16"/>
          <w:rFonts w:hint="eastAsia" w:ascii="仿宋_GB2312" w:hAnsi="仿宋_GB2312" w:eastAsia="仿宋_GB2312" w:cs="仿宋_GB2312"/>
          <w:sz w:val="32"/>
          <w:szCs w:val="32"/>
          <w:shd w:val="clear" w:color="auto" w:fill="FFFFFF"/>
          <w:lang w:val="en-US" w:eastAsia="zh-CN"/>
        </w:rPr>
      </w:pPr>
      <w:r>
        <w:rPr>
          <w:rStyle w:val="16"/>
          <w:rFonts w:hint="eastAsia" w:ascii="仿宋_GB2312" w:hAnsi="仿宋_GB2312" w:eastAsia="仿宋_GB2312" w:cs="仿宋_GB2312"/>
          <w:sz w:val="32"/>
          <w:szCs w:val="32"/>
          <w:shd w:val="clear" w:color="auto" w:fill="FFFFFF"/>
          <w:lang w:val="en-US" w:eastAsia="zh-CN"/>
        </w:rPr>
        <w:t>由养老保险机构发放养老金的退休人员</w:t>
      </w:r>
    </w:p>
    <w:p>
      <w:pPr>
        <w:pStyle w:val="6"/>
        <w:numPr>
          <w:ilvl w:val="0"/>
          <w:numId w:val="0"/>
        </w:numPr>
        <w:ind w:firstLine="640" w:firstLineChars="200"/>
        <w:rPr>
          <w:rFonts w:hint="eastAsia"/>
        </w:rPr>
      </w:pPr>
      <w:r>
        <w:rPr>
          <w:rFonts w:hint="eastAsia" w:ascii="仿宋_GB2312" w:eastAsia="仿宋_GB2312"/>
          <w:color w:val="000000"/>
          <w:sz w:val="32"/>
          <w:szCs w:val="32"/>
        </w:rPr>
        <w:t>截至</w:t>
      </w:r>
      <w:r>
        <w:rPr>
          <w:rFonts w:ascii="仿宋_GB2312" w:eastAsia="仿宋_GB2312"/>
          <w:color w:val="000000"/>
          <w:sz w:val="32"/>
          <w:szCs w:val="32"/>
        </w:rPr>
        <w:t>20</w:t>
      </w: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本单位由养老保险机构发放养老金的退休人员6人，与上年持平。</w:t>
      </w:r>
    </w:p>
    <w:p>
      <w:pPr>
        <w:pStyle w:val="13"/>
        <w:keepNext w:val="0"/>
        <w:keepLines w:val="0"/>
        <w:widowControl/>
        <w:numPr>
          <w:ilvl w:val="0"/>
          <w:numId w:val="4"/>
        </w:numPr>
        <w:suppressLineNumbers w:val="0"/>
        <w:ind w:left="0" w:leftChars="0" w:right="75" w:firstLine="0" w:firstLineChars="0"/>
        <w:rPr>
          <w:rStyle w:val="16"/>
          <w:rFonts w:hint="eastAsia" w:ascii="仿宋_GB2312" w:hAnsi="仿宋_GB2312" w:eastAsia="仿宋_GB2312" w:cs="仿宋_GB2312"/>
          <w:sz w:val="32"/>
          <w:szCs w:val="32"/>
          <w:shd w:val="clear" w:color="auto" w:fill="FFFFFF"/>
        </w:rPr>
      </w:pPr>
      <w:r>
        <w:rPr>
          <w:rStyle w:val="16"/>
          <w:rFonts w:hint="eastAsia" w:ascii="仿宋_GB2312" w:hAnsi="仿宋_GB2312" w:eastAsia="仿宋_GB2312" w:cs="仿宋_GB2312"/>
          <w:sz w:val="32"/>
          <w:szCs w:val="32"/>
          <w:shd w:val="clear" w:color="auto" w:fill="FFFFFF"/>
        </w:rPr>
        <w:t>预算绩效管理情况。</w:t>
      </w:r>
    </w:p>
    <w:p>
      <w:p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本部门按要求对2</w:t>
      </w:r>
      <w:r>
        <w:rPr>
          <w:rFonts w:hint="eastAsia" w:ascii="仿宋_GB2312" w:hAnsi="仿宋_GB2312" w:eastAsia="仿宋_GB2312" w:cs="仿宋_GB2312"/>
          <w:sz w:val="32"/>
          <w:szCs w:val="32"/>
          <w:lang w:val="en-US" w:eastAsia="zh-CN"/>
        </w:rPr>
        <w:t>025</w:t>
      </w:r>
      <w:r>
        <w:rPr>
          <w:rFonts w:hint="eastAsia" w:ascii="仿宋_GB2312" w:hAnsi="仿宋_GB2312" w:eastAsia="仿宋_GB2312" w:cs="仿宋_GB2312"/>
          <w:sz w:val="32"/>
          <w:szCs w:val="32"/>
        </w:rPr>
        <w:t>年部门整体支出开展绩效自评，从评价情况来看</w:t>
      </w:r>
      <w:r>
        <w:rPr>
          <w:rFonts w:hint="eastAsia" w:ascii="仿宋_GB2312" w:hAnsi="仿宋_GB2312" w:eastAsia="仿宋_GB2312" w:cs="仿宋_GB2312"/>
          <w:sz w:val="32"/>
          <w:szCs w:val="32"/>
          <w:lang w:eastAsia="zh-CN"/>
        </w:rPr>
        <w:t>本单位</w:t>
      </w:r>
      <w:r>
        <w:rPr>
          <w:rFonts w:hint="eastAsia" w:ascii="仿宋_GB2312" w:hAnsi="仿宋_GB2312" w:eastAsia="仿宋_GB2312" w:cs="仿宋_GB2312"/>
          <w:sz w:val="32"/>
          <w:szCs w:val="32"/>
          <w:lang w:val="en-US" w:eastAsia="zh-CN"/>
        </w:rPr>
        <w:t>2个项目完成情况良好，严格按照本单位制定的目标绩效管理制度来开展绩效管理工作，项目资金为专项经费的，全部用于专项工作。整体工作开展良好经费全部按照相关管理办法使用。2024年</w:t>
      </w:r>
      <w:r>
        <w:rPr>
          <w:rFonts w:hint="eastAsia" w:ascii="仿宋_GB2312" w:hAnsi="仿宋_GB2312" w:eastAsia="仿宋_GB2312" w:cs="仿宋_GB2312"/>
          <w:sz w:val="32"/>
          <w:szCs w:val="32"/>
          <w:shd w:val="clear" w:color="auto" w:fill="FFFFFF"/>
        </w:rPr>
        <w:t>本部门未组织开展项目支出</w:t>
      </w:r>
      <w:r>
        <w:rPr>
          <w:rFonts w:hint="eastAsia" w:ascii="仿宋_GB2312" w:hAnsi="仿宋_GB2312" w:eastAsia="仿宋_GB2312" w:cs="仿宋_GB2312"/>
          <w:sz w:val="32"/>
          <w:szCs w:val="32"/>
          <w:shd w:val="clear" w:color="auto" w:fill="FFFFFF"/>
          <w:lang w:eastAsia="zh-CN"/>
        </w:rPr>
        <w:t>事后</w:t>
      </w:r>
      <w:r>
        <w:rPr>
          <w:rFonts w:hint="eastAsia" w:ascii="仿宋_GB2312" w:hAnsi="仿宋_GB2312" w:eastAsia="仿宋_GB2312" w:cs="仿宋_GB2312"/>
          <w:sz w:val="32"/>
          <w:szCs w:val="32"/>
          <w:shd w:val="clear" w:color="auto" w:fill="FFFFFF"/>
        </w:rPr>
        <w:t>绩效评价</w:t>
      </w:r>
      <w:r>
        <w:rPr>
          <w:rFonts w:hint="eastAsia" w:ascii="仿宋_GB2312" w:hAnsi="仿宋_GB2312" w:eastAsia="仿宋_GB2312" w:cs="仿宋_GB2312"/>
          <w:sz w:val="32"/>
          <w:szCs w:val="32"/>
          <w:shd w:val="clear" w:color="auto" w:fill="FFFFFF"/>
          <w:lang w:eastAsia="zh-CN"/>
        </w:rPr>
        <w:t>。</w:t>
      </w:r>
    </w:p>
    <w:p>
      <w:pPr>
        <w:numPr>
          <w:ilvl w:val="0"/>
          <w:numId w:val="6"/>
        </w:numPr>
        <w:spacing w:line="580" w:lineRule="exact"/>
        <w:ind w:firstLine="640" w:firstLineChars="200"/>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项目绩效目标完成情况。</w:t>
      </w:r>
      <w:r>
        <w:rPr>
          <w:rFonts w:hint="eastAsia" w:ascii="楷体_GB2312" w:hAnsi="楷体_GB2312" w:eastAsia="楷体_GB2312" w:cs="楷体_GB2312"/>
          <w:sz w:val="32"/>
          <w:szCs w:val="32"/>
        </w:rPr>
        <w:br w:type="textWrapping"/>
      </w:r>
      <w:r>
        <w:rPr>
          <w:rFonts w:hint="eastAsia" w:ascii="仿宋_GB2312" w:hAnsi="仿宋_GB2312" w:eastAsia="仿宋_GB2312" w:cs="仿宋_GB2312"/>
          <w:sz w:val="32"/>
          <w:szCs w:val="32"/>
        </w:rPr>
        <w:t xml:space="preserve">    本部门在20</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年度部门决算中反映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一般行政管理事务”2</w:t>
      </w:r>
      <w:r>
        <w:rPr>
          <w:rFonts w:hint="eastAsia" w:ascii="仿宋_GB2312" w:hAnsi="仿宋_GB2312" w:eastAsia="仿宋_GB2312" w:cs="仿宋_GB2312"/>
          <w:sz w:val="32"/>
          <w:szCs w:val="32"/>
        </w:rPr>
        <w:t>个项目绩效目标实际完成情况。</w:t>
      </w:r>
    </w:p>
    <w:p>
      <w:pPr>
        <w:numPr>
          <w:ilvl w:val="0"/>
          <w:numId w:val="7"/>
        </w:numPr>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编办事业单位登记、管理、督查等经费</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eastAsia="zh-CN"/>
        </w:rPr>
        <w:t>保障</w:t>
      </w:r>
      <w:r>
        <w:rPr>
          <w:rFonts w:hint="eastAsia" w:ascii="仿宋_GB2312" w:hAnsi="仿宋_GB2312" w:eastAsia="仿宋_GB2312" w:cs="仿宋_GB2312"/>
          <w:sz w:val="32"/>
          <w:szCs w:val="32"/>
          <w:lang w:val="en-US" w:eastAsia="zh-CN"/>
        </w:rPr>
        <w:t>事业单位法人年检，法人证书登记或更换，事业单位履职情况督查、业务开展情况，深入推进政府职能转变。</w:t>
      </w:r>
    </w:p>
    <w:p>
      <w:pPr>
        <w:numPr>
          <w:ilvl w:val="0"/>
          <w:numId w:val="7"/>
        </w:numPr>
        <w:spacing w:line="580" w:lineRule="exact"/>
        <w:ind w:left="0" w:leftChars="0"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机关事业单位干部职工人员流动编卡变动项目</w:t>
      </w:r>
      <w:r>
        <w:rPr>
          <w:rFonts w:hint="eastAsia" w:ascii="仿宋_GB2312" w:hAnsi="仿宋_GB2312" w:eastAsia="仿宋_GB2312" w:cs="仿宋_GB2312"/>
          <w:sz w:val="32"/>
          <w:szCs w:val="32"/>
        </w:rPr>
        <w:t>绩效目标完成情况综述。项目全年预算数</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对全县机关事业单位干部职工的人员编制卡的制作及更换工作，精准掌握全县干部职工的编制情况。</w:t>
      </w:r>
    </w:p>
    <w:p>
      <w:pPr>
        <w:pStyle w:val="11"/>
        <w:rPr>
          <w:rFonts w:hint="eastAsia" w:ascii="仿宋_GB2312" w:hAnsi="仿宋_GB2312" w:eastAsia="仿宋_GB2312" w:cs="仿宋_GB2312"/>
          <w:sz w:val="32"/>
          <w:szCs w:val="32"/>
          <w:lang w:eastAsia="zh-CN"/>
        </w:rPr>
      </w:pPr>
    </w:p>
    <w:p>
      <w:pPr>
        <w:rPr>
          <w:rFonts w:hint="eastAsia"/>
          <w:lang w:eastAsia="zh-CN"/>
        </w:rPr>
      </w:pPr>
    </w:p>
    <w:tbl>
      <w:tblPr>
        <w:tblStyle w:val="14"/>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005"/>
        <w:gridCol w:w="825"/>
        <w:gridCol w:w="765"/>
        <w:gridCol w:w="825"/>
        <w:gridCol w:w="1800"/>
        <w:gridCol w:w="1935"/>
        <w:gridCol w:w="2415"/>
      </w:tblGrid>
      <w:tr>
        <w:tblPrEx>
          <w:tblCellMar>
            <w:top w:w="0" w:type="dxa"/>
            <w:left w:w="0" w:type="dxa"/>
            <w:bottom w:w="0" w:type="dxa"/>
            <w:right w:w="0" w:type="dxa"/>
          </w:tblCellMar>
        </w:tblPrEx>
        <w:trPr>
          <w:trHeight w:val="1034" w:hRule="atLeast"/>
        </w:trPr>
        <w:tc>
          <w:tcPr>
            <w:tcW w:w="9960" w:type="dxa"/>
            <w:gridSpan w:val="8"/>
            <w:tcMar>
              <w:top w:w="15" w:type="dxa"/>
              <w:left w:w="15" w:type="dxa"/>
              <w:bottom w:w="0" w:type="dxa"/>
              <w:right w:w="15" w:type="dxa"/>
            </w:tcMar>
            <w:vAlign w:val="center"/>
          </w:tcPr>
          <w:p>
            <w:pPr>
              <w:pStyle w:val="18"/>
              <w:widowControl/>
              <w:ind w:left="4173" w:leftChars="1310" w:hanging="1422" w:hangingChars="395"/>
              <w:textAlignment w:val="center"/>
              <w:rPr>
                <w:rFonts w:ascii="宋体" w:hAnsi="宋体" w:cs="宋体"/>
                <w:color w:val="000000"/>
                <w:sz w:val="36"/>
                <w:szCs w:val="36"/>
              </w:rPr>
            </w:pPr>
            <w:r>
              <w:rPr>
                <w:rFonts w:hint="eastAsia" w:ascii="黑体" w:hAnsi="黑体" w:eastAsia="黑体" w:cs="宋体"/>
                <w:bCs/>
                <w:color w:val="000000"/>
                <w:kern w:val="0"/>
                <w:sz w:val="36"/>
                <w:szCs w:val="36"/>
                <w:lang w:bidi="ar"/>
              </w:rPr>
              <w:t>项目支出绩效目标完成情况表</w:t>
            </w:r>
            <w:r>
              <w:rPr>
                <w:rFonts w:hint="eastAsia" w:ascii="宋体" w:hAnsi="宋体" w:cs="宋体"/>
                <w:b/>
                <w:bCs/>
                <w:color w:val="000000"/>
                <w:kern w:val="0"/>
                <w:sz w:val="36"/>
                <w:szCs w:val="36"/>
                <w:lang w:bidi="ar"/>
              </w:rPr>
              <w:br w:type="textWrapping"/>
            </w:r>
            <w:r>
              <w:rPr>
                <w:rFonts w:hint="eastAsia" w:ascii="宋体" w:hAnsi="宋体" w:cs="宋体"/>
                <w:color w:val="000000"/>
                <w:kern w:val="0"/>
                <w:sz w:val="36"/>
                <w:szCs w:val="36"/>
                <w:lang w:bidi="ar"/>
              </w:rPr>
              <w:t>(20</w:t>
            </w:r>
            <w:r>
              <w:rPr>
                <w:rFonts w:hint="eastAsia" w:ascii="宋体" w:hAnsi="宋体" w:cs="宋体"/>
                <w:color w:val="000000"/>
                <w:kern w:val="0"/>
                <w:sz w:val="36"/>
                <w:szCs w:val="36"/>
                <w:lang w:val="en-US" w:eastAsia="zh-CN" w:bidi="ar"/>
              </w:rPr>
              <w:t>25</w:t>
            </w:r>
            <w:r>
              <w:rPr>
                <w:rFonts w:hint="eastAsia" w:ascii="宋体" w:hAnsi="宋体" w:cs="宋体"/>
                <w:color w:val="000000"/>
                <w:kern w:val="0"/>
                <w:sz w:val="36"/>
                <w:szCs w:val="36"/>
                <w:lang w:bidi="ar"/>
              </w:rPr>
              <w:t>年度)</w:t>
            </w:r>
          </w:p>
        </w:tc>
      </w:tr>
      <w:tr>
        <w:tblPrEx>
          <w:tblCellMar>
            <w:top w:w="0" w:type="dxa"/>
            <w:left w:w="0" w:type="dxa"/>
            <w:bottom w:w="0" w:type="dxa"/>
            <w:right w:w="0" w:type="dxa"/>
          </w:tblCellMar>
        </w:tblPrEx>
        <w:trPr>
          <w:trHeight w:val="276" w:hRule="atLeast"/>
        </w:trPr>
        <w:tc>
          <w:tcPr>
            <w:tcW w:w="22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项目名称</w:t>
            </w:r>
          </w:p>
        </w:tc>
        <w:tc>
          <w:tcPr>
            <w:tcW w:w="7740"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仿宋_GB2312" w:hAnsi="仿宋_GB2312" w:eastAsia="仿宋_GB2312" w:cs="仿宋_GB2312"/>
                <w:sz w:val="32"/>
                <w:szCs w:val="32"/>
                <w:lang w:eastAsia="zh-CN"/>
              </w:rPr>
              <w:t>编办事业单位登记、管理、督查等经费</w:t>
            </w:r>
          </w:p>
        </w:tc>
      </w:tr>
      <w:tr>
        <w:tblPrEx>
          <w:tblCellMar>
            <w:top w:w="0" w:type="dxa"/>
            <w:left w:w="0" w:type="dxa"/>
            <w:bottom w:w="0" w:type="dxa"/>
            <w:right w:w="0" w:type="dxa"/>
          </w:tblCellMar>
        </w:tblPrEx>
        <w:trPr>
          <w:trHeight w:val="276" w:hRule="atLeast"/>
        </w:trPr>
        <w:tc>
          <w:tcPr>
            <w:tcW w:w="22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预算单位</w:t>
            </w:r>
          </w:p>
        </w:tc>
        <w:tc>
          <w:tcPr>
            <w:tcW w:w="7740"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中共红原县委机构编制委员会办公室</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预算执行情况(万元)</w:t>
            </w: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预算数:</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3万元</w:t>
            </w:r>
          </w:p>
        </w:tc>
        <w:tc>
          <w:tcPr>
            <w:tcW w:w="456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执行数: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3万元</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3万元</w:t>
            </w:r>
          </w:p>
        </w:tc>
        <w:tc>
          <w:tcPr>
            <w:tcW w:w="456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3万元</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w:t>
            </w:r>
          </w:p>
        </w:tc>
        <w:tc>
          <w:tcPr>
            <w:tcW w:w="456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rFonts w:ascii="宋体" w:hAnsi="宋体" w:cs="宋体"/>
                <w:color w:val="000000"/>
                <w:sz w:val="24"/>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年度目标完成情况</w:t>
            </w:r>
          </w:p>
        </w:tc>
        <w:tc>
          <w:tcPr>
            <w:tcW w:w="259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预期目标</w:t>
            </w:r>
          </w:p>
        </w:tc>
        <w:tc>
          <w:tcPr>
            <w:tcW w:w="697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259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事业单位法人年检，法人证书登记或更换，实名制网络管理等事务所需支出，深入推进政府职能转变</w:t>
            </w:r>
          </w:p>
        </w:tc>
        <w:tc>
          <w:tcPr>
            <w:tcW w:w="697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default" w:ascii="宋体" w:hAnsi="宋体" w:eastAsia="宋体" w:cs="宋体"/>
                <w:color w:val="000000"/>
                <w:sz w:val="24"/>
                <w:lang w:val="en-US" w:eastAsia="zh-CN"/>
              </w:rPr>
              <w:t>制定完善各项登记管理制度，深入各乡镇、部门开展业务指导。落实《事业单位登记治理暂行条例》，按要求全力做好事业单位登记受理、审核、核准、通知、复核和档案规范管理等工作，202</w:t>
            </w:r>
            <w:r>
              <w:rPr>
                <w:rFonts w:hint="eastAsia" w:ascii="宋体" w:hAnsi="宋体" w:cs="宋体"/>
                <w:color w:val="000000"/>
                <w:sz w:val="24"/>
                <w:lang w:val="en-US" w:eastAsia="zh-CN"/>
              </w:rPr>
              <w:t>5</w:t>
            </w:r>
            <w:r>
              <w:rPr>
                <w:rFonts w:hint="default" w:ascii="宋体" w:hAnsi="宋体" w:eastAsia="宋体" w:cs="宋体"/>
                <w:color w:val="000000"/>
                <w:sz w:val="24"/>
                <w:lang w:val="en-US" w:eastAsia="zh-CN"/>
              </w:rPr>
              <w:t>年度办理登记300余件，复核80余次，规范建立档案50余份，安排专人扎实做好事业单位法人证和信用代码证年报工作</w:t>
            </w:r>
            <w:r>
              <w:rPr>
                <w:rFonts w:hint="eastAsia" w:ascii="宋体" w:hAnsi="宋体" w:cs="宋体"/>
                <w:color w:val="000000"/>
                <w:sz w:val="24"/>
                <w:lang w:val="en-US" w:eastAsia="zh-CN"/>
              </w:rPr>
              <w:t>，编制全县履职清单事项500余项</w:t>
            </w:r>
            <w:r>
              <w:rPr>
                <w:rFonts w:hint="default" w:ascii="宋体" w:hAnsi="宋体" w:eastAsia="宋体" w:cs="宋体"/>
                <w:color w:val="000000"/>
                <w:sz w:val="24"/>
                <w:lang w:val="en-US" w:eastAsia="zh-CN"/>
              </w:rPr>
              <w:t>。</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rPr>
              <w:t>绩效指标完成情况</w:t>
            </w:r>
          </w:p>
        </w:tc>
        <w:tc>
          <w:tcPr>
            <w:tcW w:w="10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一级指标</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二级指标</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三级指标</w:t>
            </w:r>
          </w:p>
        </w:tc>
        <w:tc>
          <w:tcPr>
            <w:tcW w:w="2625" w:type="dxa"/>
            <w:gridSpan w:val="2"/>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指标评价内容</w:t>
            </w:r>
          </w:p>
        </w:tc>
        <w:tc>
          <w:tcPr>
            <w:tcW w:w="1935"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预期指标值(包含数字及文字描述)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实际完成指标值(包含数字及文字描述)</w:t>
            </w:r>
          </w:p>
        </w:tc>
      </w:tr>
      <w:tr>
        <w:tblPrEx>
          <w:tblCellMar>
            <w:top w:w="0" w:type="dxa"/>
            <w:left w:w="0" w:type="dxa"/>
            <w:bottom w:w="0" w:type="dxa"/>
            <w:right w:w="0" w:type="dxa"/>
          </w:tblCellMar>
        </w:tblPrEx>
        <w:trPr>
          <w:trHeight w:val="76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项目决策</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绩效目标</w:t>
            </w:r>
          </w:p>
        </w:tc>
        <w:tc>
          <w:tcPr>
            <w:tcW w:w="76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目标内容</w:t>
            </w:r>
          </w:p>
        </w:tc>
        <w:tc>
          <w:tcPr>
            <w:tcW w:w="262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sz w:val="20"/>
                <w:szCs w:val="20"/>
                <w:lang w:eastAsia="zh-CN"/>
              </w:rPr>
            </w:pPr>
            <w:r>
              <w:rPr>
                <w:rFonts w:hint="eastAsia" w:ascii="宋体" w:hAnsi="宋体" w:cs="宋体"/>
                <w:color w:val="auto"/>
                <w:sz w:val="20"/>
                <w:szCs w:val="20"/>
                <w:lang w:eastAsia="zh-CN"/>
              </w:rPr>
              <w:t>项目预期提供的产品、服务、效益或其他目标明确,即绩效目标实际明确个数/应当明确个数×100%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auto"/>
                <w:sz w:val="20"/>
                <w:szCs w:val="20"/>
                <w:lang w:val="en-US" w:eastAsia="zh-CN"/>
              </w:rPr>
            </w:pPr>
            <w:r>
              <w:rPr>
                <w:rFonts w:hint="eastAsia" w:ascii="宋体" w:hAnsi="宋体" w:cs="宋体"/>
                <w:color w:val="auto"/>
                <w:sz w:val="20"/>
                <w:szCs w:val="20"/>
                <w:lang w:eastAsia="zh-CN"/>
              </w:rPr>
              <w:t>完成</w:t>
            </w:r>
            <w:r>
              <w:rPr>
                <w:rFonts w:hint="eastAsia" w:ascii="宋体" w:hAnsi="宋体" w:cs="宋体"/>
                <w:color w:val="auto"/>
                <w:sz w:val="20"/>
                <w:szCs w:val="20"/>
                <w:lang w:val="en-US" w:eastAsia="zh-CN"/>
              </w:rPr>
              <w:t>本年度</w:t>
            </w:r>
            <w:r>
              <w:rPr>
                <w:rFonts w:hint="eastAsia" w:ascii="宋体" w:eastAsia="宋体" w:cs="Arial"/>
                <w:sz w:val="21"/>
                <w:szCs w:val="21"/>
                <w:lang w:val="en-US" w:eastAsia="zh-CN"/>
              </w:rPr>
              <w:t>事业单位法人年检，法人证书登记或更换，实名制网络管理等事务所需支出，深入推进政府职能转变</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eastAsia="宋体" w:cs="Arial"/>
                <w:sz w:val="21"/>
                <w:szCs w:val="21"/>
                <w:lang w:val="en-US" w:eastAsia="zh-CN"/>
              </w:rPr>
            </w:pPr>
            <w:r>
              <w:rPr>
                <w:rFonts w:hint="default" w:ascii="宋体" w:eastAsia="宋体" w:cs="Arial"/>
                <w:sz w:val="21"/>
                <w:szCs w:val="21"/>
                <w:lang w:val="en-US" w:eastAsia="zh-CN"/>
              </w:rPr>
              <w:t>制定完善各项登记管理制度，深入各乡镇、部门开展业务指导。落实《事业单位登记治理暂行条例》，按要求全力做好事业单位登记受理、审核、核准、通知、复核和档案规范管理等工作，202</w:t>
            </w:r>
            <w:r>
              <w:rPr>
                <w:rFonts w:hint="eastAsia" w:ascii="宋体" w:eastAsia="宋体" w:cs="Arial"/>
                <w:sz w:val="21"/>
                <w:szCs w:val="21"/>
                <w:lang w:val="en-US" w:eastAsia="zh-CN"/>
              </w:rPr>
              <w:t>5</w:t>
            </w:r>
            <w:r>
              <w:rPr>
                <w:rFonts w:hint="default" w:ascii="宋体" w:eastAsia="宋体" w:cs="Arial"/>
                <w:sz w:val="21"/>
                <w:szCs w:val="21"/>
                <w:lang w:val="en-US" w:eastAsia="zh-CN"/>
              </w:rPr>
              <w:t>年度办理登记300余件，复核80余次，规范建立档案50余份，安排专人扎实做好事业单位法人证和信用代码证年报工作</w:t>
            </w:r>
            <w:r>
              <w:rPr>
                <w:rFonts w:hint="eastAsia" w:ascii="宋体" w:eastAsia="宋体" w:cs="Arial"/>
                <w:sz w:val="21"/>
                <w:szCs w:val="21"/>
                <w:lang w:val="en-US" w:eastAsia="zh-CN"/>
              </w:rPr>
              <w:t>，编制全县履职清单事项500余项</w:t>
            </w:r>
            <w:r>
              <w:rPr>
                <w:rFonts w:hint="default" w:ascii="宋体" w:eastAsia="宋体" w:cs="Arial"/>
                <w:sz w:val="21"/>
                <w:szCs w:val="21"/>
                <w:lang w:val="en-US" w:eastAsia="zh-CN"/>
              </w:rPr>
              <w:t>。</w:t>
            </w:r>
          </w:p>
        </w:tc>
      </w:tr>
      <w:tr>
        <w:tblPrEx>
          <w:tblCellMar>
            <w:top w:w="0" w:type="dxa"/>
            <w:left w:w="0" w:type="dxa"/>
            <w:bottom w:w="0" w:type="dxa"/>
            <w:right w:w="0" w:type="dxa"/>
          </w:tblCellMar>
        </w:tblPrEx>
        <w:trPr>
          <w:trHeight w:val="81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进度计划</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项目计划实施进度明确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一年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按计划完成</w:t>
            </w:r>
          </w:p>
        </w:tc>
      </w:tr>
      <w:tr>
        <w:tblPrEx>
          <w:tblCellMar>
            <w:top w:w="0" w:type="dxa"/>
            <w:left w:w="0" w:type="dxa"/>
            <w:bottom w:w="0" w:type="dxa"/>
            <w:right w:w="0" w:type="dxa"/>
          </w:tblCellMar>
        </w:tblPrEx>
        <w:trPr>
          <w:trHeight w:val="11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目标匹配</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绩效目标设定符合实际需求的抽样项目点个数/抽样项目点总数×100%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r>
        <w:tblPrEx>
          <w:tblCellMar>
            <w:top w:w="0" w:type="dxa"/>
            <w:left w:w="0" w:type="dxa"/>
            <w:bottom w:w="0" w:type="dxa"/>
            <w:right w:w="0" w:type="dxa"/>
          </w:tblCellMar>
        </w:tblPrEx>
        <w:trPr>
          <w:trHeight w:val="8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决策依据</w:t>
            </w: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政策依据</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项目符合党中央、国务院和省委、省政府决策部署；符合当前经济社会发展需要</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r>
      <w:tr>
        <w:tblPrEx>
          <w:tblCellMar>
            <w:top w:w="0" w:type="dxa"/>
            <w:left w:w="0" w:type="dxa"/>
            <w:bottom w:w="0" w:type="dxa"/>
            <w:right w:w="0" w:type="dxa"/>
          </w:tblCellMar>
        </w:tblPrEx>
        <w:trPr>
          <w:trHeight w:val="83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实施规划</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连续性项目根据需要制定中长期实施规划</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tblPrEx>
          <w:tblCellMar>
            <w:top w:w="0" w:type="dxa"/>
            <w:left w:w="0" w:type="dxa"/>
            <w:bottom w:w="0" w:type="dxa"/>
            <w:right w:w="0" w:type="dxa"/>
          </w:tblCellMar>
        </w:tblPrEx>
        <w:trPr>
          <w:trHeight w:val="2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52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管理制度</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制定项目资金管理办法</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项目资金管理办法</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已制定按照相关文件执行</w:t>
            </w:r>
          </w:p>
        </w:tc>
      </w:tr>
      <w:tr>
        <w:tblPrEx>
          <w:tblCellMar>
            <w:top w:w="0" w:type="dxa"/>
            <w:left w:w="0" w:type="dxa"/>
            <w:bottom w:w="0" w:type="dxa"/>
            <w:right w:w="0" w:type="dxa"/>
          </w:tblCellMar>
        </w:tblPrEx>
        <w:trPr>
          <w:trHeight w:val="65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61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资金分配</w:t>
            </w:r>
          </w:p>
        </w:tc>
        <w:tc>
          <w:tcPr>
            <w:tcW w:w="76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分配方法</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57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分配过程</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分配过程符合相关规定</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74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分配结果</w:t>
            </w: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审核把关</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r>
      <w:tr>
        <w:tblPrEx>
          <w:tblCellMar>
            <w:top w:w="0" w:type="dxa"/>
            <w:left w:w="0" w:type="dxa"/>
            <w:bottom w:w="0" w:type="dxa"/>
            <w:right w:w="0" w:type="dxa"/>
          </w:tblCellMar>
        </w:tblPrEx>
        <w:trPr>
          <w:trHeight w:val="78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资金集中</w:t>
            </w:r>
          </w:p>
        </w:tc>
        <w:tc>
          <w:tcPr>
            <w:tcW w:w="8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集中</w:t>
            </w:r>
          </w:p>
        </w:tc>
        <w:tc>
          <w:tcPr>
            <w:tcW w:w="180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33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（均衡）</w:t>
            </w:r>
          </w:p>
        </w:tc>
        <w:tc>
          <w:tcPr>
            <w:tcW w:w="825" w:type="dxa"/>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均衡</w:t>
            </w:r>
          </w:p>
        </w:tc>
        <w:tc>
          <w:tcPr>
            <w:tcW w:w="1800" w:type="dxa"/>
            <w:tcBorders>
              <w:top w:val="single" w:color="auto" w:sz="4" w:space="0"/>
              <w:left w:val="single" w:color="auto"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按实际分配结果选择客观因素测算验证资金分配方法制定、分配要素设定、基础数据应用、测算依据选取等是否科学合理</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7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项目管理</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资金到位</w:t>
            </w:r>
          </w:p>
        </w:tc>
        <w:tc>
          <w:tcPr>
            <w:tcW w:w="76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分配时效</w:t>
            </w:r>
          </w:p>
        </w:tc>
        <w:tc>
          <w:tcPr>
            <w:tcW w:w="262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县级主管部门按规定及时分配资金</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资金拨付</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按规定及时拨付资金</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半年拨付</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both"/>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半年拨付</w:t>
            </w:r>
          </w:p>
        </w:tc>
      </w:tr>
      <w:tr>
        <w:tblPrEx>
          <w:tblCellMar>
            <w:top w:w="0" w:type="dxa"/>
            <w:left w:w="0" w:type="dxa"/>
            <w:bottom w:w="0" w:type="dxa"/>
            <w:right w:w="0" w:type="dxa"/>
          </w:tblCellMar>
        </w:tblPrEx>
        <w:trPr>
          <w:trHeight w:val="42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资金管理</w:t>
            </w: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使用范围</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资金使用是否合规</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86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支付依据</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资金支付依据符合规定，即支付依旧合规资金量/资金总量×100%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98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开支标准</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资金开支标准符合规定，即开支标准合规资金量/资金总量×100%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47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财务管理</w:t>
            </w: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财务制度</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财务制度健全，管理规范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6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会计核算</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会计核算规范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56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组织实施</w:t>
            </w: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项目调整</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项目调整严格履行相关手续</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blPrEx>
          <w:tblCellMar>
            <w:top w:w="0" w:type="dxa"/>
            <w:left w:w="0" w:type="dxa"/>
            <w:bottom w:w="0" w:type="dxa"/>
            <w:right w:w="0" w:type="dxa"/>
          </w:tblCellMar>
        </w:tblPrEx>
        <w:trPr>
          <w:trHeight w:val="48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投资变更</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项目投资变更额/项目总投入×100%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6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制度执行</w:t>
            </w:r>
          </w:p>
        </w:tc>
        <w:tc>
          <w:tcPr>
            <w:tcW w:w="262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严格执行项目有关制度规定</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43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项目绩效</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项目完成</w:t>
            </w:r>
          </w:p>
        </w:tc>
        <w:tc>
          <w:tcPr>
            <w:tcW w:w="76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完成数量</w:t>
            </w:r>
          </w:p>
        </w:tc>
        <w:tc>
          <w:tcPr>
            <w:tcW w:w="262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实际完成任务量/绩效目标设定任务量×100%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5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完成质量</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符合绩效目标设定的验收标准，达到行业基准水平</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35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完成时效</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（实际完成时间-绩效目标设定完成时间）/绩效目标设定完成时间×100%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2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6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完成成本</w:t>
            </w:r>
          </w:p>
        </w:tc>
        <w:tc>
          <w:tcPr>
            <w:tcW w:w="262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（实际完成成本-预计完成成本）/预计完成成本×100%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118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满意度</w:t>
            </w:r>
          </w:p>
        </w:tc>
        <w:tc>
          <w:tcPr>
            <w:tcW w:w="76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服务对象满意度</w:t>
            </w:r>
          </w:p>
        </w:tc>
        <w:tc>
          <w:tcPr>
            <w:tcW w:w="262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反映服务对象或项目受益人对相关产出及其影响的认可程度，根据项目实际细化具体指标。</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bl>
    <w:p>
      <w:pPr>
        <w:rPr>
          <w:rFonts w:ascii="Calibri" w:hAnsi="Calibri"/>
        </w:rPr>
      </w:pPr>
    </w:p>
    <w:p>
      <w:pPr>
        <w:pStyle w:val="11"/>
        <w:rPr>
          <w:rFonts w:ascii="Calibri" w:hAnsi="Calibri"/>
        </w:rPr>
      </w:pPr>
    </w:p>
    <w:p>
      <w:pPr>
        <w:rPr>
          <w:rFonts w:ascii="Calibri" w:hAnsi="Calibri"/>
        </w:rPr>
      </w:pPr>
    </w:p>
    <w:p>
      <w:pPr>
        <w:pStyle w:val="11"/>
        <w:rPr>
          <w:rFonts w:ascii="Calibri" w:hAnsi="Calibri"/>
        </w:rPr>
      </w:pPr>
    </w:p>
    <w:p>
      <w:pPr>
        <w:rPr>
          <w:rFonts w:ascii="Calibri" w:hAnsi="Calibri"/>
        </w:rPr>
      </w:pPr>
    </w:p>
    <w:p>
      <w:pPr>
        <w:pStyle w:val="11"/>
        <w:rPr>
          <w:rFonts w:ascii="Calibri" w:hAnsi="Calibri"/>
        </w:rPr>
      </w:pPr>
    </w:p>
    <w:p>
      <w:pPr>
        <w:rPr>
          <w:rFonts w:ascii="Calibri" w:hAnsi="Calibri"/>
        </w:rPr>
      </w:pPr>
    </w:p>
    <w:p>
      <w:pPr>
        <w:pStyle w:val="11"/>
        <w:rPr>
          <w:rFonts w:ascii="Calibri" w:hAnsi="Calibri"/>
        </w:rPr>
      </w:pPr>
    </w:p>
    <w:p>
      <w:pPr>
        <w:rPr>
          <w:rFonts w:ascii="Calibri" w:hAnsi="Calibri"/>
        </w:rPr>
      </w:pPr>
    </w:p>
    <w:p>
      <w:pPr>
        <w:pStyle w:val="11"/>
        <w:rPr>
          <w:rFonts w:ascii="Calibri" w:hAnsi="Calibri"/>
        </w:rPr>
      </w:pPr>
    </w:p>
    <w:p/>
    <w:tbl>
      <w:tblPr>
        <w:tblStyle w:val="14"/>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005"/>
        <w:gridCol w:w="825"/>
        <w:gridCol w:w="705"/>
        <w:gridCol w:w="885"/>
        <w:gridCol w:w="1800"/>
        <w:gridCol w:w="1935"/>
        <w:gridCol w:w="2415"/>
      </w:tblGrid>
      <w:tr>
        <w:tblPrEx>
          <w:tblCellMar>
            <w:top w:w="0" w:type="dxa"/>
            <w:left w:w="0" w:type="dxa"/>
            <w:bottom w:w="0" w:type="dxa"/>
            <w:right w:w="0" w:type="dxa"/>
          </w:tblCellMar>
        </w:tblPrEx>
        <w:trPr>
          <w:trHeight w:val="1034" w:hRule="atLeast"/>
        </w:trPr>
        <w:tc>
          <w:tcPr>
            <w:tcW w:w="9960" w:type="dxa"/>
            <w:gridSpan w:val="8"/>
            <w:tcMar>
              <w:top w:w="15" w:type="dxa"/>
              <w:left w:w="15" w:type="dxa"/>
              <w:bottom w:w="0" w:type="dxa"/>
              <w:right w:w="15" w:type="dxa"/>
            </w:tcMar>
            <w:vAlign w:val="center"/>
          </w:tcPr>
          <w:p>
            <w:pPr>
              <w:pStyle w:val="18"/>
              <w:widowControl/>
              <w:ind w:left="4173" w:leftChars="1310" w:hanging="1422" w:hangingChars="395"/>
              <w:textAlignment w:val="center"/>
              <w:rPr>
                <w:rFonts w:ascii="宋体" w:hAnsi="宋体" w:cs="宋体"/>
                <w:color w:val="000000"/>
                <w:sz w:val="36"/>
                <w:szCs w:val="36"/>
              </w:rPr>
            </w:pPr>
            <w:r>
              <w:rPr>
                <w:rFonts w:hint="eastAsia" w:ascii="黑体" w:hAnsi="黑体" w:eastAsia="黑体" w:cs="宋体"/>
                <w:bCs/>
                <w:color w:val="000000"/>
                <w:kern w:val="0"/>
                <w:sz w:val="36"/>
                <w:szCs w:val="36"/>
                <w:lang w:bidi="ar"/>
              </w:rPr>
              <w:t>项目支出绩效目标完成情况表</w:t>
            </w:r>
            <w:r>
              <w:rPr>
                <w:rFonts w:hint="eastAsia" w:ascii="宋体" w:hAnsi="宋体" w:cs="宋体"/>
                <w:b/>
                <w:bCs/>
                <w:color w:val="000000"/>
                <w:kern w:val="0"/>
                <w:sz w:val="36"/>
                <w:szCs w:val="36"/>
                <w:lang w:bidi="ar"/>
              </w:rPr>
              <w:br w:type="textWrapping"/>
            </w:r>
            <w:r>
              <w:rPr>
                <w:rFonts w:hint="eastAsia" w:ascii="宋体" w:hAnsi="宋体" w:cs="宋体"/>
                <w:color w:val="000000"/>
                <w:kern w:val="0"/>
                <w:sz w:val="36"/>
                <w:szCs w:val="36"/>
                <w:lang w:bidi="ar"/>
              </w:rPr>
              <w:t>(20</w:t>
            </w:r>
            <w:r>
              <w:rPr>
                <w:rFonts w:hint="eastAsia" w:ascii="宋体" w:hAnsi="宋体" w:cs="宋体"/>
                <w:color w:val="000000"/>
                <w:kern w:val="0"/>
                <w:sz w:val="36"/>
                <w:szCs w:val="36"/>
                <w:lang w:val="en-US" w:eastAsia="zh-CN" w:bidi="ar"/>
              </w:rPr>
              <w:t>25</w:t>
            </w:r>
            <w:r>
              <w:rPr>
                <w:rFonts w:hint="eastAsia" w:ascii="宋体" w:hAnsi="宋体" w:cs="宋体"/>
                <w:color w:val="000000"/>
                <w:kern w:val="0"/>
                <w:sz w:val="36"/>
                <w:szCs w:val="36"/>
                <w:lang w:bidi="ar"/>
              </w:rPr>
              <w:t>年度)</w:t>
            </w:r>
          </w:p>
        </w:tc>
      </w:tr>
      <w:tr>
        <w:tblPrEx>
          <w:tblCellMar>
            <w:top w:w="0" w:type="dxa"/>
            <w:left w:w="0" w:type="dxa"/>
            <w:bottom w:w="0" w:type="dxa"/>
            <w:right w:w="0" w:type="dxa"/>
          </w:tblCellMar>
        </w:tblPrEx>
        <w:trPr>
          <w:trHeight w:val="276" w:hRule="atLeast"/>
        </w:trPr>
        <w:tc>
          <w:tcPr>
            <w:tcW w:w="22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项目名称</w:t>
            </w:r>
          </w:p>
        </w:tc>
        <w:tc>
          <w:tcPr>
            <w:tcW w:w="7740"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eastAsia="宋体" w:cs="Arial"/>
                <w:sz w:val="21"/>
                <w:szCs w:val="21"/>
                <w:lang w:eastAsia="zh-CN"/>
              </w:rPr>
              <w:t>机关事业单位干部职工人员流动编卡变动</w:t>
            </w:r>
          </w:p>
        </w:tc>
      </w:tr>
      <w:tr>
        <w:tblPrEx>
          <w:tblCellMar>
            <w:top w:w="0" w:type="dxa"/>
            <w:left w:w="0" w:type="dxa"/>
            <w:bottom w:w="0" w:type="dxa"/>
            <w:right w:w="0" w:type="dxa"/>
          </w:tblCellMar>
        </w:tblPrEx>
        <w:trPr>
          <w:trHeight w:val="276" w:hRule="atLeast"/>
        </w:trPr>
        <w:tc>
          <w:tcPr>
            <w:tcW w:w="22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预算单位</w:t>
            </w:r>
          </w:p>
        </w:tc>
        <w:tc>
          <w:tcPr>
            <w:tcW w:w="7740"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中共红原县委机构编制委员会办公室</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预算执行情况(万元)</w:t>
            </w: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预算数:</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2万元</w:t>
            </w:r>
          </w:p>
        </w:tc>
        <w:tc>
          <w:tcPr>
            <w:tcW w:w="46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执行数: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2万元</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2万元</w:t>
            </w:r>
          </w:p>
        </w:tc>
        <w:tc>
          <w:tcPr>
            <w:tcW w:w="46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2万元</w:t>
            </w: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83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0</w:t>
            </w:r>
          </w:p>
        </w:tc>
        <w:tc>
          <w:tcPr>
            <w:tcW w:w="462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rFonts w:ascii="宋体" w:hAnsi="宋体" w:cs="宋体"/>
                <w:color w:val="000000"/>
                <w:sz w:val="24"/>
              </w:rPr>
            </w:pP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年度目标完成情况</w:t>
            </w:r>
          </w:p>
        </w:tc>
        <w:tc>
          <w:tcPr>
            <w:tcW w:w="253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预期目标</w:t>
            </w:r>
          </w:p>
        </w:tc>
        <w:tc>
          <w:tcPr>
            <w:tcW w:w="703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实际完成目标</w:t>
            </w:r>
          </w:p>
        </w:tc>
      </w:tr>
      <w:tr>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253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24"/>
                <w:szCs w:val="24"/>
                <w:lang w:val="en-US" w:eastAsia="zh-CN"/>
              </w:rPr>
              <w:t>为切实加强实名制录入库信息和数据更新工作，实行编制卡片和实名制系统“双重”管理，确保数据及时更新。对每个在编人员实行卡片式动态管理，建立了《人员编制卡》，编制到人，卡随人动，有力杜绝了人员的漏统，树立了机构编制工作的权威性。</w:t>
            </w:r>
          </w:p>
          <w:p>
            <w:pPr>
              <w:widowControl/>
              <w:jc w:val="both"/>
              <w:textAlignment w:val="center"/>
              <w:rPr>
                <w:rFonts w:hint="eastAsia" w:ascii="宋体" w:hAnsi="宋体" w:eastAsia="宋体" w:cs="宋体"/>
                <w:color w:val="000000"/>
                <w:sz w:val="24"/>
                <w:lang w:val="en-US" w:eastAsia="zh-CN"/>
              </w:rPr>
            </w:pPr>
          </w:p>
        </w:tc>
        <w:tc>
          <w:tcPr>
            <w:tcW w:w="7035"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default" w:ascii="仿宋_GB2312" w:hAnsi="仿宋_GB2312" w:eastAsia="仿宋_GB2312" w:cs="仿宋_GB2312"/>
                <w:sz w:val="24"/>
                <w:szCs w:val="24"/>
                <w:lang w:val="en-US" w:eastAsia="zh-CN"/>
              </w:rPr>
              <w:t>202</w:t>
            </w:r>
            <w:r>
              <w:rPr>
                <w:rFonts w:hint="eastAsia" w:ascii="仿宋_GB2312" w:hAnsi="仿宋_GB2312" w:eastAsia="仿宋_GB2312" w:cs="仿宋_GB2312"/>
                <w:sz w:val="24"/>
                <w:szCs w:val="24"/>
                <w:lang w:val="en-US" w:eastAsia="zh-CN"/>
              </w:rPr>
              <w:t>5</w:t>
            </w:r>
            <w:r>
              <w:rPr>
                <w:rFonts w:hint="default" w:ascii="仿宋_GB2312" w:hAnsi="仿宋_GB2312" w:eastAsia="仿宋_GB2312" w:cs="仿宋_GB2312"/>
                <w:sz w:val="24"/>
                <w:szCs w:val="24"/>
                <w:lang w:val="en-US" w:eastAsia="zh-CN"/>
              </w:rPr>
              <w:t>年人员信息新录入</w:t>
            </w:r>
            <w:r>
              <w:rPr>
                <w:rFonts w:hint="eastAsia" w:ascii="仿宋_GB2312" w:hAnsi="仿宋_GB2312" w:eastAsia="仿宋_GB2312" w:cs="仿宋_GB2312"/>
                <w:sz w:val="24"/>
                <w:szCs w:val="24"/>
                <w:lang w:val="en-US" w:eastAsia="zh-CN"/>
              </w:rPr>
              <w:t>211</w:t>
            </w:r>
            <w:r>
              <w:rPr>
                <w:rFonts w:hint="default" w:ascii="仿宋_GB2312" w:hAnsi="仿宋_GB2312" w:eastAsia="仿宋_GB2312" w:cs="仿宋_GB2312"/>
                <w:sz w:val="24"/>
                <w:szCs w:val="24"/>
                <w:lang w:val="en-US" w:eastAsia="zh-CN"/>
              </w:rPr>
              <w:t>名、外县人员信息划入</w:t>
            </w:r>
            <w:r>
              <w:rPr>
                <w:rFonts w:hint="eastAsia" w:ascii="仿宋_GB2312" w:hAnsi="仿宋_GB2312" w:eastAsia="仿宋_GB2312" w:cs="仿宋_GB2312"/>
                <w:sz w:val="24"/>
                <w:szCs w:val="24"/>
                <w:lang w:val="en-US" w:eastAsia="zh-CN"/>
              </w:rPr>
              <w:t>150</w:t>
            </w:r>
            <w:r>
              <w:rPr>
                <w:rFonts w:hint="default" w:ascii="仿宋_GB2312" w:hAnsi="仿宋_GB2312" w:eastAsia="仿宋_GB2312" w:cs="仿宋_GB2312"/>
                <w:sz w:val="24"/>
                <w:szCs w:val="24"/>
                <w:lang w:val="en-US" w:eastAsia="zh-CN"/>
              </w:rPr>
              <w:t>名、人员信息划出</w:t>
            </w:r>
            <w:r>
              <w:rPr>
                <w:rFonts w:hint="eastAsia" w:ascii="仿宋_GB2312" w:hAnsi="仿宋_GB2312" w:eastAsia="仿宋_GB2312" w:cs="仿宋_GB2312"/>
                <w:sz w:val="24"/>
                <w:szCs w:val="24"/>
                <w:lang w:val="en-US" w:eastAsia="zh-CN"/>
              </w:rPr>
              <w:t>75</w:t>
            </w:r>
            <w:r>
              <w:rPr>
                <w:rFonts w:hint="default" w:ascii="仿宋_GB2312" w:hAnsi="仿宋_GB2312" w:eastAsia="仿宋_GB2312" w:cs="仿宋_GB2312"/>
                <w:sz w:val="24"/>
                <w:szCs w:val="24"/>
                <w:lang w:val="en-US" w:eastAsia="zh-CN"/>
              </w:rPr>
              <w:t>名、县内人员信息调整</w:t>
            </w:r>
            <w:r>
              <w:rPr>
                <w:rFonts w:hint="eastAsia" w:ascii="仿宋_GB2312" w:hAnsi="仿宋_GB2312" w:eastAsia="仿宋_GB2312" w:cs="仿宋_GB2312"/>
                <w:sz w:val="24"/>
                <w:szCs w:val="24"/>
                <w:lang w:val="en-US" w:eastAsia="zh-CN"/>
              </w:rPr>
              <w:t>2272</w:t>
            </w:r>
            <w:r>
              <w:rPr>
                <w:rFonts w:hint="default" w:ascii="仿宋_GB2312" w:hAnsi="仿宋_GB2312" w:eastAsia="仿宋_GB2312" w:cs="仿宋_GB2312"/>
                <w:sz w:val="24"/>
                <w:szCs w:val="24"/>
                <w:lang w:val="en-US" w:eastAsia="zh-CN"/>
              </w:rPr>
              <w:t>名、实名制人员信息注销</w:t>
            </w:r>
            <w:r>
              <w:rPr>
                <w:rFonts w:hint="eastAsia" w:ascii="仿宋_GB2312" w:hAnsi="仿宋_GB2312" w:eastAsia="仿宋_GB2312" w:cs="仿宋_GB2312"/>
                <w:sz w:val="24"/>
                <w:szCs w:val="24"/>
                <w:lang w:val="en-US" w:eastAsia="zh-CN"/>
              </w:rPr>
              <w:t>5</w:t>
            </w:r>
            <w:r>
              <w:rPr>
                <w:rFonts w:hint="default" w:ascii="仿宋_GB2312" w:hAnsi="仿宋_GB2312" w:eastAsia="仿宋_GB2312" w:cs="仿宋_GB2312"/>
                <w:sz w:val="24"/>
                <w:szCs w:val="24"/>
                <w:lang w:val="en-US" w:eastAsia="zh-CN"/>
              </w:rPr>
              <w:t>名，其中退休</w:t>
            </w:r>
            <w:r>
              <w:rPr>
                <w:rFonts w:hint="eastAsia" w:ascii="仿宋_GB2312" w:hAnsi="仿宋_GB2312" w:eastAsia="仿宋_GB2312" w:cs="仿宋_GB2312"/>
                <w:sz w:val="24"/>
                <w:szCs w:val="24"/>
                <w:lang w:val="en-US" w:eastAsia="zh-CN"/>
              </w:rPr>
              <w:t>56</w:t>
            </w:r>
            <w:r>
              <w:rPr>
                <w:rFonts w:hint="default" w:ascii="仿宋_GB2312" w:hAnsi="仿宋_GB2312" w:eastAsia="仿宋_GB2312" w:cs="仿宋_GB2312"/>
                <w:sz w:val="24"/>
                <w:szCs w:val="24"/>
                <w:lang w:val="en-US" w:eastAsia="zh-CN"/>
              </w:rPr>
              <w:t>名、在职死亡</w:t>
            </w:r>
            <w:r>
              <w:rPr>
                <w:rFonts w:hint="eastAsia" w:ascii="仿宋_GB2312" w:hAnsi="仿宋_GB2312" w:eastAsia="仿宋_GB2312" w:cs="仿宋_GB2312"/>
                <w:sz w:val="24"/>
                <w:szCs w:val="24"/>
                <w:lang w:val="en-US" w:eastAsia="zh-CN"/>
              </w:rPr>
              <w:t>2</w:t>
            </w:r>
            <w:r>
              <w:rPr>
                <w:rFonts w:hint="default" w:ascii="仿宋_GB2312" w:hAnsi="仿宋_GB2312" w:eastAsia="仿宋_GB2312" w:cs="仿宋_GB2312"/>
                <w:sz w:val="24"/>
                <w:szCs w:val="24"/>
                <w:lang w:val="en-US" w:eastAsia="zh-CN"/>
              </w:rPr>
              <w:t>名，辞职</w:t>
            </w:r>
            <w:r>
              <w:rPr>
                <w:rFonts w:hint="eastAsia" w:ascii="仿宋_GB2312" w:hAnsi="仿宋_GB2312" w:eastAsia="仿宋_GB2312" w:cs="仿宋_GB2312"/>
                <w:sz w:val="24"/>
                <w:szCs w:val="24"/>
                <w:lang w:val="en-US" w:eastAsia="zh-CN"/>
              </w:rPr>
              <w:t>5</w:t>
            </w:r>
            <w:r>
              <w:rPr>
                <w:rFonts w:hint="default" w:ascii="仿宋_GB2312" w:hAnsi="仿宋_GB2312" w:eastAsia="仿宋_GB2312" w:cs="仿宋_GB2312"/>
                <w:sz w:val="24"/>
                <w:szCs w:val="24"/>
                <w:lang w:val="en-US" w:eastAsia="zh-CN"/>
              </w:rPr>
              <w:t>名。根据以上人员变动情况，我办立即办理编制变动手续，调整实名制信息，及时的更新数据，以维护编制的严肃性和时效性，为组织、人社部门人员调任、招录等提供有效数据。</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rPr>
              <w:t>绩效指标完成情况</w:t>
            </w:r>
          </w:p>
        </w:tc>
        <w:tc>
          <w:tcPr>
            <w:tcW w:w="10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一级指标</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二级指标</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三级指标</w:t>
            </w:r>
          </w:p>
        </w:tc>
        <w:tc>
          <w:tcPr>
            <w:tcW w:w="2685" w:type="dxa"/>
            <w:gridSpan w:val="2"/>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指标评价内容</w:t>
            </w:r>
          </w:p>
        </w:tc>
        <w:tc>
          <w:tcPr>
            <w:tcW w:w="1935"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预期指标值(包含数字及文字描述)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实际完成指标值(包含数字及文字描述)</w:t>
            </w:r>
          </w:p>
        </w:tc>
      </w:tr>
      <w:tr>
        <w:tblPrEx>
          <w:tblCellMar>
            <w:top w:w="0" w:type="dxa"/>
            <w:left w:w="0" w:type="dxa"/>
            <w:bottom w:w="0" w:type="dxa"/>
            <w:right w:w="0" w:type="dxa"/>
          </w:tblCellMar>
        </w:tblPrEx>
        <w:trPr>
          <w:trHeight w:val="76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项目决策</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绩效目标</w:t>
            </w:r>
          </w:p>
        </w:tc>
        <w:tc>
          <w:tcPr>
            <w:tcW w:w="70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目标内容</w:t>
            </w:r>
          </w:p>
        </w:tc>
        <w:tc>
          <w:tcPr>
            <w:tcW w:w="268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0"/>
                <w:szCs w:val="20"/>
              </w:rPr>
              <w:t>项目预期提供的产品、服务、效益或其他目标明确,即绩效目标实际明确个数/应当明确个数×100%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为切实加强实名制录入库信息和数据更新工作，实行编制卡片和实名制系统“双重”管理，确保数据及时更新。对每个在编人员实行卡片式动态管理，建立了《人员编制卡》，编制到人，卡随人动，有力杜绝了人员的漏统，树立了机构编制工作的权威性。</w:t>
            </w:r>
          </w:p>
          <w:p>
            <w:pPr>
              <w:widowControl/>
              <w:jc w:val="center"/>
              <w:textAlignment w:val="center"/>
              <w:rPr>
                <w:rFonts w:hint="default" w:ascii="宋体" w:hAnsi="宋体" w:eastAsia="宋体" w:cs="宋体"/>
                <w:color w:val="000000"/>
                <w:sz w:val="20"/>
                <w:szCs w:val="20"/>
                <w:lang w:val="en-US" w:eastAsia="zh-CN"/>
              </w:rPr>
            </w:pP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default" w:ascii="仿宋_GB2312" w:hAnsi="仿宋_GB2312" w:eastAsia="仿宋_GB2312" w:cs="仿宋_GB2312"/>
                <w:sz w:val="24"/>
                <w:szCs w:val="24"/>
                <w:lang w:val="en-US" w:eastAsia="zh-CN"/>
              </w:rPr>
              <w:t>202</w:t>
            </w:r>
            <w:r>
              <w:rPr>
                <w:rFonts w:hint="eastAsia" w:ascii="仿宋_GB2312" w:hAnsi="仿宋_GB2312" w:eastAsia="仿宋_GB2312" w:cs="仿宋_GB2312"/>
                <w:sz w:val="24"/>
                <w:szCs w:val="24"/>
                <w:lang w:val="en-US" w:eastAsia="zh-CN"/>
              </w:rPr>
              <w:t>5</w:t>
            </w:r>
            <w:r>
              <w:rPr>
                <w:rFonts w:hint="default" w:ascii="仿宋_GB2312" w:hAnsi="仿宋_GB2312" w:eastAsia="仿宋_GB2312" w:cs="仿宋_GB2312"/>
                <w:sz w:val="24"/>
                <w:szCs w:val="24"/>
                <w:lang w:val="en-US" w:eastAsia="zh-CN"/>
              </w:rPr>
              <w:t>年人员信息新录入</w:t>
            </w:r>
            <w:r>
              <w:rPr>
                <w:rFonts w:hint="eastAsia" w:ascii="仿宋_GB2312" w:hAnsi="仿宋_GB2312" w:eastAsia="仿宋_GB2312" w:cs="仿宋_GB2312"/>
                <w:sz w:val="24"/>
                <w:szCs w:val="24"/>
                <w:lang w:val="en-US" w:eastAsia="zh-CN"/>
              </w:rPr>
              <w:t>211</w:t>
            </w:r>
            <w:r>
              <w:rPr>
                <w:rFonts w:hint="default" w:ascii="仿宋_GB2312" w:hAnsi="仿宋_GB2312" w:eastAsia="仿宋_GB2312" w:cs="仿宋_GB2312"/>
                <w:sz w:val="24"/>
                <w:szCs w:val="24"/>
                <w:lang w:val="en-US" w:eastAsia="zh-CN"/>
              </w:rPr>
              <w:t>名、外县人员信息划入</w:t>
            </w:r>
            <w:r>
              <w:rPr>
                <w:rFonts w:hint="eastAsia" w:ascii="仿宋_GB2312" w:hAnsi="仿宋_GB2312" w:eastAsia="仿宋_GB2312" w:cs="仿宋_GB2312"/>
                <w:sz w:val="24"/>
                <w:szCs w:val="24"/>
                <w:lang w:val="en-US" w:eastAsia="zh-CN"/>
              </w:rPr>
              <w:t>150</w:t>
            </w:r>
            <w:r>
              <w:rPr>
                <w:rFonts w:hint="default" w:ascii="仿宋_GB2312" w:hAnsi="仿宋_GB2312" w:eastAsia="仿宋_GB2312" w:cs="仿宋_GB2312"/>
                <w:sz w:val="24"/>
                <w:szCs w:val="24"/>
                <w:lang w:val="en-US" w:eastAsia="zh-CN"/>
              </w:rPr>
              <w:t>名、人员信息划出</w:t>
            </w:r>
            <w:r>
              <w:rPr>
                <w:rFonts w:hint="eastAsia" w:ascii="仿宋_GB2312" w:hAnsi="仿宋_GB2312" w:eastAsia="仿宋_GB2312" w:cs="仿宋_GB2312"/>
                <w:sz w:val="24"/>
                <w:szCs w:val="24"/>
                <w:lang w:val="en-US" w:eastAsia="zh-CN"/>
              </w:rPr>
              <w:t>75</w:t>
            </w:r>
            <w:r>
              <w:rPr>
                <w:rFonts w:hint="default" w:ascii="仿宋_GB2312" w:hAnsi="仿宋_GB2312" w:eastAsia="仿宋_GB2312" w:cs="仿宋_GB2312"/>
                <w:sz w:val="24"/>
                <w:szCs w:val="24"/>
                <w:lang w:val="en-US" w:eastAsia="zh-CN"/>
              </w:rPr>
              <w:t>名、县内人员信息调整</w:t>
            </w:r>
            <w:r>
              <w:rPr>
                <w:rFonts w:hint="eastAsia" w:ascii="仿宋_GB2312" w:hAnsi="仿宋_GB2312" w:eastAsia="仿宋_GB2312" w:cs="仿宋_GB2312"/>
                <w:sz w:val="24"/>
                <w:szCs w:val="24"/>
                <w:lang w:val="en-US" w:eastAsia="zh-CN"/>
              </w:rPr>
              <w:t>2272</w:t>
            </w:r>
            <w:r>
              <w:rPr>
                <w:rFonts w:hint="default" w:ascii="仿宋_GB2312" w:hAnsi="仿宋_GB2312" w:eastAsia="仿宋_GB2312" w:cs="仿宋_GB2312"/>
                <w:sz w:val="24"/>
                <w:szCs w:val="24"/>
                <w:lang w:val="en-US" w:eastAsia="zh-CN"/>
              </w:rPr>
              <w:t>名、实名制人员信息注销</w:t>
            </w:r>
            <w:r>
              <w:rPr>
                <w:rFonts w:hint="eastAsia" w:ascii="仿宋_GB2312" w:hAnsi="仿宋_GB2312" w:eastAsia="仿宋_GB2312" w:cs="仿宋_GB2312"/>
                <w:sz w:val="24"/>
                <w:szCs w:val="24"/>
                <w:lang w:val="en-US" w:eastAsia="zh-CN"/>
              </w:rPr>
              <w:t>5</w:t>
            </w:r>
            <w:r>
              <w:rPr>
                <w:rFonts w:hint="default" w:ascii="仿宋_GB2312" w:hAnsi="仿宋_GB2312" w:eastAsia="仿宋_GB2312" w:cs="仿宋_GB2312"/>
                <w:sz w:val="24"/>
                <w:szCs w:val="24"/>
                <w:lang w:val="en-US" w:eastAsia="zh-CN"/>
              </w:rPr>
              <w:t>名，其中退休</w:t>
            </w:r>
            <w:r>
              <w:rPr>
                <w:rFonts w:hint="eastAsia" w:ascii="仿宋_GB2312" w:hAnsi="仿宋_GB2312" w:eastAsia="仿宋_GB2312" w:cs="仿宋_GB2312"/>
                <w:sz w:val="24"/>
                <w:szCs w:val="24"/>
                <w:lang w:val="en-US" w:eastAsia="zh-CN"/>
              </w:rPr>
              <w:t>56</w:t>
            </w:r>
            <w:r>
              <w:rPr>
                <w:rFonts w:hint="default" w:ascii="仿宋_GB2312" w:hAnsi="仿宋_GB2312" w:eastAsia="仿宋_GB2312" w:cs="仿宋_GB2312"/>
                <w:sz w:val="24"/>
                <w:szCs w:val="24"/>
                <w:lang w:val="en-US" w:eastAsia="zh-CN"/>
              </w:rPr>
              <w:t>名、在职死亡</w:t>
            </w:r>
            <w:r>
              <w:rPr>
                <w:rFonts w:hint="eastAsia" w:ascii="仿宋_GB2312" w:hAnsi="仿宋_GB2312" w:eastAsia="仿宋_GB2312" w:cs="仿宋_GB2312"/>
                <w:sz w:val="24"/>
                <w:szCs w:val="24"/>
                <w:lang w:val="en-US" w:eastAsia="zh-CN"/>
              </w:rPr>
              <w:t>2</w:t>
            </w:r>
            <w:r>
              <w:rPr>
                <w:rFonts w:hint="default" w:ascii="仿宋_GB2312" w:hAnsi="仿宋_GB2312" w:eastAsia="仿宋_GB2312" w:cs="仿宋_GB2312"/>
                <w:sz w:val="24"/>
                <w:szCs w:val="24"/>
                <w:lang w:val="en-US" w:eastAsia="zh-CN"/>
              </w:rPr>
              <w:t>名，辞职</w:t>
            </w:r>
            <w:r>
              <w:rPr>
                <w:rFonts w:hint="eastAsia" w:ascii="仿宋_GB2312" w:hAnsi="仿宋_GB2312" w:eastAsia="仿宋_GB2312" w:cs="仿宋_GB2312"/>
                <w:sz w:val="24"/>
                <w:szCs w:val="24"/>
                <w:lang w:val="en-US" w:eastAsia="zh-CN"/>
              </w:rPr>
              <w:t>5</w:t>
            </w:r>
            <w:r>
              <w:rPr>
                <w:rFonts w:hint="default" w:ascii="仿宋_GB2312" w:hAnsi="仿宋_GB2312" w:eastAsia="仿宋_GB2312" w:cs="仿宋_GB2312"/>
                <w:sz w:val="24"/>
                <w:szCs w:val="24"/>
                <w:lang w:val="en-US" w:eastAsia="zh-CN"/>
              </w:rPr>
              <w:t>名。根据以上人员变动情况，我办立即办理编制变动手续，调整实名制信息，及时的更新数据，以维护编制的严肃性和时效性，为组织、人社部门人员调任、招录等提供有效数据。</w:t>
            </w:r>
          </w:p>
        </w:tc>
      </w:tr>
      <w:tr>
        <w:tblPrEx>
          <w:tblCellMar>
            <w:top w:w="0" w:type="dxa"/>
            <w:left w:w="0" w:type="dxa"/>
            <w:bottom w:w="0" w:type="dxa"/>
            <w:right w:w="0" w:type="dxa"/>
          </w:tblCellMar>
        </w:tblPrEx>
        <w:trPr>
          <w:trHeight w:val="81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进度计划</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项目计划实施进度明确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一年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按计划完成</w:t>
            </w:r>
          </w:p>
        </w:tc>
      </w:tr>
      <w:tr>
        <w:tblPrEx>
          <w:tblCellMar>
            <w:top w:w="0" w:type="dxa"/>
            <w:left w:w="0" w:type="dxa"/>
            <w:bottom w:w="0" w:type="dxa"/>
            <w:right w:w="0" w:type="dxa"/>
          </w:tblCellMar>
        </w:tblPrEx>
        <w:trPr>
          <w:trHeight w:val="11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目标匹配</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绩效目标设定符合实际需求的抽样项目点个数/抽样项目点总数×100%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r>
        <w:tblPrEx>
          <w:tblCellMar>
            <w:top w:w="0" w:type="dxa"/>
            <w:left w:w="0" w:type="dxa"/>
            <w:bottom w:w="0" w:type="dxa"/>
            <w:right w:w="0" w:type="dxa"/>
          </w:tblCellMar>
        </w:tblPrEx>
        <w:trPr>
          <w:trHeight w:val="8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决策依据</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政策依据</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项目符合党中央、国务院和省委、省政府决策部署；符合当前经济社会发展需要</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符合</w:t>
            </w:r>
          </w:p>
        </w:tc>
      </w:tr>
      <w:tr>
        <w:tblPrEx>
          <w:tblCellMar>
            <w:top w:w="0" w:type="dxa"/>
            <w:left w:w="0" w:type="dxa"/>
            <w:bottom w:w="0" w:type="dxa"/>
            <w:right w:w="0" w:type="dxa"/>
          </w:tblCellMar>
        </w:tblPrEx>
        <w:trPr>
          <w:trHeight w:val="83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实施规划</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连续性项目根据需要制定中长期实施规划</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tblPrEx>
          <w:tblCellMar>
            <w:top w:w="0" w:type="dxa"/>
            <w:left w:w="0" w:type="dxa"/>
            <w:bottom w:w="0" w:type="dxa"/>
            <w:right w:w="0" w:type="dxa"/>
          </w:tblCellMar>
        </w:tblPrEx>
        <w:trPr>
          <w:trHeight w:val="2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52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管理制度</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制定项目资金管理办法</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项目资金管理办法</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tblPrEx>
          <w:tblCellMar>
            <w:top w:w="0" w:type="dxa"/>
            <w:left w:w="0" w:type="dxa"/>
            <w:bottom w:w="0" w:type="dxa"/>
            <w:right w:w="0" w:type="dxa"/>
          </w:tblCellMar>
        </w:tblPrEx>
        <w:trPr>
          <w:trHeight w:val="65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61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资金分配</w:t>
            </w:r>
          </w:p>
        </w:tc>
        <w:tc>
          <w:tcPr>
            <w:tcW w:w="70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分配方法</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57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分配过程</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分配过程符合相关规定</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74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分配结果</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审核把关</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1个</w:t>
            </w:r>
          </w:p>
        </w:tc>
      </w:tr>
      <w:tr>
        <w:tblPrEx>
          <w:tblCellMar>
            <w:top w:w="0" w:type="dxa"/>
            <w:left w:w="0" w:type="dxa"/>
            <w:bottom w:w="0" w:type="dxa"/>
            <w:right w:w="0" w:type="dxa"/>
          </w:tblCellMar>
        </w:tblPrEx>
        <w:trPr>
          <w:trHeight w:val="78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资金集中</w:t>
            </w:r>
          </w:p>
        </w:tc>
        <w:tc>
          <w:tcPr>
            <w:tcW w:w="88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集中</w:t>
            </w:r>
          </w:p>
        </w:tc>
        <w:tc>
          <w:tcPr>
            <w:tcW w:w="180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33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（均衡）</w:t>
            </w:r>
          </w:p>
        </w:tc>
        <w:tc>
          <w:tcPr>
            <w:tcW w:w="885" w:type="dxa"/>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eastAsia="zh-CN"/>
              </w:rPr>
              <w:t>均衡</w:t>
            </w:r>
          </w:p>
        </w:tc>
        <w:tc>
          <w:tcPr>
            <w:tcW w:w="1800" w:type="dxa"/>
            <w:tcBorders>
              <w:top w:val="single" w:color="auto" w:sz="4" w:space="0"/>
              <w:left w:val="single" w:color="auto"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按实际分配结果选择客观因素测算验证资金分配方法制定、分配要素设定、基础数据应用、测算依据选取等是否科学合理</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tblPrEx>
          <w:tblCellMar>
            <w:top w:w="0" w:type="dxa"/>
            <w:left w:w="0" w:type="dxa"/>
            <w:bottom w:w="0" w:type="dxa"/>
            <w:right w:w="0" w:type="dxa"/>
          </w:tblCellMar>
        </w:tblPrEx>
        <w:trPr>
          <w:trHeight w:val="70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项目管理</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资金到位</w:t>
            </w:r>
          </w:p>
        </w:tc>
        <w:tc>
          <w:tcPr>
            <w:tcW w:w="70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分配时效</w:t>
            </w:r>
          </w:p>
        </w:tc>
        <w:tc>
          <w:tcPr>
            <w:tcW w:w="268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县级主管部门按规定及时分配资金</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资金拨付</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按规定及时拨付资金</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半年拨付</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both"/>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半年拨付</w:t>
            </w:r>
          </w:p>
        </w:tc>
      </w:tr>
      <w:tr>
        <w:tblPrEx>
          <w:tblCellMar>
            <w:top w:w="0" w:type="dxa"/>
            <w:left w:w="0" w:type="dxa"/>
            <w:bottom w:w="0" w:type="dxa"/>
            <w:right w:w="0" w:type="dxa"/>
          </w:tblCellMar>
        </w:tblPrEx>
        <w:trPr>
          <w:trHeight w:val="42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资金管理</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使用范围</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资金使用是否合规</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86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支付依据</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资金支付依据符合规定，即支付依旧合规资金量/资金总量×100%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98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开支标准</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资金开支标准符合规定，即开支标准合规资金量/资金总量×100%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47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财务管理</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财务制度</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财务制度健全，管理规范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687"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会计核算</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会计核算规范</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56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组织实施</w:t>
            </w: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项目调整</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项目调整严格履行相关手续</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blPrEx>
          <w:tblCellMar>
            <w:top w:w="0" w:type="dxa"/>
            <w:left w:w="0" w:type="dxa"/>
            <w:bottom w:w="0" w:type="dxa"/>
            <w:right w:w="0" w:type="dxa"/>
          </w:tblCellMar>
        </w:tblPrEx>
        <w:trPr>
          <w:trHeight w:val="48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投资变更</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项目投资变更额/项目总投入×100%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p>
        </w:tc>
        <w:tc>
          <w:tcPr>
            <w:tcW w:w="70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制度执行</w:t>
            </w:r>
          </w:p>
        </w:tc>
        <w:tc>
          <w:tcPr>
            <w:tcW w:w="268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严格执行项目有关制度规定</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tblPrEx>
          <w:tblCellMar>
            <w:top w:w="0" w:type="dxa"/>
            <w:left w:w="0" w:type="dxa"/>
            <w:bottom w:w="0" w:type="dxa"/>
            <w:right w:w="0" w:type="dxa"/>
          </w:tblCellMar>
        </w:tblPrEx>
        <w:trPr>
          <w:trHeight w:val="43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bidi="ar"/>
              </w:rPr>
              <w:t>项目绩效</w:t>
            </w:r>
          </w:p>
        </w:tc>
        <w:tc>
          <w:tcPr>
            <w:tcW w:w="82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项目完成</w:t>
            </w:r>
          </w:p>
        </w:tc>
        <w:tc>
          <w:tcPr>
            <w:tcW w:w="70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完成数量</w:t>
            </w:r>
          </w:p>
        </w:tc>
        <w:tc>
          <w:tcPr>
            <w:tcW w:w="2685" w:type="dxa"/>
            <w:gridSpan w:val="2"/>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实际完成任务量/绩效目标设定任务量×100%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5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完成质量</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符合绩效目标设定的验收标准，达到行业基准水平</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0" w:type="dxa"/>
            <w:left w:w="0" w:type="dxa"/>
            <w:bottom w:w="0" w:type="dxa"/>
            <w:right w:w="0" w:type="dxa"/>
          </w:tblCellMar>
        </w:tblPrEx>
        <w:trPr>
          <w:trHeight w:val="35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完成时效</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（实际完成时间-绩效目标设定完成时间）/绩效目标设定完成时间×100%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24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70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完成成本</w:t>
            </w:r>
          </w:p>
        </w:tc>
        <w:tc>
          <w:tcPr>
            <w:tcW w:w="2685" w:type="dxa"/>
            <w:gridSpan w:val="2"/>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（实际完成成本-预计完成成本）/预计完成成本×100%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0" w:type="dxa"/>
            <w:left w:w="0" w:type="dxa"/>
            <w:bottom w:w="0" w:type="dxa"/>
            <w:right w:w="0" w:type="dxa"/>
          </w:tblCellMar>
        </w:tblPrEx>
        <w:trPr>
          <w:trHeight w:val="118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000000"/>
                <w:kern w:val="0"/>
                <w:sz w:val="24"/>
                <w:lang w:eastAsia="zh-CN" w:bidi="ar"/>
              </w:rPr>
            </w:pPr>
          </w:p>
        </w:tc>
        <w:tc>
          <w:tcPr>
            <w:tcW w:w="82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满意度</w:t>
            </w:r>
          </w:p>
        </w:tc>
        <w:tc>
          <w:tcPr>
            <w:tcW w:w="70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服务对象满意度</w:t>
            </w:r>
          </w:p>
        </w:tc>
        <w:tc>
          <w:tcPr>
            <w:tcW w:w="2685" w:type="dxa"/>
            <w:gridSpan w:val="2"/>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反映服务对象或项目受益人对相关产出及其影响的认可程度，根据项目实际细化具体指标。</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bl>
    <w:p>
      <w:pPr>
        <w:spacing w:line="580" w:lineRule="exact"/>
        <w:ind w:left="630"/>
        <w:rPr>
          <w:rFonts w:ascii="仿宋_GB2312" w:hAnsi="仿宋_GB2312" w:eastAsia="仿宋_GB2312" w:cs="仿宋_GB2312"/>
          <w:sz w:val="32"/>
          <w:szCs w:val="32"/>
        </w:rPr>
      </w:pPr>
    </w:p>
    <w:p>
      <w:pPr>
        <w:spacing w:line="580" w:lineRule="exact"/>
        <w:rPr>
          <w:rFonts w:ascii="仿宋_GB2312" w:hAnsi="仿宋_GB2312" w:eastAsia="仿宋_GB2312" w:cs="仿宋_GB2312"/>
          <w:sz w:val="32"/>
          <w:szCs w:val="32"/>
        </w:rPr>
      </w:pPr>
      <w:r>
        <w:rPr>
          <w:rFonts w:hint="eastAsia" w:ascii="楷体_GB2312" w:hAnsi="楷体_GB2312" w:eastAsia="楷体_GB2312" w:cs="楷体_GB2312"/>
          <w:sz w:val="32"/>
          <w:szCs w:val="32"/>
        </w:rPr>
        <w:t>2.部门绩效评价结果。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本部门按要求对20</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年部门整体支出绩效评价情况开展自评，</w:t>
      </w:r>
      <w:r>
        <w:rPr>
          <w:rFonts w:hint="eastAsia" w:ascii="仿宋_GB2312" w:hAnsi="仿宋_GB2312" w:eastAsia="仿宋_GB2312" w:cs="仿宋_GB2312"/>
          <w:sz w:val="32"/>
          <w:szCs w:val="32"/>
          <w:lang w:eastAsia="zh-CN"/>
        </w:rPr>
        <w:t>整体支出情况良好</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2025年度部门整体支出绩效报告</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详</w:t>
      </w:r>
      <w:r>
        <w:rPr>
          <w:rFonts w:hint="eastAsia" w:ascii="仿宋_GB2312" w:hAnsi="仿宋_GB2312" w:eastAsia="仿宋_GB2312" w:cs="仿宋_GB2312"/>
          <w:sz w:val="32"/>
          <w:szCs w:val="32"/>
        </w:rPr>
        <w:t>见附件。</w:t>
      </w:r>
    </w:p>
    <w:p>
      <w:pPr>
        <w:pStyle w:val="6"/>
        <w:rPr>
          <w:rFonts w:hint="eastAsia" w:ascii="仿宋_GB2312" w:hAnsi="仿宋_GB2312" w:eastAsia="仿宋_GB2312" w:cs="仿宋_GB2312"/>
          <w:sz w:val="32"/>
          <w:szCs w:val="32"/>
        </w:rPr>
      </w:pPr>
    </w:p>
    <w:p>
      <w:pPr>
        <w:pStyle w:val="13"/>
        <w:keepNext w:val="0"/>
        <w:keepLines w:val="0"/>
        <w:widowControl/>
        <w:numPr>
          <w:ilvl w:val="0"/>
          <w:numId w:val="0"/>
        </w:numPr>
        <w:suppressLineNumbers w:val="0"/>
        <w:ind w:right="75" w:rightChars="0"/>
        <w:jc w:val="center"/>
        <w:outlineLvl w:val="0"/>
        <w:rPr>
          <w:rFonts w:hint="eastAsia" w:ascii="黑体" w:hAnsi="黑体" w:eastAsia="黑体" w:cs="黑体"/>
          <w:sz w:val="44"/>
          <w:szCs w:val="44"/>
          <w:shd w:val="clear" w:color="auto" w:fill="FFFFFF"/>
        </w:rPr>
      </w:pPr>
      <w:bookmarkStart w:id="17" w:name="_Toc26931"/>
      <w:r>
        <w:rPr>
          <w:rFonts w:hint="eastAsia" w:ascii="黑体" w:hAnsi="黑体" w:eastAsia="黑体" w:cs="黑体"/>
          <w:sz w:val="44"/>
          <w:szCs w:val="44"/>
          <w:shd w:val="clear" w:color="auto" w:fill="FFFFFF"/>
          <w:lang w:eastAsia="zh-CN"/>
        </w:rPr>
        <w:t>第三部分</w:t>
      </w:r>
      <w:r>
        <w:rPr>
          <w:rFonts w:hint="eastAsia" w:ascii="黑体" w:hAnsi="黑体" w:eastAsia="黑体" w:cs="黑体"/>
          <w:sz w:val="44"/>
          <w:szCs w:val="44"/>
          <w:shd w:val="clear" w:color="auto" w:fill="FFFFFF"/>
          <w:lang w:val="en-US" w:eastAsia="zh-CN"/>
        </w:rPr>
        <w:t xml:space="preserve">  </w:t>
      </w:r>
      <w:r>
        <w:rPr>
          <w:rFonts w:hint="eastAsia" w:ascii="黑体" w:hAnsi="黑体" w:eastAsia="黑体" w:cs="黑体"/>
          <w:sz w:val="44"/>
          <w:szCs w:val="44"/>
          <w:shd w:val="clear" w:color="auto" w:fill="FFFFFF"/>
        </w:rPr>
        <w:t>名词解释</w:t>
      </w:r>
      <w:bookmarkEnd w:id="17"/>
    </w:p>
    <w:p>
      <w:pPr>
        <w:pStyle w:val="19"/>
        <w:keepNext w:val="0"/>
        <w:keepLines w:val="0"/>
        <w:pageBreakBefore w:val="0"/>
        <w:kinsoku/>
        <w:wordWrap/>
        <w:overflowPunct/>
        <w:topLinePunct w:val="0"/>
        <w:bidi w:val="0"/>
        <w:snapToGrid/>
        <w:spacing w:beforeAutospacing="0" w:afterAutospacing="0" w:line="560" w:lineRule="exact"/>
        <w:ind w:firstLine="640" w:firstLineChars="200"/>
        <w:textAlignment w:val="auto"/>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19"/>
        <w:keepNext w:val="0"/>
        <w:keepLines w:val="0"/>
        <w:pageBreakBefore w:val="0"/>
        <w:kinsoku/>
        <w:wordWrap/>
        <w:overflowPunct/>
        <w:topLinePunct w:val="0"/>
        <w:bidi w:val="0"/>
        <w:snapToGrid/>
        <w:spacing w:beforeAutospacing="0" w:afterAutospacing="0" w:line="560" w:lineRule="exact"/>
        <w:ind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2</w:t>
      </w:r>
      <w:r>
        <w:rPr>
          <w:rFonts w:ascii="仿宋_GB2312" w:eastAsia="仿宋_GB2312"/>
          <w:sz w:val="32"/>
          <w:szCs w:val="32"/>
        </w:rPr>
        <w:t>.</w:t>
      </w:r>
      <w:r>
        <w:rPr>
          <w:rFonts w:hint="eastAsia" w:ascii="仿宋_GB2312" w:eastAsia="仿宋_GB2312"/>
          <w:sz w:val="32"/>
          <w:szCs w:val="32"/>
        </w:rPr>
        <w:t>其他收入：指单位取得的除上述收入以外的各项收入。</w:t>
      </w:r>
      <w:r>
        <w:rPr>
          <w:rFonts w:ascii="仿宋_GB2312" w:eastAsia="仿宋_GB2312"/>
          <w:sz w:val="32"/>
          <w:szCs w:val="32"/>
        </w:rPr>
        <w:t xml:space="preserve"> </w:t>
      </w:r>
    </w:p>
    <w:p>
      <w:pPr>
        <w:pStyle w:val="19"/>
        <w:keepNext w:val="0"/>
        <w:keepLines w:val="0"/>
        <w:pageBreakBefore w:val="0"/>
        <w:kinsoku/>
        <w:wordWrap/>
        <w:overflowPunct/>
        <w:topLinePunct w:val="0"/>
        <w:bidi w:val="0"/>
        <w:snapToGrid/>
        <w:spacing w:beforeAutospacing="0" w:afterAutospacing="0" w:line="560" w:lineRule="exact"/>
        <w:ind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3</w:t>
      </w:r>
      <w:r>
        <w:rPr>
          <w:rFonts w:ascii="仿宋_GB2312" w:eastAsia="仿宋_GB2312"/>
          <w:sz w:val="32"/>
          <w:szCs w:val="32"/>
        </w:rPr>
        <w:t>.</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19"/>
        <w:keepNext w:val="0"/>
        <w:keepLines w:val="0"/>
        <w:pageBreakBefore w:val="0"/>
        <w:kinsoku/>
        <w:wordWrap/>
        <w:overflowPunct/>
        <w:topLinePunct w:val="0"/>
        <w:bidi w:val="0"/>
        <w:snapToGrid/>
        <w:spacing w:beforeAutospacing="0" w:afterAutospacing="0" w:line="560" w:lineRule="exact"/>
        <w:ind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4</w:t>
      </w:r>
      <w:r>
        <w:rPr>
          <w:rFonts w:hint="eastAsia" w:ascii="仿宋_GB2312" w:eastAsia="仿宋_GB2312"/>
          <w:sz w:val="32"/>
          <w:szCs w:val="32"/>
        </w:rPr>
        <w:t>、年末结转和结余：指单位按有关规定结转到下年或以后年度继续使用的资金。</w:t>
      </w:r>
    </w:p>
    <w:p>
      <w:pPr>
        <w:keepNext w:val="0"/>
        <w:keepLines w:val="0"/>
        <w:pageBreakBefore w:val="0"/>
        <w:kinsoku/>
        <w:wordWrap/>
        <w:overflowPunct/>
        <w:topLinePunct w:val="0"/>
        <w:bidi w:val="0"/>
        <w:snapToGrid/>
        <w:spacing w:beforeAutospacing="0" w:afterAutospacing="0"/>
        <w:ind w:firstLine="640" w:firstLineChars="200"/>
        <w:textAlignment w:val="auto"/>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5</w:t>
      </w:r>
      <w:r>
        <w:rPr>
          <w:rFonts w:ascii="仿宋_GB2312" w:eastAsia="仿宋_GB2312"/>
          <w:color w:val="000000"/>
          <w:sz w:val="32"/>
          <w:szCs w:val="32"/>
        </w:rPr>
        <w:t>.</w:t>
      </w:r>
      <w:r>
        <w:rPr>
          <w:rFonts w:hint="eastAsia" w:ascii="仿宋_GB2312" w:eastAsia="仿宋_GB2312"/>
          <w:color w:val="000000"/>
          <w:sz w:val="32"/>
          <w:szCs w:val="32"/>
        </w:rPr>
        <w:t>一般公共服务：</w:t>
      </w:r>
      <w:r>
        <w:rPr>
          <w:rFonts w:hint="eastAsia" w:ascii="仿宋_GB2312" w:eastAsia="仿宋_GB2312"/>
          <w:color w:val="000000"/>
          <w:sz w:val="32"/>
          <w:szCs w:val="32"/>
          <w:lang w:val="en-US" w:eastAsia="zh-CN"/>
        </w:rPr>
        <w:t>2013101</w:t>
      </w:r>
      <w:r>
        <w:rPr>
          <w:rFonts w:hint="eastAsia" w:ascii="仿宋_GB2312" w:eastAsia="仿宋_GB2312"/>
          <w:color w:val="000000"/>
          <w:sz w:val="32"/>
          <w:szCs w:val="32"/>
        </w:rPr>
        <w:t>指</w:t>
      </w:r>
      <w:r>
        <w:rPr>
          <w:rFonts w:hint="eastAsia" w:ascii="仿宋_GB2312" w:eastAsia="仿宋_GB2312"/>
          <w:color w:val="000000"/>
          <w:sz w:val="32"/>
          <w:szCs w:val="32"/>
          <w:lang w:eastAsia="zh-CN"/>
        </w:rPr>
        <w:t>党委厅（室）及相关事务机构行政运行，反映人员经费与日常公用经费的支出</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2013102指一般行政管理事务，反映县委编办专项办公费的支出。2013150指</w:t>
      </w:r>
      <w:r>
        <w:rPr>
          <w:rFonts w:hint="eastAsia" w:ascii="仿宋_GB2312" w:eastAsia="仿宋_GB2312"/>
          <w:color w:val="000000"/>
          <w:sz w:val="32"/>
          <w:szCs w:val="32"/>
          <w:lang w:eastAsia="zh-CN"/>
        </w:rPr>
        <w:t>党委厅（室）及相关事务机构事业运行</w:t>
      </w:r>
      <w:r>
        <w:rPr>
          <w:rFonts w:hint="eastAsia" w:ascii="仿宋_GB2312" w:eastAsia="仿宋_GB2312"/>
          <w:color w:val="000000"/>
          <w:sz w:val="32"/>
          <w:szCs w:val="32"/>
          <w:lang w:val="en-US" w:eastAsia="zh-CN"/>
        </w:rPr>
        <w:t>，反映事业</w:t>
      </w:r>
      <w:r>
        <w:rPr>
          <w:rFonts w:hint="eastAsia" w:ascii="仿宋_GB2312" w:eastAsia="仿宋_GB2312"/>
          <w:color w:val="000000"/>
          <w:sz w:val="32"/>
          <w:szCs w:val="32"/>
          <w:lang w:eastAsia="zh-CN"/>
        </w:rPr>
        <w:t>人员经费与日常公用经费的支出</w:t>
      </w:r>
      <w:r>
        <w:rPr>
          <w:rFonts w:hint="eastAsia" w:ascii="仿宋_GB2312" w:eastAsia="仿宋_GB2312"/>
          <w:color w:val="000000"/>
          <w:sz w:val="32"/>
          <w:szCs w:val="32"/>
          <w:lang w:val="en-US" w:eastAsia="zh-CN"/>
        </w:rPr>
        <w:t>。</w:t>
      </w:r>
    </w:p>
    <w:p>
      <w:pPr>
        <w:keepNext w:val="0"/>
        <w:keepLines w:val="0"/>
        <w:pageBreakBefore w:val="0"/>
        <w:numPr>
          <w:ilvl w:val="0"/>
          <w:numId w:val="0"/>
        </w:numPr>
        <w:kinsoku/>
        <w:wordWrap/>
        <w:overflowPunct/>
        <w:topLinePunct w:val="0"/>
        <w:bidi w:val="0"/>
        <w:snapToGrid/>
        <w:spacing w:beforeAutospacing="0" w:afterAutospacing="0"/>
        <w:ind w:firstLine="640" w:firstLineChars="200"/>
        <w:textAlignment w:val="auto"/>
        <w:rPr>
          <w:rFonts w:hint="default" w:ascii="仿宋_GB2312" w:eastAsia="仿宋_GB2312"/>
          <w:color w:val="000000"/>
          <w:sz w:val="32"/>
          <w:szCs w:val="32"/>
          <w:lang w:val="en-US" w:eastAsia="zh-CN"/>
        </w:rPr>
      </w:pP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社会保障和就业</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2080505</w:t>
      </w:r>
      <w:r>
        <w:rPr>
          <w:rFonts w:hint="eastAsia" w:ascii="仿宋_GB2312" w:eastAsia="仿宋_GB2312"/>
          <w:color w:val="000000"/>
          <w:sz w:val="32"/>
          <w:szCs w:val="32"/>
        </w:rPr>
        <w:t>指</w:t>
      </w:r>
      <w:r>
        <w:rPr>
          <w:rFonts w:hint="eastAsia" w:ascii="仿宋_GB2312" w:eastAsia="仿宋_GB2312"/>
          <w:color w:val="000000"/>
          <w:sz w:val="32"/>
          <w:szCs w:val="32"/>
          <w:lang w:eastAsia="zh-CN"/>
        </w:rPr>
        <w:t>机关事业单位基本养老保险缴费支出</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2080506指机关事业单位职业年金缴费支出。</w:t>
      </w:r>
    </w:p>
    <w:p>
      <w:pPr>
        <w:keepNext w:val="0"/>
        <w:keepLines w:val="0"/>
        <w:pageBreakBefore w:val="0"/>
        <w:numPr>
          <w:ilvl w:val="0"/>
          <w:numId w:val="0"/>
        </w:numPr>
        <w:kinsoku/>
        <w:wordWrap/>
        <w:overflowPunct/>
        <w:topLinePunct w:val="0"/>
        <w:bidi w:val="0"/>
        <w:snapToGrid/>
        <w:spacing w:beforeAutospacing="0" w:afterAutospacing="0"/>
        <w:ind w:firstLine="640" w:firstLineChars="200"/>
        <w:textAlignment w:val="auto"/>
        <w:rPr>
          <w:rFonts w:hint="default" w:ascii="仿宋_GB2312" w:eastAsia="仿宋_GB2312"/>
          <w:color w:val="000000"/>
          <w:sz w:val="32"/>
          <w:szCs w:val="32"/>
          <w:lang w:val="en-US" w:eastAsia="zh-CN"/>
        </w:rPr>
      </w:pP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医疗卫生与计划生育：</w:t>
      </w:r>
      <w:r>
        <w:rPr>
          <w:rFonts w:hint="eastAsia" w:ascii="仿宋_GB2312" w:eastAsia="仿宋_GB2312"/>
          <w:color w:val="000000"/>
          <w:sz w:val="32"/>
          <w:szCs w:val="32"/>
          <w:lang w:val="en-US" w:eastAsia="zh-CN"/>
        </w:rPr>
        <w:t>2101101</w:t>
      </w:r>
      <w:r>
        <w:rPr>
          <w:rFonts w:hint="eastAsia" w:ascii="仿宋_GB2312" w:eastAsia="仿宋_GB2312"/>
          <w:color w:val="000000"/>
          <w:sz w:val="32"/>
          <w:szCs w:val="32"/>
        </w:rPr>
        <w:t>指</w:t>
      </w:r>
      <w:r>
        <w:rPr>
          <w:rFonts w:hint="eastAsia" w:ascii="仿宋_GB2312" w:eastAsia="仿宋_GB2312"/>
          <w:color w:val="000000"/>
          <w:sz w:val="32"/>
          <w:szCs w:val="32"/>
          <w:lang w:eastAsia="zh-CN"/>
        </w:rPr>
        <w:t>行政单位医疗支出</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2101103指公务员医疗补助。</w:t>
      </w:r>
    </w:p>
    <w:p>
      <w:pPr>
        <w:keepNext w:val="0"/>
        <w:keepLines w:val="0"/>
        <w:pageBreakBefore w:val="0"/>
        <w:kinsoku/>
        <w:wordWrap/>
        <w:overflowPunct/>
        <w:topLinePunct w:val="0"/>
        <w:bidi w:val="0"/>
        <w:snapToGrid/>
        <w:spacing w:beforeAutospacing="0" w:afterAutospacing="0"/>
        <w:ind w:firstLine="640" w:firstLineChars="200"/>
        <w:textAlignment w:val="auto"/>
        <w:rPr>
          <w:rFonts w:ascii="仿宋" w:hAnsi="仿宋" w:eastAsia="仿宋"/>
          <w:b/>
          <w:color w:val="000000"/>
          <w:sz w:val="32"/>
          <w:szCs w:val="32"/>
        </w:rPr>
      </w:pP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住房保障</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2210201</w:t>
      </w:r>
      <w:r>
        <w:rPr>
          <w:rFonts w:hint="eastAsia" w:ascii="仿宋_GB2312" w:eastAsia="仿宋_GB2312"/>
          <w:color w:val="000000"/>
          <w:sz w:val="32"/>
          <w:szCs w:val="32"/>
        </w:rPr>
        <w:t>指</w:t>
      </w:r>
      <w:r>
        <w:rPr>
          <w:rFonts w:hint="eastAsia" w:ascii="仿宋_GB2312" w:eastAsia="仿宋_GB2312"/>
          <w:color w:val="000000"/>
          <w:sz w:val="32"/>
          <w:szCs w:val="32"/>
          <w:lang w:eastAsia="zh-CN"/>
        </w:rPr>
        <w:t>住房公积金</w:t>
      </w:r>
      <w:r>
        <w:rPr>
          <w:rFonts w:hint="eastAsia" w:ascii="仿宋_GB2312" w:eastAsia="仿宋_GB2312"/>
          <w:color w:val="000000"/>
          <w:sz w:val="32"/>
          <w:szCs w:val="32"/>
        </w:rPr>
        <w:t>。</w:t>
      </w:r>
    </w:p>
    <w:p>
      <w:pPr>
        <w:keepNext w:val="0"/>
        <w:keepLines w:val="0"/>
        <w:pageBreakBefore w:val="0"/>
        <w:kinsoku/>
        <w:wordWrap/>
        <w:overflowPunct/>
        <w:topLinePunct w:val="0"/>
        <w:bidi w:val="0"/>
        <w:snapToGrid/>
        <w:spacing w:beforeAutospacing="0" w:afterAutospacing="0"/>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基本支出：指为保障机构正常运转、完成日常工作任务而发生的人员支出和公用支出。</w:t>
      </w:r>
    </w:p>
    <w:p>
      <w:pPr>
        <w:keepNext w:val="0"/>
        <w:keepLines w:val="0"/>
        <w:pageBreakBefore w:val="0"/>
        <w:kinsoku/>
        <w:wordWrap/>
        <w:overflowPunct/>
        <w:topLinePunct w:val="0"/>
        <w:bidi w:val="0"/>
        <w:snapToGrid/>
        <w:spacing w:beforeAutospacing="0" w:afterAutospacing="0"/>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10.</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pStyle w:val="19"/>
        <w:keepNext w:val="0"/>
        <w:keepLines w:val="0"/>
        <w:pageBreakBefore w:val="0"/>
        <w:kinsoku/>
        <w:wordWrap/>
        <w:overflowPunct/>
        <w:topLinePunct w:val="0"/>
        <w:bidi w:val="0"/>
        <w:snapToGrid/>
        <w:spacing w:beforeAutospacing="0" w:afterAutospacing="0" w:line="560" w:lineRule="exact"/>
        <w:ind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11.</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13"/>
        <w:keepNext w:val="0"/>
        <w:keepLines w:val="0"/>
        <w:pageBreakBefore w:val="0"/>
        <w:widowControl/>
        <w:numPr>
          <w:ilvl w:val="0"/>
          <w:numId w:val="0"/>
        </w:numPr>
        <w:suppressLineNumbers w:val="0"/>
        <w:shd w:val="clear" w:color="auto" w:fill="auto"/>
        <w:kinsoku/>
        <w:wordWrap/>
        <w:overflowPunct/>
        <w:topLinePunct w:val="0"/>
        <w:bidi w:val="0"/>
        <w:snapToGrid/>
        <w:spacing w:before="0" w:beforeAutospacing="0" w:after="0" w:afterAutospacing="0"/>
        <w:ind w:right="75" w:rightChars="0" w:firstLine="640" w:firstLineChars="200"/>
        <w:jc w:val="both"/>
        <w:textAlignment w:val="auto"/>
        <w:rPr>
          <w:rFonts w:hint="eastAsia" w:ascii="黑体" w:hAnsi="黑体" w:eastAsia="黑体" w:cs="黑体"/>
          <w:sz w:val="44"/>
          <w:szCs w:val="44"/>
          <w:shd w:val="clear" w:color="auto" w:fill="FFFFFF"/>
        </w:rPr>
      </w:pPr>
      <w:r>
        <w:rPr>
          <w:rFonts w:hint="eastAsia" w:ascii="仿宋_GB2312" w:eastAsia="仿宋_GB2312"/>
          <w:sz w:val="32"/>
          <w:szCs w:val="32"/>
          <w:lang w:val="en-US" w:eastAsia="zh-CN"/>
        </w:rPr>
        <w:t>12.</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r>
        <w:rPr>
          <w:rFonts w:ascii="宋体"/>
          <w:b/>
          <w:color w:val="000000"/>
          <w:sz w:val="44"/>
          <w:szCs w:val="44"/>
        </w:rPr>
        <w:br w:type="page"/>
      </w:r>
    </w:p>
    <w:p>
      <w:pPr>
        <w:pStyle w:val="13"/>
        <w:keepNext w:val="0"/>
        <w:keepLines w:val="0"/>
        <w:widowControl/>
        <w:suppressLineNumbers w:val="0"/>
        <w:ind w:left="0" w:right="75"/>
        <w:jc w:val="center"/>
        <w:outlineLvl w:val="0"/>
        <w:rPr>
          <w:rFonts w:hint="eastAsia" w:ascii="黑体" w:hAnsi="黑体" w:eastAsia="黑体" w:cs="黑体"/>
          <w:sz w:val="44"/>
          <w:szCs w:val="44"/>
        </w:rPr>
      </w:pPr>
      <w:bookmarkStart w:id="18" w:name="_Toc15389"/>
      <w:r>
        <w:rPr>
          <w:rFonts w:hint="eastAsia" w:ascii="黑体" w:hAnsi="黑体" w:eastAsia="黑体" w:cs="黑体"/>
          <w:sz w:val="44"/>
          <w:szCs w:val="44"/>
          <w:shd w:val="clear" w:color="auto" w:fill="FFFFFF"/>
        </w:rPr>
        <w:t>第四部分 附件</w:t>
      </w:r>
      <w:bookmarkEnd w:id="18"/>
    </w:p>
    <w:p>
      <w:pPr>
        <w:pStyle w:val="13"/>
        <w:keepNext w:val="0"/>
        <w:keepLines w:val="0"/>
        <w:widowControl/>
        <w:suppressLineNumbers w:val="0"/>
        <w:ind w:left="0" w:right="75"/>
        <w:outlineLvl w:val="1"/>
        <w:rPr>
          <w:rFonts w:hint="default"/>
          <w:lang w:val="en-US" w:eastAsia="zh-CN"/>
        </w:rPr>
      </w:pPr>
      <w:bookmarkStart w:id="19" w:name="_Toc27357"/>
      <w:r>
        <w:rPr>
          <w:rFonts w:hint="eastAsia" w:ascii="仿宋_GB2312" w:hAnsi="仿宋_GB2312" w:eastAsia="仿宋_GB2312" w:cs="仿宋_GB2312"/>
          <w:sz w:val="32"/>
          <w:szCs w:val="32"/>
          <w:shd w:val="clear" w:color="auto" w:fill="FFFFFF"/>
        </w:rPr>
        <w:t>附件</w:t>
      </w:r>
      <w:r>
        <w:rPr>
          <w:rFonts w:hint="eastAsia" w:ascii="仿宋_GB2312" w:hAnsi="仿宋_GB2312" w:eastAsia="仿宋_GB2312" w:cs="仿宋_GB2312"/>
          <w:sz w:val="32"/>
          <w:szCs w:val="32"/>
          <w:shd w:val="clear" w:color="auto" w:fill="FFFFFF"/>
          <w:lang w:val="en-US" w:eastAsia="zh-CN"/>
        </w:rPr>
        <w:t>1</w:t>
      </w:r>
      <w:r>
        <w:rPr>
          <w:rFonts w:hint="eastAsia" w:ascii="仿宋_GB2312" w:hAnsi="仿宋_GB2312" w:eastAsia="仿宋_GB2312" w:cs="仿宋_GB2312"/>
          <w:sz w:val="32"/>
          <w:szCs w:val="32"/>
          <w:shd w:val="clear" w:color="auto" w:fill="FFFFFF"/>
          <w:lang w:eastAsia="zh-CN"/>
        </w:rPr>
        <w:t>：</w:t>
      </w:r>
      <w:bookmarkEnd w:id="19"/>
      <w:r>
        <w:rPr>
          <w:rFonts w:hint="eastAsia" w:ascii="仿宋_GB2312" w:hAnsi="仿宋_GB2312" w:eastAsia="仿宋_GB2312" w:cs="仿宋_GB2312"/>
          <w:sz w:val="32"/>
          <w:szCs w:val="32"/>
          <w:shd w:val="clear" w:color="auto" w:fill="FFFFFF"/>
          <w:lang w:eastAsia="zh-CN"/>
        </w:rPr>
        <w:t>县委编办</w:t>
      </w:r>
      <w:r>
        <w:rPr>
          <w:rFonts w:hint="eastAsia" w:ascii="仿宋_GB2312" w:hAnsi="仿宋_GB2312" w:eastAsia="仿宋_GB2312" w:cs="仿宋_GB2312"/>
          <w:sz w:val="32"/>
          <w:szCs w:val="32"/>
          <w:lang w:val="en-US" w:eastAsia="zh-CN"/>
        </w:rPr>
        <w:t>2025年度部门整体支出绩效报告</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jc w:val="center"/>
        <w:textAlignment w:val="auto"/>
        <w:outlineLvl w:val="9"/>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中共红原县委机构编制委员会办公室2024年部门整体支出绩效报告</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jc w:val="center"/>
        <w:textAlignment w:val="auto"/>
        <w:outlineLvl w:val="9"/>
        <w:rPr>
          <w:rFonts w:hint="eastAsia" w:ascii="仿宋_GB2312" w:hAnsi="仿宋_GB2312" w:eastAsia="仿宋_GB2312" w:cs="仿宋_GB2312"/>
          <w:b w:val="0"/>
          <w:bCs w:val="0"/>
          <w:color w:val="000000"/>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zh-CN" w:eastAsia="zh-CN"/>
        </w:rPr>
      </w:pPr>
      <w:r>
        <w:rPr>
          <w:rFonts w:hint="eastAsia" w:ascii="仿宋_GB2312" w:hAnsi="仿宋_GB2312" w:eastAsia="仿宋_GB2312" w:cs="仿宋_GB2312"/>
          <w:b/>
          <w:bCs/>
          <w:color w:val="000000"/>
          <w:sz w:val="32"/>
          <w:szCs w:val="32"/>
          <w:lang w:val="en-US" w:eastAsia="zh-CN"/>
        </w:rPr>
        <w:t>一、</w:t>
      </w:r>
      <w:r>
        <w:rPr>
          <w:rFonts w:hint="eastAsia" w:ascii="仿宋_GB2312" w:hAnsi="仿宋_GB2312" w:eastAsia="仿宋_GB2312" w:cs="仿宋_GB2312"/>
          <w:b/>
          <w:bCs/>
          <w:color w:val="000000"/>
          <w:sz w:val="32"/>
          <w:szCs w:val="32"/>
          <w:lang w:val="zh-CN" w:eastAsia="zh-CN"/>
        </w:rPr>
        <w:t>部门（单位）概况</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zh-CN" w:eastAsia="zh-CN"/>
        </w:rPr>
      </w:pPr>
      <w:r>
        <w:rPr>
          <w:rFonts w:hint="eastAsia" w:ascii="仿宋_GB2312" w:hAnsi="仿宋_GB2312" w:eastAsia="仿宋_GB2312" w:cs="仿宋_GB2312"/>
          <w:b/>
          <w:bCs/>
          <w:color w:val="000000"/>
          <w:sz w:val="32"/>
          <w:szCs w:val="32"/>
          <w:lang w:val="zh-CN" w:eastAsia="zh-CN"/>
        </w:rPr>
        <w:t>（一）机构组成。</w:t>
      </w:r>
    </w:p>
    <w:p>
      <w:pPr>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b w:val="0"/>
          <w:bCs w:val="0"/>
          <w:color w:val="000000"/>
          <w:sz w:val="32"/>
          <w:szCs w:val="32"/>
          <w:lang w:val="en-US" w:eastAsia="zh-CN"/>
        </w:rPr>
        <w:t>县委编办为独立核算全额拨款行政单位，</w:t>
      </w:r>
      <w:r>
        <w:rPr>
          <w:rFonts w:hint="eastAsia" w:ascii="仿宋_GB2312" w:hAnsi="仿宋_GB2312" w:eastAsia="仿宋_GB2312" w:cs="仿宋_GB2312"/>
          <w:sz w:val="32"/>
          <w:szCs w:val="32"/>
        </w:rPr>
        <w:t>内设</w:t>
      </w:r>
      <w:r>
        <w:rPr>
          <w:rFonts w:hint="eastAsia" w:ascii="仿宋_GB2312" w:hAnsi="仿宋_GB2312" w:eastAsia="仿宋_GB2312" w:cs="仿宋_GB2312"/>
          <w:sz w:val="32"/>
          <w:szCs w:val="32"/>
          <w:lang w:eastAsia="zh-CN"/>
        </w:rPr>
        <w:t>综合股、机构编制股、机构编制督查股，下设红原县事业单位登记管理局（参公）、红原县机构编制实名制中心（事业）</w:t>
      </w:r>
      <w:r>
        <w:rPr>
          <w:rFonts w:hint="eastAsia" w:ascii="仿宋_GB2312" w:hAnsi="仿宋_GB2312" w:eastAsia="仿宋_GB2312" w:cs="仿宋_GB2312"/>
          <w:sz w:val="32"/>
          <w:szCs w:val="32"/>
        </w:rPr>
        <w:t>。</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zh-CN" w:eastAsia="zh-CN"/>
        </w:rPr>
      </w:pPr>
      <w:r>
        <w:rPr>
          <w:rFonts w:hint="eastAsia" w:ascii="仿宋_GB2312" w:hAnsi="仿宋_GB2312" w:eastAsia="仿宋_GB2312" w:cs="仿宋_GB2312"/>
          <w:b/>
          <w:bCs/>
          <w:color w:val="000000"/>
          <w:sz w:val="32"/>
          <w:szCs w:val="32"/>
          <w:lang w:val="zh-CN" w:eastAsia="zh-CN"/>
        </w:rPr>
        <w:t>（二）主要职能。</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1、</w:t>
      </w:r>
      <w:r>
        <w:rPr>
          <w:rFonts w:hint="eastAsia" w:ascii="仿宋" w:hAnsi="仿宋" w:eastAsia="仿宋" w:cs="仿宋"/>
          <w:snapToGrid w:val="0"/>
          <w:color w:val="000000"/>
          <w:kern w:val="56"/>
          <w:sz w:val="32"/>
          <w:szCs w:val="32"/>
          <w:shd w:val="clear" w:color="auto" w:fill="FFFFFF"/>
        </w:rPr>
        <w:t>贯彻执行中央、省、州关于行政管理体制改革和机构改革、事业单位改革及机构编制管理的方针政策、法律法规，研究拟定本县的政策规定、管理办法和实施细则。</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2、</w:t>
      </w:r>
      <w:r>
        <w:rPr>
          <w:rFonts w:hint="eastAsia" w:ascii="仿宋" w:hAnsi="仿宋" w:eastAsia="仿宋" w:cs="仿宋"/>
          <w:snapToGrid w:val="0"/>
          <w:color w:val="000000"/>
          <w:kern w:val="56"/>
          <w:sz w:val="32"/>
          <w:szCs w:val="32"/>
          <w:shd w:val="clear" w:color="auto" w:fill="FFFFFF"/>
        </w:rPr>
        <w:t>研究拟定全县行政管理体制改革和机构改革方案，审核县直各部门“三定”规定和县直各部门、乡镇机构改革方案，指导县直各部门、乡镇行政管理体制改革和机构改革，评估改革方案。参与行政审批制度改革和行政区划调整的有关工作。</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3、</w:t>
      </w:r>
      <w:r>
        <w:rPr>
          <w:rFonts w:hint="eastAsia" w:ascii="仿宋" w:hAnsi="仿宋" w:eastAsia="仿宋" w:cs="仿宋"/>
          <w:snapToGrid w:val="0"/>
          <w:color w:val="000000"/>
          <w:kern w:val="56"/>
          <w:sz w:val="32"/>
          <w:szCs w:val="32"/>
          <w:shd w:val="clear" w:color="auto" w:fill="FFFFFF"/>
        </w:rPr>
        <w:t>拟定全县各级行政编制、政法专项编制总额分配方案，审核跨层级调整行政编制事项。负责全县行政事业编制总量控制、结构调整和机关事业单位机构编制实名制管理工作。对县直机关和县属事业单位使用空缺编制补充人员以及进入县级财政供养范围的人员（工勤人员除外）进行核批。</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4、</w:t>
      </w:r>
      <w:r>
        <w:rPr>
          <w:rFonts w:hint="eastAsia" w:ascii="仿宋" w:hAnsi="仿宋" w:eastAsia="仿宋" w:cs="仿宋"/>
          <w:snapToGrid w:val="0"/>
          <w:color w:val="000000"/>
          <w:kern w:val="56"/>
          <w:sz w:val="32"/>
          <w:szCs w:val="32"/>
          <w:shd w:val="clear" w:color="auto" w:fill="FFFFFF"/>
        </w:rPr>
        <w:t>负责县委、县政府各部门，县人大、县政协机关，县法院、县检察院机关及县人民团体机关的机构编制管理工作。协调县直各部门之间的职能划分。</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rPr>
      </w:pPr>
      <w:r>
        <w:rPr>
          <w:rFonts w:hint="eastAsia" w:ascii="仿宋" w:hAnsi="仿宋" w:eastAsia="仿宋" w:cs="仿宋"/>
          <w:snapToGrid w:val="0"/>
          <w:color w:val="000000"/>
          <w:kern w:val="56"/>
          <w:sz w:val="32"/>
          <w:szCs w:val="32"/>
          <w:shd w:val="clear" w:color="auto" w:fill="FFFFFF"/>
          <w:lang w:val="en-US" w:eastAsia="zh-CN"/>
        </w:rPr>
        <w:t>5、</w:t>
      </w:r>
      <w:r>
        <w:rPr>
          <w:rFonts w:hint="eastAsia" w:ascii="仿宋" w:hAnsi="仿宋" w:eastAsia="仿宋" w:cs="仿宋"/>
          <w:snapToGrid w:val="0"/>
          <w:color w:val="000000"/>
          <w:kern w:val="56"/>
          <w:sz w:val="32"/>
          <w:szCs w:val="32"/>
          <w:shd w:val="clear" w:color="auto" w:fill="FFFFFF"/>
        </w:rPr>
        <w:t>审核股级规格管理机构的设置、调整，按程序向州委编委请示县内副科级或按照副科级及以上规格管理机构的设置、调整。</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snapToGrid w:val="0"/>
          <w:color w:val="000000"/>
          <w:kern w:val="56"/>
          <w:sz w:val="32"/>
          <w:szCs w:val="32"/>
          <w:shd w:val="clear" w:color="auto" w:fill="FFFFFF"/>
          <w:lang w:eastAsia="zh-CN"/>
        </w:rPr>
      </w:pPr>
      <w:r>
        <w:rPr>
          <w:rFonts w:hint="eastAsia" w:ascii="仿宋" w:hAnsi="仿宋" w:eastAsia="仿宋" w:cs="仿宋"/>
          <w:snapToGrid w:val="0"/>
          <w:color w:val="000000"/>
          <w:kern w:val="56"/>
          <w:sz w:val="32"/>
          <w:szCs w:val="32"/>
          <w:shd w:val="clear" w:color="auto" w:fill="FFFFFF"/>
          <w:lang w:val="en-US" w:eastAsia="zh-CN"/>
        </w:rPr>
        <w:t>6、</w:t>
      </w:r>
      <w:r>
        <w:rPr>
          <w:rFonts w:hint="eastAsia" w:ascii="仿宋" w:hAnsi="仿宋" w:eastAsia="仿宋" w:cs="仿宋"/>
          <w:snapToGrid w:val="0"/>
          <w:color w:val="000000"/>
          <w:kern w:val="56"/>
          <w:sz w:val="32"/>
          <w:szCs w:val="32"/>
          <w:shd w:val="clear" w:color="auto" w:fill="FFFFFF"/>
        </w:rPr>
        <w:t>研究拟定全县事业单位改革方案及其实施意见，负责县属事业单位机构编制管理，审核县属事业单位的机构编制方案，负责拟参照公务员法管理事业单位的职责审核工作，指导并协调县、乡镇事业单位改革和机构编制管理工作。</w:t>
      </w:r>
      <w:r>
        <w:rPr>
          <w:rFonts w:hint="eastAsia" w:ascii="仿宋" w:hAnsi="仿宋" w:eastAsia="仿宋" w:cs="仿宋"/>
          <w:snapToGrid w:val="0"/>
          <w:color w:val="000000"/>
          <w:kern w:val="56"/>
          <w:sz w:val="32"/>
          <w:szCs w:val="32"/>
          <w:shd w:val="clear" w:color="auto" w:fill="FFFFFF"/>
        </w:rPr>
        <w:br w:type="textWrapping"/>
      </w:r>
      <w:r>
        <w:rPr>
          <w:rFonts w:hint="eastAsia" w:ascii="仿宋" w:hAnsi="仿宋" w:eastAsia="仿宋" w:cs="仿宋"/>
          <w:snapToGrid w:val="0"/>
          <w:color w:val="000000"/>
          <w:kern w:val="56"/>
          <w:sz w:val="32"/>
          <w:szCs w:val="32"/>
          <w:shd w:val="clear" w:color="auto" w:fill="FFFFFF"/>
        </w:rPr>
        <w:t xml:space="preserve">   </w:t>
      </w:r>
      <w:r>
        <w:rPr>
          <w:rFonts w:hint="eastAsia" w:ascii="仿宋" w:hAnsi="仿宋" w:eastAsia="仿宋" w:cs="仿宋"/>
          <w:snapToGrid w:val="0"/>
          <w:color w:val="000000"/>
          <w:kern w:val="56"/>
          <w:sz w:val="32"/>
          <w:szCs w:val="32"/>
          <w:shd w:val="clear" w:color="auto" w:fill="FFFFFF"/>
          <w:lang w:val="en-US" w:eastAsia="zh-CN"/>
        </w:rPr>
        <w:t>7、</w:t>
      </w:r>
      <w:r>
        <w:rPr>
          <w:rFonts w:hint="eastAsia" w:ascii="仿宋" w:hAnsi="仿宋" w:eastAsia="仿宋" w:cs="仿宋"/>
          <w:snapToGrid w:val="0"/>
          <w:color w:val="000000"/>
          <w:kern w:val="56"/>
          <w:sz w:val="32"/>
          <w:szCs w:val="32"/>
          <w:shd w:val="clear" w:color="auto" w:fill="FFFFFF"/>
        </w:rPr>
        <w:t>监督检查全县行政管理体制改革和机构改革方案及机构编制规定执行情况，建立机构编制工作考核评估制度，会同有关部门查处机构编制违法违纪行为。</w:t>
      </w:r>
      <w:r>
        <w:rPr>
          <w:rFonts w:hint="eastAsia" w:ascii="仿宋" w:hAnsi="仿宋" w:eastAsia="仿宋" w:cs="仿宋"/>
          <w:snapToGrid w:val="0"/>
          <w:color w:val="000000"/>
          <w:kern w:val="56"/>
          <w:sz w:val="32"/>
          <w:szCs w:val="32"/>
          <w:shd w:val="clear" w:color="auto" w:fill="FFFFFF"/>
        </w:rPr>
        <w:br w:type="textWrapping"/>
      </w:r>
      <w:r>
        <w:rPr>
          <w:rFonts w:hint="eastAsia" w:ascii="仿宋" w:hAnsi="仿宋" w:eastAsia="仿宋" w:cs="仿宋"/>
          <w:snapToGrid w:val="0"/>
          <w:color w:val="000000"/>
          <w:kern w:val="56"/>
          <w:sz w:val="32"/>
          <w:szCs w:val="32"/>
          <w:shd w:val="clear" w:color="auto" w:fill="FFFFFF"/>
        </w:rPr>
        <w:t xml:space="preserve"> </w:t>
      </w:r>
      <w:r>
        <w:rPr>
          <w:rFonts w:hint="eastAsia" w:ascii="仿宋" w:hAnsi="仿宋" w:eastAsia="仿宋" w:cs="仿宋"/>
          <w:snapToGrid w:val="0"/>
          <w:color w:val="000000"/>
          <w:kern w:val="56"/>
          <w:sz w:val="32"/>
          <w:szCs w:val="32"/>
          <w:shd w:val="clear" w:color="auto" w:fill="FFFFFF"/>
          <w:lang w:val="en-US" w:eastAsia="zh-CN"/>
        </w:rPr>
        <w:t xml:space="preserve">  8、</w:t>
      </w:r>
      <w:r>
        <w:rPr>
          <w:rFonts w:hint="eastAsia" w:ascii="仿宋" w:hAnsi="仿宋" w:eastAsia="仿宋" w:cs="仿宋"/>
          <w:snapToGrid w:val="0"/>
          <w:color w:val="000000"/>
          <w:kern w:val="56"/>
          <w:sz w:val="32"/>
          <w:szCs w:val="32"/>
          <w:shd w:val="clear" w:color="auto" w:fill="FFFFFF"/>
        </w:rPr>
        <w:t>负责全县事业单位登记管理工作，组织实施县属事业单位登记和年检工作</w:t>
      </w:r>
      <w:r>
        <w:rPr>
          <w:rFonts w:hint="eastAsia" w:ascii="仿宋" w:hAnsi="仿宋" w:eastAsia="仿宋" w:cs="仿宋"/>
          <w:snapToGrid w:val="0"/>
          <w:color w:val="000000"/>
          <w:kern w:val="56"/>
          <w:sz w:val="32"/>
          <w:szCs w:val="32"/>
          <w:shd w:val="clear" w:color="auto" w:fill="FFFFFF"/>
          <w:lang w:eastAsia="zh-CN"/>
        </w:rPr>
        <w:t>。</w:t>
      </w:r>
    </w:p>
    <w:p>
      <w:pPr>
        <w:keepNext w:val="0"/>
        <w:keepLines w:val="0"/>
        <w:pageBreakBefore w:val="0"/>
        <w:widowControl w:val="0"/>
        <w:pBdr>
          <w:bottom w:val="single" w:color="FFFFFF" w:sz="4" w:space="29"/>
        </w:pBdr>
        <w:kinsoku/>
        <w:wordWrap/>
        <w:overflowPunct/>
        <w:topLinePunct w:val="0"/>
        <w:autoSpaceDE/>
        <w:autoSpaceDN/>
        <w:bidi w:val="0"/>
        <w:adjustRightInd w:val="0"/>
        <w:snapToGrid w:val="0"/>
        <w:spacing w:line="560" w:lineRule="exact"/>
        <w:ind w:firstLine="320" w:firstLineChars="100"/>
        <w:textAlignment w:val="auto"/>
        <w:rPr>
          <w:rFonts w:hint="eastAsia" w:ascii="仿宋" w:hAnsi="仿宋" w:eastAsia="仿宋" w:cs="仿宋"/>
          <w:snapToGrid w:val="0"/>
          <w:color w:val="000000"/>
          <w:kern w:val="56"/>
          <w:sz w:val="32"/>
          <w:szCs w:val="32"/>
          <w:shd w:val="clear" w:color="auto" w:fill="FFFFFF"/>
          <w:lang w:val="en-US" w:eastAsia="zh-CN"/>
        </w:rPr>
      </w:pPr>
      <w:r>
        <w:rPr>
          <w:rFonts w:hint="eastAsia" w:ascii="仿宋" w:hAnsi="仿宋" w:eastAsia="仿宋" w:cs="仿宋"/>
          <w:snapToGrid w:val="0"/>
          <w:color w:val="000000"/>
          <w:kern w:val="56"/>
          <w:sz w:val="32"/>
          <w:szCs w:val="32"/>
          <w:shd w:val="clear" w:color="auto" w:fill="FFFFFF"/>
          <w:lang w:val="en-US" w:eastAsia="zh-CN"/>
        </w:rPr>
        <w:t>9、</w:t>
      </w:r>
      <w:r>
        <w:rPr>
          <w:rFonts w:hint="eastAsia" w:ascii="仿宋" w:hAnsi="仿宋" w:eastAsia="仿宋" w:cs="仿宋"/>
          <w:snapToGrid w:val="0"/>
          <w:color w:val="000000"/>
          <w:kern w:val="56"/>
          <w:sz w:val="32"/>
          <w:szCs w:val="32"/>
          <w:shd w:val="clear" w:color="auto" w:fill="FFFFFF"/>
        </w:rPr>
        <w:t>承办县委、县政府和县委编委交办的其他工作。</w:t>
      </w:r>
      <w:r>
        <w:rPr>
          <w:rFonts w:hint="eastAsia" w:ascii="仿宋" w:hAnsi="仿宋" w:eastAsia="仿宋" w:cs="仿宋"/>
          <w:snapToGrid w:val="0"/>
          <w:color w:val="000000"/>
          <w:kern w:val="56"/>
          <w:sz w:val="32"/>
          <w:szCs w:val="32"/>
          <w:shd w:val="clear" w:color="auto" w:fill="FFFFFF"/>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zh-CN" w:eastAsia="zh-CN"/>
        </w:rPr>
      </w:pPr>
      <w:r>
        <w:rPr>
          <w:rFonts w:hint="eastAsia" w:ascii="仿宋_GB2312" w:hAnsi="仿宋_GB2312" w:eastAsia="仿宋_GB2312" w:cs="仿宋_GB2312"/>
          <w:b w:val="0"/>
          <w:bCs w:val="0"/>
          <w:color w:val="000000"/>
          <w:sz w:val="32"/>
          <w:szCs w:val="32"/>
          <w:lang w:val="zh-CN" w:eastAsia="zh-CN"/>
        </w:rPr>
        <w:t>（三）人员概况。</w:t>
      </w:r>
    </w:p>
    <w:p>
      <w:pPr>
        <w:pStyle w:val="21"/>
        <w:keepNext w:val="0"/>
        <w:keepLines w:val="0"/>
        <w:widowControl/>
        <w:suppressLineNumbers w:val="0"/>
        <w:autoSpaceDE w:val="0"/>
        <w:autoSpaceDN/>
        <w:spacing w:before="0" w:beforeAutospacing="0" w:line="576" w:lineRule="exact"/>
        <w:ind w:left="0" w:firstLine="640" w:firstLineChars="200"/>
        <w:jc w:val="left"/>
        <w:rPr>
          <w:rFonts w:hint="eastAsia" w:ascii="仿宋_GB2312" w:eastAsia="仿宋_GB2312" w:cs="仿宋_GB2312"/>
          <w:kern w:val="0"/>
          <w:sz w:val="32"/>
          <w:szCs w:val="32"/>
        </w:rPr>
      </w:pPr>
      <w:r>
        <w:rPr>
          <w:rFonts w:hint="eastAsia" w:ascii="仿宋_GB2312" w:hAnsi="仿宋_GB2312" w:eastAsia="仿宋_GB2312" w:cs="仿宋_GB2312"/>
          <w:bCs/>
          <w:sz w:val="32"/>
          <w:szCs w:val="32"/>
        </w:rPr>
        <w:t>截止</w:t>
      </w:r>
      <w:r>
        <w:rPr>
          <w:rFonts w:hint="eastAsia" w:ascii="仿宋_GB2312" w:hAnsi="仿宋_GB2312" w:eastAsia="仿宋_GB2312" w:cs="仿宋_GB2312"/>
          <w:bCs/>
          <w:sz w:val="32"/>
          <w:szCs w:val="32"/>
          <w:lang w:val="en-US" w:eastAsia="zh-CN"/>
        </w:rPr>
        <w:t>2025</w:t>
      </w:r>
      <w:r>
        <w:rPr>
          <w:rFonts w:hint="eastAsia" w:ascii="仿宋_GB2312" w:hAnsi="仿宋_GB2312" w:eastAsia="仿宋_GB2312" w:cs="仿宋_GB2312"/>
          <w:bCs/>
          <w:sz w:val="32"/>
          <w:szCs w:val="32"/>
          <w:lang w:eastAsia="zh-CN"/>
        </w:rPr>
        <w:t>年底</w:t>
      </w:r>
      <w:r>
        <w:rPr>
          <w:rFonts w:hint="eastAsia" w:ascii="仿宋_GB2312" w:hAnsi="仿宋_GB2312" w:eastAsia="仿宋_GB2312" w:cs="仿宋_GB2312"/>
          <w:sz w:val="32"/>
          <w:szCs w:val="32"/>
        </w:rPr>
        <w:t>在职</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人，其中公务员</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人，行政工勤</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，参公</w:t>
      </w:r>
      <w:r>
        <w:rPr>
          <w:rFonts w:hint="eastAsia" w:ascii="仿宋_GB2312" w:hAnsi="仿宋_GB2312" w:eastAsia="仿宋_GB2312" w:cs="仿宋_GB2312"/>
          <w:sz w:val="32"/>
          <w:szCs w:val="32"/>
          <w:lang w:val="en-US" w:eastAsia="zh-CN"/>
        </w:rPr>
        <w:t>5人，事业3人。</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二、部门财政资金收支情况</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zh-CN" w:eastAsia="zh-CN"/>
        </w:rPr>
      </w:pPr>
      <w:r>
        <w:rPr>
          <w:rFonts w:hint="eastAsia" w:ascii="仿宋_GB2312" w:hAnsi="仿宋_GB2312" w:eastAsia="仿宋_GB2312" w:cs="仿宋_GB2312"/>
          <w:b/>
          <w:bCs/>
          <w:color w:val="000000"/>
          <w:sz w:val="32"/>
          <w:szCs w:val="32"/>
          <w:lang w:val="zh-CN" w:eastAsia="zh-CN"/>
        </w:rPr>
        <w:t>（一）部门财政资金收入情况。</w:t>
      </w:r>
    </w:p>
    <w:p>
      <w:pPr>
        <w:pStyle w:val="21"/>
        <w:keepNext w:val="0"/>
        <w:keepLines w:val="0"/>
        <w:widowControl/>
        <w:suppressLineNumbers w:val="0"/>
        <w:autoSpaceDE w:val="0"/>
        <w:autoSpaceDN/>
        <w:spacing w:before="0" w:beforeAutospacing="0" w:line="576" w:lineRule="exact"/>
        <w:ind w:left="0" w:firstLine="640" w:firstLineChars="200"/>
        <w:jc w:val="left"/>
        <w:rPr>
          <w:rFonts w:hint="eastAsia" w:ascii="仿宋" w:hAnsi="仿宋" w:eastAsia="仿宋"/>
          <w:color w:val="000000"/>
          <w:sz w:val="32"/>
          <w:szCs w:val="32"/>
        </w:rPr>
      </w:pPr>
      <w:r>
        <w:rPr>
          <w:rFonts w:hint="eastAsia" w:ascii="仿宋_GB2312" w:hAnsi="仿宋_GB2312" w:eastAsia="仿宋_GB2312" w:cs="仿宋_GB2312"/>
          <w:b w:val="0"/>
          <w:bCs w:val="0"/>
          <w:color w:val="000000"/>
          <w:sz w:val="32"/>
          <w:szCs w:val="32"/>
          <w:lang w:val="en-US" w:eastAsia="zh-CN"/>
        </w:rPr>
        <w:t>2025年度财政拨款收入总计408.26万元（其中：一般公共服务支出303.17万元，主要为人员工资、体检费、工伤失业保险、会议费、差旅费、印刷费、培训费、公务用车运行维护费等；社会保障和就业支出55.64万元，主要为各项保险；医疗卫生与计划生育支出20.38万元，全部为医疗保险、公务员医疗补助；住房保障支出29.06万元，全部为住房公积金）。与2023年相比，</w:t>
      </w:r>
      <w:r>
        <w:rPr>
          <w:rFonts w:hint="eastAsia" w:ascii="仿宋_GB2312" w:eastAsia="仿宋_GB2312" w:cs="仿宋_GB2312"/>
          <w:kern w:val="0"/>
          <w:sz w:val="32"/>
          <w:szCs w:val="32"/>
          <w:shd w:val="clear" w:fill="FFFFFF"/>
          <w:lang w:val="en-US" w:eastAsia="zh-CN"/>
        </w:rPr>
        <w:t>收入减少了11.08万元，下降了2.71%</w:t>
      </w:r>
      <w:r>
        <w:rPr>
          <w:rFonts w:hint="eastAsia" w:ascii="仿宋_GB2312" w:hAnsi="仿宋_GB2312" w:eastAsia="仿宋_GB2312" w:cs="仿宋_GB2312"/>
          <w:b w:val="0"/>
          <w:bCs w:val="0"/>
          <w:color w:val="000000"/>
          <w:sz w:val="32"/>
          <w:szCs w:val="32"/>
          <w:lang w:val="en-US" w:eastAsia="zh-CN"/>
        </w:rPr>
        <w:t>，</w:t>
      </w:r>
      <w:r>
        <w:rPr>
          <w:rStyle w:val="16"/>
          <w:rFonts w:hint="eastAsia" w:ascii="仿宋_GB2312" w:hAnsi="仿宋_GB2312" w:eastAsia="仿宋_GB2312" w:cs="仿宋_GB2312"/>
          <w:sz w:val="32"/>
          <w:szCs w:val="32"/>
        </w:rPr>
        <w:t>主要原因为</w:t>
      </w:r>
      <w:r>
        <w:rPr>
          <w:rStyle w:val="16"/>
          <w:rFonts w:hint="eastAsia" w:ascii="仿宋_GB2312" w:hAnsi="宋体" w:eastAsia="仿宋_GB2312" w:cs="宋体"/>
          <w:sz w:val="32"/>
          <w:szCs w:val="32"/>
          <w:lang w:eastAsia="zh-CN"/>
        </w:rPr>
        <w:t>人员变动、厉行节约、经费调整</w:t>
      </w:r>
      <w:r>
        <w:rPr>
          <w:rFonts w:hint="eastAsia" w:ascii="仿宋_GB2312" w:hAnsi="仿宋_GB2312" w:eastAsia="仿宋_GB2312" w:cs="仿宋_GB2312"/>
          <w:sz w:val="32"/>
          <w:szCs w:val="32"/>
        </w:rPr>
        <w:t>。</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zh-CN" w:eastAsia="zh-CN"/>
        </w:rPr>
        <w:t>（二）部门财政资金支出情况。</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default"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2025年度财政拨款支出408.26万元，其中：一般公共服务支出303.17万元，主要为人员工资、体检费、工伤失业保险、会议费、差旅费、印刷费、培训费、公务用车运行维护费等；社会保障和就业支出55.64万元，主要为各项保险；医疗卫生与计划生育支出20.38万元，全部为医疗保险、公务员医疗补助；住房保障支出29.060万元，全部为住房公积金。与2024年相比，</w:t>
      </w:r>
      <w:r>
        <w:rPr>
          <w:rFonts w:hint="eastAsia" w:ascii="仿宋_GB2312" w:eastAsia="仿宋_GB2312" w:cs="仿宋_GB2312"/>
          <w:kern w:val="0"/>
          <w:sz w:val="32"/>
          <w:szCs w:val="32"/>
          <w:shd w:val="clear" w:fill="FFFFFF"/>
          <w:lang w:val="en-US" w:eastAsia="zh-CN"/>
        </w:rPr>
        <w:t>收入减少了11.08万元，下降了2.71%</w:t>
      </w:r>
      <w:r>
        <w:rPr>
          <w:rFonts w:hint="eastAsia" w:ascii="仿宋_GB2312" w:hAnsi="仿宋_GB2312" w:eastAsia="仿宋_GB2312" w:cs="仿宋_GB2312"/>
          <w:b w:val="0"/>
          <w:bCs w:val="0"/>
          <w:color w:val="000000"/>
          <w:sz w:val="32"/>
          <w:szCs w:val="32"/>
          <w:lang w:val="en-US" w:eastAsia="zh-CN"/>
        </w:rPr>
        <w:t>，</w:t>
      </w:r>
      <w:r>
        <w:rPr>
          <w:rStyle w:val="16"/>
          <w:rFonts w:hint="eastAsia" w:ascii="仿宋_GB2312" w:hAnsi="仿宋_GB2312" w:eastAsia="仿宋_GB2312" w:cs="仿宋_GB2312"/>
          <w:sz w:val="32"/>
          <w:szCs w:val="32"/>
        </w:rPr>
        <w:t>主要原因为</w:t>
      </w:r>
      <w:r>
        <w:rPr>
          <w:rStyle w:val="16"/>
          <w:rFonts w:hint="eastAsia" w:ascii="仿宋_GB2312" w:hAnsi="宋体" w:eastAsia="仿宋_GB2312" w:cs="宋体"/>
          <w:sz w:val="32"/>
          <w:szCs w:val="32"/>
          <w:lang w:eastAsia="zh-CN"/>
        </w:rPr>
        <w:t>人员变动、厉行节约、经费调整</w:t>
      </w:r>
      <w:r>
        <w:rPr>
          <w:rFonts w:hint="eastAsia" w:ascii="仿宋_GB2312" w:hAnsi="仿宋_GB2312" w:eastAsia="仿宋_GB2312" w:cs="仿宋_GB2312"/>
          <w:sz w:val="32"/>
          <w:szCs w:val="32"/>
        </w:rPr>
        <w:t>。</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三、部门财政支出管理情况</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zh-CN" w:eastAsia="zh-CN"/>
        </w:rPr>
      </w:pPr>
      <w:r>
        <w:rPr>
          <w:rFonts w:hint="eastAsia" w:ascii="仿宋_GB2312" w:hAnsi="仿宋_GB2312" w:eastAsia="仿宋_GB2312" w:cs="仿宋_GB2312"/>
          <w:b/>
          <w:bCs/>
          <w:color w:val="000000"/>
          <w:sz w:val="32"/>
          <w:szCs w:val="32"/>
          <w:lang w:val="zh-CN" w:eastAsia="zh-CN"/>
        </w:rPr>
        <w:t>（一）预算编制情况。</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中共红原县委机构编制委员会办公室预算编制严格按照《预算法》相关规定，结合全县预算编制口径，结合我单位实际情况，主要用于保障该机构正常运转、完成日常工作任务以及县委编办事务发展相关工作而编制。</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基本支出，是用于保障县委编办正常运转的日常支出，包括基本工资、津贴补贴等人员经费以及办公费、印刷费、水电费及专项办公经费等日常公用经费。</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default"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2025年绩效目标执行率96%以上完成度较好，2025年我单位及时公开部门预算，决算绩效报告等，对预算编制进一步细化。</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zh-CN" w:eastAsia="zh-CN"/>
        </w:rPr>
      </w:pPr>
      <w:r>
        <w:rPr>
          <w:rFonts w:hint="eastAsia" w:ascii="仿宋_GB2312" w:hAnsi="仿宋_GB2312" w:eastAsia="仿宋_GB2312" w:cs="仿宋_GB2312"/>
          <w:b/>
          <w:bCs/>
          <w:color w:val="000000"/>
          <w:sz w:val="32"/>
          <w:szCs w:val="32"/>
          <w:lang w:val="zh-CN" w:eastAsia="zh-CN"/>
        </w:rPr>
        <w:t>（二）执行管理情况。</w:t>
      </w:r>
      <w:r>
        <w:rPr>
          <w:rFonts w:hint="eastAsia" w:ascii="仿宋_GB2312" w:hAnsi="仿宋_GB2312" w:eastAsia="仿宋_GB2312" w:cs="仿宋_GB2312"/>
          <w:b/>
          <w:bCs/>
          <w:color w:val="000000"/>
          <w:sz w:val="32"/>
          <w:szCs w:val="32"/>
          <w:lang w:val="zh-CN" w:eastAsia="zh-CN"/>
        </w:rPr>
        <w:tab/>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1.因公出国(境)经费</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2025年因公出国(境)费0.00元，因公出国(境) 0人，与上年持平。</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2.公务接待费</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2025年公务接待费0.15万元。公务接待费支出决算比2024年增加。</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3.公务用车购置及运行维护费</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2024年公务用车购置及运行维护费2.62万元。其中：</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公务用车运行维护费支出2.36万元。主要用于县委编办因公出差、下乡调研等所需的公务用车燃料费、维修费、过路过桥费、保险费等支出。</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公务用车购置及运行维护费支出2.36万元,完成预算90.08%。公务用车购置及运行维护费支出决算比2024年增加。</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val="0"/>
          <w:bCs w:val="0"/>
          <w:color w:val="000000"/>
          <w:sz w:val="32"/>
          <w:szCs w:val="32"/>
          <w:lang w:val="zh-CN" w:eastAsia="zh-CN"/>
        </w:rPr>
      </w:pPr>
      <w:r>
        <w:rPr>
          <w:rFonts w:hint="eastAsia" w:ascii="仿宋_GB2312" w:hAnsi="仿宋_GB2312" w:eastAsia="仿宋_GB2312" w:cs="仿宋_GB2312"/>
          <w:b/>
          <w:bCs/>
          <w:color w:val="000000"/>
          <w:sz w:val="32"/>
          <w:szCs w:val="32"/>
          <w:lang w:val="zh-CN" w:eastAsia="zh-CN"/>
        </w:rPr>
        <w:t>（三）综合管理情况</w:t>
      </w:r>
      <w:r>
        <w:rPr>
          <w:rFonts w:hint="eastAsia" w:ascii="仿宋_GB2312" w:hAnsi="仿宋_GB2312" w:eastAsia="仿宋_GB2312" w:cs="仿宋_GB2312"/>
          <w:b w:val="0"/>
          <w:bCs w:val="0"/>
          <w:color w:val="000000"/>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zh-CN" w:eastAsia="zh-CN"/>
        </w:rPr>
      </w:pPr>
      <w:r>
        <w:rPr>
          <w:rFonts w:hint="eastAsia" w:ascii="仿宋_GB2312" w:hAnsi="仿宋_GB2312" w:eastAsia="仿宋_GB2312" w:cs="仿宋_GB2312"/>
          <w:b w:val="0"/>
          <w:bCs w:val="0"/>
          <w:color w:val="000000"/>
          <w:sz w:val="32"/>
          <w:szCs w:val="32"/>
          <w:lang w:val="en-US" w:eastAsia="zh-CN"/>
        </w:rPr>
        <w:t>根据《会计法》《预算法》、《行政单位会计制》等法律和财政部及其省财政厅有关财务规章的规定，明确了单位经费审批权限及程序，经费预算、核算管理、资产购置与处置、财务监督等相关规定。按规定对本单位财务信息依法进行公开。</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1.资产管理</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 xml:space="preserve">由于现在的日常工作已逐步普及办公自动化，加快了办公设备淘汰更新，这就需要对固定资产进行年年清查盘点，使固定资产清查工作经常化、常态化，更好的从源头上对单位固定资产进行监控和管理。 </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2.单位内控管理</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在财务管理过程中逐步建立健全财务管理制度、财务核算制度、财务报销制度等，严格按照《行政单位会计制度》和《行政单位财务规则》的规定设置会计科目，建立了科学有效的会计核算方式，各项经济活动均真实、合法、准确、及时的反应在会计账目上，建立健全内部控制制度，积极配合财政部门开展预算、决算考评工作。</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3.部门预算管理</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 xml:space="preserve">严格按照综合预算原则。统一编制、统一管理、统筹安排资金，将单位所有安排的各项支出纳入综合预算，确保预算全面、真实反映单位实际的收支情况，使所有收支活动纳入预算管理与监督的范围。    </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default"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4.</w:t>
      </w:r>
      <w:r>
        <w:rPr>
          <w:rFonts w:hint="eastAsia" w:ascii="仿宋_GB2312" w:hAnsi="仿宋_GB2312" w:eastAsia="仿宋_GB2312" w:cs="仿宋_GB2312"/>
          <w:b/>
          <w:bCs/>
          <w:color w:val="000000"/>
          <w:sz w:val="32"/>
          <w:szCs w:val="32"/>
          <w:lang w:val="zh-CN" w:eastAsia="zh-CN"/>
        </w:rPr>
        <w:t>绩效管理</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zh-CN" w:eastAsia="zh-CN"/>
        </w:rPr>
      </w:pPr>
      <w:r>
        <w:rPr>
          <w:rFonts w:hint="eastAsia" w:ascii="仿宋_GB2312" w:hAnsi="仿宋_GB2312" w:eastAsia="仿宋_GB2312" w:cs="仿宋_GB2312"/>
          <w:b w:val="0"/>
          <w:bCs w:val="0"/>
          <w:color w:val="000000"/>
          <w:sz w:val="32"/>
          <w:szCs w:val="32"/>
          <w:lang w:val="en-US" w:eastAsia="zh-CN"/>
        </w:rPr>
        <w:t>我单位领导高度重视绩效评价工作，成立了绩效评价工作领导小组，采取座谈等方式听取相关情况，检查基本支出、专项办公费、会议费等支出有关账目，收集整理相关资料，并对资料进行分析，形成评价结论。</w:t>
      </w:r>
      <w:r>
        <w:rPr>
          <w:rFonts w:hint="eastAsia" w:ascii="仿宋_GB2312" w:hAnsi="仿宋_GB2312" w:eastAsia="仿宋_GB2312" w:cs="仿宋_GB2312"/>
          <w:b w:val="0"/>
          <w:bCs w:val="0"/>
          <w:color w:val="000000"/>
          <w:sz w:val="32"/>
          <w:szCs w:val="32"/>
          <w:lang w:val="en-US" w:eastAsia="zh-CN"/>
        </w:rPr>
        <w:br w:type="textWrapping"/>
      </w:r>
      <w:r>
        <w:rPr>
          <w:rFonts w:hint="eastAsia" w:ascii="仿宋_GB2312" w:hAnsi="仿宋_GB2312" w:eastAsia="仿宋_GB2312" w:cs="仿宋_GB2312"/>
          <w:b w:val="0"/>
          <w:bCs w:val="0"/>
          <w:color w:val="000000"/>
          <w:sz w:val="32"/>
          <w:szCs w:val="32"/>
          <w:lang w:val="en-US" w:eastAsia="zh-CN"/>
        </w:rPr>
        <w:t xml:space="preserve">    （1）部门预算严格按照上级部门预算编制通知和有关要求，结合单位具体工作及县级相关规定编制，按时完成基础、项目报送工作，单位预算按时在红原县门户网站公开。</w:t>
      </w:r>
      <w:r>
        <w:rPr>
          <w:rFonts w:hint="eastAsia" w:ascii="仿宋_GB2312" w:hAnsi="仿宋_GB2312" w:eastAsia="仿宋_GB2312" w:cs="仿宋_GB2312"/>
          <w:b w:val="0"/>
          <w:bCs w:val="0"/>
          <w:color w:val="000000"/>
          <w:sz w:val="32"/>
          <w:szCs w:val="32"/>
          <w:lang w:val="en-US" w:eastAsia="zh-CN"/>
        </w:rPr>
        <w:br w:type="textWrapping"/>
      </w:r>
      <w:r>
        <w:rPr>
          <w:rFonts w:hint="eastAsia" w:ascii="仿宋_GB2312" w:hAnsi="仿宋_GB2312" w:eastAsia="仿宋_GB2312" w:cs="仿宋_GB2312"/>
          <w:b w:val="0"/>
          <w:bCs w:val="0"/>
          <w:color w:val="000000"/>
          <w:sz w:val="32"/>
          <w:szCs w:val="32"/>
          <w:lang w:val="en-US" w:eastAsia="zh-CN"/>
        </w:rPr>
        <w:t xml:space="preserve">   （2）严格执行支出预算，“三公经费”本着节约、高效的原则严格控制支出。</w:t>
      </w:r>
      <w:r>
        <w:rPr>
          <w:rFonts w:hint="eastAsia" w:ascii="仿宋_GB2312" w:hAnsi="仿宋_GB2312" w:eastAsia="仿宋_GB2312" w:cs="仿宋_GB2312"/>
          <w:b w:val="0"/>
          <w:bCs w:val="0"/>
          <w:color w:val="000000"/>
          <w:sz w:val="32"/>
          <w:szCs w:val="32"/>
          <w:lang w:val="en-US" w:eastAsia="zh-CN"/>
        </w:rPr>
        <w:br w:type="textWrapping"/>
      </w:r>
      <w:r>
        <w:rPr>
          <w:rFonts w:hint="eastAsia" w:ascii="仿宋_GB2312" w:hAnsi="仿宋_GB2312" w:eastAsia="仿宋_GB2312" w:cs="仿宋_GB2312"/>
          <w:b w:val="0"/>
          <w:bCs w:val="0"/>
          <w:color w:val="000000"/>
          <w:sz w:val="32"/>
          <w:szCs w:val="32"/>
          <w:lang w:val="en-US" w:eastAsia="zh-CN"/>
        </w:rPr>
        <w:t xml:space="preserve">   （3）认真开展部门绩效评价工作，绩效评价规章制度逐渐健全;严格按照相关法律、法规进行会计核算，严格资金管理，专款专用，资金拨付严格按相关程序报批后支付。认真开展部门整体绩效评价工作，绩效评价工作正逐步完善。    </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zh-CN" w:eastAsia="zh-CN"/>
        </w:rPr>
      </w:pPr>
      <w:r>
        <w:rPr>
          <w:rFonts w:hint="eastAsia" w:ascii="仿宋_GB2312" w:hAnsi="仿宋_GB2312" w:eastAsia="仿宋_GB2312" w:cs="仿宋_GB2312"/>
          <w:b/>
          <w:bCs/>
          <w:color w:val="000000"/>
          <w:sz w:val="32"/>
          <w:szCs w:val="32"/>
          <w:lang w:val="zh-CN" w:eastAsia="zh-CN"/>
        </w:rPr>
        <w:t>（四）整体绩效。</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zh-CN" w:eastAsia="zh-CN"/>
        </w:rPr>
      </w:pPr>
      <w:r>
        <w:rPr>
          <w:rFonts w:hint="eastAsia" w:ascii="仿宋_GB2312" w:hAnsi="仿宋_GB2312" w:eastAsia="仿宋_GB2312" w:cs="仿宋_GB2312"/>
          <w:b w:val="0"/>
          <w:bCs w:val="0"/>
          <w:color w:val="000000"/>
          <w:sz w:val="32"/>
          <w:szCs w:val="32"/>
          <w:lang w:val="zh-CN" w:eastAsia="zh-CN"/>
        </w:rPr>
        <w:t>通过整体绩效自评，反映本部门能按照县委编办相关职责要求有效履行职责，圆满完成了县委编办各项工作任务，绩效评价结果为优，相关部门等对县委编办的各项工作满意度较高。</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zh-CN" w:eastAsia="zh-CN"/>
        </w:rPr>
      </w:pPr>
      <w:r>
        <w:rPr>
          <w:rFonts w:hint="eastAsia" w:ascii="仿宋_GB2312" w:hAnsi="仿宋_GB2312" w:eastAsia="仿宋_GB2312" w:cs="仿宋_GB2312"/>
          <w:b/>
          <w:bCs/>
          <w:color w:val="000000"/>
          <w:sz w:val="32"/>
          <w:szCs w:val="32"/>
          <w:lang w:val="zh-CN" w:eastAsia="zh-CN"/>
        </w:rPr>
        <w:t>（五）结果应用情况</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zh-CN" w:eastAsia="zh-CN"/>
        </w:rPr>
      </w:pPr>
      <w:r>
        <w:rPr>
          <w:rFonts w:hint="eastAsia" w:ascii="仿宋_GB2312" w:hAnsi="仿宋_GB2312" w:eastAsia="仿宋_GB2312" w:cs="仿宋_GB2312"/>
          <w:b w:val="0"/>
          <w:bCs w:val="0"/>
          <w:color w:val="000000"/>
          <w:sz w:val="32"/>
          <w:szCs w:val="32"/>
          <w:lang w:val="en-US" w:eastAsia="zh-CN"/>
        </w:rPr>
        <w:t>2024年我单位从收支执行，三公经费管理，预算管理，绩效管理等方面进行了详尽</w:t>
      </w:r>
      <w:r>
        <w:rPr>
          <w:rFonts w:hint="eastAsia" w:ascii="仿宋_GB2312" w:hAnsi="仿宋_GB2312" w:eastAsia="仿宋_GB2312" w:cs="仿宋_GB2312"/>
          <w:b w:val="0"/>
          <w:bCs w:val="0"/>
          <w:color w:val="000000"/>
          <w:sz w:val="32"/>
          <w:szCs w:val="32"/>
          <w:lang w:val="zh-CN" w:eastAsia="zh-CN"/>
        </w:rPr>
        <w:t>部门自评、</w:t>
      </w:r>
      <w:r>
        <w:rPr>
          <w:rFonts w:hint="eastAsia" w:ascii="仿宋_GB2312" w:hAnsi="仿宋_GB2312" w:eastAsia="仿宋_GB2312" w:cs="仿宋_GB2312"/>
          <w:b w:val="0"/>
          <w:bCs w:val="0"/>
          <w:color w:val="000000"/>
          <w:sz w:val="32"/>
          <w:szCs w:val="32"/>
          <w:lang w:val="en-US" w:eastAsia="zh-CN"/>
        </w:rPr>
        <w:t>24年预算绩效目标，项目预算绩效目标等均进行了公开，评价结果较好，对部门预算编制不够精准细化的问题将在后续工作中逐步改进。</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2" w:firstLineChars="200"/>
        <w:textAlignment w:val="auto"/>
        <w:outlineLvl w:val="9"/>
        <w:rPr>
          <w:rFonts w:hint="eastAsia" w:ascii="仿宋_GB2312" w:hAnsi="仿宋_GB2312" w:eastAsia="仿宋_GB2312" w:cs="仿宋_GB2312"/>
          <w:b/>
          <w:bCs/>
          <w:color w:val="000000"/>
          <w:sz w:val="32"/>
          <w:szCs w:val="32"/>
          <w:lang w:val="zh-CN" w:eastAsia="zh-CN"/>
        </w:rPr>
      </w:pPr>
      <w:r>
        <w:rPr>
          <w:rFonts w:hint="eastAsia" w:ascii="仿宋_GB2312" w:hAnsi="仿宋_GB2312" w:eastAsia="仿宋_GB2312" w:cs="仿宋_GB2312"/>
          <w:b/>
          <w:bCs/>
          <w:color w:val="000000"/>
          <w:sz w:val="32"/>
          <w:szCs w:val="32"/>
          <w:lang w:val="zh-CN" w:eastAsia="zh-CN"/>
        </w:rPr>
        <w:t>四、评价结论及建议</w:t>
      </w:r>
    </w:p>
    <w:p>
      <w:pPr>
        <w:keepNext w:val="0"/>
        <w:keepLines w:val="0"/>
        <w:pageBreakBefore w:val="0"/>
        <w:widowControl/>
        <w:kinsoku/>
        <w:wordWrap/>
        <w:overflowPunct/>
        <w:topLinePunct w:val="0"/>
        <w:autoSpaceDE/>
        <w:autoSpaceDN/>
        <w:bidi w:val="0"/>
        <w:adjustRightInd w:val="0"/>
        <w:snapToGrid w:val="0"/>
        <w:spacing w:line="500" w:lineRule="exact"/>
        <w:ind w:firstLine="720"/>
        <w:jc w:val="left"/>
        <w:textAlignment w:val="auto"/>
        <w:rPr>
          <w:rFonts w:hint="eastAsia" w:ascii="仿宋_GB2312" w:hAnsi="仿宋_GB2312" w:eastAsia="仿宋_GB2312" w:cs="仿宋_GB2312"/>
          <w:b/>
          <w:bCs/>
          <w:color w:val="000000"/>
          <w:kern w:val="0"/>
          <w:sz w:val="32"/>
          <w:szCs w:val="32"/>
          <w:lang w:val="zh-CN"/>
        </w:rPr>
      </w:pPr>
      <w:r>
        <w:rPr>
          <w:rFonts w:hint="eastAsia" w:ascii="仿宋_GB2312" w:hAnsi="仿宋_GB2312" w:eastAsia="仿宋_GB2312" w:cs="仿宋_GB2312"/>
          <w:b/>
          <w:bCs/>
          <w:color w:val="000000"/>
          <w:kern w:val="0"/>
          <w:sz w:val="32"/>
          <w:szCs w:val="32"/>
          <w:lang w:val="zh-CN"/>
        </w:rPr>
        <w:t>（一）评价结论。</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zh-CN" w:eastAsia="zh-CN"/>
        </w:rPr>
      </w:pPr>
      <w:r>
        <w:rPr>
          <w:rFonts w:hint="eastAsia" w:ascii="仿宋_GB2312" w:hAnsi="仿宋_GB2312" w:eastAsia="仿宋_GB2312" w:cs="仿宋_GB2312"/>
          <w:b w:val="0"/>
          <w:bCs w:val="0"/>
          <w:color w:val="000000"/>
          <w:sz w:val="32"/>
          <w:szCs w:val="32"/>
          <w:lang w:val="en-US" w:eastAsia="zh-CN"/>
        </w:rPr>
        <w:t>根据《红原县部门支出绩效评价指标体系》自查的分96分，总体评价较好。</w:t>
      </w:r>
    </w:p>
    <w:p>
      <w:pPr>
        <w:keepNext w:val="0"/>
        <w:keepLines w:val="0"/>
        <w:pageBreakBefore w:val="0"/>
        <w:widowControl/>
        <w:numPr>
          <w:ilvl w:val="0"/>
          <w:numId w:val="0"/>
        </w:numPr>
        <w:kinsoku/>
        <w:wordWrap/>
        <w:overflowPunct/>
        <w:topLinePunct w:val="0"/>
        <w:autoSpaceDE/>
        <w:autoSpaceDN/>
        <w:bidi w:val="0"/>
        <w:adjustRightInd w:val="0"/>
        <w:snapToGrid w:val="0"/>
        <w:spacing w:line="500" w:lineRule="exact"/>
        <w:ind w:left="720" w:leftChars="0"/>
        <w:jc w:val="left"/>
        <w:textAlignment w:val="auto"/>
        <w:rPr>
          <w:rFonts w:hint="eastAsia" w:ascii="仿宋_GB2312" w:hAnsi="仿宋_GB2312" w:eastAsia="仿宋_GB2312" w:cs="仿宋_GB2312"/>
          <w:b/>
          <w:bCs/>
          <w:color w:val="000000"/>
          <w:kern w:val="0"/>
          <w:sz w:val="32"/>
          <w:szCs w:val="32"/>
          <w:lang w:val="zh-CN"/>
        </w:rPr>
      </w:pPr>
      <w:r>
        <w:rPr>
          <w:rFonts w:hint="eastAsia" w:ascii="仿宋_GB2312" w:hAnsi="仿宋_GB2312" w:eastAsia="仿宋_GB2312" w:cs="仿宋_GB2312"/>
          <w:b/>
          <w:bCs/>
          <w:color w:val="000000"/>
          <w:kern w:val="0"/>
          <w:sz w:val="32"/>
          <w:szCs w:val="32"/>
          <w:lang w:val="zh-CN"/>
        </w:rPr>
        <w:t>（二）存在问题。</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zh-CN" w:eastAsia="zh-CN"/>
        </w:rPr>
      </w:pPr>
      <w:r>
        <w:rPr>
          <w:rFonts w:hint="eastAsia" w:ascii="仿宋_GB2312" w:hAnsi="仿宋_GB2312" w:eastAsia="仿宋_GB2312" w:cs="仿宋_GB2312"/>
          <w:b w:val="0"/>
          <w:bCs w:val="0"/>
          <w:color w:val="000000"/>
          <w:sz w:val="32"/>
          <w:szCs w:val="32"/>
          <w:lang w:val="en-US" w:eastAsia="zh-CN"/>
        </w:rPr>
        <w:t>由于财政支出的多样性和复杂性，绩效评价指标体系设置难度大，即使可以量化，但实际操作中很多项目间缺乏可比性且指标本身也在逐步变化，需要逐步完善。</w:t>
      </w:r>
      <w:r>
        <w:rPr>
          <w:rFonts w:hint="eastAsia" w:ascii="仿宋_GB2312" w:hAnsi="仿宋_GB2312" w:eastAsia="仿宋_GB2312" w:cs="仿宋_GB2312"/>
          <w:b w:val="0"/>
          <w:bCs w:val="0"/>
          <w:color w:val="000000"/>
          <w:sz w:val="32"/>
          <w:szCs w:val="32"/>
          <w:lang w:val="en-US" w:eastAsia="zh-CN"/>
        </w:rPr>
        <w:br w:type="textWrapping"/>
      </w:r>
      <w:r>
        <w:rPr>
          <w:rFonts w:hint="eastAsia" w:ascii="仿宋_GB2312" w:hAnsi="仿宋_GB2312" w:eastAsia="仿宋_GB2312" w:cs="仿宋_GB2312"/>
          <w:b w:val="0"/>
          <w:bCs w:val="0"/>
          <w:color w:val="000000"/>
          <w:sz w:val="32"/>
          <w:szCs w:val="32"/>
          <w:lang w:val="en-US" w:eastAsia="zh-CN"/>
        </w:rPr>
        <w:t xml:space="preserve">   存在的问题:在平时工作推进过程中，缺乏技术人员进行专业指导及培训，工作推进存在一定困难，预算编制还需更加精准。</w:t>
      </w:r>
    </w:p>
    <w:p>
      <w:pPr>
        <w:keepNext w:val="0"/>
        <w:keepLines w:val="0"/>
        <w:pageBreakBefore w:val="0"/>
        <w:widowControl/>
        <w:numPr>
          <w:ilvl w:val="0"/>
          <w:numId w:val="0"/>
        </w:numPr>
        <w:kinsoku/>
        <w:wordWrap/>
        <w:overflowPunct/>
        <w:topLinePunct w:val="0"/>
        <w:autoSpaceDE/>
        <w:autoSpaceDN/>
        <w:bidi w:val="0"/>
        <w:adjustRightInd w:val="0"/>
        <w:snapToGrid w:val="0"/>
        <w:spacing w:line="500" w:lineRule="exact"/>
        <w:ind w:left="720" w:leftChars="0"/>
        <w:jc w:val="left"/>
        <w:textAlignment w:val="auto"/>
        <w:rPr>
          <w:rFonts w:hint="eastAsia" w:ascii="仿宋_GB2312" w:hAnsi="仿宋_GB2312" w:eastAsia="仿宋_GB2312" w:cs="仿宋_GB2312"/>
          <w:b/>
          <w:bCs/>
          <w:color w:val="000000"/>
          <w:kern w:val="0"/>
          <w:sz w:val="32"/>
          <w:szCs w:val="32"/>
          <w:lang w:val="zh-CN"/>
        </w:rPr>
      </w:pPr>
      <w:r>
        <w:rPr>
          <w:rFonts w:hint="eastAsia" w:ascii="仿宋_GB2312" w:hAnsi="仿宋_GB2312" w:eastAsia="仿宋_GB2312" w:cs="仿宋_GB2312"/>
          <w:b/>
          <w:bCs/>
          <w:color w:val="000000"/>
          <w:kern w:val="0"/>
          <w:sz w:val="32"/>
          <w:szCs w:val="32"/>
          <w:lang w:val="zh-CN"/>
        </w:rPr>
        <w:t>（三）改进建议。</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1.通过各种途径加强绩效管理学习，科学合理编制预算，严格执行预算。</w:t>
      </w:r>
    </w:p>
    <w:p>
      <w:pPr>
        <w:keepNext w:val="0"/>
        <w:keepLines w:val="0"/>
        <w:pageBreakBefore w:val="0"/>
        <w:widowControl w:val="0"/>
        <w:numPr>
          <w:ilvl w:val="0"/>
          <w:numId w:val="0"/>
        </w:numPr>
        <w:kinsoku/>
        <w:wordWrap/>
        <w:overflowPunct/>
        <w:topLinePunct w:val="0"/>
        <w:autoSpaceDE/>
        <w:autoSpaceDN/>
        <w:bidi w:val="0"/>
        <w:spacing w:line="500" w:lineRule="exact"/>
        <w:ind w:right="0" w:rightChars="0" w:firstLine="640" w:firstLineChars="200"/>
        <w:textAlignment w:val="auto"/>
        <w:outlineLvl w:val="9"/>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2.规范账务处理，提高财务信息质量。</w:t>
      </w:r>
    </w:p>
    <w:p>
      <w:pPr>
        <w:pStyle w:val="13"/>
        <w:keepNext w:val="0"/>
        <w:keepLines w:val="0"/>
        <w:widowControl/>
        <w:suppressLineNumbers w:val="0"/>
        <w:ind w:left="0" w:right="75"/>
        <w:jc w:val="center"/>
        <w:rPr>
          <w:rFonts w:hint="eastAsia" w:ascii="黑体" w:hAnsi="黑体" w:eastAsia="黑体" w:cs="黑体"/>
          <w:sz w:val="44"/>
          <w:szCs w:val="44"/>
          <w:shd w:val="clear" w:color="auto" w:fill="FFFFFF"/>
        </w:rPr>
      </w:pPr>
    </w:p>
    <w:p>
      <w:pPr>
        <w:pStyle w:val="13"/>
        <w:keepNext w:val="0"/>
        <w:keepLines w:val="0"/>
        <w:widowControl/>
        <w:suppressLineNumbers w:val="0"/>
        <w:ind w:left="0" w:right="75"/>
        <w:jc w:val="center"/>
        <w:outlineLvl w:val="0"/>
        <w:rPr>
          <w:rFonts w:hint="eastAsia" w:ascii="黑体" w:hAnsi="黑体" w:eastAsia="黑体" w:cs="黑体"/>
          <w:sz w:val="44"/>
          <w:szCs w:val="44"/>
          <w:shd w:val="clear" w:color="auto" w:fill="FFFFFF"/>
        </w:rPr>
      </w:pPr>
      <w:bookmarkStart w:id="20" w:name="_Toc29972"/>
    </w:p>
    <w:p>
      <w:pPr>
        <w:pStyle w:val="13"/>
        <w:keepNext w:val="0"/>
        <w:keepLines w:val="0"/>
        <w:widowControl/>
        <w:suppressLineNumbers w:val="0"/>
        <w:ind w:left="0" w:right="75"/>
        <w:jc w:val="center"/>
        <w:outlineLvl w:val="0"/>
        <w:rPr>
          <w:rFonts w:hint="eastAsia" w:ascii="黑体" w:hAnsi="黑体" w:eastAsia="黑体" w:cs="黑体"/>
          <w:sz w:val="44"/>
          <w:szCs w:val="44"/>
        </w:rPr>
      </w:pPr>
      <w:r>
        <w:rPr>
          <w:rFonts w:hint="eastAsia" w:ascii="黑体" w:hAnsi="黑体" w:eastAsia="黑体" w:cs="黑体"/>
          <w:sz w:val="44"/>
          <w:szCs w:val="44"/>
          <w:shd w:val="clear" w:color="auto" w:fill="FFFFFF"/>
        </w:rPr>
        <w:t>第五部分 附表</w:t>
      </w:r>
      <w:bookmarkEnd w:id="20"/>
    </w:p>
    <w:p>
      <w:pPr>
        <w:pStyle w:val="13"/>
        <w:keepNext w:val="0"/>
        <w:keepLines w:val="0"/>
        <w:widowControl/>
        <w:suppressLineNumbers w:val="0"/>
        <w:ind w:left="0" w:right="75"/>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一、</w:t>
      </w:r>
      <w:r>
        <w:rPr>
          <w:rFonts w:hint="eastAsia" w:ascii="仿宋_GB2312" w:hAnsi="仿宋_GB2312" w:eastAsia="仿宋_GB2312" w:cs="仿宋_GB2312"/>
          <w:sz w:val="32"/>
          <w:szCs w:val="32"/>
          <w:shd w:val="clear" w:color="auto" w:fill="FFFFFF"/>
          <w:lang w:eastAsia="zh-CN"/>
        </w:rPr>
        <w:t>部门</w:t>
      </w:r>
      <w:r>
        <w:rPr>
          <w:rFonts w:hint="eastAsia" w:ascii="仿宋_GB2312" w:hAnsi="仿宋_GB2312" w:eastAsia="仿宋_GB2312" w:cs="仿宋_GB2312"/>
          <w:sz w:val="32"/>
          <w:szCs w:val="32"/>
          <w:shd w:val="clear" w:color="auto" w:fill="FFFFFF"/>
        </w:rPr>
        <w:t>收入支出决算总表</w:t>
      </w:r>
    </w:p>
    <w:p>
      <w:pPr>
        <w:pStyle w:val="13"/>
        <w:keepNext w:val="0"/>
        <w:keepLines w:val="0"/>
        <w:widowControl/>
        <w:suppressLineNumbers w:val="0"/>
        <w:ind w:left="0" w:right="75"/>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二、收入决算表</w:t>
      </w:r>
    </w:p>
    <w:p>
      <w:pPr>
        <w:pStyle w:val="13"/>
        <w:keepNext w:val="0"/>
        <w:keepLines w:val="0"/>
        <w:widowControl/>
        <w:suppressLineNumbers w:val="0"/>
        <w:ind w:left="0" w:right="75"/>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三、支出决算表</w:t>
      </w:r>
    </w:p>
    <w:p>
      <w:pPr>
        <w:pStyle w:val="13"/>
        <w:keepNext w:val="0"/>
        <w:keepLines w:val="0"/>
        <w:widowControl/>
        <w:suppressLineNumbers w:val="0"/>
        <w:ind w:left="0" w:right="75"/>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四、财政拨款收入支出决算总表</w:t>
      </w:r>
    </w:p>
    <w:p>
      <w:pPr>
        <w:pStyle w:val="13"/>
        <w:keepNext w:val="0"/>
        <w:keepLines w:val="0"/>
        <w:widowControl/>
        <w:suppressLineNumbers w:val="0"/>
        <w:ind w:left="0" w:right="75"/>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五、财政拨款支出决算明细表</w:t>
      </w:r>
    </w:p>
    <w:p>
      <w:pPr>
        <w:pStyle w:val="13"/>
        <w:keepNext w:val="0"/>
        <w:keepLines w:val="0"/>
        <w:widowControl/>
        <w:suppressLineNumbers w:val="0"/>
        <w:ind w:left="0" w:right="75"/>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六、一般公共预算财政拨款支出决算表</w:t>
      </w:r>
    </w:p>
    <w:p>
      <w:pPr>
        <w:pStyle w:val="13"/>
        <w:keepNext w:val="0"/>
        <w:keepLines w:val="0"/>
        <w:widowControl/>
        <w:suppressLineNumbers w:val="0"/>
        <w:ind w:left="0" w:right="75"/>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七、一般公共预算财政拨款支出决算明细表</w:t>
      </w:r>
    </w:p>
    <w:p>
      <w:pPr>
        <w:pStyle w:val="13"/>
        <w:keepNext w:val="0"/>
        <w:keepLines w:val="0"/>
        <w:widowControl/>
        <w:suppressLineNumbers w:val="0"/>
        <w:ind w:left="0" w:right="75"/>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八、一般公共预算财政拨款基本支出决算</w:t>
      </w:r>
      <w:r>
        <w:rPr>
          <w:rFonts w:hint="eastAsia" w:ascii="仿宋_GB2312" w:hAnsi="仿宋_GB2312" w:eastAsia="仿宋_GB2312" w:cs="仿宋_GB2312"/>
          <w:sz w:val="32"/>
          <w:szCs w:val="32"/>
          <w:shd w:val="clear" w:color="auto" w:fill="FFFFFF"/>
          <w:lang w:eastAsia="zh-CN"/>
        </w:rPr>
        <w:t>明细</w:t>
      </w:r>
      <w:r>
        <w:rPr>
          <w:rFonts w:hint="eastAsia" w:ascii="仿宋_GB2312" w:hAnsi="仿宋_GB2312" w:eastAsia="仿宋_GB2312" w:cs="仿宋_GB2312"/>
          <w:sz w:val="32"/>
          <w:szCs w:val="32"/>
          <w:shd w:val="clear" w:color="auto" w:fill="FFFFFF"/>
        </w:rPr>
        <w:t>表</w:t>
      </w:r>
    </w:p>
    <w:p>
      <w:pPr>
        <w:pStyle w:val="13"/>
        <w:keepNext w:val="0"/>
        <w:keepLines w:val="0"/>
        <w:widowControl/>
        <w:suppressLineNumbers w:val="0"/>
        <w:ind w:left="0" w:right="75"/>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九、一般公共预算财政拨款项目支出决算表</w:t>
      </w:r>
    </w:p>
    <w:p>
      <w:pPr>
        <w:pStyle w:val="13"/>
        <w:keepNext w:val="0"/>
        <w:keepLines w:val="0"/>
        <w:widowControl/>
        <w:suppressLineNumbers w:val="0"/>
        <w:ind w:left="0" w:right="75"/>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shd w:val="clear" w:color="auto" w:fill="FFFFFF"/>
        </w:rPr>
        <w:t>十、</w:t>
      </w:r>
      <w:r>
        <w:rPr>
          <w:rFonts w:hint="eastAsia" w:ascii="仿宋_GB2312" w:hAnsi="仿宋_GB2312" w:eastAsia="仿宋_GB2312" w:cs="仿宋_GB2312"/>
          <w:sz w:val="32"/>
          <w:szCs w:val="32"/>
          <w:shd w:val="clear" w:color="auto" w:fill="FFFFFF"/>
          <w:lang w:eastAsia="zh-CN"/>
        </w:rPr>
        <w:t>政府性基金预算财政拨款收入支出决算表</w:t>
      </w:r>
    </w:p>
    <w:p>
      <w:pPr>
        <w:pStyle w:val="13"/>
        <w:keepNext w:val="0"/>
        <w:keepLines w:val="0"/>
        <w:widowControl/>
        <w:suppressLineNumbers w:val="0"/>
        <w:ind w:left="0" w:right="75"/>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shd w:val="clear" w:color="auto" w:fill="FFFFFF"/>
        </w:rPr>
        <w:t>十一、</w:t>
      </w:r>
      <w:r>
        <w:rPr>
          <w:rFonts w:hint="eastAsia" w:ascii="仿宋_GB2312" w:hAnsi="仿宋_GB2312" w:eastAsia="仿宋_GB2312" w:cs="仿宋_GB2312"/>
          <w:sz w:val="32"/>
          <w:szCs w:val="32"/>
          <w:shd w:val="clear" w:color="auto" w:fill="FFFFFF"/>
          <w:lang w:eastAsia="zh-CN"/>
        </w:rPr>
        <w:t>国有资本经营预算财政拨款收入支出决算表</w:t>
      </w:r>
    </w:p>
    <w:p>
      <w:pPr>
        <w:pStyle w:val="13"/>
        <w:keepNext w:val="0"/>
        <w:keepLines w:val="0"/>
        <w:widowControl/>
        <w:suppressLineNumbers w:val="0"/>
        <w:ind w:left="0" w:right="75"/>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shd w:val="clear" w:color="auto" w:fill="FFFFFF"/>
        </w:rPr>
        <w:t>十二、</w:t>
      </w:r>
      <w:r>
        <w:rPr>
          <w:rFonts w:hint="eastAsia" w:ascii="仿宋_GB2312" w:hAnsi="仿宋_GB2312" w:eastAsia="仿宋_GB2312" w:cs="仿宋_GB2312"/>
          <w:sz w:val="32"/>
          <w:szCs w:val="32"/>
          <w:shd w:val="clear" w:color="auto" w:fill="FFFFFF"/>
          <w:lang w:eastAsia="zh-CN"/>
        </w:rPr>
        <w:t>国有资本经营预算财政拨款支出决算表</w:t>
      </w:r>
    </w:p>
    <w:p>
      <w:pPr>
        <w:pStyle w:val="13"/>
        <w:keepNext w:val="0"/>
        <w:keepLines w:val="0"/>
        <w:widowControl/>
        <w:suppressLineNumbers w:val="0"/>
        <w:ind w:left="0" w:right="75"/>
      </w:pPr>
      <w:r>
        <w:rPr>
          <w:rFonts w:hint="eastAsia" w:ascii="仿宋_GB2312" w:hAnsi="仿宋_GB2312" w:eastAsia="仿宋_GB2312" w:cs="仿宋_GB2312"/>
          <w:sz w:val="32"/>
          <w:szCs w:val="32"/>
          <w:shd w:val="clear" w:color="auto" w:fill="FFFFFF"/>
        </w:rPr>
        <w:t>十三、</w:t>
      </w:r>
      <w:r>
        <w:rPr>
          <w:rFonts w:hint="eastAsia" w:ascii="仿宋_GB2312" w:hAnsi="仿宋_GB2312" w:eastAsia="仿宋_GB2312" w:cs="仿宋_GB2312"/>
          <w:sz w:val="32"/>
          <w:szCs w:val="32"/>
          <w:shd w:val="clear" w:color="auto" w:fill="FFFFFF"/>
          <w:lang w:eastAsia="zh-CN"/>
        </w:rPr>
        <w:t>财政拨款“三公经费”支出决算表</w:t>
      </w:r>
    </w:p>
    <w:sectPr>
      <w:footerReference r:id="rId5" w:type="default"/>
      <w:pgSz w:w="11906" w:h="16838"/>
      <w:pgMar w:top="1440" w:right="1800" w:bottom="1440" w:left="1800"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文泉驿正黑">
    <w:panose1 w:val="02000603000000000000"/>
    <w:charset w:val="86"/>
    <w:family w:val="auto"/>
    <w:pitch w:val="default"/>
    <w:sig w:usb0="900002BF" w:usb1="2BDF7DFB" w:usb2="00000036" w:usb3="00000000" w:csb0="603E000D" w:csb1="D2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wiRJeMQIAAGEEAAAOAAAAZHJz&#10;L2Uyb0RvYy54bWytVEuOEzEQ3SNxB8t70kkQURSlMwoTBSFFzEgDYu243WlL/sl20h0OADdgxYY9&#10;58o5eO5PBg0sZsHGXXaVX/m9qurlTaMVOQkfpDU5nYzGlAjDbSHNIaefPm5fzSkJkZmCKWtETs8i&#10;0JvVyxfL2i3E1FZWFcITgJiwqF1OqxjdIssCr4RmYWSdMHCW1msWsfWHrPCsBrpW2XQ8nmW19YXz&#10;losQcLrpnLRH9M8BtGUpudhYftTCxA7VC8UiKIVKukBX7WvLUvB4V5ZBRKJyCqaxXZEE9j6t2WrJ&#10;FgfPXCV5/wT2nCc84aSZNEh6hdqwyMjRy7+gtOTeBlvGEbc664i0ioDFZPxEm4eKOdFygdTBXUUP&#10;/w+WfzjdeyKLnM4oMUyj4Jfv3y4/fl1+fiWzJE/twgJRDw5xsXlrGzTNcB5wmFg3pdfpCz4Efoh7&#10;voormkh4ujSfzudjuDh8wwb42eN150N8J6wmycipR/VaUdlpF2IXOoSkbMZupVJtBZUhNSi8fjNu&#10;L1w9AFcGORKJ7rHJis2+6ZntbXEGMW+7zgiObyWS71iI98yjFfBgDEu8w1IqiyS2tyiprP/yr/MU&#10;jwrBS0mN1sqpwSRRot4bVA6AcTD8YOwHwxz1rUWvTjCEjrcmLvioBrP0Vn/GBK1TDriY4ciU0ziY&#10;t7Frb0wgF+t1G3R0Xh6q7gL6zrG4Mw+OpzRJyODWxwgxW42TQJ0qvW7ovLZK/ZSk1v5z30Y9/hl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MIkSXjECAABhBAAADgAAAAAAAAABACAAAAA1&#10;AQAAZHJzL2Uyb0RvYy54bWxQSwUGAAAAAAYABgBZAQAA2A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pqK+VMQIAAGM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ILdAIkMUyj4pfv3y4/fl1+fiU4g0C1C3PE7RwiY/PWNggezgMOE++m9Dp9wYjAD6zz&#10;VV7RRMLTpdl0NhvDxeEbNsDPHq87H+I7YTVJRk496tfKyk7bELvQISRlM3YjlWprqAypc3rz+s24&#10;vXD1AFwZ5EgkuscmKzb7pme2t8UZxLzteiM4vpFIvmUhPjCPZsCDMS7xHkupLJLY3qKksv7Lv85T&#10;PGoELyU1miunBrNEiXpvUDsAxsHwg7EfDHPUdxbdOsEYOt6auOCjGszSW/0ZM7RKOeBihiNTTuNg&#10;3sWuwTGDXKxWbdDReXmougvoPMfi1uwcT2mSkMGtjhFithongTpVet3Qe22V+jlJzf3nvo16/Dcs&#10;f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qaivlTECAABjBAAADgAAAAAAAAABACAAAAA1&#10;AQAAZHJzL2Uyb0RvYy54bWxQSwUGAAAAAAYABgBZAQAA2A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0848E9"/>
    <w:multiLevelType w:val="singleLevel"/>
    <w:tmpl w:val="020848E9"/>
    <w:lvl w:ilvl="0" w:tentative="0">
      <w:start w:val="1"/>
      <w:numFmt w:val="decimal"/>
      <w:suff w:val="nothing"/>
      <w:lvlText w:val="（%1）"/>
      <w:lvlJc w:val="left"/>
    </w:lvl>
  </w:abstractNum>
  <w:abstractNum w:abstractNumId="1">
    <w:nsid w:val="1A9BF496"/>
    <w:multiLevelType w:val="singleLevel"/>
    <w:tmpl w:val="1A9BF496"/>
    <w:lvl w:ilvl="0" w:tentative="0">
      <w:start w:val="2"/>
      <w:numFmt w:val="chineseCounting"/>
      <w:suff w:val="space"/>
      <w:lvlText w:val="%1、"/>
      <w:lvlJc w:val="left"/>
      <w:rPr>
        <w:rFonts w:hint="eastAsia"/>
      </w:rPr>
    </w:lvl>
  </w:abstractNum>
  <w:abstractNum w:abstractNumId="2">
    <w:nsid w:val="3F606127"/>
    <w:multiLevelType w:val="singleLevel"/>
    <w:tmpl w:val="3F606127"/>
    <w:lvl w:ilvl="0" w:tentative="0">
      <w:start w:val="8"/>
      <w:numFmt w:val="chineseCounting"/>
      <w:suff w:val="nothing"/>
      <w:lvlText w:val="%1、"/>
      <w:lvlJc w:val="left"/>
      <w:rPr>
        <w:rFonts w:hint="eastAsia"/>
      </w:rPr>
    </w:lvl>
  </w:abstractNum>
  <w:abstractNum w:abstractNumId="3">
    <w:nsid w:val="5708D7AD"/>
    <w:multiLevelType w:val="singleLevel"/>
    <w:tmpl w:val="5708D7AD"/>
    <w:lvl w:ilvl="0" w:tentative="0">
      <w:start w:val="2"/>
      <w:numFmt w:val="chineseCounting"/>
      <w:suff w:val="nothing"/>
      <w:lvlText w:val="（%1）"/>
      <w:lvlJc w:val="left"/>
      <w:rPr>
        <w:rFonts w:hint="eastAsia"/>
      </w:rPr>
    </w:lvl>
  </w:abstractNum>
  <w:abstractNum w:abstractNumId="4">
    <w:nsid w:val="5F819D8E"/>
    <w:multiLevelType w:val="singleLevel"/>
    <w:tmpl w:val="5F819D8E"/>
    <w:lvl w:ilvl="0" w:tentative="0">
      <w:start w:val="1"/>
      <w:numFmt w:val="decimal"/>
      <w:lvlText w:val="%1."/>
      <w:lvlJc w:val="left"/>
      <w:pPr>
        <w:tabs>
          <w:tab w:val="left" w:pos="312"/>
        </w:tabs>
      </w:pPr>
    </w:lvl>
  </w:abstractNum>
  <w:abstractNum w:abstractNumId="5">
    <w:nsid w:val="5F81B4ED"/>
    <w:multiLevelType w:val="singleLevel"/>
    <w:tmpl w:val="5F81B4ED"/>
    <w:lvl w:ilvl="0" w:tentative="0">
      <w:start w:val="1"/>
      <w:numFmt w:val="decimal"/>
      <w:lvlText w:val="%1."/>
      <w:lvlJc w:val="left"/>
      <w:pPr>
        <w:tabs>
          <w:tab w:val="left" w:pos="312"/>
        </w:tabs>
      </w:pPr>
    </w:lvl>
  </w:abstractNum>
  <w:abstractNum w:abstractNumId="6">
    <w:nsid w:val="7AAC1CBD"/>
    <w:multiLevelType w:val="singleLevel"/>
    <w:tmpl w:val="7AAC1CBD"/>
    <w:lvl w:ilvl="0" w:tentative="0">
      <w:start w:val="2"/>
      <w:numFmt w:val="chineseCounting"/>
      <w:suff w:val="nothing"/>
      <w:lvlText w:val="（%1）"/>
      <w:lvlJc w:val="left"/>
      <w:rPr>
        <w:rFonts w:hint="eastAsia"/>
      </w:rPr>
    </w:lvl>
  </w:abstractNum>
  <w:num w:numId="1">
    <w:abstractNumId w:val="1"/>
  </w:num>
  <w:num w:numId="2">
    <w:abstractNumId w:val="6"/>
  </w:num>
  <w:num w:numId="3">
    <w:abstractNumId w:val="4"/>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A3593"/>
    <w:rsid w:val="00882313"/>
    <w:rsid w:val="00BF0852"/>
    <w:rsid w:val="01AB3A4C"/>
    <w:rsid w:val="01D82154"/>
    <w:rsid w:val="020502B8"/>
    <w:rsid w:val="02346274"/>
    <w:rsid w:val="02537415"/>
    <w:rsid w:val="02571CE1"/>
    <w:rsid w:val="025C51DD"/>
    <w:rsid w:val="028316E6"/>
    <w:rsid w:val="033E4D03"/>
    <w:rsid w:val="03B10B2C"/>
    <w:rsid w:val="03E52A27"/>
    <w:rsid w:val="040F4900"/>
    <w:rsid w:val="043D1C16"/>
    <w:rsid w:val="051E63A0"/>
    <w:rsid w:val="05253159"/>
    <w:rsid w:val="0536478E"/>
    <w:rsid w:val="05C6221A"/>
    <w:rsid w:val="05CA37E6"/>
    <w:rsid w:val="05DB0495"/>
    <w:rsid w:val="05DE2065"/>
    <w:rsid w:val="060415DA"/>
    <w:rsid w:val="061D2498"/>
    <w:rsid w:val="062705AF"/>
    <w:rsid w:val="0648585F"/>
    <w:rsid w:val="06533BA7"/>
    <w:rsid w:val="067611B1"/>
    <w:rsid w:val="06A51A29"/>
    <w:rsid w:val="06DF2C3C"/>
    <w:rsid w:val="073716F3"/>
    <w:rsid w:val="077C0152"/>
    <w:rsid w:val="07A66CD3"/>
    <w:rsid w:val="07AB12F0"/>
    <w:rsid w:val="07CC79AF"/>
    <w:rsid w:val="07DA33DC"/>
    <w:rsid w:val="07E05898"/>
    <w:rsid w:val="08165380"/>
    <w:rsid w:val="08D266EA"/>
    <w:rsid w:val="08E5531C"/>
    <w:rsid w:val="09201BFE"/>
    <w:rsid w:val="094712F2"/>
    <w:rsid w:val="0958647E"/>
    <w:rsid w:val="0963660A"/>
    <w:rsid w:val="09A4358F"/>
    <w:rsid w:val="09BF4822"/>
    <w:rsid w:val="09DA3F82"/>
    <w:rsid w:val="0A0B0C2D"/>
    <w:rsid w:val="0A1A2BF9"/>
    <w:rsid w:val="0A656E3D"/>
    <w:rsid w:val="0A836BDE"/>
    <w:rsid w:val="0B6775DA"/>
    <w:rsid w:val="0BDA0174"/>
    <w:rsid w:val="0BE72A8C"/>
    <w:rsid w:val="0C1C28F1"/>
    <w:rsid w:val="0C5533EE"/>
    <w:rsid w:val="0C7557E1"/>
    <w:rsid w:val="0C9B09AC"/>
    <w:rsid w:val="0CB70344"/>
    <w:rsid w:val="0CE63DEF"/>
    <w:rsid w:val="0D5709C4"/>
    <w:rsid w:val="0DA32FF9"/>
    <w:rsid w:val="0DC02F70"/>
    <w:rsid w:val="0E016246"/>
    <w:rsid w:val="0E347E7A"/>
    <w:rsid w:val="0EEF2024"/>
    <w:rsid w:val="0F396866"/>
    <w:rsid w:val="0F547819"/>
    <w:rsid w:val="0F763753"/>
    <w:rsid w:val="0FBD1976"/>
    <w:rsid w:val="0FC84B33"/>
    <w:rsid w:val="0FCB555C"/>
    <w:rsid w:val="0FF22613"/>
    <w:rsid w:val="104D4387"/>
    <w:rsid w:val="10C63719"/>
    <w:rsid w:val="110E5233"/>
    <w:rsid w:val="11142387"/>
    <w:rsid w:val="112A1720"/>
    <w:rsid w:val="112E1415"/>
    <w:rsid w:val="118E4E05"/>
    <w:rsid w:val="119A0988"/>
    <w:rsid w:val="11C84FEC"/>
    <w:rsid w:val="120F176F"/>
    <w:rsid w:val="12474DC8"/>
    <w:rsid w:val="12DF625F"/>
    <w:rsid w:val="134D5D4F"/>
    <w:rsid w:val="137E4D53"/>
    <w:rsid w:val="13F47D19"/>
    <w:rsid w:val="1444516F"/>
    <w:rsid w:val="14886F81"/>
    <w:rsid w:val="14B70C97"/>
    <w:rsid w:val="14B82E87"/>
    <w:rsid w:val="14C217F5"/>
    <w:rsid w:val="14E24DF8"/>
    <w:rsid w:val="15922051"/>
    <w:rsid w:val="159F292E"/>
    <w:rsid w:val="16103683"/>
    <w:rsid w:val="16316871"/>
    <w:rsid w:val="16344EDC"/>
    <w:rsid w:val="168B7E06"/>
    <w:rsid w:val="177E08EB"/>
    <w:rsid w:val="178664AD"/>
    <w:rsid w:val="178819C8"/>
    <w:rsid w:val="179E22FC"/>
    <w:rsid w:val="17A25E76"/>
    <w:rsid w:val="17AE4B25"/>
    <w:rsid w:val="18132AD7"/>
    <w:rsid w:val="18212609"/>
    <w:rsid w:val="183068D9"/>
    <w:rsid w:val="18BA318F"/>
    <w:rsid w:val="18D93743"/>
    <w:rsid w:val="19E524F1"/>
    <w:rsid w:val="19F3214F"/>
    <w:rsid w:val="19F76004"/>
    <w:rsid w:val="1A1664F5"/>
    <w:rsid w:val="1A4E5F71"/>
    <w:rsid w:val="1A785541"/>
    <w:rsid w:val="1AA22996"/>
    <w:rsid w:val="1B3E1A8A"/>
    <w:rsid w:val="1BE12072"/>
    <w:rsid w:val="1BEB2F32"/>
    <w:rsid w:val="1BEF4D2F"/>
    <w:rsid w:val="1C48338F"/>
    <w:rsid w:val="1D207523"/>
    <w:rsid w:val="1D5303AD"/>
    <w:rsid w:val="1D5D797F"/>
    <w:rsid w:val="1D8F2651"/>
    <w:rsid w:val="1D9143E9"/>
    <w:rsid w:val="1DA21552"/>
    <w:rsid w:val="1EE82024"/>
    <w:rsid w:val="1FB1003C"/>
    <w:rsid w:val="1FE7137A"/>
    <w:rsid w:val="1FF54367"/>
    <w:rsid w:val="2054534B"/>
    <w:rsid w:val="20583D8E"/>
    <w:rsid w:val="20726215"/>
    <w:rsid w:val="20C1152C"/>
    <w:rsid w:val="210A7163"/>
    <w:rsid w:val="211C0ADF"/>
    <w:rsid w:val="21792825"/>
    <w:rsid w:val="222B40B1"/>
    <w:rsid w:val="224A43EF"/>
    <w:rsid w:val="22A849F4"/>
    <w:rsid w:val="22AC0362"/>
    <w:rsid w:val="233B7821"/>
    <w:rsid w:val="24007643"/>
    <w:rsid w:val="241755C0"/>
    <w:rsid w:val="243E3248"/>
    <w:rsid w:val="246837AC"/>
    <w:rsid w:val="2475494B"/>
    <w:rsid w:val="24EB4C10"/>
    <w:rsid w:val="24ED6993"/>
    <w:rsid w:val="2519214E"/>
    <w:rsid w:val="258520EB"/>
    <w:rsid w:val="258B34CC"/>
    <w:rsid w:val="25913412"/>
    <w:rsid w:val="25DE3EBC"/>
    <w:rsid w:val="25FA1985"/>
    <w:rsid w:val="262E222F"/>
    <w:rsid w:val="2637183E"/>
    <w:rsid w:val="26451A73"/>
    <w:rsid w:val="26710BB7"/>
    <w:rsid w:val="268152A7"/>
    <w:rsid w:val="26BE5A0B"/>
    <w:rsid w:val="26BF635F"/>
    <w:rsid w:val="26C575ED"/>
    <w:rsid w:val="26E518CB"/>
    <w:rsid w:val="27307856"/>
    <w:rsid w:val="27307A6E"/>
    <w:rsid w:val="275E4B3D"/>
    <w:rsid w:val="2790625B"/>
    <w:rsid w:val="280E4D8F"/>
    <w:rsid w:val="282C4404"/>
    <w:rsid w:val="28716A14"/>
    <w:rsid w:val="28C55AD9"/>
    <w:rsid w:val="28D241CA"/>
    <w:rsid w:val="296D1C1C"/>
    <w:rsid w:val="297A12B6"/>
    <w:rsid w:val="29873C75"/>
    <w:rsid w:val="298F3450"/>
    <w:rsid w:val="29DE6E95"/>
    <w:rsid w:val="29E8073E"/>
    <w:rsid w:val="2A4B0CBE"/>
    <w:rsid w:val="2A742DBD"/>
    <w:rsid w:val="2AD0333C"/>
    <w:rsid w:val="2B4D0B0B"/>
    <w:rsid w:val="2BDD0703"/>
    <w:rsid w:val="2C255858"/>
    <w:rsid w:val="2C3C0AA3"/>
    <w:rsid w:val="2C515C43"/>
    <w:rsid w:val="2C625793"/>
    <w:rsid w:val="2C685E12"/>
    <w:rsid w:val="2C687D7E"/>
    <w:rsid w:val="2C962229"/>
    <w:rsid w:val="2CA8390F"/>
    <w:rsid w:val="2CFC623A"/>
    <w:rsid w:val="2D1202A0"/>
    <w:rsid w:val="2D7660A9"/>
    <w:rsid w:val="2D8475B7"/>
    <w:rsid w:val="2D966C65"/>
    <w:rsid w:val="2DA26FD8"/>
    <w:rsid w:val="2DBB4CD6"/>
    <w:rsid w:val="2DF35DE3"/>
    <w:rsid w:val="2E216696"/>
    <w:rsid w:val="2ED35FEE"/>
    <w:rsid w:val="300155EC"/>
    <w:rsid w:val="30B32B6A"/>
    <w:rsid w:val="311C73A5"/>
    <w:rsid w:val="31340AEA"/>
    <w:rsid w:val="31BF2947"/>
    <w:rsid w:val="32310A70"/>
    <w:rsid w:val="340D57A7"/>
    <w:rsid w:val="34666631"/>
    <w:rsid w:val="34D825DC"/>
    <w:rsid w:val="35897E51"/>
    <w:rsid w:val="359840AF"/>
    <w:rsid w:val="35B725AC"/>
    <w:rsid w:val="35F84C18"/>
    <w:rsid w:val="36093CBF"/>
    <w:rsid w:val="36974F61"/>
    <w:rsid w:val="36A326E6"/>
    <w:rsid w:val="36EE35C7"/>
    <w:rsid w:val="370A6D37"/>
    <w:rsid w:val="372A5155"/>
    <w:rsid w:val="375488B4"/>
    <w:rsid w:val="37B620D9"/>
    <w:rsid w:val="380B19D2"/>
    <w:rsid w:val="38A3735B"/>
    <w:rsid w:val="38BA0F7B"/>
    <w:rsid w:val="38EF74E5"/>
    <w:rsid w:val="39236D35"/>
    <w:rsid w:val="39B7887D"/>
    <w:rsid w:val="3A2D0421"/>
    <w:rsid w:val="3A6D6A8B"/>
    <w:rsid w:val="3BB04D60"/>
    <w:rsid w:val="3BED2C50"/>
    <w:rsid w:val="3BFC3FDB"/>
    <w:rsid w:val="3C013AEF"/>
    <w:rsid w:val="3CCA6242"/>
    <w:rsid w:val="3D317CFB"/>
    <w:rsid w:val="3D333223"/>
    <w:rsid w:val="3E6C046F"/>
    <w:rsid w:val="3E8B7104"/>
    <w:rsid w:val="3ED0469E"/>
    <w:rsid w:val="3F0F0DE1"/>
    <w:rsid w:val="3F2B07ED"/>
    <w:rsid w:val="3F392D26"/>
    <w:rsid w:val="3FE7E8AE"/>
    <w:rsid w:val="3FF62A34"/>
    <w:rsid w:val="3FFC5AEC"/>
    <w:rsid w:val="40207691"/>
    <w:rsid w:val="40670939"/>
    <w:rsid w:val="40B94C7A"/>
    <w:rsid w:val="40C946F8"/>
    <w:rsid w:val="413D21FB"/>
    <w:rsid w:val="41CF3D80"/>
    <w:rsid w:val="420E53DF"/>
    <w:rsid w:val="425759EC"/>
    <w:rsid w:val="426129D8"/>
    <w:rsid w:val="429066C1"/>
    <w:rsid w:val="42FE1BA9"/>
    <w:rsid w:val="43476B48"/>
    <w:rsid w:val="43573315"/>
    <w:rsid w:val="435B36FE"/>
    <w:rsid w:val="43907DB5"/>
    <w:rsid w:val="4392081E"/>
    <w:rsid w:val="439D249C"/>
    <w:rsid w:val="43C52E54"/>
    <w:rsid w:val="441735B8"/>
    <w:rsid w:val="442268FD"/>
    <w:rsid w:val="445F11C3"/>
    <w:rsid w:val="445F5F22"/>
    <w:rsid w:val="44D01669"/>
    <w:rsid w:val="44F2368F"/>
    <w:rsid w:val="458601C6"/>
    <w:rsid w:val="45CE4A1B"/>
    <w:rsid w:val="45E246F4"/>
    <w:rsid w:val="461B7925"/>
    <w:rsid w:val="461D0212"/>
    <w:rsid w:val="463C07F3"/>
    <w:rsid w:val="464756DB"/>
    <w:rsid w:val="466504C2"/>
    <w:rsid w:val="4692052E"/>
    <w:rsid w:val="46C0506A"/>
    <w:rsid w:val="470B61AF"/>
    <w:rsid w:val="470C3F16"/>
    <w:rsid w:val="471A7CA7"/>
    <w:rsid w:val="47621D3C"/>
    <w:rsid w:val="476E1465"/>
    <w:rsid w:val="47777BC1"/>
    <w:rsid w:val="479122C3"/>
    <w:rsid w:val="480559E6"/>
    <w:rsid w:val="481F5071"/>
    <w:rsid w:val="483B44C3"/>
    <w:rsid w:val="48C53338"/>
    <w:rsid w:val="4910453A"/>
    <w:rsid w:val="491D45E4"/>
    <w:rsid w:val="4986261E"/>
    <w:rsid w:val="49FA5C62"/>
    <w:rsid w:val="4A374A77"/>
    <w:rsid w:val="4B925DB4"/>
    <w:rsid w:val="4B964B58"/>
    <w:rsid w:val="4B971E89"/>
    <w:rsid w:val="4C791821"/>
    <w:rsid w:val="4D901930"/>
    <w:rsid w:val="4D9C1311"/>
    <w:rsid w:val="4DA13EFC"/>
    <w:rsid w:val="4DAA0ACB"/>
    <w:rsid w:val="4DC17B58"/>
    <w:rsid w:val="4DCD369E"/>
    <w:rsid w:val="4E207F77"/>
    <w:rsid w:val="4E405E86"/>
    <w:rsid w:val="4F1C2BA7"/>
    <w:rsid w:val="4F717B9B"/>
    <w:rsid w:val="4F7E44A1"/>
    <w:rsid w:val="4FBD66D2"/>
    <w:rsid w:val="4FDE0035"/>
    <w:rsid w:val="500D1959"/>
    <w:rsid w:val="503043E2"/>
    <w:rsid w:val="5050382B"/>
    <w:rsid w:val="506D097D"/>
    <w:rsid w:val="51DE596C"/>
    <w:rsid w:val="51ED678A"/>
    <w:rsid w:val="520668F0"/>
    <w:rsid w:val="52AE51FA"/>
    <w:rsid w:val="52CC2690"/>
    <w:rsid w:val="53143CF9"/>
    <w:rsid w:val="531F0D11"/>
    <w:rsid w:val="53322DCA"/>
    <w:rsid w:val="542F1EBF"/>
    <w:rsid w:val="543C4E80"/>
    <w:rsid w:val="545F1FF7"/>
    <w:rsid w:val="54657E0D"/>
    <w:rsid w:val="547E70F1"/>
    <w:rsid w:val="54D10F28"/>
    <w:rsid w:val="54D53C9C"/>
    <w:rsid w:val="550305C3"/>
    <w:rsid w:val="55D83CEB"/>
    <w:rsid w:val="564872E2"/>
    <w:rsid w:val="56CC5979"/>
    <w:rsid w:val="57034B85"/>
    <w:rsid w:val="57472184"/>
    <w:rsid w:val="58982A58"/>
    <w:rsid w:val="589E16F5"/>
    <w:rsid w:val="589F63B4"/>
    <w:rsid w:val="58A26C33"/>
    <w:rsid w:val="58AD4FD4"/>
    <w:rsid w:val="58CB7268"/>
    <w:rsid w:val="5963DC79"/>
    <w:rsid w:val="59905774"/>
    <w:rsid w:val="599E59E1"/>
    <w:rsid w:val="59C82306"/>
    <w:rsid w:val="59E1598B"/>
    <w:rsid w:val="5A07397F"/>
    <w:rsid w:val="5AE561D2"/>
    <w:rsid w:val="5B0315D4"/>
    <w:rsid w:val="5B093A34"/>
    <w:rsid w:val="5B0E5F58"/>
    <w:rsid w:val="5B180F7F"/>
    <w:rsid w:val="5B2D6741"/>
    <w:rsid w:val="5B755373"/>
    <w:rsid w:val="5BFB9289"/>
    <w:rsid w:val="5C510837"/>
    <w:rsid w:val="5D8B09FB"/>
    <w:rsid w:val="5D91560D"/>
    <w:rsid w:val="5E9263C2"/>
    <w:rsid w:val="5E9B4D4C"/>
    <w:rsid w:val="5EE14150"/>
    <w:rsid w:val="5F0C08CE"/>
    <w:rsid w:val="5F584AF9"/>
    <w:rsid w:val="5F592FD8"/>
    <w:rsid w:val="5F6DE5FD"/>
    <w:rsid w:val="5F8DA581"/>
    <w:rsid w:val="5FEDB291"/>
    <w:rsid w:val="5FFA1E55"/>
    <w:rsid w:val="601D7135"/>
    <w:rsid w:val="60594271"/>
    <w:rsid w:val="60FD6A51"/>
    <w:rsid w:val="61174547"/>
    <w:rsid w:val="61417FA3"/>
    <w:rsid w:val="61A84D55"/>
    <w:rsid w:val="621F016F"/>
    <w:rsid w:val="62373246"/>
    <w:rsid w:val="62641897"/>
    <w:rsid w:val="63143D27"/>
    <w:rsid w:val="6363707C"/>
    <w:rsid w:val="639D589A"/>
    <w:rsid w:val="63A25134"/>
    <w:rsid w:val="63BDB1FD"/>
    <w:rsid w:val="63E45B69"/>
    <w:rsid w:val="63F41951"/>
    <w:rsid w:val="64BF65EF"/>
    <w:rsid w:val="64DD2406"/>
    <w:rsid w:val="650E7916"/>
    <w:rsid w:val="65565234"/>
    <w:rsid w:val="66360F04"/>
    <w:rsid w:val="663E3F8E"/>
    <w:rsid w:val="66534FCB"/>
    <w:rsid w:val="67224A18"/>
    <w:rsid w:val="67E64DE1"/>
    <w:rsid w:val="681158B8"/>
    <w:rsid w:val="681E547B"/>
    <w:rsid w:val="6826003B"/>
    <w:rsid w:val="684A0535"/>
    <w:rsid w:val="685D50B9"/>
    <w:rsid w:val="68604028"/>
    <w:rsid w:val="6877527C"/>
    <w:rsid w:val="687C5B03"/>
    <w:rsid w:val="68BA38D2"/>
    <w:rsid w:val="68F84508"/>
    <w:rsid w:val="691A3E13"/>
    <w:rsid w:val="69400176"/>
    <w:rsid w:val="69597AAC"/>
    <w:rsid w:val="69B25200"/>
    <w:rsid w:val="69C21C8E"/>
    <w:rsid w:val="69F651A9"/>
    <w:rsid w:val="6A400F1A"/>
    <w:rsid w:val="6A557958"/>
    <w:rsid w:val="6A6A5E6B"/>
    <w:rsid w:val="6A7B3046"/>
    <w:rsid w:val="6A8D6A74"/>
    <w:rsid w:val="6AA1155F"/>
    <w:rsid w:val="6AF16947"/>
    <w:rsid w:val="6B174BCF"/>
    <w:rsid w:val="6B2973E9"/>
    <w:rsid w:val="6BB460E2"/>
    <w:rsid w:val="6BEB4471"/>
    <w:rsid w:val="6C164FA6"/>
    <w:rsid w:val="6C311483"/>
    <w:rsid w:val="6C4130FD"/>
    <w:rsid w:val="6C4B028D"/>
    <w:rsid w:val="6C95291B"/>
    <w:rsid w:val="6C9B7DB3"/>
    <w:rsid w:val="6CAB2D78"/>
    <w:rsid w:val="6D7844DE"/>
    <w:rsid w:val="6DAA7E7A"/>
    <w:rsid w:val="6E750E3C"/>
    <w:rsid w:val="6E7F5F1F"/>
    <w:rsid w:val="6E915828"/>
    <w:rsid w:val="6F1A5A2C"/>
    <w:rsid w:val="6F3C54D1"/>
    <w:rsid w:val="6FBC358D"/>
    <w:rsid w:val="6FF5BF4E"/>
    <w:rsid w:val="7037710B"/>
    <w:rsid w:val="70743667"/>
    <w:rsid w:val="707849CA"/>
    <w:rsid w:val="70A54C4E"/>
    <w:rsid w:val="70A76EDF"/>
    <w:rsid w:val="70AD3EBF"/>
    <w:rsid w:val="70C43920"/>
    <w:rsid w:val="70F53323"/>
    <w:rsid w:val="70F66CB4"/>
    <w:rsid w:val="71785460"/>
    <w:rsid w:val="71D33F8D"/>
    <w:rsid w:val="71ED3EDE"/>
    <w:rsid w:val="72133397"/>
    <w:rsid w:val="72273DF3"/>
    <w:rsid w:val="725B06D5"/>
    <w:rsid w:val="73133219"/>
    <w:rsid w:val="73572DC2"/>
    <w:rsid w:val="73AB6FCB"/>
    <w:rsid w:val="73B63B41"/>
    <w:rsid w:val="73BC27AF"/>
    <w:rsid w:val="73FD0A4F"/>
    <w:rsid w:val="74F37794"/>
    <w:rsid w:val="755CD8D2"/>
    <w:rsid w:val="755D4229"/>
    <w:rsid w:val="756E6B34"/>
    <w:rsid w:val="75F82DC6"/>
    <w:rsid w:val="76A5521A"/>
    <w:rsid w:val="76E23986"/>
    <w:rsid w:val="770A5A76"/>
    <w:rsid w:val="775E62AF"/>
    <w:rsid w:val="779A2B2D"/>
    <w:rsid w:val="77D906E2"/>
    <w:rsid w:val="77DF18A5"/>
    <w:rsid w:val="77DF6BBA"/>
    <w:rsid w:val="782920CD"/>
    <w:rsid w:val="78415904"/>
    <w:rsid w:val="784B3700"/>
    <w:rsid w:val="78538C86"/>
    <w:rsid w:val="78B20FFE"/>
    <w:rsid w:val="78C5681C"/>
    <w:rsid w:val="78FD0B8F"/>
    <w:rsid w:val="797F7426"/>
    <w:rsid w:val="799034D8"/>
    <w:rsid w:val="79997DD2"/>
    <w:rsid w:val="79A807A2"/>
    <w:rsid w:val="79C95DCF"/>
    <w:rsid w:val="79D00547"/>
    <w:rsid w:val="79FA0E27"/>
    <w:rsid w:val="79FA5671"/>
    <w:rsid w:val="79FD5E30"/>
    <w:rsid w:val="7A320CF1"/>
    <w:rsid w:val="7ADB7982"/>
    <w:rsid w:val="7AFFE078"/>
    <w:rsid w:val="7B772498"/>
    <w:rsid w:val="7BAB5164"/>
    <w:rsid w:val="7BAD01C9"/>
    <w:rsid w:val="7BC66859"/>
    <w:rsid w:val="7BE81934"/>
    <w:rsid w:val="7C08172E"/>
    <w:rsid w:val="7C3B6AD3"/>
    <w:rsid w:val="7C3D2061"/>
    <w:rsid w:val="7C3E4691"/>
    <w:rsid w:val="7C7846C0"/>
    <w:rsid w:val="7C801797"/>
    <w:rsid w:val="7C956391"/>
    <w:rsid w:val="7CAF5039"/>
    <w:rsid w:val="7CE65B62"/>
    <w:rsid w:val="7D4B4B42"/>
    <w:rsid w:val="7D4E6070"/>
    <w:rsid w:val="7D6C38B7"/>
    <w:rsid w:val="7D747F20"/>
    <w:rsid w:val="7DAA0228"/>
    <w:rsid w:val="7DE85E17"/>
    <w:rsid w:val="7DEB5188"/>
    <w:rsid w:val="7E044AA8"/>
    <w:rsid w:val="7E3B1311"/>
    <w:rsid w:val="7ED12811"/>
    <w:rsid w:val="7EDD18F9"/>
    <w:rsid w:val="7EE07871"/>
    <w:rsid w:val="7F3E33CB"/>
    <w:rsid w:val="7F654E96"/>
    <w:rsid w:val="7F6D495A"/>
    <w:rsid w:val="7F7E4B21"/>
    <w:rsid w:val="7F7F0394"/>
    <w:rsid w:val="7F814722"/>
    <w:rsid w:val="7F878E97"/>
    <w:rsid w:val="7F9D0493"/>
    <w:rsid w:val="7F9D47CC"/>
    <w:rsid w:val="7FB5C4EC"/>
    <w:rsid w:val="7FDAB4A8"/>
    <w:rsid w:val="7FE96BFB"/>
    <w:rsid w:val="7FFF0160"/>
    <w:rsid w:val="7FFF90E5"/>
    <w:rsid w:val="977F07C7"/>
    <w:rsid w:val="A6ABBDB6"/>
    <w:rsid w:val="B5E96F0D"/>
    <w:rsid w:val="B64F6F25"/>
    <w:rsid w:val="B7FF8B2E"/>
    <w:rsid w:val="BBFB3742"/>
    <w:rsid w:val="BDFFEA0B"/>
    <w:rsid w:val="BF6B741E"/>
    <w:rsid w:val="C9FFB34A"/>
    <w:rsid w:val="CB44CF5C"/>
    <w:rsid w:val="CDDF281E"/>
    <w:rsid w:val="CFEB3B55"/>
    <w:rsid w:val="D372CB92"/>
    <w:rsid w:val="D5AF74BB"/>
    <w:rsid w:val="D98735A2"/>
    <w:rsid w:val="D9F338C6"/>
    <w:rsid w:val="DBFF9927"/>
    <w:rsid w:val="DFF414A8"/>
    <w:rsid w:val="DFFF7EE2"/>
    <w:rsid w:val="EEEAF542"/>
    <w:rsid w:val="EF7A8440"/>
    <w:rsid w:val="EFBB5F8C"/>
    <w:rsid w:val="EFFF41A1"/>
    <w:rsid w:val="F2F71FA4"/>
    <w:rsid w:val="F38451E4"/>
    <w:rsid w:val="F7A7BD03"/>
    <w:rsid w:val="F7FB5FF5"/>
    <w:rsid w:val="F9F3703D"/>
    <w:rsid w:val="FA27EFCE"/>
    <w:rsid w:val="FAEF4CAF"/>
    <w:rsid w:val="FB73A820"/>
    <w:rsid w:val="FB9930C3"/>
    <w:rsid w:val="FBE10F67"/>
    <w:rsid w:val="FBFC90F1"/>
    <w:rsid w:val="FBFD6277"/>
    <w:rsid w:val="FDEFBFF7"/>
    <w:rsid w:val="FDFF2CF4"/>
    <w:rsid w:val="FDFFA2D5"/>
    <w:rsid w:val="FECEAF71"/>
    <w:rsid w:val="FF5F4B44"/>
    <w:rsid w:val="FFAFFF62"/>
    <w:rsid w:val="FFBF10B5"/>
    <w:rsid w:val="FFD69CBF"/>
    <w:rsid w:val="FFEFEA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6"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shd w:val="clear" w:color="auto" w:fill="auto"/>
      <w:spacing w:before="100" w:beforeAutospacing="1" w:after="100" w:afterAutospacing="1"/>
      <w:jc w:val="left"/>
    </w:pPr>
    <w:rPr>
      <w:rFonts w:hint="eastAsia" w:ascii="宋体" w:hAnsi="宋体" w:eastAsia="宋体" w:cs="宋体"/>
      <w:b/>
      <w:kern w:val="0"/>
      <w:sz w:val="36"/>
      <w:szCs w:val="36"/>
      <w:shd w:val="clear" w:color="auto" w:fill="auto"/>
      <w:lang w:val="en-US" w:eastAsia="zh-CN" w:bidi="ar"/>
    </w:rPr>
  </w:style>
  <w:style w:type="character" w:default="1" w:styleId="15">
    <w:name w:val="Default Paragraph Font"/>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93" w:beforeLines="30"/>
    </w:pPr>
    <w:rPr>
      <w:rFonts w:ascii="仿宋_GB2312" w:eastAsia="仿宋_GB2312"/>
      <w:sz w:val="30"/>
    </w:rPr>
  </w:style>
  <w:style w:type="paragraph" w:styleId="5">
    <w:name w:val="Body Text Indent"/>
    <w:basedOn w:val="1"/>
    <w:next w:val="6"/>
    <w:qFormat/>
    <w:uiPriority w:val="6"/>
    <w:pPr>
      <w:ind w:firstLine="567"/>
      <w:jc w:val="both"/>
    </w:pPr>
    <w:rPr>
      <w:kern w:val="1"/>
      <w:sz w:val="28"/>
    </w:rPr>
  </w:style>
  <w:style w:type="paragraph" w:styleId="6">
    <w:name w:val="Body Text First Indent 2"/>
    <w:basedOn w:val="5"/>
    <w:next w:val="7"/>
    <w:qFormat/>
    <w:uiPriority w:val="0"/>
    <w:pPr>
      <w:ind w:firstLine="420" w:firstLineChars="200"/>
    </w:pPr>
  </w:style>
  <w:style w:type="paragraph" w:styleId="7">
    <w:name w:val="Plain Text"/>
    <w:basedOn w:val="1"/>
    <w:unhideWhenUsed/>
    <w:qFormat/>
    <w:uiPriority w:val="99"/>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able of figures"/>
    <w:basedOn w:val="1"/>
    <w:next w:val="1"/>
    <w:qFormat/>
    <w:uiPriority w:val="99"/>
    <w:pPr>
      <w:ind w:leftChars="200" w:hanging="200" w:hangingChars="200"/>
      <w:jc w:val="left"/>
    </w:pPr>
    <w:rPr>
      <w:rFonts w:hint="eastAsia" w:ascii="宋体" w:hAnsi="宋体" w:eastAsia="宋体" w:cs="宋体"/>
      <w:kern w:val="0"/>
      <w:sz w:val="24"/>
      <w:szCs w:val="24"/>
      <w:lang w:val="en-US" w:eastAsia="zh-CN" w:bidi="ar"/>
    </w:rPr>
  </w:style>
  <w:style w:type="paragraph" w:styleId="12">
    <w:name w:val="toc 2"/>
    <w:basedOn w:val="1"/>
    <w:next w:val="1"/>
    <w:unhideWhenUsed/>
    <w:qFormat/>
    <w:uiPriority w:val="39"/>
    <w:pPr>
      <w:tabs>
        <w:tab w:val="right" w:leader="dot" w:pos="8296"/>
      </w:tabs>
      <w:ind w:left="420" w:leftChars="200"/>
    </w:pPr>
  </w:style>
  <w:style w:type="paragraph" w:styleId="13">
    <w:name w:val="Normal (Web)"/>
    <w:basedOn w:val="1"/>
    <w:qFormat/>
    <w:uiPriority w:val="0"/>
    <w:pPr>
      <w:shd w:val="clear" w:color="auto" w:fill="auto"/>
      <w:spacing w:before="100" w:beforeAutospacing="1" w:after="100" w:afterAutospacing="1"/>
      <w:ind w:left="0" w:right="0"/>
      <w:jc w:val="left"/>
    </w:pPr>
    <w:rPr>
      <w:kern w:val="0"/>
      <w:sz w:val="24"/>
      <w:shd w:val="clear" w:color="auto" w:fill="auto"/>
      <w:lang w:val="en-US" w:eastAsia="zh-CN" w:bidi="ar"/>
    </w:rPr>
  </w:style>
  <w:style w:type="character" w:styleId="16">
    <w:name w:val="Strong"/>
    <w:basedOn w:val="15"/>
    <w:qFormat/>
    <w:uiPriority w:val="0"/>
    <w:rPr>
      <w:b/>
    </w:rPr>
  </w:style>
  <w:style w:type="character" w:styleId="17">
    <w:name w:val="Hyperlink"/>
    <w:basedOn w:val="15"/>
    <w:qFormat/>
    <w:uiPriority w:val="0"/>
    <w:rPr>
      <w:color w:val="0000FF"/>
      <w:u w:val="none"/>
    </w:rPr>
  </w:style>
  <w:style w:type="paragraph" w:styleId="18">
    <w:name w:val="List Paragraph"/>
    <w:basedOn w:val="1"/>
    <w:qFormat/>
    <w:uiPriority w:val="34"/>
    <w:pPr>
      <w:ind w:firstLine="420" w:firstLineChars="200"/>
    </w:pPr>
  </w:style>
  <w:style w:type="paragraph" w:customStyle="1" w:styleId="1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20">
    <w:name w:val="No Spacing"/>
    <w:qFormat/>
    <w:uiPriority w:val="0"/>
    <w:pPr>
      <w:ind w:firstLine="200" w:firstLineChars="200"/>
    </w:pPr>
    <w:rPr>
      <w:rFonts w:ascii="Times New Roman" w:hAnsi="Times New Roman" w:eastAsia="仿宋_GB2312" w:cs="Times New Roman"/>
      <w:sz w:val="30"/>
      <w:szCs w:val="22"/>
      <w:lang w:val="en-US" w:eastAsia="zh-CN" w:bidi="ar-SA"/>
    </w:rPr>
  </w:style>
  <w:style w:type="paragraph" w:customStyle="1" w:styleId="21">
    <w:name w:val="普通(网站) Char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22">
    <w:name w:val="15"/>
    <w:basedOn w:val="15"/>
    <w:qFormat/>
    <w:uiPriority w:val="0"/>
    <w:rPr>
      <w:rFonts w:hint="default" w:ascii="Times New Roman" w:hAnsi="Times New Roman" w:cs="Times New Roman"/>
      <w:b/>
    </w:rPr>
  </w:style>
  <w:style w:type="character" w:customStyle="1" w:styleId="23">
    <w:name w:val="16"/>
    <w:basedOn w:val="15"/>
    <w:qFormat/>
    <w:uiPriority w:val="0"/>
    <w:rPr>
      <w:rFonts w:hint="default" w:ascii="Times New Roman" w:hAnsi="Times New Roman" w:cs="Times New Roman"/>
      <w:b/>
    </w:rPr>
  </w:style>
  <w:style w:type="paragraph" w:customStyle="1" w:styleId="24">
    <w:name w:val="普通(网站) Char"/>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oleObject" Target="embeddings/oleObject1.bin"/><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7.xml"/><Relationship Id="rId14" Type="http://schemas.openxmlformats.org/officeDocument/2006/relationships/chart" Target="charts/chart6.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7.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收入支出上下年对比图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419.28</c:v>
                </c:pt>
                <c:pt idx="1">
                  <c:v>408.26</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419.28</c:v>
                </c:pt>
                <c:pt idx="1">
                  <c:v>408.26</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571021406"/>
        <c:axId val="744813058"/>
      </c:barChart>
      <c:catAx>
        <c:axId val="57102140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4813058"/>
        <c:crosses val="autoZero"/>
        <c:auto val="1"/>
        <c:lblAlgn val="ctr"/>
        <c:lblOffset val="100"/>
        <c:noMultiLvlLbl val="0"/>
      </c:catAx>
      <c:valAx>
        <c:axId val="74481305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71021406"/>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收入组成结构图</c:v>
                </c:pt>
              </c:strCache>
            </c:strRef>
          </c:tx>
          <c:spPr/>
          <c:explosion val="0"/>
          <c:dPt>
            <c:idx val="0"/>
            <c:bubble3D val="0"/>
            <c:spPr>
              <a:solidFill>
                <a:schemeClr val="accent1"/>
              </a:solidFill>
              <a:ln w="19050">
                <a:solidFill>
                  <a:schemeClr val="lt1"/>
                </a:solidFill>
              </a:ln>
              <a:effectLst/>
            </c:spPr>
          </c:dPt>
          <c:dLbls>
            <c:delete val="1"/>
          </c:dLbls>
          <c:cat>
            <c:strRef>
              <c:f>Sheet1!$A$2</c:f>
              <c:strCache>
                <c:ptCount val="1"/>
                <c:pt idx="0">
                  <c:v>一般公共财政拨款</c:v>
                </c:pt>
              </c:strCache>
            </c:strRef>
          </c:cat>
          <c:val>
            <c:numRef>
              <c:f>Sheet1!$B$2</c:f>
              <c:numCache>
                <c:formatCode>General</c:formatCode>
                <c:ptCount val="1"/>
                <c:pt idx="0">
                  <c:v>408.26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支出构成</c:v>
                </c:pt>
              </c:strCache>
            </c:strRef>
          </c:tx>
          <c:spPr/>
          <c:explosion val="0"/>
          <c:dPt>
            <c:idx val="0"/>
            <c:bubble3D val="0"/>
            <c:spPr>
              <a:solidFill>
                <a:schemeClr val="accent1"/>
              </a:solidFill>
              <a:ln w="19050">
                <a:solidFill>
                  <a:schemeClr val="lt1"/>
                </a:solidFill>
              </a:ln>
              <a:effectLst/>
            </c:spPr>
          </c:dPt>
          <c:dLbls>
            <c:delete val="1"/>
          </c:dLbls>
          <c:cat>
            <c:strRef>
              <c:f>Sheet1!$A$2</c:f>
              <c:strCache>
                <c:ptCount val="1"/>
                <c:pt idx="0">
                  <c:v>基本支出</c:v>
                </c:pt>
              </c:strCache>
            </c:strRef>
          </c:cat>
          <c:val>
            <c:numRef>
              <c:f>Sheet1!$B$2</c:f>
              <c:numCache>
                <c:formatCode>General</c:formatCode>
                <c:ptCount val="1"/>
                <c:pt idx="0">
                  <c:v>408.26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tLang="en-US"/>
              <a:t>财政拨款收支上下年变化图</a:t>
            </a:r>
            <a:endParaRPr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Sheet1!$A$2:$A$3</c:f>
              <c:strCache>
                <c:ptCount val="2"/>
                <c:pt idx="0">
                  <c:v>财政拨款收入</c:v>
                </c:pt>
                <c:pt idx="1">
                  <c:v>财政拨款支出</c:v>
                </c:pt>
              </c:strCache>
            </c:strRef>
          </c:cat>
          <c:val>
            <c:numRef>
              <c:f>Sheet1!$B$2:$B$3</c:f>
              <c:numCache>
                <c:formatCode>General</c:formatCode>
                <c:ptCount val="2"/>
                <c:pt idx="0">
                  <c:v>408.26</c:v>
                </c:pt>
                <c:pt idx="1">
                  <c:v>408.26</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Sheet1!$A$2:$A$3</c:f>
              <c:strCache>
                <c:ptCount val="2"/>
                <c:pt idx="0">
                  <c:v>财政拨款收入</c:v>
                </c:pt>
                <c:pt idx="1">
                  <c:v>财政拨款支出</c:v>
                </c:pt>
              </c:strCache>
            </c:strRef>
          </c:cat>
          <c:val>
            <c:numRef>
              <c:f>Sheet1!$C$2:$C$3</c:f>
              <c:numCache>
                <c:formatCode>General</c:formatCode>
                <c:ptCount val="2"/>
                <c:pt idx="0">
                  <c:v>419.28</c:v>
                </c:pt>
                <c:pt idx="1">
                  <c:v>419.28</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财政拨款收入</c:v>
                </c:pt>
                <c:pt idx="1">
                  <c:v>财政拨款支出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615094216"/>
        <c:axId val="912299255"/>
      </c:barChart>
      <c:catAx>
        <c:axId val="61509421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2299255"/>
        <c:crosses val="autoZero"/>
        <c:auto val="1"/>
        <c:lblAlgn val="ctr"/>
        <c:lblOffset val="100"/>
        <c:noMultiLvlLbl val="0"/>
      </c:catAx>
      <c:valAx>
        <c:axId val="912299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5094216"/>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tLang="en-US"/>
              <a:t>一般公共财政拨款支出决算上下年变动图</a:t>
            </a:r>
            <a:endParaRPr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c:f>
              <c:strCache>
                <c:ptCount val="1"/>
                <c:pt idx="0">
                  <c:v>一般公共财政拨款支出</c:v>
                </c:pt>
              </c:strCache>
            </c:strRef>
          </c:cat>
          <c:val>
            <c:numRef>
              <c:f>Sheet1!$B$2</c:f>
              <c:numCache>
                <c:formatCode>General</c:formatCode>
                <c:ptCount val="1"/>
                <c:pt idx="0">
                  <c:v>408.26</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c:f>
              <c:strCache>
                <c:ptCount val="1"/>
                <c:pt idx="0">
                  <c:v>一般公共财政拨款支出</c:v>
                </c:pt>
              </c:strCache>
            </c:strRef>
          </c:cat>
          <c:val>
            <c:numRef>
              <c:f>Sheet1!$C$2</c:f>
              <c:numCache>
                <c:formatCode>General</c:formatCode>
                <c:ptCount val="1"/>
                <c:pt idx="0">
                  <c:v>419.28</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c:f>
              <c:strCache>
                <c:ptCount val="1"/>
                <c:pt idx="0">
                  <c:v>一般公共财政拨款支出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685493246"/>
        <c:axId val="342343358"/>
      </c:barChart>
      <c:catAx>
        <c:axId val="68549324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42343358"/>
        <c:crosses val="autoZero"/>
        <c:auto val="1"/>
        <c:lblAlgn val="ctr"/>
        <c:lblOffset val="100"/>
        <c:noMultiLvlLbl val="0"/>
      </c:catAx>
      <c:valAx>
        <c:axId val="34234335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85493246"/>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46002132196162"/>
          <c:y val="0.0698283386674425"/>
        </c:manualLayout>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一般公共财政拨款支出结构图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一般公共服务支出</c:v>
                </c:pt>
                <c:pt idx="1">
                  <c:v>社会保障和就业支出</c:v>
                </c:pt>
                <c:pt idx="2">
                  <c:v>住房保障支出</c:v>
                </c:pt>
                <c:pt idx="3">
                  <c:v>卫生健康支出</c:v>
                </c:pt>
              </c:strCache>
            </c:strRef>
          </c:cat>
          <c:val>
            <c:numRef>
              <c:f>Sheet1!$B$2:$B$5</c:f>
              <c:numCache>
                <c:formatCode>General</c:formatCode>
                <c:ptCount val="4"/>
                <c:pt idx="0">
                  <c:v>303.17</c:v>
                </c:pt>
                <c:pt idx="1">
                  <c:v>55.64</c:v>
                </c:pt>
                <c:pt idx="2">
                  <c:v>29.06</c:v>
                </c:pt>
                <c:pt idx="3">
                  <c:v>20.38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三公经费财政拨款支出结构图</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elete val="1"/>
          </c:dLbls>
          <c:cat>
            <c:strRef>
              <c:f>Sheet1!$A$2:$A$4</c:f>
              <c:strCache>
                <c:ptCount val="3"/>
                <c:pt idx="0">
                  <c:v>因公出国</c:v>
                </c:pt>
                <c:pt idx="1">
                  <c:v>公务用车运行维护费</c:v>
                </c:pt>
                <c:pt idx="2">
                  <c:v>公务接待费</c:v>
                </c:pt>
              </c:strCache>
            </c:strRef>
          </c:cat>
          <c:val>
            <c:numRef>
              <c:f>Sheet1!$B$2:$B$4</c:f>
              <c:numCache>
                <c:formatCode>General</c:formatCode>
                <c:ptCount val="3"/>
                <c:pt idx="0">
                  <c:v>0</c:v>
                </c:pt>
                <c:pt idx="1">
                  <c:v>2.36</c:v>
                </c:pt>
                <c:pt idx="2">
                  <c:v>0.15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0</Words>
  <Characters>0</Characters>
  <Lines>0</Lines>
  <Paragraphs>0</Paragraphs>
  <TotalTime>1</TotalTime>
  <ScaleCrop>false</ScaleCrop>
  <LinksUpToDate>false</LinksUpToDate>
  <CharactersWithSpaces>0</CharactersWithSpaces>
  <Application>WPS Office_11.8.2.12065_F1E327BC-269C-435d-A152-05C5408002CA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2014-11-01T04:08:00Z</dcterms:created>
  <dc:creator>Administrator</dc:creator>
  <cp:lastModifiedBy>user</cp:lastModifiedBy>
  <dcterms:modified xsi:type="dcterms:W3CDTF">2026-10-13T15:22:37Z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2052-11.8.2.12065</vt:lpwstr>
  </property>
  <property fmtid="{D5CDD505-2E9C-101B-9397-08002B2CF9AE}" pid="3" name="ICV">
    <vt:lpwstr>87D2106CEC475BD13DDCCD6A09191510</vt:lpwstr>
  </property>
</Properties>
</file>