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宋体" w:eastAsia="方正小标宋简体"/>
          <w:sz w:val="72"/>
          <w:szCs w:val="72"/>
        </w:rPr>
      </w:pPr>
      <w:bookmarkStart w:id="0" w:name="_Toc15377425"/>
      <w:bookmarkStart w:id="1" w:name="_Toc15396475"/>
      <w:bookmarkStart w:id="2" w:name="_Toc15377193"/>
      <w:bookmarkStart w:id="3" w:name="_Toc15396597"/>
      <w:bookmarkStart w:id="4" w:name="_Toc15378441"/>
      <w:bookmarkStart w:id="5" w:name="_Toc15306267"/>
    </w:p>
    <w:p>
      <w:pPr>
        <w:pStyle w:val="7"/>
        <w:spacing w:before="93"/>
      </w:pPr>
    </w:p>
    <w:p>
      <w:pPr>
        <w:spacing w:line="600" w:lineRule="exact"/>
        <w:jc w:val="center"/>
        <w:rPr>
          <w:rFonts w:hint="eastAsia" w:ascii="方正小标宋简体" w:hAnsi="宋体" w:eastAsia="方正小标宋简体"/>
          <w:sz w:val="72"/>
          <w:szCs w:val="72"/>
        </w:rPr>
      </w:pPr>
    </w:p>
    <w:p>
      <w:pPr>
        <w:spacing w:line="600" w:lineRule="exact"/>
        <w:jc w:val="center"/>
        <w:rPr>
          <w:rFonts w:hint="eastAsia" w:ascii="方正小标宋简体" w:hAnsi="宋体" w:eastAsia="方正小标宋简体"/>
          <w:sz w:val="72"/>
          <w:szCs w:val="72"/>
        </w:rPr>
      </w:pPr>
    </w:p>
    <w:p>
      <w:pPr>
        <w:adjustRightInd w:val="0"/>
        <w:snapToGrid w:val="0"/>
        <w:spacing w:line="360" w:lineRule="auto"/>
        <w:jc w:val="center"/>
        <w:outlineLvl w:val="0"/>
        <w:rPr>
          <w:rFonts w:hint="eastAsia" w:ascii="方正小标宋简体" w:hAnsi="方正小标宋简体" w:eastAsia="方正小标宋简体" w:cs="方正小标宋简体"/>
          <w:sz w:val="44"/>
          <w:szCs w:val="44"/>
        </w:rPr>
      </w:pPr>
      <w:bookmarkStart w:id="6" w:name="_Toc15517"/>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w:t>
      </w:r>
      <w:bookmarkEnd w:id="0"/>
      <w:bookmarkEnd w:id="1"/>
      <w:bookmarkEnd w:id="2"/>
      <w:bookmarkEnd w:id="3"/>
      <w:bookmarkEnd w:id="4"/>
      <w:bookmarkEnd w:id="6"/>
    </w:p>
    <w:bookmarkEnd w:id="5"/>
    <w:p>
      <w:pPr>
        <w:adjustRightInd w:val="0"/>
        <w:snapToGrid w:val="0"/>
        <w:spacing w:line="360" w:lineRule="auto"/>
        <w:jc w:val="center"/>
        <w:outlineLvl w:val="0"/>
        <w:rPr>
          <w:rFonts w:hint="eastAsia" w:ascii="方正小标宋简体" w:hAnsi="方正小标宋简体" w:eastAsia="方正小标宋简体" w:cs="方正小标宋简体"/>
          <w:sz w:val="44"/>
          <w:szCs w:val="44"/>
        </w:rPr>
      </w:pPr>
      <w:bookmarkStart w:id="7" w:name="_Toc15378442"/>
      <w:bookmarkStart w:id="8" w:name="_Toc15396598"/>
      <w:bookmarkStart w:id="9" w:name="_Toc15377194"/>
      <w:bookmarkStart w:id="10" w:name="_Toc15396476"/>
      <w:bookmarkStart w:id="11" w:name="_Toc15377426"/>
      <w:bookmarkStart w:id="12" w:name="_Toc15306268"/>
      <w:bookmarkStart w:id="13" w:name="_Toc3291"/>
      <w:r>
        <w:rPr>
          <w:rFonts w:hint="eastAsia" w:ascii="方正小标宋简体" w:hAnsi="方正小标宋简体" w:eastAsia="方正小标宋简体" w:cs="方正小标宋简体"/>
          <w:sz w:val="44"/>
          <w:szCs w:val="44"/>
        </w:rPr>
        <w:t>红原县档案馆部门决算</w:t>
      </w:r>
      <w:bookmarkEnd w:id="7"/>
      <w:bookmarkEnd w:id="8"/>
      <w:bookmarkEnd w:id="9"/>
      <w:bookmarkEnd w:id="10"/>
      <w:bookmarkEnd w:id="11"/>
      <w:bookmarkEnd w:id="12"/>
      <w:r>
        <w:rPr>
          <w:rFonts w:hint="eastAsia" w:ascii="方正小标宋简体" w:hAnsi="方正小标宋简体" w:eastAsia="方正小标宋简体" w:cs="方正小标宋简体"/>
          <w:sz w:val="44"/>
          <w:szCs w:val="44"/>
        </w:rPr>
        <w:t>公开编制说明</w:t>
      </w:r>
      <w:bookmarkEnd w:id="13"/>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widowControl/>
        <w:jc w:val="center"/>
        <w:rPr>
          <w:rFonts w:hint="eastAsia" w:ascii="方正小标宋简体" w:hAnsi="宋体" w:eastAsia="方正小标宋简体"/>
          <w:sz w:val="36"/>
          <w:szCs w:val="36"/>
        </w:rPr>
      </w:pPr>
    </w:p>
    <w:p>
      <w:pPr>
        <w:pStyle w:val="15"/>
        <w:widowControl/>
        <w:ind w:right="75"/>
      </w:pPr>
      <w:r>
        <w:rPr>
          <w:shd w:val="clear" w:color="auto" w:fill="FFFFFF"/>
        </w:rPr>
        <w:t>保密审查情况：已审查，内容审定</w:t>
      </w:r>
    </w:p>
    <w:p>
      <w:pPr>
        <w:widowControl/>
        <w:jc w:val="left"/>
        <w:rPr>
          <w:sz w:val="24"/>
          <w:shd w:val="clear" w:color="auto" w:fill="FFFFFF"/>
        </w:rPr>
      </w:pPr>
      <w:r>
        <w:rPr>
          <w:sz w:val="24"/>
          <w:shd w:val="clear" w:color="auto" w:fill="FFFFFF"/>
        </w:rPr>
        <w:t>部门主要负责人审签情况：已审签，同意对外公开</w:t>
      </w:r>
    </w:p>
    <w:p>
      <w:pPr>
        <w:widowControl/>
        <w:jc w:val="center"/>
        <w:rPr>
          <w:rFonts w:hint="eastAsia" w:ascii="黑体" w:hAnsi="黑体" w:eastAsia="黑体" w:cstheme="minorBidi"/>
          <w:sz w:val="28"/>
          <w:szCs w:val="28"/>
        </w:rPr>
      </w:pPr>
      <w:r>
        <w:rPr>
          <w:rFonts w:ascii="方正小标宋简体" w:hAnsi="宋体" w:eastAsia="方正小标宋简体"/>
          <w:sz w:val="36"/>
          <w:szCs w:val="36"/>
        </w:rPr>
        <w:br w:type="page"/>
      </w:r>
      <w:r>
        <w:rPr>
          <w:rFonts w:hint="eastAsia" w:ascii="黑体" w:hAnsi="黑体" w:eastAsia="黑体"/>
          <w:sz w:val="48"/>
          <w:szCs w:val="48"/>
        </w:rPr>
        <w:t>目录</w:t>
      </w:r>
      <w:bookmarkStart w:id="66" w:name="_GoBack"/>
      <w:bookmarkEnd w:id="66"/>
    </w:p>
    <w:p>
      <w:pPr>
        <w:pStyle w:val="13"/>
        <w:rPr>
          <w:rFonts w:hint="eastAsia"/>
        </w:rPr>
      </w:pPr>
      <w:r>
        <w:rPr>
          <w:rFonts w:hint="eastAsia"/>
        </w:rPr>
        <w:t>公开时间：2025年</w:t>
      </w:r>
      <w:r>
        <w:rPr>
          <w:rFonts w:hint="eastAsia"/>
          <w:lang w:val="en-US" w:eastAsia="zh-CN"/>
        </w:rPr>
        <w:t>10</w:t>
      </w:r>
      <w:r>
        <w:rPr>
          <w:rFonts w:hint="eastAsia"/>
        </w:rPr>
        <w:t>月</w:t>
      </w:r>
      <w:r>
        <w:rPr>
          <w:rFonts w:hint="eastAsia"/>
          <w:lang w:val="en-US" w:eastAsia="zh-CN"/>
        </w:rPr>
        <w:t>12</w:t>
      </w:r>
      <w:r>
        <w:rPr>
          <w:rFonts w:hint="eastAsia"/>
        </w:rPr>
        <w:t>日</w:t>
      </w:r>
    </w:p>
    <w:sdt>
      <w:sdtPr>
        <w:rPr>
          <w:rFonts w:ascii="宋体" w:hAnsi="宋体" w:eastAsia="宋体" w:cs="Times New Roman"/>
          <w:kern w:val="2"/>
          <w:sz w:val="21"/>
          <w:szCs w:val="24"/>
          <w:lang w:val="en-US" w:eastAsia="zh-CN" w:bidi="ar-SA"/>
        </w:rPr>
        <w:id w:val="147465739"/>
        <w15:color w:val="DBDBDB"/>
        <w:docPartObj>
          <w:docPartGallery w:val="Table of Contents"/>
          <w:docPartUnique/>
        </w:docPartObj>
      </w:sdtPr>
      <w:sdtEndPr>
        <w:rPr>
          <w:rFonts w:ascii="宋体" w:hAnsi="宋体" w:eastAsia="宋体" w:cs="Times New Roman"/>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eastAsia" w:ascii="仿宋_GB2312" w:hAnsi="仿宋" w:eastAsia="仿宋_GB2312" w:cs="Times New Roman"/>
              <w:kern w:val="2"/>
              <w:sz w:val="32"/>
              <w:szCs w:val="32"/>
              <w:lang w:val="en-US" w:eastAsia="zh-CN" w:bidi="ar-SA"/>
            </w:rPr>
          </w:pPr>
          <w:r>
            <w:fldChar w:fldCharType="begin"/>
          </w:r>
          <w:r>
            <w:instrText xml:space="preserve">TOC \o "1-2" \h \u </w:instrText>
          </w:r>
          <w:r>
            <w:fldChar w:fldCharType="separate"/>
          </w:r>
        </w:p>
        <w:p>
          <w:pPr>
            <w:pStyle w:val="36"/>
            <w:keepNext w:val="0"/>
            <w:keepLines w:val="0"/>
            <w:pageBreakBefore w:val="0"/>
            <w:widowControl/>
            <w:tabs>
              <w:tab w:val="right" w:leader="dot" w:pos="8845"/>
            </w:tabs>
            <w:kinsoku/>
            <w:wordWrap/>
            <w:overflowPunct/>
            <w:topLinePunct w:val="0"/>
            <w:autoSpaceDE/>
            <w:autoSpaceDN/>
            <w:bidi w:val="0"/>
            <w:adjustRightInd/>
            <w:snapToGrid/>
            <w:spacing w:line="576" w:lineRule="exact"/>
            <w:textAlignment w:val="auto"/>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_Toc3291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红原县档案馆部门决算公开编制说明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_Toc3291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1</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6"/>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_Toc5985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第一部分 部门概况</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_Toc5985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3</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_Toc21573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一、 部门职责</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_Toc21573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3</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_Toc23972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二、机构设置</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_Toc23972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3</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6"/>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_Toc16658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第二部分 2025年度部门决算情况说明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_Toc16658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4</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_Toc6421 </w:instrText>
          </w:r>
          <w:r>
            <w:rPr>
              <w:rFonts w:hint="eastAsia" w:ascii="仿宋_GB2312" w:hAnsi="仿宋" w:eastAsia="仿宋_GB2312" w:cs="Times New Roman"/>
              <w:kern w:val="2"/>
              <w:sz w:val="32"/>
              <w:szCs w:val="32"/>
              <w:lang w:val="en-US" w:eastAsia="zh-CN" w:bidi="ar-SA"/>
            </w:rPr>
            <w:fldChar w:fldCharType="separate"/>
          </w:r>
          <w:r>
            <w:rPr>
              <w:rFonts w:hint="default" w:ascii="仿宋_GB2312" w:hAnsi="仿宋" w:eastAsia="仿宋_GB2312" w:cs="Times New Roman"/>
              <w:kern w:val="2"/>
              <w:sz w:val="32"/>
              <w:szCs w:val="32"/>
              <w:lang w:val="en-US" w:eastAsia="zh-CN" w:bidi="ar-SA"/>
            </w:rPr>
            <w:t xml:space="preserve">一、 </w:t>
          </w:r>
          <w:r>
            <w:rPr>
              <w:rFonts w:hint="eastAsia" w:ascii="仿宋_GB2312" w:hAnsi="仿宋" w:eastAsia="仿宋_GB2312" w:cs="Times New Roman"/>
              <w:kern w:val="2"/>
              <w:sz w:val="32"/>
              <w:szCs w:val="32"/>
              <w:lang w:val="en-US" w:eastAsia="zh-CN" w:bidi="ar-SA"/>
            </w:rPr>
            <w:t>收入支出决算总体情况说明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_Toc6421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4</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_Toc18260 </w:instrText>
          </w:r>
          <w:r>
            <w:rPr>
              <w:rFonts w:hint="eastAsia" w:ascii="仿宋_GB2312" w:hAnsi="仿宋" w:eastAsia="仿宋_GB2312" w:cs="Times New Roman"/>
              <w:kern w:val="2"/>
              <w:sz w:val="32"/>
              <w:szCs w:val="32"/>
              <w:lang w:val="en-US" w:eastAsia="zh-CN" w:bidi="ar-SA"/>
            </w:rPr>
            <w:fldChar w:fldCharType="separate"/>
          </w:r>
          <w:r>
            <w:rPr>
              <w:rFonts w:hint="default" w:ascii="仿宋_GB2312" w:hAnsi="仿宋" w:eastAsia="仿宋_GB2312" w:cs="Times New Roman"/>
              <w:kern w:val="2"/>
              <w:sz w:val="32"/>
              <w:szCs w:val="32"/>
              <w:lang w:val="en-US" w:eastAsia="zh-CN" w:bidi="ar-SA"/>
            </w:rPr>
            <w:t xml:space="preserve">二、 </w:t>
          </w:r>
          <w:r>
            <w:rPr>
              <w:rFonts w:hint="eastAsia" w:ascii="仿宋_GB2312" w:hAnsi="仿宋" w:eastAsia="仿宋_GB2312" w:cs="Times New Roman"/>
              <w:kern w:val="2"/>
              <w:sz w:val="32"/>
              <w:szCs w:val="32"/>
              <w:lang w:val="en-US" w:eastAsia="zh-CN" w:bidi="ar-SA"/>
            </w:rPr>
            <w:t>收入决算情况说明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_Toc18260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4</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_Toc8753 </w:instrText>
          </w:r>
          <w:r>
            <w:rPr>
              <w:rFonts w:hint="eastAsia" w:ascii="仿宋_GB2312" w:hAnsi="仿宋" w:eastAsia="仿宋_GB2312" w:cs="Times New Roman"/>
              <w:kern w:val="2"/>
              <w:sz w:val="32"/>
              <w:szCs w:val="32"/>
              <w:lang w:val="en-US" w:eastAsia="zh-CN" w:bidi="ar-SA"/>
            </w:rPr>
            <w:fldChar w:fldCharType="separate"/>
          </w:r>
          <w:r>
            <w:rPr>
              <w:rFonts w:hint="default" w:ascii="仿宋_GB2312" w:hAnsi="仿宋" w:eastAsia="仿宋_GB2312" w:cs="Times New Roman"/>
              <w:kern w:val="2"/>
              <w:sz w:val="32"/>
              <w:szCs w:val="32"/>
              <w:lang w:val="en-US" w:eastAsia="zh-CN" w:bidi="ar-SA"/>
            </w:rPr>
            <w:t xml:space="preserve">三、 </w:t>
          </w:r>
          <w:r>
            <w:rPr>
              <w:rFonts w:hint="eastAsia" w:ascii="仿宋_GB2312" w:hAnsi="仿宋" w:eastAsia="仿宋_GB2312" w:cs="Times New Roman"/>
              <w:kern w:val="2"/>
              <w:sz w:val="32"/>
              <w:szCs w:val="32"/>
              <w:lang w:val="en-US" w:eastAsia="zh-CN" w:bidi="ar-SA"/>
            </w:rPr>
            <w:t>支出决算情况说明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_Toc8753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5</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_Toc1916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四、财政拨款收入支出决算总体情况说明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_Toc1916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6</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_Toc16869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五、一般公共预算财政拨款支出决算情况说明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_Toc16869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6</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_Toc12285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六、一般公共预算财政拨款基本支出决算情况说明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_Toc12285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9</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_Toc14635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七、财政拨款“三公”经费支出决算情况说明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_Toc14635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10</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_Toc24821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八、政府性基金预算支出决算情况说明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_Toc24821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12</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_Toc9865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九、 国有资本经营预算支出决算情况说明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_Toc9865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12</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7"/>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_Toc18985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十、 其他重要事项的情况说明</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_Toc18985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13</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6"/>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_Toc16547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第三部分 名词解释</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_Toc16547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14</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6"/>
            <w:tabs>
              <w:tab w:val="right" w:leader="dot" w:pos="8845"/>
            </w:tabs>
            <w:rPr>
              <w:rFonts w:hint="eastAsia" w:ascii="仿宋_GB2312" w:hAnsi="仿宋" w:eastAsia="仿宋_GB2312" w:cs="Times New Roman"/>
              <w:kern w:val="2"/>
              <w:sz w:val="32"/>
              <w:szCs w:val="32"/>
              <w:lang w:val="en-US" w:eastAsia="zh-CN" w:bidi="ar-SA"/>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_Toc15832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第四部分 附件</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_Toc15832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18</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pStyle w:val="36"/>
            <w:tabs>
              <w:tab w:val="right" w:leader="dot" w:pos="8845"/>
            </w:tabs>
            <w:rPr>
              <w:b/>
            </w:rPr>
          </w:pP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HYPERLINK \l _Toc22076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第五部分 附表</w:t>
          </w:r>
          <w:r>
            <w:rPr>
              <w:rFonts w:hint="eastAsia" w:ascii="仿宋_GB2312" w:hAnsi="仿宋" w:eastAsia="仿宋_GB2312" w:cs="Times New Roman"/>
              <w:kern w:val="2"/>
              <w:sz w:val="32"/>
              <w:szCs w:val="32"/>
              <w:lang w:val="en-US" w:eastAsia="zh-CN" w:bidi="ar-SA"/>
            </w:rPr>
            <w:tab/>
          </w:r>
          <w:r>
            <w:rPr>
              <w:rFonts w:hint="eastAsia" w:ascii="仿宋_GB2312" w:hAnsi="仿宋" w:eastAsia="仿宋_GB2312" w:cs="Times New Roman"/>
              <w:kern w:val="2"/>
              <w:sz w:val="32"/>
              <w:szCs w:val="32"/>
              <w:lang w:val="en-US" w:eastAsia="zh-CN" w:bidi="ar-SA"/>
            </w:rPr>
            <w:fldChar w:fldCharType="begin"/>
          </w:r>
          <w:r>
            <w:rPr>
              <w:rFonts w:hint="eastAsia" w:ascii="仿宋_GB2312" w:hAnsi="仿宋" w:eastAsia="仿宋_GB2312" w:cs="Times New Roman"/>
              <w:kern w:val="2"/>
              <w:sz w:val="32"/>
              <w:szCs w:val="32"/>
              <w:lang w:val="en-US" w:eastAsia="zh-CN" w:bidi="ar-SA"/>
            </w:rPr>
            <w:instrText xml:space="preserve"> PAGEREF _Toc22076 \h </w:instrText>
          </w:r>
          <w:r>
            <w:rPr>
              <w:rFonts w:hint="eastAsia" w:ascii="仿宋_GB2312" w:hAnsi="仿宋" w:eastAsia="仿宋_GB2312" w:cs="Times New Roman"/>
              <w:kern w:val="2"/>
              <w:sz w:val="32"/>
              <w:szCs w:val="32"/>
              <w:lang w:val="en-US" w:eastAsia="zh-CN" w:bidi="ar-SA"/>
            </w:rPr>
            <w:fldChar w:fldCharType="separate"/>
          </w:r>
          <w:r>
            <w:rPr>
              <w:rFonts w:hint="eastAsia" w:ascii="仿宋_GB2312" w:hAnsi="仿宋" w:eastAsia="仿宋_GB2312" w:cs="Times New Roman"/>
              <w:kern w:val="2"/>
              <w:sz w:val="32"/>
              <w:szCs w:val="32"/>
              <w:lang w:val="en-US" w:eastAsia="zh-CN" w:bidi="ar-SA"/>
            </w:rPr>
            <w:t>33</w:t>
          </w:r>
          <w:r>
            <w:rPr>
              <w:rFonts w:hint="eastAsia" w:ascii="仿宋_GB2312" w:hAnsi="仿宋" w:eastAsia="仿宋_GB2312" w:cs="Times New Roman"/>
              <w:kern w:val="2"/>
              <w:sz w:val="32"/>
              <w:szCs w:val="32"/>
              <w:lang w:val="en-US" w:eastAsia="zh-CN" w:bidi="ar-SA"/>
            </w:rPr>
            <w:fldChar w:fldCharType="end"/>
          </w:r>
          <w:r>
            <w:rPr>
              <w:rFonts w:hint="eastAsia" w:ascii="仿宋_GB2312" w:hAnsi="仿宋" w:eastAsia="仿宋_GB2312" w:cs="Times New Roman"/>
              <w:kern w:val="2"/>
              <w:sz w:val="32"/>
              <w:szCs w:val="32"/>
              <w:lang w:val="en-US" w:eastAsia="zh-CN" w:bidi="ar-SA"/>
            </w:rPr>
            <w:fldChar w:fldCharType="end"/>
          </w:r>
        </w:p>
        <w:p>
          <w:pPr>
            <w:widowControl/>
            <w:spacing w:line="440" w:lineRule="exact"/>
            <w:jc w:val="left"/>
            <w:rPr>
              <w:rFonts w:hint="eastAsia" w:ascii="仿宋" w:hAnsi="仿宋" w:eastAsia="仿宋"/>
              <w:bCs/>
              <w:kern w:val="44"/>
              <w:sz w:val="24"/>
            </w:rPr>
          </w:pPr>
          <w:r>
            <w:rPr>
              <w:b/>
            </w:rPr>
            <w:fldChar w:fldCharType="end"/>
          </w:r>
        </w:p>
      </w:sdtContent>
    </w:sdt>
    <w:p>
      <w:pPr>
        <w:pStyle w:val="4"/>
        <w:pageBreakBefore w:val="0"/>
        <w:widowControl w:val="0"/>
        <w:kinsoku/>
        <w:wordWrap/>
        <w:overflowPunct/>
        <w:topLinePunct w:val="0"/>
        <w:autoSpaceDE/>
        <w:autoSpaceDN/>
        <w:bidi w:val="0"/>
        <w:adjustRightInd/>
        <w:snapToGrid/>
        <w:spacing w:line="576" w:lineRule="exact"/>
        <w:jc w:val="center"/>
        <w:textAlignment w:val="auto"/>
        <w:rPr>
          <w:rStyle w:val="29"/>
          <w:rFonts w:hint="eastAsia" w:ascii="黑体" w:hAnsi="黑体" w:eastAsia="黑体"/>
          <w:b/>
          <w:bCs w:val="0"/>
        </w:rPr>
      </w:pPr>
      <w:bookmarkStart w:id="14" w:name="_Toc5985"/>
      <w:r>
        <w:rPr>
          <w:rFonts w:hint="eastAsia" w:ascii="黑体" w:hAnsi="黑体" w:eastAsia="黑体"/>
          <w:b w:val="0"/>
        </w:rPr>
        <w:t xml:space="preserve">第一部分 </w:t>
      </w:r>
      <w:r>
        <w:rPr>
          <w:rStyle w:val="29"/>
          <w:rFonts w:hint="eastAsia" w:ascii="黑体" w:hAnsi="黑体" w:eastAsia="黑体"/>
          <w:b w:val="0"/>
          <w:bCs w:val="0"/>
        </w:rPr>
        <w:t>部门概况</w:t>
      </w:r>
      <w:bookmarkEnd w:id="14"/>
    </w:p>
    <w:p>
      <w:pPr>
        <w:pStyle w:val="5"/>
        <w:pageBreakBefore w:val="0"/>
        <w:widowControl w:val="0"/>
        <w:numPr>
          <w:ilvl w:val="0"/>
          <w:numId w:val="1"/>
        </w:numPr>
        <w:kinsoku/>
        <w:wordWrap/>
        <w:overflowPunct/>
        <w:topLinePunct w:val="0"/>
        <w:autoSpaceDE/>
        <w:autoSpaceDN/>
        <w:bidi w:val="0"/>
        <w:adjustRightInd/>
        <w:snapToGrid/>
        <w:spacing w:line="576" w:lineRule="exact"/>
        <w:textAlignment w:val="auto"/>
        <w:rPr>
          <w:rFonts w:hint="eastAsia" w:ascii="楷体" w:hAnsi="楷体" w:eastAsia="楷体" w:cs="楷体"/>
          <w:b/>
          <w:bCs w:val="0"/>
        </w:rPr>
      </w:pPr>
      <w:bookmarkStart w:id="15" w:name="_Toc21573"/>
      <w:r>
        <w:rPr>
          <w:rFonts w:hint="eastAsia" w:ascii="楷体" w:hAnsi="楷体" w:eastAsia="楷体" w:cs="楷体"/>
          <w:b/>
          <w:bCs w:val="0"/>
        </w:rPr>
        <w:t>部门职责</w:t>
      </w:r>
      <w:bookmarkEnd w:id="15"/>
    </w:p>
    <w:p>
      <w:pPr>
        <w:pageBreakBefore w:val="0"/>
        <w:widowControl w:val="0"/>
        <w:kinsoku/>
        <w:wordWrap/>
        <w:overflowPunct/>
        <w:topLinePunct w:val="0"/>
        <w:autoSpaceDE/>
        <w:autoSpaceDN/>
        <w:bidi w:val="0"/>
        <w:adjustRightInd/>
        <w:snapToGrid/>
        <w:spacing w:line="576" w:lineRule="exact"/>
        <w:ind w:firstLine="640" w:firstLineChars="200"/>
        <w:textAlignment w:val="auto"/>
      </w:pPr>
      <w:r>
        <w:rPr>
          <w:rFonts w:hint="eastAsia" w:ascii="仿宋_GB2312" w:hAnsi="仿宋" w:eastAsia="仿宋_GB2312"/>
          <w:sz w:val="32"/>
          <w:szCs w:val="32"/>
        </w:rPr>
        <w:t>贯彻执行党和国家关于档案工作的方针、政策，对全县档案工作实行统筹规划、宏观管理；贯彻实施《中华人民共和国档案法》、《档案法实施办法》，制定本县档案工作制度和规范性文件，依法查处档案违法行为；按照“统一领导、分组管理”的原则，对全县各单位档案工作进行监督指导；集中统一管理县级档案资料，维护档案的完整，确保档案资料的安全；负责接收、征集、整理、保管县直单位及其及所属单位的重要档案以及社会上散存的具有全县意义的档案资料；运用现代技术手段保护和管理档案；开发档案信息资源，编纂、公布、出版档案史料，为经济和社会发展提供服务；组织、协调、指导全县档案学术理论和科学技术研究工作，推进档案管理科学化、现代化建设；制定档案工作人员队伍建设规划，组织档案专业教育和档案专业培训工作；负责档案专业职务评聘的有关工作；负责全县档案系统对外交流工作；承办县委、县政府交办的其他事项。</w:t>
      </w:r>
    </w:p>
    <w:p>
      <w:pPr>
        <w:pStyle w:val="5"/>
        <w:pageBreakBefore w:val="0"/>
        <w:widowControl w:val="0"/>
        <w:kinsoku/>
        <w:wordWrap/>
        <w:overflowPunct/>
        <w:topLinePunct w:val="0"/>
        <w:autoSpaceDE/>
        <w:autoSpaceDN/>
        <w:bidi w:val="0"/>
        <w:adjustRightInd/>
        <w:snapToGrid/>
        <w:spacing w:line="576" w:lineRule="exact"/>
        <w:textAlignment w:val="auto"/>
        <w:rPr>
          <w:rStyle w:val="30"/>
          <w:rFonts w:hint="eastAsia" w:ascii="楷体" w:hAnsi="楷体" w:eastAsia="楷体" w:cs="楷体"/>
          <w:b/>
          <w:bCs w:val="0"/>
        </w:rPr>
      </w:pPr>
      <w:bookmarkStart w:id="16" w:name="_Toc15396601"/>
      <w:bookmarkStart w:id="17" w:name="_Toc23972"/>
      <w:bookmarkStart w:id="18" w:name="_Toc15377200"/>
      <w:r>
        <w:rPr>
          <w:rFonts w:hint="eastAsia" w:ascii="楷体" w:hAnsi="楷体" w:eastAsia="楷体" w:cs="楷体"/>
          <w:b/>
          <w:bCs w:val="0"/>
        </w:rPr>
        <w:t>二、机</w:t>
      </w:r>
      <w:r>
        <w:rPr>
          <w:rStyle w:val="30"/>
          <w:rFonts w:hint="eastAsia" w:ascii="楷体" w:hAnsi="楷体" w:eastAsia="楷体" w:cs="楷体"/>
          <w:b/>
          <w:bCs w:val="0"/>
        </w:rPr>
        <w:t>构设置</w:t>
      </w:r>
      <w:bookmarkEnd w:id="16"/>
      <w:bookmarkEnd w:id="17"/>
      <w:bookmarkEnd w:id="18"/>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ascii="仿宋_GB2312" w:hAnsi="仿宋" w:eastAsia="仿宋_GB2312"/>
          <w:sz w:val="32"/>
          <w:szCs w:val="32"/>
        </w:rPr>
      </w:pPr>
      <w:r>
        <w:rPr>
          <w:rFonts w:hint="eastAsia" w:ascii="仿宋_GB2312" w:hAnsi="仿宋" w:eastAsia="仿宋_GB2312"/>
          <w:sz w:val="32"/>
          <w:szCs w:val="32"/>
        </w:rPr>
        <w:t>红原县档案馆本级下属二级预算单位0个，其中行政单位0个，参照公务员法管理的事业单位0个，其他事业单位0个。截至202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年底我单位共有编制下属二级预算单位0个，年末参照公务员法管理人员</w:t>
      </w:r>
      <w:r>
        <w:rPr>
          <w:rFonts w:hint="eastAsia" w:ascii="仿宋_GB2312" w:hAnsi="仿宋" w:eastAsia="仿宋_GB2312"/>
          <w:sz w:val="32"/>
          <w:szCs w:val="32"/>
          <w:lang w:val="en-US" w:eastAsia="zh-CN"/>
        </w:rPr>
        <w:t>11</w:t>
      </w:r>
      <w:r>
        <w:rPr>
          <w:rFonts w:hint="eastAsia" w:ascii="仿宋_GB2312" w:hAnsi="仿宋" w:eastAsia="仿宋_GB2312"/>
          <w:sz w:val="32"/>
          <w:szCs w:val="32"/>
        </w:rPr>
        <w:t>人。</w:t>
      </w:r>
    </w:p>
    <w:p>
      <w:pPr>
        <w:pStyle w:val="4"/>
        <w:pageBreakBefore w:val="0"/>
        <w:widowControl w:val="0"/>
        <w:kinsoku/>
        <w:wordWrap/>
        <w:overflowPunct/>
        <w:topLinePunct w:val="0"/>
        <w:autoSpaceDE/>
        <w:autoSpaceDN/>
        <w:bidi w:val="0"/>
        <w:adjustRightInd/>
        <w:snapToGrid/>
        <w:spacing w:line="576" w:lineRule="exact"/>
        <w:ind w:right="440"/>
        <w:jc w:val="center"/>
        <w:textAlignment w:val="auto"/>
      </w:pPr>
      <w:bookmarkStart w:id="19" w:name="_Toc16658"/>
      <w:bookmarkStart w:id="20" w:name="_Toc15377204"/>
      <w:bookmarkStart w:id="21" w:name="_Toc15396602"/>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29"/>
          <w:rFonts w:hint="eastAsia" w:ascii="黑体" w:hAnsi="黑体" w:eastAsia="黑体"/>
          <w:b w:val="0"/>
          <w:bCs/>
        </w:rPr>
        <w:t>部门决算情况说明</w:t>
      </w:r>
      <w:bookmarkEnd w:id="19"/>
      <w:bookmarkEnd w:id="20"/>
      <w:bookmarkEnd w:id="21"/>
    </w:p>
    <w:p>
      <w:pPr>
        <w:pStyle w:val="28"/>
        <w:pageBreakBefore w:val="0"/>
        <w:widowControl w:val="0"/>
        <w:numPr>
          <w:ilvl w:val="0"/>
          <w:numId w:val="2"/>
        </w:numPr>
        <w:kinsoku/>
        <w:wordWrap/>
        <w:overflowPunct/>
        <w:topLinePunct w:val="0"/>
        <w:autoSpaceDE/>
        <w:autoSpaceDN/>
        <w:bidi w:val="0"/>
        <w:adjustRightInd/>
        <w:snapToGrid/>
        <w:spacing w:line="576" w:lineRule="exact"/>
        <w:ind w:firstLineChars="0"/>
        <w:textAlignment w:val="auto"/>
        <w:outlineLvl w:val="1"/>
        <w:rPr>
          <w:rStyle w:val="30"/>
          <w:rFonts w:hint="eastAsia" w:ascii="楷体" w:hAnsi="楷体" w:eastAsia="楷体" w:cs="楷体"/>
          <w:b/>
          <w:bCs/>
        </w:rPr>
      </w:pPr>
      <w:bookmarkStart w:id="22" w:name="_Toc15377205"/>
      <w:bookmarkStart w:id="23" w:name="_Toc15396603"/>
      <w:bookmarkStart w:id="24" w:name="_Toc6421"/>
      <w:r>
        <w:rPr>
          <w:rFonts w:hint="eastAsia" w:ascii="楷体" w:hAnsi="楷体" w:eastAsia="楷体" w:cs="楷体"/>
          <w:b/>
          <w:bCs/>
          <w:sz w:val="32"/>
          <w:szCs w:val="32"/>
        </w:rPr>
        <w:t>收</w:t>
      </w:r>
      <w:r>
        <w:rPr>
          <w:rStyle w:val="30"/>
          <w:rFonts w:hint="eastAsia" w:ascii="楷体" w:hAnsi="楷体" w:eastAsia="楷体" w:cs="楷体"/>
          <w:b/>
          <w:bCs/>
        </w:rPr>
        <w:t>入支出决算总体情况说明</w:t>
      </w:r>
      <w:bookmarkEnd w:id="22"/>
      <w:bookmarkEnd w:id="23"/>
      <w:bookmarkEnd w:id="24"/>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highlight w:val="yellow"/>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年度收、支总计均为</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万元。与202</w:t>
      </w:r>
      <w:r>
        <w:rPr>
          <w:rFonts w:hint="eastAsia" w:ascii="仿宋_GB2312" w:hAnsi="仿宋" w:eastAsia="仿宋_GB2312"/>
          <w:sz w:val="32"/>
          <w:szCs w:val="32"/>
          <w:lang w:val="en-US" w:eastAsia="zh-CN"/>
        </w:rPr>
        <w:t>4</w:t>
      </w:r>
      <w:r>
        <w:rPr>
          <w:rFonts w:hint="eastAsia" w:ascii="仿宋_GB2312" w:hAnsi="仿宋" w:eastAsia="仿宋_GB2312"/>
          <w:sz w:val="32"/>
          <w:szCs w:val="32"/>
        </w:rPr>
        <w:t>年度相比收、支总计各</w:t>
      </w:r>
      <w:r>
        <w:rPr>
          <w:rFonts w:hint="eastAsia" w:ascii="仿宋_GB2312" w:hAnsi="仿宋" w:eastAsia="仿宋_GB2312"/>
          <w:sz w:val="32"/>
          <w:szCs w:val="32"/>
          <w:lang w:val="en-US" w:eastAsia="zh-CN"/>
        </w:rPr>
        <w:t>增减-26.29</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增减变动率-7.54%</w:t>
      </w:r>
      <w:r>
        <w:rPr>
          <w:rFonts w:hint="eastAsia" w:ascii="仿宋_GB2312" w:hAnsi="仿宋" w:eastAsia="仿宋_GB2312"/>
          <w:sz w:val="32"/>
          <w:szCs w:val="32"/>
        </w:rPr>
        <w:t>。</w:t>
      </w:r>
      <w:r>
        <w:rPr>
          <w:rFonts w:hint="eastAsia" w:ascii="仿宋_GB2312" w:hAnsi="仿宋" w:eastAsia="仿宋_GB2312"/>
          <w:sz w:val="32"/>
          <w:szCs w:val="32"/>
          <w:highlight w:val="none"/>
        </w:rPr>
        <w:t>主要变动原因是</w:t>
      </w:r>
      <w:r>
        <w:rPr>
          <w:rFonts w:hint="eastAsia" w:ascii="仿宋_GB2312" w:hAnsi="仿宋" w:eastAsia="仿宋_GB2312"/>
          <w:sz w:val="32"/>
          <w:szCs w:val="32"/>
          <w:highlight w:val="none"/>
          <w:lang w:val="en-US" w:eastAsia="zh-CN"/>
        </w:rPr>
        <w:t>日常公用经费减少，专项项目减少</w:t>
      </w:r>
      <w:r>
        <w:rPr>
          <w:rFonts w:hint="eastAsia" w:ascii="仿宋_GB2312" w:hAnsi="仿宋" w:eastAsia="仿宋_GB2312"/>
          <w:sz w:val="32"/>
          <w:szCs w:val="32"/>
          <w:highlight w:val="none"/>
        </w:rPr>
        <w:t>。</w:t>
      </w:r>
    </w:p>
    <w:p>
      <w:pPr>
        <w:pStyle w:val="20"/>
        <w:outlineLvl w:val="9"/>
        <w:rPr>
          <w:rFonts w:ascii="仿宋_GB2312" w:eastAsia="仿宋_GB2312"/>
          <w:sz w:val="32"/>
          <w:szCs w:val="32"/>
        </w:rPr>
      </w:pPr>
      <w:r>
        <w:rPr>
          <w:rFonts w:hint="eastAsia" w:ascii="仿宋_GB2312" w:eastAsia="仿宋_GB2312"/>
          <w:sz w:val="32"/>
          <w:szCs w:val="32"/>
        </w:rPr>
        <w:drawing>
          <wp:inline distT="0" distB="0" distL="114300" distR="114300">
            <wp:extent cx="4114165" cy="2844165"/>
            <wp:effectExtent l="4445" t="5080" r="15240" b="825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8"/>
        <w:numPr>
          <w:ilvl w:val="0"/>
          <w:numId w:val="2"/>
        </w:numPr>
        <w:spacing w:line="600" w:lineRule="exact"/>
        <w:ind w:firstLineChars="0"/>
        <w:outlineLvl w:val="1"/>
        <w:rPr>
          <w:rStyle w:val="30"/>
          <w:rFonts w:hint="eastAsia" w:ascii="楷体" w:hAnsi="楷体" w:eastAsia="楷体" w:cs="楷体"/>
          <w:b/>
          <w:bCs/>
        </w:rPr>
      </w:pPr>
      <w:bookmarkStart w:id="25" w:name="_Toc15396604"/>
      <w:bookmarkStart w:id="26" w:name="_Toc15377206"/>
      <w:bookmarkStart w:id="27" w:name="_Toc18260"/>
      <w:r>
        <w:rPr>
          <w:rFonts w:hint="eastAsia" w:ascii="楷体" w:hAnsi="楷体" w:eastAsia="楷体" w:cs="楷体"/>
          <w:b/>
          <w:bCs/>
          <w:sz w:val="32"/>
          <w:szCs w:val="32"/>
        </w:rPr>
        <w:t>收</w:t>
      </w:r>
      <w:r>
        <w:rPr>
          <w:rStyle w:val="30"/>
          <w:rFonts w:hint="eastAsia" w:ascii="楷体" w:hAnsi="楷体" w:eastAsia="楷体" w:cs="楷体"/>
          <w:b/>
          <w:bCs/>
        </w:rPr>
        <w:t>入决算情况说明</w:t>
      </w:r>
      <w:bookmarkEnd w:id="25"/>
      <w:bookmarkEnd w:id="26"/>
      <w:bookmarkEnd w:id="27"/>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年度本年收入合计</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万元，其中：一般公共预算财政拨款收入</w:t>
      </w:r>
      <w:r>
        <w:rPr>
          <w:rFonts w:hint="eastAsia" w:ascii="仿宋_GB2312" w:hAnsi="仿宋" w:eastAsia="仿宋_GB2312"/>
          <w:sz w:val="32"/>
          <w:szCs w:val="32"/>
          <w:lang w:val="en-US" w:eastAsia="zh-CN"/>
        </w:rPr>
        <w:t>320.34</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99.38</w:t>
      </w:r>
      <w:r>
        <w:rPr>
          <w:rFonts w:hint="eastAsia" w:ascii="仿宋_GB2312" w:hAnsi="仿宋" w:eastAsia="仿宋_GB2312"/>
          <w:sz w:val="32"/>
          <w:szCs w:val="32"/>
        </w:rPr>
        <w:t>%；政府性基金预算财政拨款收入0万元，占0%；国有资本经营预算财政拨款收入</w:t>
      </w:r>
      <w:r>
        <w:rPr>
          <w:rFonts w:hint="eastAsia" w:ascii="仿宋_GB2312" w:hAnsi="仿宋" w:eastAsia="仿宋_GB2312"/>
          <w:sz w:val="32"/>
          <w:szCs w:val="32"/>
          <w:lang w:val="en-US" w:eastAsia="zh-CN"/>
        </w:rPr>
        <w:t>2.01</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0.62</w:t>
      </w:r>
      <w:r>
        <w:rPr>
          <w:rFonts w:hint="eastAsia" w:ascii="仿宋_GB2312" w:hAnsi="仿宋" w:eastAsia="仿宋_GB2312"/>
          <w:sz w:val="32"/>
          <w:szCs w:val="32"/>
        </w:rPr>
        <w:t>%；上级补助收入0万元，占0%；事业收入0万元，占0%；经营收入0万元，占0%；附属单位上缴收入0万元，占0%；其他收入0万元，占0%。</w:t>
      </w:r>
    </w:p>
    <w:p>
      <w:pPr>
        <w:pStyle w:val="20"/>
        <w:outlineLvl w:val="9"/>
        <w:rPr>
          <w:rFonts w:ascii="仿宋_GB2312" w:eastAsia="仿宋_GB2312"/>
          <w:sz w:val="32"/>
          <w:szCs w:val="32"/>
        </w:rPr>
      </w:pPr>
      <w:r>
        <w:rPr>
          <w:rFonts w:hint="eastAsia" w:eastAsia="仿宋"/>
        </w:rPr>
        <w:drawing>
          <wp:inline distT="0" distB="0" distL="114300" distR="114300">
            <wp:extent cx="2874645" cy="2242185"/>
            <wp:effectExtent l="4445" t="4445" r="16510" b="2032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8"/>
        <w:numPr>
          <w:ilvl w:val="0"/>
          <w:numId w:val="2"/>
        </w:numPr>
        <w:spacing w:line="600" w:lineRule="exact"/>
        <w:ind w:firstLineChars="0"/>
        <w:outlineLvl w:val="1"/>
        <w:rPr>
          <w:rStyle w:val="30"/>
          <w:rFonts w:hint="eastAsia" w:ascii="楷体" w:hAnsi="楷体" w:eastAsia="楷体" w:cs="楷体"/>
          <w:b/>
          <w:bCs/>
        </w:rPr>
      </w:pPr>
      <w:bookmarkStart w:id="28" w:name="_Toc15377207"/>
      <w:bookmarkStart w:id="29" w:name="_Toc15396605"/>
      <w:bookmarkStart w:id="30" w:name="_Toc8753"/>
      <w:r>
        <w:rPr>
          <w:rFonts w:hint="eastAsia" w:ascii="楷体" w:hAnsi="楷体" w:eastAsia="楷体" w:cs="楷体"/>
          <w:b/>
          <w:bCs/>
          <w:sz w:val="32"/>
          <w:szCs w:val="32"/>
        </w:rPr>
        <w:t>支</w:t>
      </w:r>
      <w:r>
        <w:rPr>
          <w:rStyle w:val="30"/>
          <w:rFonts w:hint="eastAsia" w:ascii="楷体" w:hAnsi="楷体" w:eastAsia="楷体" w:cs="楷体"/>
          <w:b/>
          <w:bCs/>
        </w:rPr>
        <w:t>出决算情况说明</w:t>
      </w:r>
      <w:bookmarkEnd w:id="28"/>
      <w:bookmarkEnd w:id="29"/>
      <w:bookmarkEnd w:id="30"/>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年度本年支出合计</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万元，其中：基本支出</w:t>
      </w:r>
      <w:r>
        <w:rPr>
          <w:rFonts w:hint="eastAsia" w:ascii="仿宋_GB2312" w:hAnsi="仿宋" w:eastAsia="仿宋_GB2312"/>
          <w:sz w:val="32"/>
          <w:szCs w:val="32"/>
          <w:lang w:val="en-US" w:eastAsia="zh-CN"/>
        </w:rPr>
        <w:t>310.09</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96.19</w:t>
      </w:r>
      <w:r>
        <w:rPr>
          <w:rFonts w:hint="eastAsia" w:ascii="仿宋_GB2312" w:hAnsi="仿宋" w:eastAsia="仿宋_GB2312"/>
          <w:sz w:val="32"/>
          <w:szCs w:val="32"/>
        </w:rPr>
        <w:t>%；项目支出</w:t>
      </w:r>
      <w:r>
        <w:rPr>
          <w:rFonts w:hint="eastAsia" w:ascii="仿宋_GB2312" w:hAnsi="仿宋" w:eastAsia="仿宋_GB2312"/>
          <w:sz w:val="32"/>
          <w:szCs w:val="32"/>
          <w:lang w:val="en-US" w:eastAsia="zh-CN"/>
        </w:rPr>
        <w:t>12.26</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3.8</w:t>
      </w:r>
      <w:r>
        <w:rPr>
          <w:rFonts w:hint="eastAsia" w:ascii="仿宋_GB2312" w:hAnsi="仿宋" w:eastAsia="仿宋_GB2312"/>
          <w:sz w:val="32"/>
          <w:szCs w:val="32"/>
        </w:rPr>
        <w:t>%；上缴上级支出0万元，占0%；经营支出0万元，占0%；对附属单位补助支出0万元，占0%。</w:t>
      </w:r>
    </w:p>
    <w:p>
      <w:pPr>
        <w:pStyle w:val="20"/>
        <w:outlineLvl w:val="9"/>
        <w:rPr>
          <w:rFonts w:eastAsia="仿宋"/>
        </w:rPr>
      </w:pPr>
      <w:r>
        <w:rPr>
          <w:rFonts w:hint="eastAsia" w:eastAsia="仿宋"/>
        </w:rPr>
        <w:drawing>
          <wp:inline distT="0" distB="0" distL="114300" distR="114300">
            <wp:extent cx="3135630" cy="1678940"/>
            <wp:effectExtent l="4445" t="4445" r="22225" b="1206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rPr>
          <w:rFonts w:ascii="仿宋_GB2312" w:eastAsia="仿宋_GB2312"/>
          <w:sz w:val="32"/>
          <w:szCs w:val="32"/>
        </w:rPr>
      </w:pPr>
    </w:p>
    <w:p>
      <w:pPr>
        <w:spacing w:line="600" w:lineRule="exact"/>
        <w:ind w:firstLine="643" w:firstLineChars="200"/>
        <w:outlineLvl w:val="1"/>
        <w:rPr>
          <w:rStyle w:val="30"/>
          <w:rFonts w:hint="eastAsia" w:ascii="楷体" w:hAnsi="楷体" w:eastAsia="楷体" w:cs="楷体"/>
          <w:b/>
          <w:bCs/>
        </w:rPr>
      </w:pPr>
      <w:bookmarkStart w:id="31" w:name="_Toc15377208"/>
      <w:bookmarkStart w:id="32" w:name="_Toc15396606"/>
      <w:bookmarkStart w:id="33" w:name="_Toc1916"/>
      <w:r>
        <w:rPr>
          <w:rFonts w:hint="eastAsia" w:ascii="楷体" w:hAnsi="楷体" w:eastAsia="楷体" w:cs="楷体"/>
          <w:b/>
          <w:bCs/>
          <w:sz w:val="32"/>
          <w:szCs w:val="32"/>
        </w:rPr>
        <w:t>四、财</w:t>
      </w:r>
      <w:r>
        <w:rPr>
          <w:rStyle w:val="30"/>
          <w:rFonts w:hint="eastAsia" w:ascii="楷体" w:hAnsi="楷体" w:eastAsia="楷体" w:cs="楷体"/>
          <w:b/>
          <w:bCs/>
        </w:rPr>
        <w:t>政拨款收入支出决算总体情况说明</w:t>
      </w:r>
      <w:bookmarkEnd w:id="31"/>
      <w:bookmarkEnd w:id="32"/>
      <w:bookmarkEnd w:id="33"/>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年度财政拨款收、支总计均为</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万元。与202</w:t>
      </w:r>
      <w:r>
        <w:rPr>
          <w:rFonts w:hint="eastAsia" w:ascii="仿宋_GB2312" w:hAnsi="仿宋" w:eastAsia="仿宋_GB2312"/>
          <w:sz w:val="32"/>
          <w:szCs w:val="32"/>
          <w:lang w:val="en-US" w:eastAsia="zh-CN"/>
        </w:rPr>
        <w:t>4</w:t>
      </w:r>
      <w:r>
        <w:rPr>
          <w:rFonts w:hint="eastAsia" w:ascii="仿宋_GB2312" w:hAnsi="仿宋" w:eastAsia="仿宋_GB2312"/>
          <w:sz w:val="32"/>
          <w:szCs w:val="32"/>
        </w:rPr>
        <w:t>年度相比，财政拨款收、支总计各增</w:t>
      </w:r>
      <w:r>
        <w:rPr>
          <w:rFonts w:hint="eastAsia" w:ascii="仿宋_GB2312" w:hAnsi="仿宋" w:eastAsia="仿宋_GB2312"/>
          <w:sz w:val="32"/>
          <w:szCs w:val="32"/>
          <w:lang w:val="en-US" w:eastAsia="zh-CN"/>
        </w:rPr>
        <w:t>减-26.29</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增减变动率-7.54</w:t>
      </w:r>
      <w:r>
        <w:rPr>
          <w:rFonts w:hint="eastAsia" w:ascii="仿宋_GB2312" w:hAnsi="仿宋" w:eastAsia="仿宋_GB2312"/>
          <w:sz w:val="32"/>
          <w:szCs w:val="32"/>
        </w:rPr>
        <w:t>%。主要变动原因是</w:t>
      </w:r>
      <w:r>
        <w:rPr>
          <w:rFonts w:hint="eastAsia" w:ascii="仿宋_GB2312" w:hAnsi="仿宋" w:eastAsia="仿宋_GB2312"/>
          <w:sz w:val="32"/>
          <w:szCs w:val="32"/>
          <w:highlight w:val="none"/>
          <w:lang w:val="en-US" w:eastAsia="zh-CN"/>
        </w:rPr>
        <w:t>日常公用经费减少，专项项目减少</w:t>
      </w:r>
      <w:r>
        <w:rPr>
          <w:rFonts w:hint="eastAsia" w:ascii="仿宋_GB2312" w:hAnsi="仿宋" w:eastAsia="仿宋_GB2312"/>
          <w:sz w:val="32"/>
          <w:szCs w:val="32"/>
          <w:highlight w:val="none"/>
        </w:rPr>
        <w:t>。</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（图4：财政拨款收、支决算总计变动情况）（柱状图）</w:t>
      </w:r>
    </w:p>
    <w:p>
      <w:pPr>
        <w:pStyle w:val="20"/>
        <w:outlineLvl w:val="9"/>
        <w:rPr>
          <w:rFonts w:hint="eastAsia" w:ascii="仿宋" w:hAnsi="仿宋" w:eastAsia="仿宋"/>
          <w:sz w:val="32"/>
          <w:szCs w:val="32"/>
        </w:rPr>
      </w:pPr>
      <w:r>
        <w:rPr>
          <w:rFonts w:hint="eastAsia" w:ascii="仿宋" w:hAnsi="仿宋" w:eastAsia="仿宋"/>
          <w:sz w:val="32"/>
          <w:szCs w:val="32"/>
        </w:rPr>
        <w:drawing>
          <wp:inline distT="0" distB="0" distL="114300" distR="114300">
            <wp:extent cx="5080000" cy="3810000"/>
            <wp:effectExtent l="4445" t="4445" r="20955" b="1460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ind w:firstLine="643" w:firstLineChars="200"/>
        <w:outlineLvl w:val="1"/>
        <w:rPr>
          <w:rStyle w:val="30"/>
          <w:rFonts w:hint="eastAsia" w:ascii="楷体" w:hAnsi="楷体" w:eastAsia="楷体" w:cs="楷体"/>
          <w:b/>
          <w:bCs/>
        </w:rPr>
      </w:pPr>
      <w:bookmarkStart w:id="34" w:name="_Toc15396607"/>
      <w:bookmarkStart w:id="35" w:name="_Toc15377209"/>
      <w:bookmarkStart w:id="36" w:name="_Toc16869"/>
      <w:r>
        <w:rPr>
          <w:rFonts w:hint="eastAsia" w:ascii="楷体" w:hAnsi="楷体" w:eastAsia="楷体" w:cs="楷体"/>
          <w:b/>
          <w:bCs/>
          <w:sz w:val="32"/>
          <w:szCs w:val="32"/>
        </w:rPr>
        <w:t>五、一</w:t>
      </w:r>
      <w:r>
        <w:rPr>
          <w:rStyle w:val="30"/>
          <w:rFonts w:hint="eastAsia" w:ascii="楷体" w:hAnsi="楷体" w:eastAsia="楷体" w:cs="楷体"/>
          <w:b/>
          <w:bCs/>
        </w:rPr>
        <w:t>般公共预算财政拨款支出决算情况说明</w:t>
      </w:r>
      <w:bookmarkEnd w:id="34"/>
      <w:bookmarkEnd w:id="35"/>
      <w:bookmarkEnd w:id="36"/>
    </w:p>
    <w:p>
      <w:pPr>
        <w:spacing w:line="600" w:lineRule="exact"/>
        <w:ind w:firstLine="643" w:firstLineChars="200"/>
        <w:rPr>
          <w:rFonts w:hint="eastAsia" w:ascii="仿宋" w:hAnsi="仿宋" w:eastAsia="仿宋"/>
          <w:b/>
          <w:bCs/>
          <w:sz w:val="32"/>
          <w:szCs w:val="32"/>
        </w:rPr>
      </w:pPr>
      <w:bookmarkStart w:id="37" w:name="_Toc15377210"/>
      <w:r>
        <w:rPr>
          <w:rFonts w:hint="eastAsia" w:ascii="仿宋" w:hAnsi="仿宋" w:eastAsia="仿宋"/>
          <w:b/>
          <w:bCs/>
          <w:sz w:val="32"/>
          <w:szCs w:val="32"/>
        </w:rPr>
        <w:t>（一）一般公共预算财政拨款支出决算总体情况</w:t>
      </w:r>
      <w:bookmarkEnd w:id="37"/>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highlight w:val="yellow"/>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年度一般公共预算财政拨款支出</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万元，占本年支出合计的</w:t>
      </w:r>
      <w:r>
        <w:rPr>
          <w:rFonts w:hint="eastAsia" w:ascii="仿宋_GB2312" w:hAnsi="仿宋" w:eastAsia="仿宋_GB2312"/>
          <w:sz w:val="32"/>
          <w:szCs w:val="32"/>
          <w:lang w:val="en-US" w:eastAsia="zh-CN"/>
        </w:rPr>
        <w:t>100</w:t>
      </w:r>
      <w:r>
        <w:rPr>
          <w:rFonts w:hint="eastAsia" w:ascii="仿宋_GB2312" w:hAnsi="仿宋" w:eastAsia="仿宋_GB2312"/>
          <w:sz w:val="32"/>
          <w:szCs w:val="32"/>
        </w:rPr>
        <w:t>%。与202</w:t>
      </w:r>
      <w:r>
        <w:rPr>
          <w:rFonts w:hint="eastAsia" w:ascii="仿宋_GB2312" w:hAnsi="仿宋" w:eastAsia="仿宋_GB2312"/>
          <w:sz w:val="32"/>
          <w:szCs w:val="32"/>
          <w:lang w:val="en-US" w:eastAsia="zh-CN"/>
        </w:rPr>
        <w:t>4</w:t>
      </w:r>
      <w:r>
        <w:rPr>
          <w:rFonts w:hint="eastAsia" w:ascii="仿宋_GB2312" w:hAnsi="仿宋" w:eastAsia="仿宋_GB2312"/>
          <w:sz w:val="32"/>
          <w:szCs w:val="32"/>
        </w:rPr>
        <w:t>年度相比，一般公共预算财政拨款支出</w:t>
      </w:r>
      <w:r>
        <w:rPr>
          <w:rFonts w:hint="eastAsia" w:ascii="仿宋_GB2312" w:hAnsi="仿宋" w:eastAsia="仿宋_GB2312"/>
          <w:sz w:val="32"/>
          <w:szCs w:val="32"/>
          <w:lang w:val="en-US" w:eastAsia="zh-CN"/>
        </w:rPr>
        <w:t>增减-26.29</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增减变动率-7.54</w:t>
      </w:r>
      <w:r>
        <w:rPr>
          <w:rFonts w:hint="eastAsia" w:ascii="仿宋_GB2312" w:hAnsi="仿宋" w:eastAsia="仿宋_GB2312"/>
          <w:sz w:val="32"/>
          <w:szCs w:val="32"/>
        </w:rPr>
        <w:t>%。主要变动原因是</w:t>
      </w:r>
      <w:r>
        <w:rPr>
          <w:rFonts w:hint="eastAsia" w:ascii="仿宋_GB2312" w:hAnsi="仿宋" w:eastAsia="仿宋_GB2312"/>
          <w:sz w:val="32"/>
          <w:szCs w:val="32"/>
          <w:highlight w:val="none"/>
          <w:lang w:val="en-US" w:eastAsia="zh-CN"/>
        </w:rPr>
        <w:t>日常公用经费减少，专项项目减少</w:t>
      </w:r>
      <w:r>
        <w:rPr>
          <w:rFonts w:hint="eastAsia" w:ascii="仿宋_GB2312" w:hAnsi="仿宋" w:eastAsia="仿宋_GB2312"/>
          <w:sz w:val="32"/>
          <w:szCs w:val="32"/>
          <w:highlight w:val="none"/>
        </w:rPr>
        <w:t>。</w:t>
      </w:r>
    </w:p>
    <w:p>
      <w:pPr>
        <w:pStyle w:val="20"/>
        <w:outlineLvl w:val="9"/>
        <w:rPr>
          <w:rFonts w:hint="eastAsia" w:ascii="仿宋" w:hAnsi="仿宋" w:eastAsia="仿宋"/>
          <w:sz w:val="32"/>
          <w:szCs w:val="32"/>
        </w:rPr>
      </w:pPr>
      <w:r>
        <w:rPr>
          <w:rFonts w:hint="eastAsia" w:eastAsia="仿宋"/>
        </w:rPr>
        <w:drawing>
          <wp:inline distT="0" distB="0" distL="114300" distR="114300">
            <wp:extent cx="3373120" cy="2674620"/>
            <wp:effectExtent l="4445" t="4445" r="13335" b="698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bookmarkStart w:id="38" w:name="_Toc15377211"/>
      <w:r>
        <w:rPr>
          <w:rFonts w:hint="eastAsia" w:ascii="仿宋_GB2312" w:hAnsi="仿宋" w:eastAsia="仿宋_GB2312"/>
          <w:b/>
          <w:bCs/>
          <w:sz w:val="32"/>
          <w:szCs w:val="32"/>
        </w:rPr>
        <w:t>（二）一般公共预算财政拨款支出决算结构情况</w:t>
      </w:r>
      <w:bookmarkEnd w:id="38"/>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年度一般公共预算财政拨款支出</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万元，主要用于以下方面:一般公共服务支出</w:t>
      </w:r>
      <w:r>
        <w:rPr>
          <w:rFonts w:hint="eastAsia" w:ascii="仿宋_GB2312" w:hAnsi="仿宋" w:eastAsia="仿宋_GB2312"/>
          <w:sz w:val="32"/>
          <w:szCs w:val="32"/>
          <w:lang w:val="en-US" w:eastAsia="zh-CN"/>
        </w:rPr>
        <w:t>235.87</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73.17</w:t>
      </w:r>
      <w:r>
        <w:rPr>
          <w:rFonts w:hint="eastAsia" w:ascii="仿宋_GB2312" w:hAnsi="仿宋" w:eastAsia="仿宋_GB2312"/>
          <w:sz w:val="32"/>
          <w:szCs w:val="32"/>
        </w:rPr>
        <w:t>%；教育支出0万元，占0%；科学技术支出0万元，占0%；文化旅游体育与传媒支出0万元，占0%；社会保障和就业支出</w:t>
      </w:r>
      <w:r>
        <w:rPr>
          <w:rFonts w:hint="eastAsia" w:ascii="仿宋_GB2312" w:hAnsi="仿宋" w:eastAsia="仿宋_GB2312"/>
          <w:sz w:val="32"/>
          <w:szCs w:val="32"/>
          <w:lang w:val="en-US" w:eastAsia="zh-CN"/>
        </w:rPr>
        <w:t>44.83</w:t>
      </w:r>
      <w:r>
        <w:rPr>
          <w:rFonts w:hint="eastAsia" w:ascii="仿宋_GB2312" w:hAnsi="仿宋" w:eastAsia="仿宋_GB2312"/>
          <w:sz w:val="32"/>
          <w:szCs w:val="32"/>
        </w:rPr>
        <w:t>万元，占1</w:t>
      </w:r>
      <w:r>
        <w:rPr>
          <w:rFonts w:hint="eastAsia" w:ascii="仿宋_GB2312" w:hAnsi="仿宋" w:eastAsia="仿宋_GB2312"/>
          <w:sz w:val="32"/>
          <w:szCs w:val="32"/>
          <w:lang w:val="en-US" w:eastAsia="zh-CN"/>
        </w:rPr>
        <w:t>3</w:t>
      </w:r>
      <w:r>
        <w:rPr>
          <w:rFonts w:hint="eastAsia" w:ascii="仿宋_GB2312" w:hAnsi="仿宋" w:eastAsia="仿宋_GB2312"/>
          <w:sz w:val="32"/>
          <w:szCs w:val="32"/>
        </w:rPr>
        <w:t>.9</w:t>
      </w:r>
      <w:r>
        <w:rPr>
          <w:rFonts w:hint="eastAsia" w:ascii="仿宋_GB2312" w:hAnsi="仿宋" w:eastAsia="仿宋_GB2312"/>
          <w:sz w:val="32"/>
          <w:szCs w:val="32"/>
          <w:lang w:val="en-US" w:eastAsia="zh-CN"/>
        </w:rPr>
        <w:t>1</w:t>
      </w:r>
      <w:r>
        <w:rPr>
          <w:rFonts w:hint="eastAsia" w:ascii="仿宋_GB2312" w:hAnsi="仿宋" w:eastAsia="仿宋_GB2312"/>
          <w:sz w:val="32"/>
          <w:szCs w:val="32"/>
        </w:rPr>
        <w:t>%；卫生健康支出</w:t>
      </w:r>
      <w:r>
        <w:rPr>
          <w:rFonts w:hint="eastAsia" w:ascii="仿宋_GB2312" w:hAnsi="仿宋" w:eastAsia="仿宋_GB2312"/>
          <w:sz w:val="32"/>
          <w:szCs w:val="32"/>
          <w:lang w:val="en-US" w:eastAsia="zh-CN"/>
        </w:rPr>
        <w:t>16.57</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5.14</w:t>
      </w:r>
      <w:r>
        <w:rPr>
          <w:rFonts w:hint="eastAsia" w:ascii="仿宋_GB2312" w:hAnsi="仿宋" w:eastAsia="仿宋_GB2312"/>
          <w:sz w:val="32"/>
          <w:szCs w:val="32"/>
        </w:rPr>
        <w:t>%；住房保障支出</w:t>
      </w:r>
      <w:r>
        <w:rPr>
          <w:rFonts w:hint="eastAsia" w:ascii="仿宋_GB2312" w:hAnsi="仿宋" w:eastAsia="仿宋_GB2312"/>
          <w:sz w:val="32"/>
          <w:szCs w:val="32"/>
          <w:lang w:val="en-US" w:eastAsia="zh-CN"/>
        </w:rPr>
        <w:t>23.08</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7.16</w:t>
      </w:r>
      <w:r>
        <w:rPr>
          <w:rFonts w:hint="eastAsia" w:ascii="仿宋_GB2312" w:hAnsi="仿宋" w:eastAsia="仿宋_GB2312"/>
          <w:sz w:val="32"/>
          <w:szCs w:val="32"/>
        </w:rPr>
        <w:t>%；国有资本经营预算支出</w:t>
      </w:r>
      <w:r>
        <w:rPr>
          <w:rFonts w:hint="eastAsia" w:ascii="仿宋_GB2312" w:hAnsi="仿宋" w:eastAsia="仿宋_GB2312"/>
          <w:sz w:val="32"/>
          <w:szCs w:val="32"/>
          <w:lang w:val="en-US" w:eastAsia="zh-CN"/>
        </w:rPr>
        <w:t>2.01</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0.62</w:t>
      </w:r>
      <w:r>
        <w:rPr>
          <w:rFonts w:hint="eastAsia" w:ascii="仿宋_GB2312" w:hAnsi="仿宋" w:eastAsia="仿宋_GB2312"/>
          <w:sz w:val="32"/>
          <w:szCs w:val="32"/>
        </w:rPr>
        <w:t>%。</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（图6：一般公共预算财政拨款支出决算结构）（饼状图）</w:t>
      </w:r>
    </w:p>
    <w:p>
      <w:pPr>
        <w:pStyle w:val="20"/>
        <w:outlineLvl w:val="9"/>
        <w:rPr>
          <w:rFonts w:hint="eastAsia" w:ascii="仿宋" w:hAnsi="仿宋" w:eastAsia="仿宋"/>
          <w:sz w:val="32"/>
          <w:szCs w:val="32"/>
        </w:rPr>
      </w:pPr>
      <w:r>
        <w:rPr>
          <w:rFonts w:hint="eastAsia" w:eastAsia="仿宋"/>
        </w:rPr>
        <w:drawing>
          <wp:inline distT="0" distB="0" distL="114300" distR="114300">
            <wp:extent cx="3468370" cy="2543175"/>
            <wp:effectExtent l="4445" t="4445" r="13335" b="508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bookmarkStart w:id="39" w:name="_Toc15377212"/>
      <w:r>
        <w:rPr>
          <w:rFonts w:hint="eastAsia" w:ascii="仿宋_GB2312" w:hAnsi="仿宋" w:eastAsia="仿宋_GB2312"/>
          <w:b/>
          <w:bCs/>
          <w:sz w:val="32"/>
          <w:szCs w:val="32"/>
        </w:rPr>
        <w:t>（三）一般公共预算财政拨款支出决算具体情况</w:t>
      </w:r>
      <w:bookmarkEnd w:id="39"/>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bookmarkStart w:id="40" w:name="_Toc15377444"/>
      <w:bookmarkStart w:id="41" w:name="_Toc15377213"/>
      <w:bookmarkStart w:id="42" w:name="_Toc15378460"/>
      <w:r>
        <w:rPr>
          <w:rFonts w:hint="eastAsia" w:ascii="仿宋_GB2312" w:hAnsi="仿宋" w:eastAsia="仿宋_GB2312"/>
          <w:b/>
          <w:bCs/>
          <w:sz w:val="32"/>
          <w:szCs w:val="32"/>
        </w:rPr>
        <w:t>202</w:t>
      </w:r>
      <w:r>
        <w:rPr>
          <w:rFonts w:hint="eastAsia" w:ascii="仿宋_GB2312" w:hAnsi="仿宋" w:eastAsia="仿宋_GB2312"/>
          <w:b/>
          <w:bCs/>
          <w:sz w:val="32"/>
          <w:szCs w:val="32"/>
          <w:lang w:val="en-US" w:eastAsia="zh-CN"/>
        </w:rPr>
        <w:t>5</w:t>
      </w:r>
      <w:r>
        <w:rPr>
          <w:rFonts w:hint="eastAsia" w:ascii="仿宋_GB2312" w:hAnsi="仿宋" w:eastAsia="仿宋_GB2312"/>
          <w:b/>
          <w:bCs/>
          <w:sz w:val="32"/>
          <w:szCs w:val="32"/>
        </w:rPr>
        <w:t>年度一般公共预算支出决算数为</w:t>
      </w:r>
      <w:r>
        <w:rPr>
          <w:rFonts w:hint="eastAsia" w:ascii="仿宋_GB2312" w:hAnsi="仿宋" w:eastAsia="仿宋_GB2312"/>
          <w:b/>
          <w:bCs/>
          <w:sz w:val="32"/>
          <w:szCs w:val="32"/>
          <w:lang w:val="en-US" w:eastAsia="zh-CN"/>
        </w:rPr>
        <w:t>322.36</w:t>
      </w:r>
      <w:r>
        <w:rPr>
          <w:rFonts w:hint="eastAsia" w:ascii="仿宋_GB2312" w:hAnsi="仿宋" w:eastAsia="仿宋_GB2312"/>
          <w:b/>
          <w:bCs/>
          <w:sz w:val="32"/>
          <w:szCs w:val="32"/>
        </w:rPr>
        <w:t>，完成预算100%。其中：</w:t>
      </w:r>
      <w:bookmarkEnd w:id="40"/>
      <w:bookmarkEnd w:id="41"/>
      <w:bookmarkEnd w:id="42"/>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sz w:val="32"/>
          <w:szCs w:val="32"/>
        </w:rPr>
      </w:pPr>
      <w:r>
        <w:rPr>
          <w:rFonts w:hint="eastAsia" w:ascii="仿宋_GB2312" w:hAnsi="仿宋" w:eastAsia="仿宋_GB2312"/>
          <w:b/>
          <w:bCs/>
          <w:sz w:val="32"/>
          <w:szCs w:val="32"/>
        </w:rPr>
        <w:t xml:space="preserve">1.一般公共服务201: </w:t>
      </w:r>
      <w:r>
        <w:rPr>
          <w:rFonts w:hint="eastAsia" w:ascii="仿宋_GB2312" w:hAnsi="仿宋" w:eastAsia="仿宋_GB2312"/>
          <w:sz w:val="32"/>
          <w:szCs w:val="32"/>
        </w:rPr>
        <w:t>支出决算为</w:t>
      </w:r>
      <w:r>
        <w:rPr>
          <w:rFonts w:hint="eastAsia" w:ascii="仿宋_GB2312" w:hAnsi="仿宋" w:eastAsia="仿宋_GB2312"/>
          <w:sz w:val="32"/>
          <w:szCs w:val="32"/>
          <w:lang w:val="en-US" w:eastAsia="zh-CN"/>
        </w:rPr>
        <w:t>235.87</w:t>
      </w:r>
      <w:r>
        <w:rPr>
          <w:rFonts w:hint="eastAsia" w:ascii="仿宋_GB2312" w:hAnsi="仿宋" w:eastAsia="仿宋_GB2312"/>
          <w:sz w:val="32"/>
          <w:szCs w:val="32"/>
        </w:rPr>
        <w:t>万元，完成预算</w:t>
      </w:r>
      <w:r>
        <w:rPr>
          <w:rFonts w:hint="eastAsia" w:ascii="仿宋_GB2312" w:hAnsi="仿宋" w:eastAsia="仿宋_GB2312"/>
          <w:sz w:val="32"/>
          <w:szCs w:val="32"/>
          <w:highlight w:val="none"/>
          <w:lang w:val="en-US" w:eastAsia="zh-CN"/>
        </w:rPr>
        <w:t>73.17</w:t>
      </w:r>
      <w:r>
        <w:rPr>
          <w:rFonts w:hint="eastAsia" w:ascii="仿宋_GB2312" w:hAnsi="仿宋" w:eastAsia="仿宋_GB2312"/>
          <w:sz w:val="32"/>
          <w:szCs w:val="32"/>
          <w:highlight w:val="none"/>
        </w:rPr>
        <w:t>%，</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行政运行2012601: 支出决算为</w:t>
      </w:r>
      <w:r>
        <w:rPr>
          <w:rFonts w:hint="eastAsia" w:ascii="仿宋_GB2312" w:hAnsi="仿宋" w:eastAsia="仿宋_GB2312"/>
          <w:sz w:val="32"/>
          <w:szCs w:val="32"/>
          <w:lang w:val="en-US" w:eastAsia="zh-CN"/>
        </w:rPr>
        <w:t>225.52</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95.61%</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一般行政管理事务2012602：支出决算为</w:t>
      </w:r>
      <w:r>
        <w:rPr>
          <w:rFonts w:hint="eastAsia" w:ascii="仿宋_GB2312" w:hAnsi="仿宋" w:eastAsia="仿宋_GB2312"/>
          <w:sz w:val="32"/>
          <w:szCs w:val="32"/>
          <w:lang w:val="en-US" w:eastAsia="zh-CN"/>
        </w:rPr>
        <w:t>6.29</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2.67</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档案馆2012604: 支出决算为</w:t>
      </w:r>
      <w:r>
        <w:rPr>
          <w:rFonts w:hint="eastAsia" w:ascii="仿宋_GB2312" w:hAnsi="仿宋" w:eastAsia="仿宋_GB2312"/>
          <w:sz w:val="32"/>
          <w:szCs w:val="32"/>
          <w:lang w:val="en-US" w:eastAsia="zh-CN"/>
        </w:rPr>
        <w:t>3.96</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1.68</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sz w:val="32"/>
          <w:szCs w:val="32"/>
        </w:rPr>
      </w:pPr>
      <w:r>
        <w:rPr>
          <w:rFonts w:hint="eastAsia" w:ascii="仿宋_GB2312" w:hAnsi="仿宋" w:eastAsia="仿宋_GB2312"/>
          <w:b/>
          <w:bCs/>
          <w:sz w:val="32"/>
          <w:szCs w:val="32"/>
        </w:rPr>
        <w:t>2.社会保障和就业208:</w:t>
      </w:r>
      <w:r>
        <w:rPr>
          <w:rStyle w:val="18"/>
          <w:rFonts w:ascii="仿宋" w:hAnsi="仿宋" w:eastAsia="仿宋"/>
          <w:b w:val="0"/>
          <w:bCs/>
          <w:sz w:val="32"/>
          <w:szCs w:val="32"/>
        </w:rPr>
        <w:t xml:space="preserve"> </w:t>
      </w:r>
      <w:r>
        <w:rPr>
          <w:rFonts w:hint="eastAsia" w:ascii="仿宋_GB2312" w:hAnsi="仿宋" w:eastAsia="仿宋_GB2312"/>
          <w:sz w:val="32"/>
          <w:szCs w:val="32"/>
        </w:rPr>
        <w:t>支出决算为</w:t>
      </w:r>
      <w:r>
        <w:rPr>
          <w:rFonts w:hint="eastAsia" w:ascii="仿宋_GB2312" w:hAnsi="仿宋" w:eastAsia="仿宋_GB2312"/>
          <w:sz w:val="32"/>
          <w:szCs w:val="32"/>
          <w:lang w:val="en-US" w:eastAsia="zh-CN"/>
        </w:rPr>
        <w:t>44.83</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13.91</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机关事业单位基本养老保险缴费出2080505: 支出决算为</w:t>
      </w:r>
      <w:r>
        <w:rPr>
          <w:rFonts w:hint="eastAsia" w:ascii="仿宋_GB2312" w:hAnsi="仿宋" w:eastAsia="仿宋_GB2312"/>
          <w:sz w:val="32"/>
          <w:szCs w:val="32"/>
          <w:lang w:val="en-US" w:eastAsia="zh-CN"/>
        </w:rPr>
        <w:t>29.88</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66.65</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机关事业单位职业年金缴费支出2080506: 支出决算为</w:t>
      </w:r>
      <w:r>
        <w:rPr>
          <w:rFonts w:hint="eastAsia" w:ascii="仿宋_GB2312" w:hAnsi="仿宋" w:eastAsia="仿宋_GB2312"/>
          <w:sz w:val="32"/>
          <w:szCs w:val="32"/>
          <w:lang w:val="en-US" w:eastAsia="zh-CN"/>
        </w:rPr>
        <w:t>14.94</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33.33</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sz w:val="32"/>
          <w:szCs w:val="32"/>
        </w:rPr>
      </w:pPr>
      <w:r>
        <w:rPr>
          <w:rFonts w:hint="eastAsia" w:ascii="仿宋_GB2312" w:hAnsi="仿宋" w:eastAsia="仿宋_GB2312"/>
          <w:b/>
          <w:bCs/>
          <w:sz w:val="32"/>
          <w:szCs w:val="32"/>
        </w:rPr>
        <w:t>3.卫生健康210:</w:t>
      </w:r>
      <w:r>
        <w:rPr>
          <w:rFonts w:hint="eastAsia" w:ascii="仿宋_GB2312" w:hAnsi="仿宋" w:eastAsia="仿宋_GB2312"/>
          <w:sz w:val="32"/>
          <w:szCs w:val="32"/>
        </w:rPr>
        <w:t>支出决算为</w:t>
      </w:r>
      <w:r>
        <w:rPr>
          <w:rFonts w:hint="eastAsia" w:ascii="仿宋_GB2312" w:hAnsi="仿宋" w:eastAsia="仿宋_GB2312"/>
          <w:sz w:val="32"/>
          <w:szCs w:val="32"/>
          <w:lang w:val="en-US" w:eastAsia="zh-CN"/>
        </w:rPr>
        <w:t>16.57</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5.14</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行政单位医疗2101101:支出决算为</w:t>
      </w:r>
      <w:r>
        <w:rPr>
          <w:rFonts w:hint="eastAsia" w:ascii="仿宋_GB2312" w:hAnsi="仿宋" w:eastAsia="仿宋_GB2312"/>
          <w:sz w:val="32"/>
          <w:szCs w:val="32"/>
          <w:lang w:val="en-US" w:eastAsia="zh-CN"/>
        </w:rPr>
        <w:t>13.45</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81.17</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公务员医疗补助2101103:支出决算为</w:t>
      </w:r>
      <w:r>
        <w:rPr>
          <w:rFonts w:hint="eastAsia" w:ascii="仿宋_GB2312" w:hAnsi="仿宋" w:eastAsia="仿宋_GB2312"/>
          <w:sz w:val="32"/>
          <w:szCs w:val="32"/>
          <w:lang w:val="en-US" w:eastAsia="zh-CN"/>
        </w:rPr>
        <w:t>3.11</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18.77</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sz w:val="32"/>
          <w:szCs w:val="32"/>
        </w:rPr>
      </w:pPr>
      <w:r>
        <w:rPr>
          <w:rFonts w:hint="eastAsia" w:ascii="仿宋_GB2312" w:hAnsi="仿宋" w:eastAsia="仿宋_GB2312"/>
          <w:b/>
          <w:bCs/>
          <w:sz w:val="32"/>
          <w:szCs w:val="32"/>
        </w:rPr>
        <w:t>4.住房保障支出221:</w:t>
      </w:r>
      <w:r>
        <w:rPr>
          <w:rFonts w:hint="eastAsia" w:ascii="仿宋_GB2312" w:hAnsi="仿宋" w:eastAsia="仿宋_GB2312"/>
          <w:sz w:val="32"/>
          <w:szCs w:val="32"/>
        </w:rPr>
        <w:t>支出决算为</w:t>
      </w:r>
      <w:r>
        <w:rPr>
          <w:rFonts w:hint="eastAsia" w:ascii="仿宋_GB2312" w:hAnsi="仿宋" w:eastAsia="仿宋_GB2312"/>
          <w:sz w:val="32"/>
          <w:szCs w:val="32"/>
          <w:lang w:val="en-US" w:eastAsia="zh-CN"/>
        </w:rPr>
        <w:t>23.08</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7.16</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住房公积金2210201:支出决算为</w:t>
      </w:r>
      <w:r>
        <w:rPr>
          <w:rFonts w:hint="eastAsia" w:ascii="仿宋_GB2312" w:hAnsi="仿宋" w:eastAsia="仿宋_GB2312"/>
          <w:sz w:val="32"/>
          <w:szCs w:val="32"/>
          <w:lang w:val="en-US" w:eastAsia="zh-CN"/>
        </w:rPr>
        <w:t>23.08</w:t>
      </w:r>
      <w:r>
        <w:rPr>
          <w:rFonts w:hint="eastAsia" w:ascii="仿宋_GB2312" w:hAnsi="仿宋" w:eastAsia="仿宋_GB2312"/>
          <w:sz w:val="32"/>
          <w:szCs w:val="32"/>
        </w:rPr>
        <w:t>万元，完成预算100%，决算数等于预算数。</w:t>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sz w:val="32"/>
          <w:szCs w:val="32"/>
        </w:rPr>
      </w:pPr>
      <w:r>
        <w:rPr>
          <w:rFonts w:hint="eastAsia" w:ascii="仿宋_GB2312" w:hAnsi="仿宋" w:eastAsia="仿宋_GB2312"/>
          <w:b/>
          <w:bCs/>
          <w:sz w:val="32"/>
          <w:szCs w:val="32"/>
        </w:rPr>
        <w:t>5.国有资本经营预算支出223：</w:t>
      </w:r>
      <w:r>
        <w:rPr>
          <w:rFonts w:hint="eastAsia" w:ascii="仿宋_GB2312" w:hAnsi="仿宋" w:eastAsia="仿宋_GB2312"/>
          <w:sz w:val="32"/>
          <w:szCs w:val="32"/>
        </w:rPr>
        <w:t>支出决算为</w:t>
      </w:r>
      <w:r>
        <w:rPr>
          <w:rFonts w:hint="eastAsia" w:ascii="仿宋_GB2312" w:hAnsi="仿宋" w:eastAsia="仿宋_GB2312"/>
          <w:sz w:val="32"/>
          <w:szCs w:val="32"/>
          <w:lang w:val="en-US" w:eastAsia="zh-CN"/>
        </w:rPr>
        <w:t>2.01</w:t>
      </w:r>
      <w:r>
        <w:rPr>
          <w:rFonts w:hint="eastAsia" w:ascii="仿宋_GB2312" w:hAnsi="仿宋" w:eastAsia="仿宋_GB2312"/>
          <w:sz w:val="32"/>
          <w:szCs w:val="32"/>
        </w:rPr>
        <w:t>万元，完成预算0</w:t>
      </w:r>
      <w:r>
        <w:rPr>
          <w:rFonts w:hint="eastAsia" w:ascii="仿宋_GB2312" w:hAnsi="仿宋" w:eastAsia="仿宋_GB2312"/>
          <w:sz w:val="32"/>
          <w:szCs w:val="32"/>
          <w:lang w:val="en-US" w:eastAsia="zh-CN"/>
        </w:rPr>
        <w:t>.62</w:t>
      </w:r>
      <w:r>
        <w:rPr>
          <w:rFonts w:hint="eastAsia" w:ascii="仿宋_GB2312" w:hAnsi="仿宋" w:eastAsia="仿宋_GB2312"/>
          <w:sz w:val="32"/>
          <w:szCs w:val="32"/>
        </w:rPr>
        <w:t>%，决算数等于预算数。</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国有企业退休人员社会化管理补助支出2230105：支出决算为</w:t>
      </w:r>
      <w:r>
        <w:rPr>
          <w:rFonts w:hint="eastAsia" w:ascii="仿宋_GB2312" w:hAnsi="仿宋" w:eastAsia="仿宋_GB2312"/>
          <w:sz w:val="32"/>
          <w:szCs w:val="32"/>
          <w:lang w:val="en-US" w:eastAsia="zh-CN"/>
        </w:rPr>
        <w:t>2.01</w:t>
      </w:r>
      <w:r>
        <w:rPr>
          <w:rFonts w:hint="eastAsia" w:ascii="仿宋_GB2312" w:hAnsi="仿宋" w:eastAsia="仿宋_GB2312"/>
          <w:sz w:val="32"/>
          <w:szCs w:val="32"/>
        </w:rPr>
        <w:t>万元，完成预算</w:t>
      </w:r>
      <w:r>
        <w:rPr>
          <w:rFonts w:hint="eastAsia" w:ascii="仿宋_GB2312" w:hAnsi="仿宋" w:eastAsia="仿宋_GB2312"/>
          <w:sz w:val="32"/>
          <w:szCs w:val="32"/>
          <w:lang w:val="en-US" w:eastAsia="zh-CN"/>
        </w:rPr>
        <w:t>100</w:t>
      </w:r>
      <w:r>
        <w:rPr>
          <w:rFonts w:hint="eastAsia" w:ascii="仿宋_GB2312" w:hAnsi="仿宋" w:eastAsia="仿宋_GB2312"/>
          <w:sz w:val="32"/>
          <w:szCs w:val="32"/>
        </w:rPr>
        <w:t>%，决算数等于预算数。</w:t>
      </w:r>
    </w:p>
    <w:p>
      <w:pPr>
        <w:tabs>
          <w:tab w:val="right" w:pos="8306"/>
        </w:tabs>
        <w:spacing w:line="600" w:lineRule="exact"/>
        <w:ind w:firstLine="640"/>
        <w:outlineLvl w:val="1"/>
        <w:rPr>
          <w:rStyle w:val="30"/>
          <w:rFonts w:hint="eastAsia" w:ascii="楷体" w:hAnsi="楷体" w:eastAsia="楷体" w:cs="楷体"/>
          <w:b/>
          <w:bCs/>
        </w:rPr>
      </w:pPr>
      <w:bookmarkStart w:id="43" w:name="_Toc15396608"/>
      <w:bookmarkStart w:id="44" w:name="_Toc12285"/>
      <w:bookmarkStart w:id="45" w:name="_Toc15377214"/>
      <w:r>
        <w:rPr>
          <w:rFonts w:hint="eastAsia" w:ascii="楷体" w:hAnsi="楷体" w:eastAsia="楷体" w:cs="楷体"/>
          <w:b/>
          <w:bCs/>
          <w:sz w:val="32"/>
          <w:szCs w:val="32"/>
        </w:rPr>
        <w:t>六、一</w:t>
      </w:r>
      <w:r>
        <w:rPr>
          <w:rStyle w:val="30"/>
          <w:rFonts w:hint="eastAsia" w:ascii="楷体" w:hAnsi="楷体" w:eastAsia="楷体" w:cs="楷体"/>
          <w:b/>
          <w:bCs/>
        </w:rPr>
        <w:t>般公共预算财政拨款基本支出决算情况说明</w:t>
      </w:r>
      <w:bookmarkEnd w:id="43"/>
      <w:bookmarkEnd w:id="44"/>
      <w:bookmarkEnd w:id="45"/>
      <w:r>
        <w:rPr>
          <w:rStyle w:val="30"/>
          <w:rFonts w:hint="eastAsia" w:ascii="楷体" w:hAnsi="楷体" w:eastAsia="楷体" w:cs="楷体"/>
          <w:b/>
          <w:bCs/>
        </w:rPr>
        <w:tab/>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年度一般公共预算财政拨款基本支出</w:t>
      </w:r>
      <w:r>
        <w:rPr>
          <w:rFonts w:hint="eastAsia" w:ascii="仿宋_GB2312" w:hAnsi="仿宋" w:eastAsia="仿宋_GB2312"/>
          <w:sz w:val="32"/>
          <w:szCs w:val="32"/>
          <w:lang w:val="en-US" w:eastAsia="zh-CN"/>
        </w:rPr>
        <w:t>310.09</w:t>
      </w:r>
      <w:r>
        <w:rPr>
          <w:rFonts w:hint="eastAsia" w:ascii="仿宋_GB2312" w:hAnsi="仿宋" w:eastAsia="仿宋_GB2312"/>
          <w:sz w:val="32"/>
          <w:szCs w:val="32"/>
        </w:rPr>
        <w:t>万元，其中：</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人员经费</w:t>
      </w:r>
      <w:r>
        <w:rPr>
          <w:rFonts w:hint="eastAsia" w:ascii="仿宋_GB2312" w:hAnsi="仿宋" w:eastAsia="仿宋_GB2312"/>
          <w:sz w:val="32"/>
          <w:szCs w:val="32"/>
          <w:lang w:val="en-US" w:eastAsia="zh-CN"/>
        </w:rPr>
        <w:t>296.98</w:t>
      </w:r>
      <w:r>
        <w:rPr>
          <w:rFonts w:hint="eastAsia" w:ascii="仿宋_GB2312" w:hAnsi="仿宋" w:eastAsia="仿宋_GB2312"/>
          <w:sz w:val="32"/>
          <w:szCs w:val="32"/>
        </w:rPr>
        <w:t>万元，主要包括：基本工资</w:t>
      </w:r>
      <w:r>
        <w:rPr>
          <w:rFonts w:hint="eastAsia" w:ascii="仿宋_GB2312" w:hAnsi="仿宋" w:eastAsia="仿宋_GB2312"/>
          <w:sz w:val="32"/>
          <w:szCs w:val="32"/>
          <w:lang w:val="en-US" w:eastAsia="zh-CN"/>
        </w:rPr>
        <w:t>61.37</w:t>
      </w:r>
      <w:r>
        <w:rPr>
          <w:rFonts w:hint="eastAsia" w:ascii="仿宋_GB2312" w:hAnsi="仿宋" w:eastAsia="仿宋_GB2312"/>
          <w:sz w:val="32"/>
          <w:szCs w:val="32"/>
        </w:rPr>
        <w:t>万元、津贴补贴</w:t>
      </w:r>
      <w:r>
        <w:rPr>
          <w:rFonts w:hint="eastAsia" w:ascii="仿宋_GB2312" w:hAnsi="仿宋" w:eastAsia="仿宋_GB2312"/>
          <w:sz w:val="32"/>
          <w:szCs w:val="32"/>
          <w:lang w:val="en-US" w:eastAsia="zh-CN"/>
        </w:rPr>
        <w:t>79.48</w:t>
      </w:r>
      <w:r>
        <w:rPr>
          <w:rFonts w:hint="eastAsia" w:ascii="仿宋_GB2312" w:hAnsi="仿宋" w:eastAsia="仿宋_GB2312"/>
          <w:sz w:val="32"/>
          <w:szCs w:val="32"/>
        </w:rPr>
        <w:t>万元、奖金</w:t>
      </w:r>
      <w:r>
        <w:rPr>
          <w:rFonts w:hint="eastAsia" w:ascii="仿宋_GB2312" w:hAnsi="仿宋" w:eastAsia="仿宋_GB2312"/>
          <w:sz w:val="32"/>
          <w:szCs w:val="32"/>
          <w:lang w:val="en-US" w:eastAsia="zh-CN"/>
        </w:rPr>
        <w:t>61.69</w:t>
      </w:r>
      <w:r>
        <w:rPr>
          <w:rFonts w:hint="eastAsia" w:ascii="仿宋_GB2312" w:hAnsi="仿宋" w:eastAsia="仿宋_GB2312"/>
          <w:sz w:val="32"/>
          <w:szCs w:val="32"/>
        </w:rPr>
        <w:t>万元、伙食补助费0万元、绩效工资0万元、机关事业单位基本养老保险缴费</w:t>
      </w:r>
      <w:r>
        <w:rPr>
          <w:rFonts w:hint="eastAsia" w:ascii="仿宋_GB2312" w:hAnsi="仿宋" w:eastAsia="仿宋_GB2312"/>
          <w:sz w:val="32"/>
          <w:szCs w:val="32"/>
          <w:lang w:val="en-US" w:eastAsia="zh-CN"/>
        </w:rPr>
        <w:t>29.88</w:t>
      </w:r>
      <w:r>
        <w:rPr>
          <w:rFonts w:hint="eastAsia" w:ascii="仿宋_GB2312" w:hAnsi="仿宋" w:eastAsia="仿宋_GB2312"/>
          <w:sz w:val="32"/>
          <w:szCs w:val="32"/>
        </w:rPr>
        <w:t>万元、职业年金缴费</w:t>
      </w:r>
      <w:r>
        <w:rPr>
          <w:rFonts w:hint="eastAsia" w:ascii="仿宋_GB2312" w:hAnsi="仿宋" w:eastAsia="仿宋_GB2312"/>
          <w:sz w:val="32"/>
          <w:szCs w:val="32"/>
          <w:lang w:val="en-US" w:eastAsia="zh-CN"/>
        </w:rPr>
        <w:t>14.94</w:t>
      </w:r>
      <w:r>
        <w:rPr>
          <w:rFonts w:hint="eastAsia" w:ascii="仿宋_GB2312" w:hAnsi="仿宋" w:eastAsia="仿宋_GB2312"/>
          <w:sz w:val="32"/>
          <w:szCs w:val="32"/>
        </w:rPr>
        <w:t>万元、职工基本医疗保险缴费</w:t>
      </w:r>
      <w:r>
        <w:rPr>
          <w:rFonts w:hint="eastAsia" w:ascii="仿宋_GB2312" w:hAnsi="仿宋" w:eastAsia="仿宋_GB2312"/>
          <w:sz w:val="32"/>
          <w:szCs w:val="32"/>
          <w:lang w:val="en-US" w:eastAsia="zh-CN"/>
        </w:rPr>
        <w:t>13.45</w:t>
      </w:r>
      <w:r>
        <w:rPr>
          <w:rFonts w:hint="eastAsia" w:ascii="仿宋_GB2312" w:hAnsi="仿宋" w:eastAsia="仿宋_GB2312"/>
          <w:sz w:val="32"/>
          <w:szCs w:val="32"/>
        </w:rPr>
        <w:t>万元、公务员医疗补助缴费</w:t>
      </w:r>
      <w:r>
        <w:rPr>
          <w:rFonts w:hint="eastAsia" w:ascii="仿宋_GB2312" w:hAnsi="仿宋" w:eastAsia="仿宋_GB2312"/>
          <w:sz w:val="32"/>
          <w:szCs w:val="32"/>
          <w:lang w:val="en-US" w:eastAsia="zh-CN"/>
        </w:rPr>
        <w:t>3.11</w:t>
      </w:r>
      <w:r>
        <w:rPr>
          <w:rFonts w:hint="eastAsia" w:ascii="仿宋_GB2312" w:hAnsi="仿宋" w:eastAsia="仿宋_GB2312"/>
          <w:sz w:val="32"/>
          <w:szCs w:val="32"/>
        </w:rPr>
        <w:t>万元、其他社会保障缴费</w:t>
      </w:r>
      <w:r>
        <w:rPr>
          <w:rFonts w:hint="eastAsia" w:ascii="仿宋_GB2312" w:hAnsi="仿宋" w:eastAsia="仿宋_GB2312"/>
          <w:sz w:val="32"/>
          <w:szCs w:val="32"/>
          <w:lang w:val="en-US" w:eastAsia="zh-CN"/>
        </w:rPr>
        <w:t>0.45</w:t>
      </w:r>
      <w:r>
        <w:rPr>
          <w:rFonts w:hint="eastAsia" w:ascii="仿宋_GB2312" w:hAnsi="仿宋" w:eastAsia="仿宋_GB2312"/>
          <w:sz w:val="32"/>
          <w:szCs w:val="32"/>
        </w:rPr>
        <w:t>万元、医疗费</w:t>
      </w:r>
      <w:r>
        <w:rPr>
          <w:rFonts w:hint="eastAsia" w:ascii="仿宋_GB2312" w:hAnsi="仿宋" w:eastAsia="仿宋_GB2312"/>
          <w:sz w:val="32"/>
          <w:szCs w:val="32"/>
          <w:lang w:val="en-US" w:eastAsia="zh-CN"/>
        </w:rPr>
        <w:t>1.43</w:t>
      </w:r>
      <w:r>
        <w:rPr>
          <w:rFonts w:hint="eastAsia" w:ascii="仿宋_GB2312" w:hAnsi="仿宋" w:eastAsia="仿宋_GB2312"/>
          <w:sz w:val="32"/>
          <w:szCs w:val="32"/>
        </w:rPr>
        <w:t>万元、其他工资福利支出0万元、离休费0万元、退休费0万元、抚恤金0万元、生活补助</w:t>
      </w:r>
      <w:r>
        <w:rPr>
          <w:rFonts w:hint="eastAsia" w:ascii="仿宋_GB2312" w:hAnsi="仿宋" w:eastAsia="仿宋_GB2312"/>
          <w:sz w:val="32"/>
          <w:szCs w:val="32"/>
          <w:lang w:val="en-US" w:eastAsia="zh-CN"/>
        </w:rPr>
        <w:t>7</w:t>
      </w:r>
      <w:r>
        <w:rPr>
          <w:rFonts w:hint="eastAsia" w:ascii="仿宋_GB2312" w:hAnsi="仿宋" w:eastAsia="仿宋_GB2312"/>
          <w:sz w:val="32"/>
          <w:szCs w:val="32"/>
        </w:rPr>
        <w:t>万元、医疗费补助1.09万元、奖励金0万元、住房公积金</w:t>
      </w:r>
      <w:r>
        <w:rPr>
          <w:rFonts w:hint="eastAsia" w:ascii="仿宋_GB2312" w:hAnsi="仿宋" w:eastAsia="仿宋_GB2312"/>
          <w:sz w:val="32"/>
          <w:szCs w:val="32"/>
          <w:lang w:val="en-US" w:eastAsia="zh-CN"/>
        </w:rPr>
        <w:t>23.08</w:t>
      </w:r>
      <w:r>
        <w:rPr>
          <w:rFonts w:hint="eastAsia" w:ascii="仿宋_GB2312" w:hAnsi="仿宋" w:eastAsia="仿宋_GB2312"/>
          <w:sz w:val="32"/>
          <w:szCs w:val="32"/>
        </w:rPr>
        <w:t>万元、其他对个人和家庭的补助支出等。</w:t>
      </w:r>
      <w:r>
        <w:rPr>
          <w:rFonts w:hint="eastAsia" w:ascii="仿宋_GB2312" w:hAnsi="仿宋" w:eastAsia="仿宋_GB2312"/>
          <w:sz w:val="32"/>
          <w:szCs w:val="32"/>
        </w:rPr>
        <w:br w:type="textWrapping"/>
      </w:r>
      <w:r>
        <w:rPr>
          <w:rFonts w:hint="eastAsia" w:ascii="仿宋_GB2312" w:hAnsi="仿宋" w:eastAsia="仿宋_GB2312"/>
          <w:sz w:val="32"/>
          <w:szCs w:val="32"/>
        </w:rPr>
        <w:t>　　公用经费</w:t>
      </w:r>
      <w:r>
        <w:rPr>
          <w:rFonts w:hint="eastAsia" w:ascii="仿宋_GB2312" w:hAnsi="仿宋" w:eastAsia="仿宋_GB2312"/>
          <w:sz w:val="32"/>
          <w:szCs w:val="32"/>
          <w:lang w:val="en-US" w:eastAsia="zh-CN"/>
        </w:rPr>
        <w:t>13.11</w:t>
      </w:r>
      <w:r>
        <w:rPr>
          <w:rFonts w:hint="eastAsia" w:ascii="仿宋_GB2312" w:hAnsi="仿宋" w:eastAsia="仿宋_GB2312"/>
          <w:sz w:val="32"/>
          <w:szCs w:val="32"/>
        </w:rPr>
        <w:t>万元，主要包括：办公费</w:t>
      </w:r>
      <w:r>
        <w:rPr>
          <w:rFonts w:hint="eastAsia" w:ascii="仿宋_GB2312" w:hAnsi="仿宋" w:eastAsia="仿宋_GB2312"/>
          <w:sz w:val="32"/>
          <w:szCs w:val="32"/>
          <w:lang w:val="en-US" w:eastAsia="zh-CN"/>
        </w:rPr>
        <w:t>2.5</w:t>
      </w:r>
      <w:r>
        <w:rPr>
          <w:rFonts w:hint="eastAsia" w:ascii="仿宋_GB2312" w:hAnsi="仿宋" w:eastAsia="仿宋_GB2312"/>
          <w:sz w:val="32"/>
          <w:szCs w:val="32"/>
        </w:rPr>
        <w:t>万元、印刷费0.</w:t>
      </w:r>
      <w:r>
        <w:rPr>
          <w:rFonts w:hint="eastAsia" w:ascii="仿宋_GB2312" w:hAnsi="仿宋" w:eastAsia="仿宋_GB2312"/>
          <w:sz w:val="32"/>
          <w:szCs w:val="32"/>
          <w:lang w:val="en-US" w:eastAsia="zh-CN"/>
        </w:rPr>
        <w:t>22</w:t>
      </w:r>
      <w:r>
        <w:rPr>
          <w:rFonts w:hint="eastAsia" w:ascii="仿宋_GB2312" w:hAnsi="仿宋" w:eastAsia="仿宋_GB2312"/>
          <w:sz w:val="32"/>
          <w:szCs w:val="32"/>
        </w:rPr>
        <w:t>万元、咨询费0万元、手续费0.1</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万元、水费</w:t>
      </w:r>
      <w:r>
        <w:rPr>
          <w:rFonts w:hint="eastAsia" w:ascii="仿宋_GB2312" w:hAnsi="仿宋" w:eastAsia="仿宋_GB2312"/>
          <w:sz w:val="32"/>
          <w:szCs w:val="32"/>
          <w:lang w:val="en-US" w:eastAsia="zh-CN"/>
        </w:rPr>
        <w:t>0.17</w:t>
      </w:r>
      <w:r>
        <w:rPr>
          <w:rFonts w:hint="eastAsia" w:ascii="仿宋_GB2312" w:hAnsi="仿宋" w:eastAsia="仿宋_GB2312"/>
          <w:sz w:val="32"/>
          <w:szCs w:val="32"/>
        </w:rPr>
        <w:t>万元、电费0万元、邮电费</w:t>
      </w:r>
      <w:r>
        <w:rPr>
          <w:rFonts w:hint="eastAsia" w:ascii="仿宋_GB2312" w:hAnsi="仿宋" w:eastAsia="仿宋_GB2312"/>
          <w:sz w:val="32"/>
          <w:szCs w:val="32"/>
          <w:lang w:val="en-US" w:eastAsia="zh-CN"/>
        </w:rPr>
        <w:t>0.73</w:t>
      </w:r>
      <w:r>
        <w:rPr>
          <w:rFonts w:hint="eastAsia" w:ascii="仿宋_GB2312" w:hAnsi="仿宋" w:eastAsia="仿宋_GB2312"/>
          <w:sz w:val="32"/>
          <w:szCs w:val="32"/>
        </w:rPr>
        <w:t>万元、取暖费0万元、物业管理费0万元、差旅费</w:t>
      </w:r>
      <w:r>
        <w:rPr>
          <w:rFonts w:hint="eastAsia" w:ascii="仿宋_GB2312" w:hAnsi="仿宋" w:eastAsia="仿宋_GB2312"/>
          <w:sz w:val="32"/>
          <w:szCs w:val="32"/>
          <w:lang w:val="en-US" w:eastAsia="zh-CN"/>
        </w:rPr>
        <w:t>0.99</w:t>
      </w:r>
      <w:r>
        <w:rPr>
          <w:rFonts w:hint="eastAsia" w:ascii="仿宋_GB2312" w:hAnsi="仿宋" w:eastAsia="仿宋_GB2312"/>
          <w:sz w:val="32"/>
          <w:szCs w:val="32"/>
        </w:rPr>
        <w:t>万元、因公出国（境）费用0万元、维修（护）费0万元、租赁费0万元、会议费0万元、培训费</w:t>
      </w:r>
      <w:r>
        <w:rPr>
          <w:rFonts w:hint="eastAsia" w:ascii="仿宋_GB2312" w:hAnsi="仿宋" w:eastAsia="仿宋_GB2312"/>
          <w:sz w:val="32"/>
          <w:szCs w:val="32"/>
          <w:lang w:val="en-US" w:eastAsia="zh-CN"/>
        </w:rPr>
        <w:t>0.43</w:t>
      </w:r>
      <w:r>
        <w:rPr>
          <w:rFonts w:hint="eastAsia" w:ascii="仿宋_GB2312" w:hAnsi="仿宋" w:eastAsia="仿宋_GB2312"/>
          <w:sz w:val="32"/>
          <w:szCs w:val="32"/>
        </w:rPr>
        <w:t>万元、公务接待费0.0</w:t>
      </w:r>
      <w:r>
        <w:rPr>
          <w:rFonts w:hint="eastAsia" w:ascii="仿宋_GB2312" w:hAnsi="仿宋" w:eastAsia="仿宋_GB2312"/>
          <w:sz w:val="32"/>
          <w:szCs w:val="32"/>
          <w:lang w:val="en-US" w:eastAsia="zh-CN"/>
        </w:rPr>
        <w:t>9</w:t>
      </w:r>
      <w:r>
        <w:rPr>
          <w:rFonts w:hint="eastAsia" w:ascii="仿宋_GB2312" w:hAnsi="仿宋" w:eastAsia="仿宋_GB2312"/>
          <w:sz w:val="32"/>
          <w:szCs w:val="32"/>
        </w:rPr>
        <w:t>万元、劳务费</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万元、委托业务费</w:t>
      </w:r>
      <w:r>
        <w:rPr>
          <w:rFonts w:hint="eastAsia" w:ascii="仿宋_GB2312" w:hAnsi="仿宋" w:eastAsia="仿宋_GB2312"/>
          <w:sz w:val="32"/>
          <w:szCs w:val="32"/>
          <w:lang w:val="en-US" w:eastAsia="zh-CN"/>
        </w:rPr>
        <w:t>3.24</w:t>
      </w:r>
      <w:r>
        <w:rPr>
          <w:rFonts w:hint="eastAsia" w:ascii="仿宋_GB2312" w:hAnsi="仿宋" w:eastAsia="仿宋_GB2312"/>
          <w:sz w:val="32"/>
          <w:szCs w:val="32"/>
        </w:rPr>
        <w:t>万元、工会经费</w:t>
      </w:r>
      <w:r>
        <w:rPr>
          <w:rFonts w:hint="eastAsia" w:ascii="仿宋_GB2312" w:hAnsi="仿宋" w:eastAsia="仿宋_GB2312"/>
          <w:sz w:val="32"/>
          <w:szCs w:val="32"/>
          <w:lang w:val="en-US" w:eastAsia="zh-CN"/>
        </w:rPr>
        <w:t>1.89</w:t>
      </w:r>
      <w:r>
        <w:rPr>
          <w:rFonts w:hint="eastAsia" w:ascii="仿宋_GB2312" w:hAnsi="仿宋" w:eastAsia="仿宋_GB2312"/>
          <w:sz w:val="32"/>
          <w:szCs w:val="32"/>
        </w:rPr>
        <w:t>万元、福利费</w:t>
      </w:r>
      <w:r>
        <w:rPr>
          <w:rFonts w:hint="eastAsia" w:ascii="仿宋_GB2312" w:hAnsi="仿宋" w:eastAsia="仿宋_GB2312"/>
          <w:sz w:val="32"/>
          <w:szCs w:val="32"/>
          <w:lang w:val="en-US" w:eastAsia="zh-CN"/>
        </w:rPr>
        <w:t>0.19</w:t>
      </w:r>
      <w:r>
        <w:rPr>
          <w:rFonts w:hint="eastAsia" w:ascii="仿宋_GB2312" w:hAnsi="仿宋" w:eastAsia="仿宋_GB2312"/>
          <w:sz w:val="32"/>
          <w:szCs w:val="32"/>
        </w:rPr>
        <w:t>万元、公务用车运行维护费</w:t>
      </w:r>
      <w:r>
        <w:rPr>
          <w:rFonts w:hint="eastAsia" w:ascii="仿宋_GB2312" w:hAnsi="仿宋" w:eastAsia="仿宋_GB2312"/>
          <w:sz w:val="32"/>
          <w:szCs w:val="32"/>
          <w:lang w:val="en-US" w:eastAsia="zh-CN"/>
        </w:rPr>
        <w:t>0.35</w:t>
      </w:r>
      <w:r>
        <w:rPr>
          <w:rFonts w:hint="eastAsia" w:ascii="仿宋_GB2312" w:hAnsi="仿宋" w:eastAsia="仿宋_GB2312"/>
          <w:sz w:val="32"/>
          <w:szCs w:val="32"/>
        </w:rPr>
        <w:t>万元、其他交通费0万元、税金及附加费用0万元、其他商品和服务支出</w:t>
      </w:r>
      <w:r>
        <w:rPr>
          <w:rFonts w:hint="eastAsia" w:ascii="仿宋_GB2312" w:hAnsi="仿宋" w:eastAsia="仿宋_GB2312"/>
          <w:sz w:val="32"/>
          <w:szCs w:val="32"/>
          <w:lang w:val="en-US" w:eastAsia="zh-CN"/>
        </w:rPr>
        <w:t>2.23</w:t>
      </w:r>
      <w:r>
        <w:rPr>
          <w:rFonts w:hint="eastAsia" w:ascii="仿宋_GB2312" w:hAnsi="仿宋" w:eastAsia="仿宋_GB2312"/>
          <w:sz w:val="32"/>
          <w:szCs w:val="32"/>
        </w:rPr>
        <w:t>万元、办公设备购置0万元、专用设备购置0万元、信息网络及软件购置更新0万元、其他资本性支出等。</w:t>
      </w:r>
    </w:p>
    <w:p>
      <w:pPr>
        <w:spacing w:line="600" w:lineRule="exact"/>
        <w:ind w:firstLine="640"/>
        <w:outlineLvl w:val="1"/>
        <w:rPr>
          <w:rStyle w:val="30"/>
          <w:rFonts w:hint="eastAsia" w:ascii="楷体" w:hAnsi="楷体" w:eastAsia="楷体" w:cs="楷体"/>
          <w:b/>
          <w:bCs/>
        </w:rPr>
      </w:pPr>
      <w:bookmarkStart w:id="46" w:name="_Toc14635"/>
      <w:bookmarkStart w:id="47" w:name="_Toc15396609"/>
      <w:bookmarkStart w:id="48" w:name="_Toc15377215"/>
      <w:r>
        <w:rPr>
          <w:rFonts w:hint="eastAsia" w:ascii="楷体" w:hAnsi="楷体" w:eastAsia="楷体" w:cs="楷体"/>
          <w:b/>
          <w:bCs/>
          <w:sz w:val="32"/>
          <w:szCs w:val="32"/>
        </w:rPr>
        <w:t>七、</w:t>
      </w:r>
      <w:r>
        <w:rPr>
          <w:rStyle w:val="30"/>
          <w:rFonts w:hint="eastAsia" w:ascii="楷体" w:hAnsi="楷体" w:eastAsia="楷体" w:cs="楷体"/>
          <w:b/>
          <w:bCs/>
        </w:rPr>
        <w:t>财政拨款“三公”经费支出决算情况说明</w:t>
      </w:r>
      <w:bookmarkEnd w:id="46"/>
      <w:bookmarkEnd w:id="47"/>
      <w:bookmarkEnd w:id="48"/>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bookmarkStart w:id="49" w:name="_Toc15377216"/>
      <w:r>
        <w:rPr>
          <w:rFonts w:hint="eastAsia" w:ascii="仿宋_GB2312" w:hAnsi="仿宋" w:eastAsia="仿宋_GB2312"/>
          <w:b/>
          <w:bCs/>
          <w:sz w:val="32"/>
          <w:szCs w:val="32"/>
        </w:rPr>
        <w:t>（一）“三公”经费财政拨款支出决算总体情况说明</w:t>
      </w:r>
      <w:bookmarkEnd w:id="49"/>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年度“三公”经费财政拨款支出决算为</w:t>
      </w:r>
      <w:r>
        <w:rPr>
          <w:rFonts w:hint="eastAsia" w:ascii="仿宋_GB2312" w:hAnsi="仿宋" w:eastAsia="仿宋_GB2312"/>
          <w:sz w:val="32"/>
          <w:szCs w:val="32"/>
          <w:lang w:val="en-US" w:eastAsia="zh-CN"/>
        </w:rPr>
        <w:t>0.43</w:t>
      </w:r>
      <w:r>
        <w:rPr>
          <w:rFonts w:hint="eastAsia" w:ascii="仿宋_GB2312" w:hAnsi="仿宋" w:eastAsia="仿宋_GB2312"/>
          <w:sz w:val="32"/>
          <w:szCs w:val="32"/>
        </w:rPr>
        <w:t>万元，完成预算100%，较上年度减少</w:t>
      </w:r>
      <w:r>
        <w:rPr>
          <w:rFonts w:hint="eastAsia" w:ascii="仿宋_GB2312" w:hAnsi="仿宋" w:eastAsia="仿宋_GB2312"/>
          <w:sz w:val="32"/>
          <w:szCs w:val="32"/>
          <w:lang w:val="en-US" w:eastAsia="zh-CN"/>
        </w:rPr>
        <w:t>0.48</w:t>
      </w:r>
      <w:r>
        <w:rPr>
          <w:rFonts w:hint="eastAsia" w:ascii="仿宋_GB2312" w:hAnsi="仿宋" w:eastAsia="仿宋_GB2312"/>
          <w:sz w:val="32"/>
          <w:szCs w:val="32"/>
        </w:rPr>
        <w:t>万元，下降</w:t>
      </w:r>
      <w:r>
        <w:rPr>
          <w:rFonts w:hint="eastAsia" w:ascii="仿宋_GB2312" w:hAnsi="仿宋" w:eastAsia="仿宋_GB2312"/>
          <w:sz w:val="32"/>
          <w:szCs w:val="32"/>
          <w:lang w:val="en-US" w:eastAsia="zh-CN"/>
        </w:rPr>
        <w:t>52.33</w:t>
      </w:r>
      <w:r>
        <w:rPr>
          <w:rFonts w:hint="eastAsia" w:ascii="仿宋_GB2312" w:hAnsi="仿宋" w:eastAsia="仿宋_GB2312"/>
          <w:sz w:val="32"/>
          <w:szCs w:val="32"/>
        </w:rPr>
        <w:t>%。决算数小于预算数的主要原因是厉行节约</w:t>
      </w:r>
      <w:r>
        <w:rPr>
          <w:rFonts w:hint="eastAsia" w:ascii="仿宋_GB2312" w:hAnsi="仿宋" w:eastAsia="仿宋_GB2312"/>
          <w:sz w:val="32"/>
          <w:szCs w:val="32"/>
          <w:lang w:eastAsia="zh-CN"/>
        </w:rPr>
        <w:t>，</w:t>
      </w:r>
      <w:r>
        <w:rPr>
          <w:rFonts w:hint="eastAsia" w:ascii="仿宋_GB2312" w:hAnsi="仿宋" w:eastAsia="仿宋_GB2312"/>
          <w:sz w:val="32"/>
          <w:szCs w:val="32"/>
          <w:lang w:val="en-US" w:eastAsia="zh-CN"/>
        </w:rPr>
        <w:t>减少不必要支出</w:t>
      </w:r>
      <w:r>
        <w:rPr>
          <w:rFonts w:hint="eastAsia" w:ascii="仿宋_GB2312" w:hAnsi="仿宋" w:eastAsia="仿宋_GB2312"/>
          <w:sz w:val="32"/>
          <w:szCs w:val="32"/>
        </w:rPr>
        <w:t>。</w:t>
      </w:r>
    </w:p>
    <w:p>
      <w:pPr>
        <w:spacing w:line="600" w:lineRule="exact"/>
        <w:ind w:firstLine="640"/>
        <w:outlineLvl w:val="2"/>
        <w:rPr>
          <w:rFonts w:hint="eastAsia" w:ascii="仿宋" w:hAnsi="仿宋" w:eastAsia="仿宋"/>
          <w:b/>
          <w:sz w:val="32"/>
          <w:szCs w:val="32"/>
        </w:rPr>
      </w:pPr>
      <w:bookmarkStart w:id="50" w:name="_Toc15377217"/>
      <w:r>
        <w:rPr>
          <w:rFonts w:hint="eastAsia" w:ascii="仿宋_GB2312" w:hAnsi="仿宋" w:eastAsia="仿宋_GB2312"/>
          <w:b/>
          <w:bCs/>
          <w:sz w:val="32"/>
          <w:szCs w:val="32"/>
        </w:rPr>
        <w:t>（二）“三公”经费财政拨款支出决算具体情况说明</w:t>
      </w:r>
      <w:bookmarkEnd w:id="50"/>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年度“三公”经费财政拨款支出决算中，因公出国（境）费支出决算0万元，占0%；公务用车购置及运行维护费支出决算</w:t>
      </w:r>
      <w:r>
        <w:rPr>
          <w:rFonts w:hint="eastAsia" w:ascii="仿宋_GB2312" w:hAnsi="仿宋" w:eastAsia="仿宋_GB2312"/>
          <w:sz w:val="32"/>
          <w:szCs w:val="32"/>
          <w:lang w:val="en-US" w:eastAsia="zh-CN"/>
        </w:rPr>
        <w:t>0.35</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81.4</w:t>
      </w:r>
      <w:r>
        <w:rPr>
          <w:rFonts w:hint="eastAsia" w:ascii="仿宋_GB2312" w:hAnsi="仿宋" w:eastAsia="仿宋_GB2312"/>
          <w:sz w:val="32"/>
          <w:szCs w:val="32"/>
        </w:rPr>
        <w:t>%；公务接待费支出决算</w:t>
      </w:r>
      <w:r>
        <w:rPr>
          <w:rFonts w:hint="eastAsia" w:ascii="仿宋_GB2312" w:hAnsi="仿宋" w:eastAsia="仿宋_GB2312"/>
          <w:sz w:val="32"/>
          <w:szCs w:val="32"/>
          <w:lang w:val="en-US" w:eastAsia="zh-CN"/>
        </w:rPr>
        <w:t>0.09</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20.93</w:t>
      </w:r>
      <w:r>
        <w:rPr>
          <w:rFonts w:hint="eastAsia" w:ascii="仿宋_GB2312" w:hAnsi="仿宋" w:eastAsia="仿宋_GB2312"/>
          <w:sz w:val="32"/>
          <w:szCs w:val="32"/>
        </w:rPr>
        <w:t>%。具体情况如下：</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（图7：“三公”经费财政拨款支出结构）（饼状图）</w:t>
      </w:r>
    </w:p>
    <w:p>
      <w:pPr>
        <w:pStyle w:val="20"/>
        <w:outlineLvl w:val="9"/>
        <w:rPr>
          <w:rFonts w:eastAsia="仿宋"/>
        </w:rPr>
      </w:pPr>
      <w:r>
        <w:rPr>
          <w:rFonts w:hint="eastAsia" w:eastAsia="仿宋"/>
        </w:rPr>
        <w:drawing>
          <wp:inline distT="0" distB="0" distL="114300" distR="114300">
            <wp:extent cx="3958590" cy="2263775"/>
            <wp:effectExtent l="4445" t="4445" r="18415" b="1778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1.因公出国（境）经费支出0万元，完成预算0%。全年安排因公出国（境）团组0次，出国（境）0人。因公出国（境）支出决算比202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年增加/减少0万元，增长/下降0%。</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2.公务用车购置及运行维护费支出0.</w:t>
      </w:r>
      <w:r>
        <w:rPr>
          <w:rFonts w:hint="eastAsia" w:ascii="仿宋_GB2312" w:hAnsi="仿宋" w:eastAsia="仿宋_GB2312"/>
          <w:sz w:val="32"/>
          <w:szCs w:val="32"/>
          <w:lang w:val="en-US" w:eastAsia="zh-CN"/>
        </w:rPr>
        <w:t>3</w:t>
      </w:r>
      <w:r>
        <w:rPr>
          <w:rFonts w:hint="eastAsia" w:ascii="仿宋_GB2312" w:hAnsi="仿宋" w:eastAsia="仿宋_GB2312"/>
          <w:sz w:val="32"/>
          <w:szCs w:val="32"/>
        </w:rPr>
        <w:t>5万元,完成预算100%。公务用车购置及运行维护费支出决算比202</w:t>
      </w:r>
      <w:r>
        <w:rPr>
          <w:rFonts w:hint="eastAsia" w:ascii="仿宋_GB2312" w:hAnsi="仿宋" w:eastAsia="仿宋_GB2312"/>
          <w:sz w:val="32"/>
          <w:szCs w:val="32"/>
          <w:lang w:val="en-US" w:eastAsia="zh-CN"/>
        </w:rPr>
        <w:t>4</w:t>
      </w:r>
      <w:r>
        <w:rPr>
          <w:rFonts w:hint="eastAsia" w:ascii="仿宋_GB2312" w:hAnsi="仿宋" w:eastAsia="仿宋_GB2312"/>
          <w:sz w:val="32"/>
          <w:szCs w:val="32"/>
        </w:rPr>
        <w:t>年度减少0.</w:t>
      </w:r>
      <w:r>
        <w:rPr>
          <w:rFonts w:hint="eastAsia" w:ascii="仿宋_GB2312" w:hAnsi="仿宋" w:eastAsia="仿宋_GB2312"/>
          <w:sz w:val="32"/>
          <w:szCs w:val="32"/>
          <w:lang w:val="en-US" w:eastAsia="zh-CN"/>
        </w:rPr>
        <w:t>5</w:t>
      </w:r>
      <w:r>
        <w:rPr>
          <w:rFonts w:hint="eastAsia" w:ascii="仿宋_GB2312" w:hAnsi="仿宋" w:eastAsia="仿宋_GB2312"/>
          <w:sz w:val="32"/>
          <w:szCs w:val="32"/>
        </w:rPr>
        <w:t>万元，下降</w:t>
      </w:r>
      <w:r>
        <w:rPr>
          <w:rFonts w:hint="eastAsia" w:ascii="仿宋_GB2312" w:hAnsi="仿宋" w:eastAsia="仿宋_GB2312"/>
          <w:sz w:val="32"/>
          <w:szCs w:val="32"/>
          <w:lang w:val="en-US" w:eastAsia="zh-CN"/>
        </w:rPr>
        <w:t>58.88</w:t>
      </w:r>
      <w:r>
        <w:rPr>
          <w:rFonts w:hint="eastAsia" w:ascii="仿宋_GB2312" w:hAnsi="仿宋" w:eastAsia="仿宋_GB2312"/>
          <w:sz w:val="32"/>
          <w:szCs w:val="32"/>
        </w:rPr>
        <w:t>%。主要原因是厉行节约。</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其中：公务用车购置支出0万元。全年按规定更新购置公务用车0辆，其中：轿车0辆、金额0万元，越野车0辆、金额0万元，载客汽车0辆、金额0万元。截至202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年12月31日，</w:t>
      </w:r>
      <w:r>
        <w:rPr>
          <w:rFonts w:hint="eastAsia" w:ascii="仿宋_GB2312" w:hAnsi="仿宋" w:eastAsia="仿宋_GB2312"/>
          <w:sz w:val="32"/>
          <w:szCs w:val="32"/>
          <w:highlight w:val="none"/>
        </w:rPr>
        <w:t>单位共有公务用车</w:t>
      </w:r>
      <w:r>
        <w:rPr>
          <w:rFonts w:hint="eastAsia" w:ascii="仿宋_GB2312" w:hAnsi="仿宋" w:eastAsia="仿宋_GB2312"/>
          <w:sz w:val="32"/>
          <w:szCs w:val="32"/>
          <w:highlight w:val="none"/>
          <w:lang w:val="en-US" w:eastAsia="zh-CN"/>
        </w:rPr>
        <w:t>1</w:t>
      </w:r>
      <w:r>
        <w:rPr>
          <w:rFonts w:hint="eastAsia" w:ascii="仿宋_GB2312" w:hAnsi="仿宋" w:eastAsia="仿宋_GB2312"/>
          <w:sz w:val="32"/>
          <w:szCs w:val="32"/>
          <w:highlight w:val="none"/>
        </w:rPr>
        <w:t>辆，其中：轿车1辆、越野车0辆、载客汽</w:t>
      </w:r>
      <w:r>
        <w:rPr>
          <w:rFonts w:hint="eastAsia" w:ascii="仿宋_GB2312" w:hAnsi="仿宋" w:eastAsia="仿宋_GB2312"/>
          <w:sz w:val="32"/>
          <w:szCs w:val="32"/>
        </w:rPr>
        <w:t>车0辆。</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公务用车运行维护费支出0.</w:t>
      </w:r>
      <w:r>
        <w:rPr>
          <w:rFonts w:hint="eastAsia" w:ascii="仿宋_GB2312" w:hAnsi="仿宋" w:eastAsia="仿宋_GB2312"/>
          <w:sz w:val="32"/>
          <w:szCs w:val="32"/>
          <w:lang w:val="en-US" w:eastAsia="zh-CN"/>
        </w:rPr>
        <w:t>3</w:t>
      </w:r>
      <w:r>
        <w:rPr>
          <w:rFonts w:hint="eastAsia" w:ascii="仿宋_GB2312" w:hAnsi="仿宋" w:eastAsia="仿宋_GB2312"/>
          <w:sz w:val="32"/>
          <w:szCs w:val="32"/>
        </w:rPr>
        <w:t>5万元。主要用于燃料费、维修费等支出所需的公务用车燃料费、维修费、过路过桥费、保险费等支出。</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3.公务接待费支出0.0</w:t>
      </w:r>
      <w:r>
        <w:rPr>
          <w:rFonts w:hint="eastAsia" w:ascii="仿宋_GB2312" w:hAnsi="仿宋" w:eastAsia="仿宋_GB2312"/>
          <w:sz w:val="32"/>
          <w:szCs w:val="32"/>
          <w:lang w:val="en-US" w:eastAsia="zh-CN"/>
        </w:rPr>
        <w:t>9</w:t>
      </w:r>
      <w:r>
        <w:rPr>
          <w:rFonts w:hint="eastAsia" w:ascii="仿宋_GB2312" w:hAnsi="仿宋" w:eastAsia="仿宋_GB2312"/>
          <w:sz w:val="32"/>
          <w:szCs w:val="32"/>
        </w:rPr>
        <w:t>万元，完成预算100%。公务接待费支出决算比202</w:t>
      </w:r>
      <w:r>
        <w:rPr>
          <w:rFonts w:hint="eastAsia" w:ascii="仿宋_GB2312" w:hAnsi="仿宋" w:eastAsia="仿宋_GB2312"/>
          <w:sz w:val="32"/>
          <w:szCs w:val="32"/>
          <w:lang w:val="en-US" w:eastAsia="zh-CN"/>
        </w:rPr>
        <w:t>4</w:t>
      </w:r>
      <w:r>
        <w:rPr>
          <w:rFonts w:hint="eastAsia" w:ascii="仿宋_GB2312" w:hAnsi="仿宋" w:eastAsia="仿宋_GB2312"/>
          <w:sz w:val="32"/>
          <w:szCs w:val="32"/>
        </w:rPr>
        <w:t>年度</w:t>
      </w:r>
      <w:r>
        <w:rPr>
          <w:rFonts w:hint="eastAsia" w:ascii="仿宋_GB2312" w:hAnsi="仿宋" w:eastAsia="仿宋_GB2312"/>
          <w:sz w:val="32"/>
          <w:szCs w:val="32"/>
          <w:lang w:val="en-US" w:eastAsia="zh-CN"/>
        </w:rPr>
        <w:t>增加</w:t>
      </w:r>
      <w:r>
        <w:rPr>
          <w:rFonts w:hint="eastAsia" w:ascii="仿宋_GB2312" w:hAnsi="仿宋" w:eastAsia="仿宋_GB2312"/>
          <w:sz w:val="32"/>
          <w:szCs w:val="32"/>
        </w:rPr>
        <w:t>0.0</w:t>
      </w:r>
      <w:r>
        <w:rPr>
          <w:rFonts w:hint="eastAsia" w:ascii="仿宋_GB2312" w:hAnsi="仿宋" w:eastAsia="仿宋_GB2312"/>
          <w:sz w:val="32"/>
          <w:szCs w:val="32"/>
          <w:lang w:val="en-US" w:eastAsia="zh-CN"/>
        </w:rPr>
        <w:t>2</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上升34.91</w:t>
      </w:r>
      <w:r>
        <w:rPr>
          <w:rFonts w:hint="eastAsia" w:ascii="仿宋_GB2312" w:hAnsi="仿宋" w:eastAsia="仿宋_GB2312"/>
          <w:sz w:val="32"/>
          <w:szCs w:val="32"/>
        </w:rPr>
        <w:t>%。主要原因是</w:t>
      </w:r>
      <w:r>
        <w:rPr>
          <w:rFonts w:hint="eastAsia" w:ascii="仿宋_GB2312" w:hAnsi="仿宋" w:eastAsia="仿宋_GB2312"/>
          <w:sz w:val="32"/>
          <w:szCs w:val="32"/>
          <w:lang w:val="en-US" w:eastAsia="zh-CN"/>
        </w:rPr>
        <w:t>州档案馆到县开展业务建设指导接待费、州档案馆到县调研指导工作接待费。</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highlight w:val="none"/>
        </w:rPr>
      </w:pPr>
      <w:r>
        <w:rPr>
          <w:rFonts w:hint="eastAsia" w:ascii="仿宋_GB2312" w:hAnsi="仿宋" w:eastAsia="仿宋_GB2312"/>
          <w:sz w:val="32"/>
          <w:szCs w:val="32"/>
          <w:highlight w:val="none"/>
        </w:rPr>
        <w:t>国内公务接待支出0.0</w:t>
      </w:r>
      <w:r>
        <w:rPr>
          <w:rFonts w:hint="eastAsia" w:ascii="仿宋_GB2312" w:hAnsi="仿宋" w:eastAsia="仿宋_GB2312"/>
          <w:sz w:val="32"/>
          <w:szCs w:val="32"/>
          <w:highlight w:val="none"/>
          <w:lang w:val="en-US" w:eastAsia="zh-CN"/>
        </w:rPr>
        <w:t>9</w:t>
      </w:r>
      <w:r>
        <w:rPr>
          <w:rFonts w:hint="eastAsia" w:ascii="仿宋_GB2312" w:hAnsi="仿宋" w:eastAsia="仿宋_GB2312"/>
          <w:sz w:val="32"/>
          <w:szCs w:val="32"/>
          <w:highlight w:val="none"/>
        </w:rPr>
        <w:t>万元，主要用于用开展业务活动开支的住宿费、用餐费等。国内公务接待</w:t>
      </w:r>
      <w:r>
        <w:rPr>
          <w:rFonts w:hint="eastAsia" w:ascii="仿宋_GB2312" w:hAnsi="仿宋" w:eastAsia="仿宋_GB2312"/>
          <w:sz w:val="32"/>
          <w:szCs w:val="32"/>
          <w:highlight w:val="none"/>
          <w:lang w:val="en-US" w:eastAsia="zh-CN"/>
        </w:rPr>
        <w:t>2</w:t>
      </w:r>
      <w:r>
        <w:rPr>
          <w:rFonts w:hint="eastAsia" w:ascii="仿宋_GB2312" w:hAnsi="仿宋" w:eastAsia="仿宋_GB2312"/>
          <w:sz w:val="32"/>
          <w:szCs w:val="32"/>
          <w:highlight w:val="none"/>
        </w:rPr>
        <w:t>批次，</w:t>
      </w:r>
      <w:r>
        <w:rPr>
          <w:rFonts w:hint="eastAsia" w:ascii="仿宋_GB2312" w:hAnsi="仿宋" w:eastAsia="仿宋_GB2312"/>
          <w:sz w:val="32"/>
          <w:szCs w:val="32"/>
          <w:highlight w:val="none"/>
          <w:lang w:val="en-US" w:eastAsia="zh-CN"/>
        </w:rPr>
        <w:t>12</w:t>
      </w:r>
      <w:r>
        <w:rPr>
          <w:rFonts w:hint="eastAsia" w:ascii="仿宋_GB2312" w:hAnsi="仿宋" w:eastAsia="仿宋_GB2312"/>
          <w:sz w:val="32"/>
          <w:szCs w:val="32"/>
          <w:highlight w:val="none"/>
        </w:rPr>
        <w:t>人次，共计支出0.0</w:t>
      </w:r>
      <w:r>
        <w:rPr>
          <w:rFonts w:hint="eastAsia" w:ascii="仿宋_GB2312" w:hAnsi="仿宋" w:eastAsia="仿宋_GB2312"/>
          <w:sz w:val="32"/>
          <w:szCs w:val="32"/>
          <w:highlight w:val="none"/>
          <w:lang w:val="en-US" w:eastAsia="zh-CN"/>
        </w:rPr>
        <w:t>9</w:t>
      </w:r>
      <w:r>
        <w:rPr>
          <w:rFonts w:hint="eastAsia" w:ascii="仿宋_GB2312" w:hAnsi="仿宋" w:eastAsia="仿宋_GB2312"/>
          <w:sz w:val="32"/>
          <w:szCs w:val="32"/>
          <w:highlight w:val="none"/>
        </w:rPr>
        <w:t>万元。</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外事接待支出0万元，主要用于接待（具体项目）。外事接待0批次，0人次（不包括陪同人员），共计支出0万元。</w:t>
      </w:r>
      <w:bookmarkStart w:id="51" w:name="_Toc15396610"/>
      <w:bookmarkStart w:id="52" w:name="_Toc15377218"/>
    </w:p>
    <w:p>
      <w:pPr>
        <w:spacing w:line="600" w:lineRule="exact"/>
        <w:ind w:firstLine="640"/>
        <w:outlineLvl w:val="1"/>
        <w:rPr>
          <w:rStyle w:val="30"/>
          <w:rFonts w:hint="eastAsia" w:ascii="楷体" w:hAnsi="楷体" w:eastAsia="楷体" w:cs="楷体"/>
          <w:b/>
          <w:bCs/>
        </w:rPr>
      </w:pPr>
      <w:bookmarkStart w:id="53" w:name="_Toc24821"/>
      <w:r>
        <w:rPr>
          <w:rFonts w:hint="eastAsia" w:ascii="楷体" w:hAnsi="楷体" w:eastAsia="楷体" w:cs="楷体"/>
          <w:b/>
          <w:bCs/>
          <w:sz w:val="32"/>
          <w:szCs w:val="32"/>
        </w:rPr>
        <w:t>八、</w:t>
      </w:r>
      <w:r>
        <w:rPr>
          <w:rStyle w:val="30"/>
          <w:rFonts w:hint="eastAsia" w:ascii="楷体" w:hAnsi="楷体" w:eastAsia="楷体" w:cs="楷体"/>
          <w:b/>
          <w:bCs/>
        </w:rPr>
        <w:t>政府性基金预算支出决算情况说明</w:t>
      </w:r>
      <w:bookmarkEnd w:id="51"/>
      <w:bookmarkEnd w:id="52"/>
      <w:bookmarkEnd w:id="53"/>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年度年初无政府性基金预算财政拨款收入。</w:t>
      </w:r>
    </w:p>
    <w:p>
      <w:pPr>
        <w:numPr>
          <w:ilvl w:val="0"/>
          <w:numId w:val="3"/>
        </w:numPr>
        <w:spacing w:line="600" w:lineRule="exact"/>
        <w:ind w:firstLine="640"/>
        <w:outlineLvl w:val="1"/>
        <w:rPr>
          <w:rStyle w:val="30"/>
          <w:rFonts w:hint="eastAsia" w:ascii="楷体" w:hAnsi="楷体" w:eastAsia="楷体" w:cs="楷体"/>
          <w:b/>
          <w:bCs w:val="0"/>
        </w:rPr>
      </w:pPr>
      <w:bookmarkStart w:id="54" w:name="_Toc15396611"/>
      <w:bookmarkStart w:id="55" w:name="_Toc15377219"/>
      <w:bookmarkStart w:id="56" w:name="_Toc9865"/>
      <w:r>
        <w:rPr>
          <w:rStyle w:val="30"/>
          <w:rFonts w:hint="eastAsia" w:ascii="楷体" w:hAnsi="楷体" w:eastAsia="楷体" w:cs="楷体"/>
          <w:b/>
          <w:bCs w:val="0"/>
        </w:rPr>
        <w:t>国有资本经营预算支出决算情况说明</w:t>
      </w:r>
      <w:bookmarkEnd w:id="54"/>
      <w:bookmarkEnd w:id="55"/>
      <w:bookmarkEnd w:id="56"/>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仿宋_GB2312" w:hAnsi="仿宋" w:eastAsia="仿宋_GB2312"/>
          <w:sz w:val="32"/>
          <w:szCs w:val="32"/>
          <w:lang w:val="en-US"/>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2.01</w:t>
      </w:r>
      <w:r>
        <w:rPr>
          <w:rFonts w:hint="eastAsia" w:ascii="Times New Roman" w:hAnsi="Times New Roman" w:eastAsia="仿宋_GB2312" w:cs="仿宋_GB2312"/>
          <w:color w:val="auto"/>
          <w:kern w:val="2"/>
          <w:sz w:val="32"/>
          <w:szCs w:val="32"/>
          <w:highlight w:val="none"/>
          <w:lang w:val="en-US" w:eastAsia="zh-CN" w:bidi="ar-SA"/>
        </w:rPr>
        <w:t>万元，占本年支出合计的0.62%。与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年度相比，国有资本经营预算财政拨款支出减少1.13万元，增长127.09%。主要变动原因是专项项目增加。</w:t>
      </w:r>
    </w:p>
    <w:p>
      <w:pPr>
        <w:numPr>
          <w:ilvl w:val="0"/>
          <w:numId w:val="3"/>
        </w:numPr>
        <w:spacing w:line="600" w:lineRule="exact"/>
        <w:ind w:firstLine="640"/>
        <w:outlineLvl w:val="1"/>
        <w:rPr>
          <w:rStyle w:val="30"/>
          <w:rFonts w:hint="eastAsia" w:ascii="楷体" w:hAnsi="楷体" w:eastAsia="楷体" w:cs="楷体"/>
          <w:b/>
          <w:bCs w:val="0"/>
        </w:rPr>
      </w:pPr>
      <w:bookmarkStart w:id="57" w:name="_Toc18985"/>
      <w:bookmarkStart w:id="58" w:name="_Toc15396612"/>
      <w:bookmarkStart w:id="59" w:name="_Toc15377221"/>
      <w:r>
        <w:rPr>
          <w:rStyle w:val="30"/>
          <w:rFonts w:hint="eastAsia" w:ascii="楷体" w:hAnsi="楷体" w:eastAsia="楷体" w:cs="楷体"/>
          <w:b/>
          <w:bCs w:val="0"/>
        </w:rPr>
        <w:t>其他重要事项的情况说明</w:t>
      </w:r>
      <w:bookmarkEnd w:id="57"/>
      <w:bookmarkEnd w:id="58"/>
      <w:bookmarkEnd w:id="59"/>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bookmarkStart w:id="60" w:name="_Toc15377222"/>
      <w:r>
        <w:rPr>
          <w:rFonts w:hint="eastAsia" w:ascii="仿宋_GB2312" w:hAnsi="仿宋" w:eastAsia="仿宋_GB2312"/>
          <w:b/>
          <w:bCs/>
          <w:sz w:val="32"/>
          <w:szCs w:val="32"/>
        </w:rPr>
        <w:t>（一）机关运行经费支出情况</w:t>
      </w:r>
      <w:bookmarkEnd w:id="60"/>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年度，红原县档案馆机关运行经费支出</w:t>
      </w:r>
      <w:r>
        <w:rPr>
          <w:rFonts w:hint="eastAsia" w:ascii="仿宋_GB2312" w:hAnsi="仿宋" w:eastAsia="仿宋_GB2312"/>
          <w:sz w:val="32"/>
          <w:szCs w:val="32"/>
          <w:lang w:val="en-US" w:eastAsia="zh-CN"/>
        </w:rPr>
        <w:t>13.11</w:t>
      </w:r>
      <w:r>
        <w:rPr>
          <w:rFonts w:hint="eastAsia" w:ascii="仿宋_GB2312" w:hAnsi="仿宋" w:eastAsia="仿宋_GB2312"/>
          <w:sz w:val="32"/>
          <w:szCs w:val="32"/>
        </w:rPr>
        <w:t>万元，比202</w:t>
      </w:r>
      <w:r>
        <w:rPr>
          <w:rFonts w:hint="eastAsia" w:ascii="仿宋_GB2312" w:hAnsi="仿宋" w:eastAsia="仿宋_GB2312"/>
          <w:sz w:val="32"/>
          <w:szCs w:val="32"/>
          <w:lang w:val="en-US" w:eastAsia="zh-CN"/>
        </w:rPr>
        <w:t>4</w:t>
      </w:r>
      <w:r>
        <w:rPr>
          <w:rFonts w:hint="eastAsia" w:ascii="仿宋_GB2312" w:hAnsi="仿宋" w:eastAsia="仿宋_GB2312"/>
          <w:sz w:val="32"/>
          <w:szCs w:val="32"/>
        </w:rPr>
        <w:t>年度下降</w:t>
      </w:r>
      <w:r>
        <w:rPr>
          <w:rFonts w:hint="eastAsia" w:ascii="仿宋_GB2312" w:hAnsi="仿宋" w:eastAsia="仿宋_GB2312"/>
          <w:sz w:val="32"/>
          <w:szCs w:val="32"/>
          <w:lang w:val="en-US" w:eastAsia="zh-CN"/>
        </w:rPr>
        <w:t>4.42</w:t>
      </w:r>
      <w:r>
        <w:rPr>
          <w:rFonts w:hint="eastAsia" w:ascii="仿宋_GB2312" w:hAnsi="仿宋" w:eastAsia="仿宋_GB2312"/>
          <w:sz w:val="32"/>
          <w:szCs w:val="32"/>
        </w:rPr>
        <w:t>万元，下降</w:t>
      </w:r>
      <w:r>
        <w:rPr>
          <w:rFonts w:hint="eastAsia" w:ascii="仿宋_GB2312" w:hAnsi="仿宋" w:eastAsia="仿宋_GB2312"/>
          <w:sz w:val="32"/>
          <w:szCs w:val="32"/>
          <w:lang w:val="en-US" w:eastAsia="zh-CN"/>
        </w:rPr>
        <w:t>25.22</w:t>
      </w:r>
      <w:r>
        <w:rPr>
          <w:rFonts w:hint="eastAsia" w:ascii="仿宋_GB2312" w:hAnsi="仿宋" w:eastAsia="仿宋_GB2312"/>
          <w:sz w:val="32"/>
          <w:szCs w:val="32"/>
        </w:rPr>
        <w:t>%。主要原因是公用经费减少。</w:t>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bookmarkStart w:id="61" w:name="_Toc15377223"/>
      <w:r>
        <w:rPr>
          <w:rFonts w:hint="eastAsia" w:ascii="仿宋_GB2312" w:hAnsi="仿宋" w:eastAsia="仿宋_GB2312"/>
          <w:b/>
          <w:bCs/>
          <w:sz w:val="32"/>
          <w:szCs w:val="32"/>
        </w:rPr>
        <w:t>（二）政府采购支出情况</w:t>
      </w:r>
      <w:bookmarkEnd w:id="61"/>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年度，红原县档案馆政府采购支出总额</w:t>
      </w:r>
      <w:r>
        <w:rPr>
          <w:rFonts w:hint="eastAsia" w:ascii="仿宋_GB2312" w:hAnsi="仿宋" w:eastAsia="仿宋_GB2312"/>
          <w:sz w:val="32"/>
          <w:szCs w:val="32"/>
          <w:lang w:val="en-US" w:eastAsia="zh-CN"/>
        </w:rPr>
        <w:t>2.26</w:t>
      </w:r>
      <w:r>
        <w:rPr>
          <w:rFonts w:hint="eastAsia" w:ascii="仿宋_GB2312" w:hAnsi="仿宋" w:eastAsia="仿宋_GB2312"/>
          <w:sz w:val="32"/>
          <w:szCs w:val="32"/>
        </w:rPr>
        <w:t>万元，其中：政府采购货物支</w:t>
      </w:r>
      <w:r>
        <w:rPr>
          <w:rFonts w:hint="eastAsia" w:ascii="仿宋_GB2312" w:hAnsi="仿宋" w:eastAsia="仿宋_GB2312"/>
          <w:sz w:val="32"/>
          <w:szCs w:val="32"/>
          <w:lang w:val="en-US" w:eastAsia="zh-CN"/>
        </w:rPr>
        <w:t>出2.01</w:t>
      </w:r>
      <w:r>
        <w:rPr>
          <w:rFonts w:hint="eastAsia" w:ascii="仿宋_GB2312" w:hAnsi="仿宋" w:eastAsia="仿宋_GB2312"/>
          <w:sz w:val="32"/>
          <w:szCs w:val="32"/>
        </w:rPr>
        <w:t>万元、政府采购工程支出0万元、政府采购服务支出</w:t>
      </w:r>
      <w:r>
        <w:rPr>
          <w:rFonts w:hint="eastAsia" w:ascii="仿宋_GB2312" w:hAnsi="仿宋" w:eastAsia="仿宋_GB2312"/>
          <w:sz w:val="32"/>
          <w:szCs w:val="32"/>
          <w:lang w:val="en-US" w:eastAsia="zh-CN"/>
        </w:rPr>
        <w:t>0.25</w:t>
      </w:r>
      <w:r>
        <w:rPr>
          <w:rFonts w:hint="eastAsia" w:ascii="仿宋_GB2312" w:hAnsi="仿宋" w:eastAsia="仿宋_GB2312"/>
          <w:sz w:val="32"/>
          <w:szCs w:val="32"/>
        </w:rPr>
        <w:t>万元。主要用于档案数字化转型项目。授予中小企业合同金额0万元，占政府采购支出总额的0%，其中：授予小微企业合同金额0万元，占政府采购支出总额的0%。</w:t>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bookmarkStart w:id="62" w:name="_Toc15377224"/>
      <w:r>
        <w:rPr>
          <w:rFonts w:hint="eastAsia" w:ascii="仿宋_GB2312" w:hAnsi="仿宋" w:eastAsia="仿宋_GB2312"/>
          <w:b/>
          <w:bCs/>
          <w:sz w:val="32"/>
          <w:szCs w:val="32"/>
        </w:rPr>
        <w:t>（三）国有资产占有使用情况</w:t>
      </w:r>
      <w:bookmarkEnd w:id="62"/>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截至202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年12月31日，红原县档案馆共有车辆1辆，其中：主要领导干部用车0辆、机要通信用车0辆、应急保障用车1辆、其他用车0辆。单价100万元以上设备（不含车辆）0台（套）。</w:t>
      </w:r>
    </w:p>
    <w:p>
      <w:pPr>
        <w:pageBreakBefore w:val="0"/>
        <w:widowControl w:val="0"/>
        <w:kinsoku/>
        <w:wordWrap/>
        <w:overflowPunct/>
        <w:topLinePunct w:val="0"/>
        <w:autoSpaceDE/>
        <w:autoSpaceDN/>
        <w:bidi w:val="0"/>
        <w:adjustRightInd/>
        <w:snapToGrid/>
        <w:spacing w:line="576" w:lineRule="exact"/>
        <w:ind w:firstLine="643" w:firstLineChars="200"/>
        <w:textAlignment w:val="auto"/>
        <w:rPr>
          <w:rFonts w:hint="eastAsia" w:ascii="仿宋_GB2312" w:hAnsi="仿宋" w:eastAsia="仿宋_GB2312"/>
          <w:b/>
          <w:bCs/>
          <w:sz w:val="32"/>
          <w:szCs w:val="32"/>
        </w:rPr>
      </w:pPr>
      <w:r>
        <w:rPr>
          <w:rFonts w:hint="eastAsia" w:ascii="仿宋_GB2312" w:hAnsi="仿宋" w:eastAsia="仿宋_GB2312"/>
          <w:b/>
          <w:bCs/>
          <w:sz w:val="32"/>
          <w:szCs w:val="32"/>
        </w:rPr>
        <w:t>（四）预算绩效管理情况</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highlight w:val="none"/>
        </w:rPr>
      </w:pPr>
      <w:r>
        <w:rPr>
          <w:rFonts w:hint="eastAsia" w:ascii="仿宋_GB2312" w:hAnsi="仿宋" w:eastAsia="仿宋_GB2312"/>
          <w:sz w:val="32"/>
          <w:szCs w:val="32"/>
        </w:rPr>
        <w:t>根据预算绩效管理要求，本部门在202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年度预算编制阶段，组织对“档案抢救费”、</w:t>
      </w:r>
      <w:r>
        <w:rPr>
          <w:rFonts w:hint="eastAsia" w:ascii="仿宋_GB2312" w:hAnsi="仿宋" w:eastAsia="仿宋_GB2312" w:cs="Times New Roman"/>
          <w:sz w:val="32"/>
          <w:szCs w:val="32"/>
        </w:rPr>
        <w:t>“国有企业退休人员社会化管理财政补助资金”、“2024年度退休人员建房补贴经费”等</w:t>
      </w:r>
      <w:r>
        <w:rPr>
          <w:rFonts w:hint="eastAsia" w:ascii="仿宋_GB2312" w:hAnsi="仿宋" w:eastAsia="仿宋_GB2312" w:cs="Times New Roman"/>
          <w:sz w:val="32"/>
          <w:szCs w:val="32"/>
          <w:lang w:val="en-US" w:eastAsia="zh-CN"/>
        </w:rPr>
        <w:t>4</w:t>
      </w:r>
      <w:r>
        <w:rPr>
          <w:rFonts w:hint="eastAsia" w:ascii="仿宋_GB2312" w:hAnsi="仿宋" w:eastAsia="仿宋_GB2312" w:cs="Times New Roman"/>
          <w:sz w:val="32"/>
          <w:szCs w:val="32"/>
        </w:rPr>
        <w:t>个项目开展了预算事前绩效</w:t>
      </w:r>
      <w:r>
        <w:rPr>
          <w:rFonts w:hint="eastAsia" w:ascii="仿宋_GB2312" w:hAnsi="仿宋" w:eastAsia="仿宋_GB2312"/>
          <w:sz w:val="32"/>
          <w:szCs w:val="32"/>
        </w:rPr>
        <w:t>评估，</w:t>
      </w:r>
      <w:r>
        <w:rPr>
          <w:rFonts w:hint="eastAsia" w:ascii="仿宋_GB2312" w:hAnsi="仿宋" w:eastAsia="仿宋_GB2312"/>
          <w:sz w:val="32"/>
          <w:szCs w:val="32"/>
          <w:highlight w:val="none"/>
        </w:rPr>
        <w:t>对</w:t>
      </w:r>
      <w:r>
        <w:rPr>
          <w:rFonts w:hint="eastAsia" w:ascii="仿宋_GB2312" w:hAnsi="仿宋" w:eastAsia="仿宋_GB2312"/>
          <w:sz w:val="32"/>
          <w:szCs w:val="32"/>
          <w:highlight w:val="none"/>
          <w:lang w:val="en-US" w:eastAsia="zh-CN"/>
        </w:rPr>
        <w:t>4</w:t>
      </w:r>
      <w:r>
        <w:rPr>
          <w:rFonts w:hint="eastAsia" w:ascii="仿宋_GB2312" w:hAnsi="仿宋" w:eastAsia="仿宋_GB2312"/>
          <w:sz w:val="32"/>
          <w:szCs w:val="32"/>
          <w:highlight w:val="none"/>
        </w:rPr>
        <w:t>个项目编制了绩效目标，预算执行过程中，选取</w:t>
      </w:r>
      <w:r>
        <w:rPr>
          <w:rFonts w:hint="eastAsia" w:ascii="仿宋_GB2312" w:hAnsi="仿宋" w:eastAsia="仿宋_GB2312"/>
          <w:sz w:val="32"/>
          <w:szCs w:val="32"/>
          <w:highlight w:val="none"/>
          <w:lang w:val="en-US" w:eastAsia="zh-CN"/>
        </w:rPr>
        <w:t>4</w:t>
      </w:r>
      <w:r>
        <w:rPr>
          <w:rFonts w:hint="eastAsia" w:ascii="仿宋_GB2312" w:hAnsi="仿宋" w:eastAsia="仿宋_GB2312"/>
          <w:sz w:val="32"/>
          <w:szCs w:val="32"/>
          <w:highlight w:val="none"/>
        </w:rPr>
        <w:t xml:space="preserve">个项目开展绩效监控。 </w:t>
      </w:r>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highlight w:val="none"/>
        </w:rPr>
      </w:pPr>
      <w:r>
        <w:rPr>
          <w:rFonts w:hint="eastAsia" w:ascii="仿宋_GB2312" w:hAnsi="仿宋" w:eastAsia="仿宋_GB2312"/>
          <w:sz w:val="32"/>
          <w:szCs w:val="32"/>
          <w:highlight w:val="none"/>
        </w:rPr>
        <w:t>组织对202</w:t>
      </w:r>
      <w:r>
        <w:rPr>
          <w:rFonts w:hint="eastAsia" w:ascii="仿宋_GB2312" w:hAnsi="仿宋" w:eastAsia="仿宋_GB2312"/>
          <w:sz w:val="32"/>
          <w:szCs w:val="32"/>
          <w:highlight w:val="none"/>
          <w:lang w:val="en-US" w:eastAsia="zh-CN"/>
        </w:rPr>
        <w:t>5</w:t>
      </w:r>
      <w:r>
        <w:rPr>
          <w:rFonts w:hint="eastAsia" w:ascii="仿宋_GB2312" w:hAnsi="仿宋" w:eastAsia="仿宋_GB2312"/>
          <w:sz w:val="32"/>
          <w:szCs w:val="32"/>
          <w:highlight w:val="none"/>
        </w:rPr>
        <w:t>年度一般公共预算、政府性基金预算、国有资本经营预算、社会保险基金预算以及资本资产、债券资金等全面开展绩效自评，形成部门整体（含部门预算项目）绩效自评报告，部门整体（含部门预算项目）绩效自评得分为9</w:t>
      </w:r>
      <w:r>
        <w:rPr>
          <w:rFonts w:hint="eastAsia" w:ascii="仿宋_GB2312" w:hAnsi="仿宋" w:eastAsia="仿宋_GB2312"/>
          <w:sz w:val="32"/>
          <w:szCs w:val="32"/>
          <w:highlight w:val="none"/>
          <w:lang w:val="en-US" w:eastAsia="zh-CN"/>
        </w:rPr>
        <w:t>3</w:t>
      </w:r>
      <w:r>
        <w:rPr>
          <w:rFonts w:hint="eastAsia" w:ascii="仿宋_GB2312" w:hAnsi="仿宋" w:eastAsia="仿宋_GB2312"/>
          <w:sz w:val="32"/>
          <w:szCs w:val="32"/>
          <w:highlight w:val="none"/>
        </w:rPr>
        <w:t>分，绩效自评综述：我单位整体支出绩效目标良好，较好完成今年预定工作目标，严格按照预算管理进行支付并做到节能降耗，“三公”经费严格按照年初预算执行。在全面贯彻落实党的十九大精神,坚持以习近平新时代中国特色社会主义思想为指导,努力实现人民群众满意。</w:t>
      </w:r>
    </w:p>
    <w:p>
      <w:pPr>
        <w:rPr>
          <w:rFonts w:hint="eastAsia"/>
        </w:rPr>
      </w:pPr>
    </w:p>
    <w:p>
      <w:pPr>
        <w:pStyle w:val="4"/>
        <w:jc w:val="center"/>
      </w:pPr>
      <w:bookmarkStart w:id="63" w:name="_Toc16547"/>
      <w:r>
        <w:rPr>
          <w:rFonts w:hint="eastAsia"/>
        </w:rPr>
        <w:t>第三部分 名词解释</w:t>
      </w:r>
      <w:bookmarkEnd w:id="63"/>
    </w:p>
    <w:p/>
    <w:p>
      <w:pPr>
        <w:ind w:firstLine="640" w:firstLineChars="200"/>
        <w:rPr>
          <w:rFonts w:ascii="仿宋_GB2312" w:eastAsia="仿宋_GB2312"/>
          <w:sz w:val="32"/>
          <w:szCs w:val="32"/>
        </w:rPr>
      </w:pPr>
      <w:r>
        <w:rPr>
          <w:rFonts w:hint="eastAsia" w:ascii="仿宋_GB2312" w:eastAsia="仿宋_GB2312"/>
          <w:sz w:val="32"/>
          <w:szCs w:val="32"/>
        </w:rPr>
        <w:t>1.财政拨款收入：指单位从同级财政部门取得的财政预算资金。</w:t>
      </w:r>
    </w:p>
    <w:p>
      <w:pPr>
        <w:ind w:firstLine="640" w:firstLineChars="200"/>
        <w:rPr>
          <w:rFonts w:ascii="仿宋_GB2312" w:eastAsia="仿宋_GB2312"/>
          <w:sz w:val="32"/>
          <w:szCs w:val="32"/>
        </w:rPr>
      </w:pPr>
      <w:r>
        <w:rPr>
          <w:rFonts w:hint="eastAsia" w:ascii="仿宋_GB2312" w:eastAsia="仿宋_GB2312"/>
          <w:sz w:val="32"/>
          <w:szCs w:val="32"/>
        </w:rPr>
        <w:t>2.事业收入：指事业单位开展专业业务活动及辅助活动取得的收入。</w:t>
      </w:r>
    </w:p>
    <w:p>
      <w:pPr>
        <w:ind w:firstLine="640" w:firstLineChars="200"/>
        <w:rPr>
          <w:rFonts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pPr>
        <w:ind w:firstLine="640" w:firstLineChars="200"/>
        <w:rPr>
          <w:rFonts w:ascii="仿宋_GB2312" w:eastAsia="仿宋_GB2312"/>
          <w:sz w:val="32"/>
          <w:szCs w:val="32"/>
        </w:rPr>
      </w:pPr>
      <w:r>
        <w:rPr>
          <w:rFonts w:hint="eastAsia" w:ascii="仿宋_GB2312" w:eastAsia="仿宋_GB2312"/>
          <w:sz w:val="32"/>
          <w:szCs w:val="32"/>
        </w:rPr>
        <w:t>4.其他收入：指单位取得的除上述收入以外的各项收入。</w:t>
      </w:r>
    </w:p>
    <w:p>
      <w:pPr>
        <w:ind w:firstLine="640" w:firstLineChars="200"/>
        <w:rPr>
          <w:rFonts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pPr>
        <w:ind w:firstLine="640" w:firstLineChars="200"/>
        <w:rPr>
          <w:rFonts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pPr>
        <w:ind w:firstLine="640" w:firstLineChars="200"/>
        <w:rPr>
          <w:rFonts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pPr>
        <w:ind w:firstLine="640" w:firstLineChars="200"/>
        <w:rPr>
          <w:rFonts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pPr>
        <w:ind w:firstLine="640" w:firstLineChars="200"/>
        <w:rPr>
          <w:rFonts w:ascii="仿宋_GB2312" w:eastAsia="仿宋_GB2312"/>
          <w:sz w:val="32"/>
          <w:szCs w:val="32"/>
        </w:rPr>
      </w:pPr>
      <w:r>
        <w:rPr>
          <w:rFonts w:hint="eastAsia" w:ascii="仿宋_GB2312" w:eastAsia="仿宋_GB2312"/>
          <w:sz w:val="32"/>
          <w:szCs w:val="32"/>
        </w:rPr>
        <w:t>9.一般公共服务（类）…（款）…（项）：指……。</w:t>
      </w:r>
    </w:p>
    <w:p>
      <w:pPr>
        <w:ind w:firstLine="640" w:firstLineChars="200"/>
        <w:rPr>
          <w:rFonts w:ascii="仿宋_GB2312" w:eastAsia="仿宋_GB2312"/>
          <w:sz w:val="32"/>
          <w:szCs w:val="32"/>
        </w:rPr>
      </w:pPr>
      <w:r>
        <w:rPr>
          <w:rFonts w:hint="eastAsia" w:ascii="仿宋_GB2312" w:eastAsia="仿宋_GB2312"/>
          <w:sz w:val="32"/>
          <w:szCs w:val="32"/>
        </w:rPr>
        <w:t>10.外交（类）…（款）…（项）：指……。</w:t>
      </w:r>
    </w:p>
    <w:p>
      <w:pPr>
        <w:ind w:firstLine="640" w:firstLineChars="200"/>
        <w:rPr>
          <w:rFonts w:ascii="仿宋_GB2312" w:eastAsia="仿宋_GB2312"/>
          <w:sz w:val="32"/>
          <w:szCs w:val="32"/>
        </w:rPr>
      </w:pPr>
      <w:r>
        <w:rPr>
          <w:rFonts w:hint="eastAsia" w:ascii="仿宋_GB2312" w:eastAsia="仿宋_GB2312"/>
          <w:sz w:val="32"/>
          <w:szCs w:val="32"/>
        </w:rPr>
        <w:t>11.公共安全（类）…（款）…（项）：指……。</w:t>
      </w:r>
    </w:p>
    <w:p>
      <w:pPr>
        <w:ind w:firstLine="640" w:firstLineChars="200"/>
        <w:rPr>
          <w:rFonts w:ascii="仿宋_GB2312" w:eastAsia="仿宋_GB2312"/>
          <w:sz w:val="32"/>
          <w:szCs w:val="32"/>
        </w:rPr>
      </w:pPr>
      <w:r>
        <w:rPr>
          <w:rFonts w:hint="eastAsia" w:ascii="仿宋_GB2312" w:eastAsia="仿宋_GB2312"/>
          <w:sz w:val="32"/>
          <w:szCs w:val="32"/>
        </w:rPr>
        <w:t>12.教育（类）…（款）…（项）：指……。</w:t>
      </w:r>
    </w:p>
    <w:p>
      <w:pPr>
        <w:ind w:firstLine="640" w:firstLineChars="200"/>
        <w:rPr>
          <w:rFonts w:ascii="仿宋_GB2312" w:eastAsia="仿宋_GB2312"/>
          <w:sz w:val="32"/>
          <w:szCs w:val="32"/>
        </w:rPr>
      </w:pPr>
      <w:r>
        <w:rPr>
          <w:rFonts w:hint="eastAsia" w:ascii="仿宋_GB2312" w:eastAsia="仿宋_GB2312"/>
          <w:sz w:val="32"/>
          <w:szCs w:val="32"/>
        </w:rPr>
        <w:t>13.科学技术（类）…（款）…（项）：指……。</w:t>
      </w:r>
    </w:p>
    <w:p>
      <w:pPr>
        <w:ind w:firstLine="640" w:firstLineChars="200"/>
        <w:rPr>
          <w:rFonts w:ascii="仿宋_GB2312" w:eastAsia="仿宋_GB2312"/>
          <w:sz w:val="32"/>
          <w:szCs w:val="32"/>
        </w:rPr>
      </w:pPr>
      <w:r>
        <w:rPr>
          <w:rFonts w:hint="eastAsia" w:ascii="仿宋_GB2312" w:eastAsia="仿宋_GB2312"/>
          <w:sz w:val="32"/>
          <w:szCs w:val="32"/>
        </w:rPr>
        <w:t>14.文化旅游体育与传媒（类）…（款）…（项）：指……。</w:t>
      </w:r>
    </w:p>
    <w:p>
      <w:pPr>
        <w:ind w:firstLine="640" w:firstLineChars="200"/>
        <w:rPr>
          <w:rFonts w:ascii="仿宋_GB2312" w:eastAsia="仿宋_GB2312"/>
          <w:sz w:val="32"/>
          <w:szCs w:val="32"/>
        </w:rPr>
      </w:pPr>
      <w:r>
        <w:rPr>
          <w:rFonts w:hint="eastAsia" w:ascii="仿宋_GB2312" w:eastAsia="仿宋_GB2312"/>
          <w:sz w:val="32"/>
          <w:szCs w:val="32"/>
        </w:rPr>
        <w:t>15.社会保障和就业（类）…（款）…（项）：指……。</w:t>
      </w:r>
    </w:p>
    <w:p>
      <w:pPr>
        <w:ind w:firstLine="640" w:firstLineChars="200"/>
        <w:rPr>
          <w:rFonts w:ascii="仿宋_GB2312" w:eastAsia="仿宋_GB2312"/>
          <w:sz w:val="32"/>
          <w:szCs w:val="32"/>
        </w:rPr>
      </w:pPr>
      <w:r>
        <w:rPr>
          <w:rFonts w:hint="eastAsia" w:ascii="仿宋_GB2312" w:eastAsia="仿宋_GB2312"/>
          <w:sz w:val="32"/>
          <w:szCs w:val="32"/>
        </w:rPr>
        <w:t>16.卫生健康（类）…（款）…（项）：指……。</w:t>
      </w:r>
    </w:p>
    <w:p>
      <w:pPr>
        <w:ind w:firstLine="640" w:firstLineChars="200"/>
        <w:rPr>
          <w:rFonts w:ascii="仿宋_GB2312" w:eastAsia="仿宋_GB2312"/>
          <w:sz w:val="32"/>
          <w:szCs w:val="32"/>
        </w:rPr>
      </w:pPr>
      <w:r>
        <w:rPr>
          <w:rFonts w:hint="eastAsia" w:ascii="仿宋_GB2312" w:eastAsia="仿宋_GB2312"/>
          <w:sz w:val="32"/>
          <w:szCs w:val="32"/>
        </w:rPr>
        <w:t>17.节能环保（类）…（款）…（项）：指……。</w:t>
      </w:r>
    </w:p>
    <w:p>
      <w:pPr>
        <w:ind w:firstLine="640" w:firstLineChars="200"/>
        <w:rPr>
          <w:rFonts w:ascii="仿宋_GB2312" w:eastAsia="仿宋_GB2312"/>
          <w:sz w:val="32"/>
          <w:szCs w:val="32"/>
        </w:rPr>
      </w:pPr>
      <w:r>
        <w:rPr>
          <w:rFonts w:hint="eastAsia" w:ascii="仿宋_GB2312" w:eastAsia="仿宋_GB2312"/>
          <w:sz w:val="32"/>
          <w:szCs w:val="32"/>
        </w:rPr>
        <w:t>18.城乡社区（类）…（款）…（项）：指……。</w:t>
      </w:r>
    </w:p>
    <w:p>
      <w:pPr>
        <w:ind w:firstLine="640" w:firstLineChars="200"/>
        <w:rPr>
          <w:rFonts w:ascii="仿宋_GB2312" w:eastAsia="仿宋_GB2312"/>
          <w:sz w:val="32"/>
          <w:szCs w:val="32"/>
        </w:rPr>
      </w:pPr>
      <w:r>
        <w:rPr>
          <w:rFonts w:hint="eastAsia" w:ascii="仿宋_GB2312" w:eastAsia="仿宋_GB2312"/>
          <w:sz w:val="32"/>
          <w:szCs w:val="32"/>
        </w:rPr>
        <w:t>19.农林水（类）…（款）…（项）：指……。</w:t>
      </w:r>
    </w:p>
    <w:p>
      <w:pPr>
        <w:ind w:firstLine="640" w:firstLineChars="200"/>
        <w:rPr>
          <w:rFonts w:ascii="仿宋_GB2312" w:eastAsia="仿宋_GB2312"/>
          <w:sz w:val="32"/>
          <w:szCs w:val="32"/>
        </w:rPr>
      </w:pPr>
      <w:r>
        <w:rPr>
          <w:rFonts w:hint="eastAsia" w:ascii="仿宋_GB2312" w:eastAsia="仿宋_GB2312"/>
          <w:sz w:val="32"/>
          <w:szCs w:val="32"/>
        </w:rPr>
        <w:t>20.交通运输（类）…（款）…（项）：指……。</w:t>
      </w:r>
    </w:p>
    <w:p>
      <w:pPr>
        <w:ind w:firstLine="640" w:firstLineChars="200"/>
        <w:rPr>
          <w:rFonts w:ascii="仿宋_GB2312" w:eastAsia="仿宋_GB2312"/>
          <w:sz w:val="32"/>
          <w:szCs w:val="32"/>
        </w:rPr>
      </w:pPr>
      <w:r>
        <w:rPr>
          <w:rFonts w:hint="eastAsia" w:ascii="仿宋_GB2312" w:eastAsia="仿宋_GB2312"/>
          <w:sz w:val="32"/>
          <w:szCs w:val="32"/>
        </w:rPr>
        <w:t>21.资源勘探工业信息等（类）…（款）…（项）：指……。</w:t>
      </w:r>
    </w:p>
    <w:p>
      <w:pPr>
        <w:ind w:firstLine="640" w:firstLineChars="200"/>
        <w:rPr>
          <w:rFonts w:ascii="仿宋_GB2312" w:eastAsia="仿宋_GB2312"/>
          <w:sz w:val="32"/>
          <w:szCs w:val="32"/>
        </w:rPr>
      </w:pPr>
      <w:r>
        <w:rPr>
          <w:rFonts w:hint="eastAsia" w:ascii="仿宋_GB2312" w:eastAsia="仿宋_GB2312"/>
          <w:sz w:val="32"/>
          <w:szCs w:val="32"/>
        </w:rPr>
        <w:t>22.商业服务业（类）…（款）…（项）：指……。</w:t>
      </w:r>
    </w:p>
    <w:p>
      <w:pPr>
        <w:ind w:firstLine="640" w:firstLineChars="200"/>
        <w:rPr>
          <w:rFonts w:ascii="仿宋_GB2312" w:eastAsia="仿宋_GB2312"/>
          <w:sz w:val="32"/>
          <w:szCs w:val="32"/>
        </w:rPr>
      </w:pPr>
      <w:r>
        <w:rPr>
          <w:rFonts w:hint="eastAsia" w:ascii="仿宋_GB2312" w:eastAsia="仿宋_GB2312"/>
          <w:sz w:val="32"/>
          <w:szCs w:val="32"/>
        </w:rPr>
        <w:t>23.金融（类）…（款）…（项）：指……。</w:t>
      </w:r>
    </w:p>
    <w:p>
      <w:pPr>
        <w:ind w:firstLine="640" w:firstLineChars="200"/>
        <w:rPr>
          <w:rFonts w:ascii="仿宋_GB2312" w:eastAsia="仿宋_GB2312"/>
          <w:sz w:val="32"/>
          <w:szCs w:val="32"/>
        </w:rPr>
      </w:pPr>
      <w:r>
        <w:rPr>
          <w:rFonts w:hint="eastAsia" w:ascii="仿宋_GB2312" w:eastAsia="仿宋_GB2312"/>
          <w:sz w:val="32"/>
          <w:szCs w:val="32"/>
        </w:rPr>
        <w:t>24.自然资源海洋气象等（类）…（款）…（项）：指……。</w:t>
      </w:r>
    </w:p>
    <w:p>
      <w:pPr>
        <w:ind w:firstLine="640" w:firstLineChars="200"/>
        <w:rPr>
          <w:rFonts w:ascii="仿宋_GB2312" w:eastAsia="仿宋_GB2312"/>
          <w:sz w:val="32"/>
          <w:szCs w:val="32"/>
        </w:rPr>
      </w:pPr>
      <w:r>
        <w:rPr>
          <w:rFonts w:hint="eastAsia" w:ascii="仿宋_GB2312" w:eastAsia="仿宋_GB2312"/>
          <w:sz w:val="32"/>
          <w:szCs w:val="32"/>
        </w:rPr>
        <w:t>25.住房保障（类）…（款）…（项）：指……。</w:t>
      </w:r>
    </w:p>
    <w:p>
      <w:pPr>
        <w:ind w:firstLine="640" w:firstLineChars="200"/>
        <w:rPr>
          <w:rFonts w:ascii="仿宋_GB2312" w:eastAsia="仿宋_GB2312"/>
          <w:sz w:val="32"/>
          <w:szCs w:val="32"/>
        </w:rPr>
      </w:pPr>
      <w:r>
        <w:rPr>
          <w:rFonts w:hint="eastAsia" w:ascii="仿宋_GB2312" w:eastAsia="仿宋_GB2312"/>
          <w:sz w:val="32"/>
          <w:szCs w:val="32"/>
        </w:rPr>
        <w:t>26.粮油物资储备（类）…（款）…（项）：指……。</w:t>
      </w:r>
    </w:p>
    <w:p>
      <w:pPr>
        <w:ind w:firstLine="640" w:firstLineChars="200"/>
        <w:rPr>
          <w:rFonts w:ascii="仿宋_GB2312" w:eastAsia="仿宋_GB2312"/>
          <w:sz w:val="32"/>
          <w:szCs w:val="32"/>
        </w:rPr>
      </w:pPr>
      <w:r>
        <w:rPr>
          <w:rFonts w:hint="eastAsia" w:ascii="仿宋_GB2312" w:eastAsia="仿宋_GB2312"/>
          <w:sz w:val="32"/>
          <w:szCs w:val="32"/>
        </w:rPr>
        <w:t>27.基本支出：指为保障机构正常运转、完成日常工作任务而发生的人员支出和公用支出。</w:t>
      </w:r>
    </w:p>
    <w:p>
      <w:pPr>
        <w:ind w:firstLine="640" w:firstLineChars="200"/>
        <w:rPr>
          <w:rFonts w:ascii="仿宋_GB2312" w:eastAsia="仿宋_GB2312"/>
          <w:sz w:val="32"/>
          <w:szCs w:val="32"/>
        </w:rPr>
      </w:pPr>
      <w:r>
        <w:rPr>
          <w:rFonts w:hint="eastAsia" w:ascii="仿宋_GB2312" w:eastAsia="仿宋_GB2312"/>
          <w:sz w:val="32"/>
          <w:szCs w:val="32"/>
        </w:rPr>
        <w:t xml:space="preserve">28.项目支出：指在基本支出之外为完成特定行政任务和事业发展目标所发生的支出。 </w:t>
      </w:r>
    </w:p>
    <w:p>
      <w:pPr>
        <w:ind w:firstLine="640" w:firstLineChars="200"/>
        <w:rPr>
          <w:rFonts w:ascii="仿宋_GB2312" w:eastAsia="仿宋_GB2312"/>
          <w:sz w:val="32"/>
          <w:szCs w:val="32"/>
        </w:rPr>
      </w:pPr>
      <w:r>
        <w:rPr>
          <w:rFonts w:hint="eastAsia" w:ascii="仿宋_GB2312" w:eastAsia="仿宋_GB2312"/>
          <w:sz w:val="32"/>
          <w:szCs w:val="32"/>
        </w:rPr>
        <w:t>29.经营支出：指事业单位在专业业务活动及其辅助活动之外开展非独立核算经营活动发生的支出。</w:t>
      </w:r>
    </w:p>
    <w:p>
      <w:pPr>
        <w:ind w:firstLine="640" w:firstLineChars="200"/>
        <w:rPr>
          <w:rFonts w:ascii="仿宋_GB2312" w:eastAsia="仿宋_GB2312"/>
          <w:sz w:val="32"/>
          <w:szCs w:val="32"/>
        </w:rPr>
      </w:pPr>
      <w:r>
        <w:rPr>
          <w:rFonts w:hint="eastAsia" w:ascii="仿宋_GB2312" w:eastAsia="仿宋_GB2312"/>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640" w:firstLineChars="200"/>
        <w:rPr>
          <w:rFonts w:ascii="仿宋_GB2312" w:eastAsia="仿宋_GB2312"/>
          <w:sz w:val="32"/>
          <w:szCs w:val="32"/>
        </w:rPr>
      </w:pPr>
      <w:r>
        <w:rPr>
          <w:rFonts w:hint="eastAsia" w:ascii="仿宋_GB2312" w:eastAsia="仿宋_GB2312"/>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3" w:firstLineChars="200"/>
        <w:rPr>
          <w:rFonts w:hint="eastAsia" w:ascii="仿宋" w:hAnsi="仿宋" w:eastAsia="仿宋"/>
          <w:b/>
          <w:sz w:val="32"/>
          <w:szCs w:val="32"/>
        </w:rPr>
      </w:pPr>
      <w:r>
        <w:rPr>
          <w:rFonts w:ascii="仿宋" w:hAnsi="仿宋" w:eastAsia="仿宋"/>
          <w:b/>
          <w:sz w:val="32"/>
          <w:szCs w:val="32"/>
        </w:rPr>
        <w:br w:type="page"/>
      </w:r>
    </w:p>
    <w:p>
      <w:pPr>
        <w:pStyle w:val="4"/>
        <w:jc w:val="center"/>
        <w:rPr>
          <w:rFonts w:hint="eastAsia" w:ascii="黑体" w:hAnsi="黑体" w:eastAsia="黑体"/>
          <w:b w:val="0"/>
        </w:rPr>
      </w:pPr>
      <w:bookmarkStart w:id="64" w:name="_Toc15832"/>
      <w:r>
        <w:rPr>
          <w:rFonts w:hint="eastAsia" w:ascii="黑体" w:hAnsi="黑体" w:eastAsia="黑体"/>
          <w:b w:val="0"/>
        </w:rPr>
        <w:t>第四部分 附件</w:t>
      </w:r>
      <w:bookmarkEnd w:id="64"/>
    </w:p>
    <w:p/>
    <w:p>
      <w:pPr>
        <w:rPr>
          <w:rFonts w:hint="eastAsia" w:ascii="黑体" w:hAnsi="黑体" w:eastAsia="黑体"/>
          <w:sz w:val="32"/>
          <w:szCs w:val="32"/>
        </w:rPr>
      </w:pPr>
      <w:r>
        <w:rPr>
          <w:rFonts w:hint="eastAsia" w:ascii="黑体" w:hAnsi="黑体" w:eastAsia="黑体"/>
          <w:sz w:val="32"/>
          <w:szCs w:val="32"/>
        </w:rPr>
        <w:t>附件1</w:t>
      </w:r>
    </w:p>
    <w:p>
      <w:pPr>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部门预算绩效评价报告</w:t>
      </w:r>
    </w:p>
    <w:p/>
    <w:p>
      <w:pPr>
        <w:rPr>
          <w:rFonts w:hint="eastAsia" w:ascii="黑体" w:hAnsi="黑体" w:eastAsia="黑体"/>
          <w:sz w:val="32"/>
          <w:szCs w:val="32"/>
        </w:rPr>
      </w:pPr>
      <w:r>
        <w:rPr>
          <w:rFonts w:hint="eastAsia" w:ascii="黑体" w:hAnsi="黑体" w:eastAsia="黑体"/>
          <w:sz w:val="32"/>
          <w:szCs w:val="32"/>
        </w:rPr>
        <w:t>一、部门（单位）基本情况</w:t>
      </w:r>
    </w:p>
    <w:p>
      <w:pPr>
        <w:spacing w:line="576" w:lineRule="exact"/>
        <w:ind w:firstLine="643" w:firstLineChars="200"/>
        <w:rPr>
          <w:rFonts w:ascii="楷体_GB2312" w:eastAsia="楷体_GB2312"/>
          <w:b/>
          <w:sz w:val="32"/>
          <w:szCs w:val="32"/>
        </w:rPr>
      </w:pPr>
      <w:r>
        <w:rPr>
          <w:rFonts w:hint="eastAsia" w:ascii="楷体_GB2312" w:eastAsia="楷体_GB2312"/>
          <w:b/>
          <w:sz w:val="32"/>
          <w:szCs w:val="32"/>
        </w:rPr>
        <w:t>（一）机构组成。</w:t>
      </w:r>
    </w:p>
    <w:p>
      <w:pPr>
        <w:spacing w:line="576" w:lineRule="exact"/>
        <w:ind w:firstLine="640" w:firstLineChars="200"/>
        <w:rPr>
          <w:rFonts w:ascii="仿宋_GB2312" w:eastAsia="仿宋_GB2312"/>
          <w:sz w:val="32"/>
          <w:lang w:val="zh-CN"/>
        </w:rPr>
      </w:pPr>
      <w:r>
        <w:rPr>
          <w:rFonts w:hint="eastAsia" w:ascii="仿宋_GB2312" w:eastAsia="仿宋_GB2312"/>
          <w:sz w:val="32"/>
          <w:lang w:val="zh-CN"/>
        </w:rPr>
        <w:t>红原县</w:t>
      </w:r>
      <w:r>
        <w:rPr>
          <w:rFonts w:hint="eastAsia" w:ascii="仿宋_GB2312" w:eastAsia="仿宋_GB2312"/>
          <w:sz w:val="32"/>
        </w:rPr>
        <w:t>档案馆</w:t>
      </w:r>
      <w:r>
        <w:rPr>
          <w:rFonts w:hint="eastAsia" w:ascii="仿宋_GB2312" w:eastAsia="仿宋_GB2312"/>
          <w:sz w:val="32"/>
          <w:lang w:val="zh-CN"/>
        </w:rPr>
        <w:t>是行政单位，执行行政单位会计制度，我</w:t>
      </w:r>
      <w:r>
        <w:rPr>
          <w:rFonts w:hint="eastAsia" w:ascii="仿宋_GB2312" w:eastAsia="仿宋_GB2312"/>
          <w:sz w:val="32"/>
        </w:rPr>
        <w:t>单位</w:t>
      </w:r>
      <w:r>
        <w:rPr>
          <w:rFonts w:hint="eastAsia" w:ascii="仿宋_GB2312" w:eastAsia="仿宋_GB2312"/>
          <w:sz w:val="32"/>
          <w:lang w:val="zh-CN"/>
        </w:rPr>
        <w:t>下属二级决算单位</w:t>
      </w:r>
      <w:r>
        <w:rPr>
          <w:rFonts w:hint="eastAsia" w:ascii="仿宋_GB2312" w:eastAsia="仿宋_GB2312"/>
          <w:sz w:val="32"/>
        </w:rPr>
        <w:t>0</w:t>
      </w:r>
      <w:r>
        <w:rPr>
          <w:rFonts w:hint="eastAsia" w:ascii="仿宋_GB2312" w:eastAsia="仿宋_GB2312"/>
          <w:sz w:val="32"/>
          <w:lang w:val="zh-CN"/>
        </w:rPr>
        <w:t>个，其中行政单位</w:t>
      </w:r>
      <w:r>
        <w:rPr>
          <w:rFonts w:hint="eastAsia" w:ascii="仿宋_GB2312" w:eastAsia="仿宋_GB2312"/>
          <w:sz w:val="32"/>
        </w:rPr>
        <w:t>0</w:t>
      </w:r>
      <w:r>
        <w:rPr>
          <w:rFonts w:hint="eastAsia" w:ascii="仿宋_GB2312" w:eastAsia="仿宋_GB2312"/>
          <w:sz w:val="32"/>
          <w:lang w:val="zh-CN"/>
        </w:rPr>
        <w:t>个，参照公务员法管理的事业单位</w:t>
      </w:r>
      <w:r>
        <w:rPr>
          <w:rFonts w:hint="eastAsia" w:ascii="仿宋_GB2312" w:eastAsia="仿宋_GB2312"/>
          <w:sz w:val="32"/>
        </w:rPr>
        <w:t>1</w:t>
      </w:r>
      <w:r>
        <w:rPr>
          <w:rFonts w:hint="eastAsia" w:ascii="仿宋_GB2312" w:eastAsia="仿宋_GB2312"/>
          <w:sz w:val="32"/>
          <w:lang w:val="zh-CN"/>
        </w:rPr>
        <w:t>个，其他事业单位0个。</w:t>
      </w:r>
    </w:p>
    <w:p>
      <w:pPr>
        <w:numPr>
          <w:ilvl w:val="0"/>
          <w:numId w:val="4"/>
        </w:numPr>
        <w:ind w:firstLine="643" w:firstLineChars="200"/>
        <w:rPr>
          <w:rFonts w:ascii="楷体_GB2312" w:eastAsia="楷体_GB2312"/>
          <w:b/>
          <w:sz w:val="32"/>
          <w:szCs w:val="32"/>
        </w:rPr>
      </w:pPr>
      <w:r>
        <w:rPr>
          <w:rFonts w:hint="eastAsia" w:ascii="楷体_GB2312" w:eastAsia="楷体_GB2312"/>
          <w:b/>
          <w:sz w:val="32"/>
          <w:szCs w:val="32"/>
        </w:rPr>
        <w:t>机构职能。</w:t>
      </w:r>
    </w:p>
    <w:p>
      <w:pPr>
        <w:ind w:firstLine="640" w:firstLineChars="200"/>
        <w:rPr>
          <w:rFonts w:ascii="楷体_GB2312" w:eastAsia="楷体_GB2312"/>
          <w:b/>
          <w:sz w:val="32"/>
          <w:szCs w:val="32"/>
        </w:rPr>
      </w:pPr>
      <w:r>
        <w:rPr>
          <w:rFonts w:hint="eastAsia" w:ascii="仿宋_GB2312" w:hAnsi="仿宋" w:eastAsia="仿宋_GB2312"/>
          <w:sz w:val="32"/>
          <w:szCs w:val="32"/>
        </w:rPr>
        <w:t>贯彻执行党和国家关于档案工作的方针、政策，对全县档案工作实行统筹规划、宏观管理；贯彻实施《中华人民共和国档案法》、《档案法实施办法》，制定本县档案工作制度和规范性文件，依法查处档案违法行为；按照“统一领导、分组管理”的原则，对全县各单位档案工作进行监督指导；集中统一管理县级档案资料，维护档案的完整，确保档案资料的安全；负责接收、征集、整理、保管县直单位及其及所属单位的重要档案以及社会上散存的具有全县意义的档案资料；运用现代技术手段保护和管理档案；开发档案信息资源，编纂、公布、出版档案史料，为经济和社会发展提供服务；组织、协调、指导全县档案学术理论和科学技术研究工作，推进档案管理科学化、现代化建设；制定档案工作人员队伍建设规划，组织档案专业教育和档案专业培训工作；负责档案专业职务评聘的有关工作；负责全县档案系统对外交流工作；承办县委、县政府交办的其他事项。</w:t>
      </w:r>
    </w:p>
    <w:p>
      <w:pPr>
        <w:numPr>
          <w:ilvl w:val="0"/>
          <w:numId w:val="4"/>
        </w:numPr>
        <w:ind w:firstLine="643" w:firstLineChars="200"/>
        <w:rPr>
          <w:rFonts w:ascii="楷体_GB2312" w:eastAsia="楷体_GB2312"/>
          <w:b/>
          <w:sz w:val="32"/>
          <w:szCs w:val="32"/>
        </w:rPr>
      </w:pPr>
      <w:r>
        <w:rPr>
          <w:rFonts w:hint="eastAsia" w:ascii="楷体_GB2312" w:eastAsia="楷体_GB2312"/>
          <w:b/>
          <w:sz w:val="32"/>
          <w:szCs w:val="32"/>
        </w:rPr>
        <w:t>人员概况。</w:t>
      </w:r>
    </w:p>
    <w:p>
      <w:pPr>
        <w:ind w:firstLine="640" w:firstLineChars="200"/>
        <w:rPr>
          <w:rFonts w:ascii="仿宋_GB2312" w:hAnsi="仿宋" w:eastAsia="仿宋_GB2312"/>
          <w:sz w:val="32"/>
          <w:szCs w:val="32"/>
          <w:highlight w:val="none"/>
        </w:rPr>
      </w:pPr>
      <w:r>
        <w:rPr>
          <w:rFonts w:hint="eastAsia" w:ascii="仿宋_GB2312" w:hAnsi="仿宋" w:eastAsia="仿宋_GB2312"/>
          <w:sz w:val="32"/>
          <w:szCs w:val="32"/>
          <w:highlight w:val="none"/>
          <w:lang w:val="zh-CN"/>
        </w:rPr>
        <w:t>我</w:t>
      </w:r>
      <w:r>
        <w:rPr>
          <w:rFonts w:hint="eastAsia" w:ascii="仿宋_GB2312" w:hAnsi="仿宋" w:eastAsia="仿宋_GB2312"/>
          <w:sz w:val="32"/>
          <w:szCs w:val="32"/>
          <w:highlight w:val="none"/>
        </w:rPr>
        <w:t>单位</w:t>
      </w:r>
      <w:r>
        <w:rPr>
          <w:rFonts w:hint="eastAsia" w:ascii="仿宋_GB2312" w:hAnsi="仿宋" w:eastAsia="仿宋_GB2312"/>
          <w:sz w:val="32"/>
          <w:szCs w:val="32"/>
          <w:highlight w:val="none"/>
          <w:lang w:val="zh-CN"/>
        </w:rPr>
        <w:t>人事核定行政编制</w:t>
      </w:r>
      <w:r>
        <w:rPr>
          <w:rFonts w:hint="eastAsia" w:ascii="仿宋_GB2312" w:hAnsi="仿宋" w:eastAsia="仿宋_GB2312"/>
          <w:sz w:val="32"/>
          <w:szCs w:val="32"/>
          <w:highlight w:val="none"/>
          <w:lang w:val="en-US" w:eastAsia="zh-CN"/>
        </w:rPr>
        <w:t>11</w:t>
      </w:r>
      <w:r>
        <w:rPr>
          <w:rFonts w:hint="eastAsia" w:ascii="仿宋_GB2312" w:hAnsi="仿宋" w:eastAsia="仿宋_GB2312"/>
          <w:sz w:val="32"/>
          <w:szCs w:val="32"/>
          <w:highlight w:val="none"/>
          <w:lang w:val="zh-CN"/>
        </w:rPr>
        <w:t>人，其中：行政工勤编制1人。是独立核算的机构，是独立编报预算的单位。20</w:t>
      </w:r>
      <w:r>
        <w:rPr>
          <w:rFonts w:hint="eastAsia" w:ascii="仿宋_GB2312" w:hAnsi="仿宋" w:eastAsia="仿宋_GB2312"/>
          <w:sz w:val="32"/>
          <w:szCs w:val="32"/>
          <w:highlight w:val="none"/>
        </w:rPr>
        <w:t>2</w:t>
      </w:r>
      <w:r>
        <w:rPr>
          <w:rFonts w:hint="eastAsia" w:ascii="仿宋_GB2312" w:hAnsi="仿宋" w:eastAsia="仿宋_GB2312"/>
          <w:sz w:val="32"/>
          <w:szCs w:val="32"/>
          <w:highlight w:val="none"/>
          <w:lang w:val="en-US" w:eastAsia="zh-CN"/>
        </w:rPr>
        <w:t>5</w:t>
      </w:r>
      <w:r>
        <w:rPr>
          <w:rFonts w:hint="eastAsia" w:ascii="仿宋_GB2312" w:hAnsi="仿宋" w:eastAsia="仿宋_GB2312"/>
          <w:sz w:val="32"/>
          <w:szCs w:val="32"/>
          <w:highlight w:val="none"/>
          <w:lang w:val="zh-CN"/>
        </w:rPr>
        <w:t>年年末在职行政人数</w:t>
      </w:r>
      <w:r>
        <w:rPr>
          <w:rFonts w:hint="eastAsia" w:ascii="仿宋_GB2312" w:hAnsi="仿宋" w:eastAsia="仿宋_GB2312"/>
          <w:sz w:val="32"/>
          <w:szCs w:val="32"/>
          <w:highlight w:val="none"/>
          <w:lang w:val="en-US" w:eastAsia="zh-CN"/>
        </w:rPr>
        <w:t>10</w:t>
      </w:r>
      <w:r>
        <w:rPr>
          <w:rFonts w:hint="eastAsia" w:ascii="仿宋_GB2312" w:hAnsi="仿宋" w:eastAsia="仿宋_GB2312"/>
          <w:sz w:val="32"/>
          <w:szCs w:val="32"/>
          <w:highlight w:val="none"/>
          <w:lang w:val="zh-CN"/>
        </w:rPr>
        <w:t>人，其中：行政工勤在职人数1人。事业编制人数</w:t>
      </w:r>
      <w:r>
        <w:rPr>
          <w:rFonts w:hint="eastAsia" w:ascii="仿宋_GB2312" w:hAnsi="仿宋" w:eastAsia="仿宋_GB2312"/>
          <w:sz w:val="32"/>
          <w:szCs w:val="32"/>
          <w:highlight w:val="none"/>
        </w:rPr>
        <w:t>0人，实有人数</w:t>
      </w:r>
      <w:r>
        <w:rPr>
          <w:rFonts w:hint="eastAsia" w:ascii="仿宋_GB2312" w:hAnsi="仿宋" w:eastAsia="仿宋_GB2312"/>
          <w:sz w:val="32"/>
          <w:szCs w:val="32"/>
          <w:highlight w:val="none"/>
          <w:lang w:val="en-US" w:eastAsia="zh-CN"/>
        </w:rPr>
        <w:t>11</w:t>
      </w:r>
      <w:r>
        <w:rPr>
          <w:rFonts w:hint="eastAsia" w:ascii="仿宋_GB2312" w:hAnsi="仿宋" w:eastAsia="仿宋_GB2312"/>
          <w:sz w:val="32"/>
          <w:szCs w:val="32"/>
          <w:highlight w:val="none"/>
        </w:rPr>
        <w:t>人。</w:t>
      </w:r>
    </w:p>
    <w:p>
      <w:pPr>
        <w:rPr>
          <w:rFonts w:hint="eastAsia" w:ascii="黑体" w:hAnsi="黑体" w:eastAsia="黑体"/>
          <w:sz w:val="32"/>
          <w:szCs w:val="32"/>
        </w:rPr>
      </w:pPr>
      <w:r>
        <w:rPr>
          <w:rFonts w:hint="eastAsia" w:ascii="黑体" w:hAnsi="黑体" w:eastAsia="黑体"/>
          <w:sz w:val="32"/>
          <w:szCs w:val="32"/>
        </w:rPr>
        <w:t>二、部门资金收支情况</w:t>
      </w:r>
    </w:p>
    <w:p>
      <w:pPr>
        <w:ind w:firstLine="643" w:firstLineChars="200"/>
        <w:rPr>
          <w:rFonts w:ascii="楷体_GB2312" w:eastAsia="楷体_GB2312"/>
          <w:b/>
          <w:sz w:val="32"/>
          <w:szCs w:val="32"/>
        </w:rPr>
      </w:pPr>
      <w:r>
        <w:rPr>
          <w:rFonts w:hint="eastAsia" w:ascii="楷体_GB2312" w:eastAsia="楷体_GB2312"/>
          <w:b/>
          <w:sz w:val="32"/>
          <w:szCs w:val="32"/>
        </w:rPr>
        <w:t>（一）收入情况。</w:t>
      </w:r>
    </w:p>
    <w:p>
      <w:pPr>
        <w:ind w:firstLine="640" w:firstLineChars="200"/>
        <w:rPr>
          <w:rFonts w:ascii="仿宋_GB2312" w:hAnsi="仿宋" w:eastAsia="仿宋_GB2312"/>
          <w:sz w:val="32"/>
          <w:szCs w:val="32"/>
        </w:rPr>
      </w:pPr>
      <w:r>
        <w:rPr>
          <w:rFonts w:hint="eastAsia" w:ascii="仿宋_GB2312" w:hAnsi="仿宋" w:eastAsia="仿宋_GB2312"/>
          <w:sz w:val="32"/>
          <w:szCs w:val="32"/>
        </w:rPr>
        <w:t>本单位202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年收入全年预算数为</w:t>
      </w:r>
      <w:r>
        <w:rPr>
          <w:rFonts w:hint="eastAsia" w:ascii="仿宋_GB2312" w:hAnsi="仿宋" w:eastAsia="仿宋_GB2312"/>
          <w:sz w:val="32"/>
          <w:szCs w:val="32"/>
          <w:lang w:val="en-US" w:eastAsia="zh-CN"/>
        </w:rPr>
        <w:t>327.64</w:t>
      </w:r>
      <w:r>
        <w:rPr>
          <w:rFonts w:hint="eastAsia" w:ascii="仿宋_GB2312" w:hAnsi="仿宋" w:eastAsia="仿宋_GB2312"/>
          <w:sz w:val="32"/>
          <w:szCs w:val="32"/>
        </w:rPr>
        <w:t>万元，收入决算数为</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万元，预算完成度为98.</w:t>
      </w:r>
      <w:r>
        <w:rPr>
          <w:rFonts w:hint="eastAsia" w:ascii="仿宋_GB2312" w:hAnsi="仿宋" w:eastAsia="仿宋_GB2312"/>
          <w:sz w:val="32"/>
          <w:szCs w:val="32"/>
          <w:lang w:val="en-US" w:eastAsia="zh-CN"/>
        </w:rPr>
        <w:t>38</w:t>
      </w:r>
      <w:r>
        <w:rPr>
          <w:rFonts w:hint="eastAsia" w:ascii="仿宋_GB2312" w:hAnsi="仿宋" w:eastAsia="仿宋_GB2312"/>
          <w:sz w:val="32"/>
          <w:szCs w:val="32"/>
        </w:rPr>
        <w:t>%。</w:t>
      </w:r>
      <w:r>
        <w:rPr>
          <w:rFonts w:hint="eastAsia" w:ascii="仿宋_GB2312" w:hAnsi="仿宋" w:eastAsia="仿宋_GB2312"/>
          <w:sz w:val="32"/>
          <w:szCs w:val="32"/>
          <w:lang w:val="zh-CN"/>
        </w:rPr>
        <w:t>20</w:t>
      </w:r>
      <w:r>
        <w:rPr>
          <w:rFonts w:hint="eastAsia" w:ascii="仿宋_GB2312" w:hAnsi="仿宋" w:eastAsia="仿宋_GB2312"/>
          <w:sz w:val="32"/>
          <w:szCs w:val="32"/>
        </w:rPr>
        <w:t>2</w:t>
      </w:r>
      <w:r>
        <w:rPr>
          <w:rFonts w:hint="eastAsia" w:ascii="仿宋_GB2312" w:hAnsi="仿宋" w:eastAsia="仿宋_GB2312"/>
          <w:sz w:val="32"/>
          <w:szCs w:val="32"/>
          <w:lang w:val="en-US" w:eastAsia="zh-CN"/>
        </w:rPr>
        <w:t>5</w:t>
      </w:r>
      <w:r>
        <w:rPr>
          <w:rFonts w:hint="eastAsia" w:ascii="仿宋_GB2312" w:hAnsi="仿宋" w:eastAsia="仿宋_GB2312"/>
          <w:sz w:val="32"/>
          <w:szCs w:val="32"/>
          <w:lang w:val="zh-CN"/>
        </w:rPr>
        <w:t>年</w:t>
      </w:r>
      <w:r>
        <w:rPr>
          <w:rFonts w:hint="eastAsia" w:ascii="仿宋_GB2312" w:hAnsi="仿宋" w:eastAsia="仿宋_GB2312"/>
          <w:sz w:val="32"/>
          <w:szCs w:val="32"/>
        </w:rPr>
        <w:t>总</w:t>
      </w:r>
      <w:r>
        <w:rPr>
          <w:rFonts w:hint="eastAsia" w:ascii="仿宋_GB2312" w:hAnsi="仿宋" w:eastAsia="仿宋_GB2312"/>
          <w:sz w:val="32"/>
          <w:szCs w:val="32"/>
          <w:lang w:val="zh-CN"/>
        </w:rPr>
        <w:t>收入</w:t>
      </w:r>
      <w:r>
        <w:rPr>
          <w:rFonts w:hint="eastAsia" w:ascii="仿宋_GB2312" w:hAnsi="仿宋" w:eastAsia="仿宋_GB2312"/>
          <w:sz w:val="32"/>
          <w:szCs w:val="32"/>
          <w:lang w:val="en-US" w:eastAsia="zh-CN"/>
        </w:rPr>
        <w:t>322.36</w:t>
      </w:r>
      <w:r>
        <w:rPr>
          <w:rFonts w:hint="eastAsia" w:ascii="仿宋_GB2312" w:hAnsi="仿宋" w:eastAsia="仿宋_GB2312"/>
          <w:sz w:val="32"/>
          <w:szCs w:val="32"/>
          <w:lang w:val="zh-CN"/>
        </w:rPr>
        <w:t>万元，其中：财政拨款收入</w:t>
      </w:r>
      <w:r>
        <w:rPr>
          <w:rFonts w:hint="eastAsia" w:ascii="仿宋_GB2312" w:hAnsi="仿宋" w:eastAsia="仿宋_GB2312"/>
          <w:sz w:val="32"/>
          <w:szCs w:val="32"/>
          <w:lang w:val="en-US" w:eastAsia="zh-CN"/>
        </w:rPr>
        <w:t>322.36</w:t>
      </w:r>
      <w:r>
        <w:rPr>
          <w:rFonts w:hint="eastAsia" w:ascii="仿宋_GB2312" w:hAnsi="仿宋" w:eastAsia="仿宋_GB2312"/>
          <w:sz w:val="32"/>
          <w:szCs w:val="32"/>
          <w:lang w:val="zh-CN"/>
        </w:rPr>
        <w:t>万元，占</w:t>
      </w:r>
      <w:r>
        <w:rPr>
          <w:rFonts w:hint="eastAsia" w:ascii="仿宋_GB2312" w:hAnsi="仿宋" w:eastAsia="仿宋_GB2312"/>
          <w:sz w:val="32"/>
          <w:szCs w:val="32"/>
        </w:rPr>
        <w:t>100</w:t>
      </w:r>
      <w:r>
        <w:rPr>
          <w:rFonts w:hint="eastAsia" w:ascii="仿宋_GB2312" w:hAnsi="仿宋" w:eastAsia="仿宋_GB2312"/>
          <w:sz w:val="32"/>
          <w:szCs w:val="32"/>
          <w:lang w:val="zh-CN"/>
        </w:rPr>
        <w:t>%</w:t>
      </w:r>
      <w:r>
        <w:rPr>
          <w:rFonts w:hint="eastAsia" w:ascii="仿宋_GB2312" w:hAnsi="仿宋" w:eastAsia="仿宋_GB2312"/>
          <w:sz w:val="32"/>
          <w:szCs w:val="32"/>
        </w:rPr>
        <w:t>。</w:t>
      </w:r>
    </w:p>
    <w:p>
      <w:pPr>
        <w:numPr>
          <w:ilvl w:val="0"/>
          <w:numId w:val="5"/>
        </w:numPr>
        <w:ind w:firstLine="643" w:firstLineChars="200"/>
        <w:rPr>
          <w:rFonts w:ascii="楷体_GB2312" w:eastAsia="楷体_GB2312"/>
          <w:b/>
          <w:sz w:val="32"/>
          <w:szCs w:val="32"/>
        </w:rPr>
      </w:pPr>
      <w:r>
        <w:rPr>
          <w:rFonts w:hint="eastAsia" w:ascii="楷体_GB2312" w:eastAsia="楷体_GB2312"/>
          <w:b/>
          <w:sz w:val="32"/>
          <w:szCs w:val="32"/>
        </w:rPr>
        <w:t>支出情况。</w:t>
      </w:r>
    </w:p>
    <w:p>
      <w:pPr>
        <w:ind w:firstLine="640" w:firstLineChars="200"/>
        <w:rPr>
          <w:rFonts w:hint="eastAsia" w:ascii="仿宋_GB2312" w:hAnsi="仿宋" w:eastAsia="仿宋_GB2312"/>
          <w:sz w:val="32"/>
          <w:szCs w:val="32"/>
        </w:rPr>
      </w:pPr>
      <w:r>
        <w:rPr>
          <w:rFonts w:hint="eastAsia" w:ascii="仿宋_GB2312" w:hAnsi="仿宋" w:eastAsia="仿宋_GB2312"/>
          <w:sz w:val="32"/>
          <w:szCs w:val="32"/>
        </w:rPr>
        <w:t>本单位202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年支出全年预算数为</w:t>
      </w:r>
      <w:r>
        <w:rPr>
          <w:rFonts w:hint="eastAsia" w:ascii="仿宋_GB2312" w:hAnsi="仿宋" w:eastAsia="仿宋_GB2312"/>
          <w:sz w:val="32"/>
          <w:szCs w:val="32"/>
          <w:lang w:val="en-US" w:eastAsia="zh-CN"/>
        </w:rPr>
        <w:t>327.64</w:t>
      </w:r>
      <w:r>
        <w:rPr>
          <w:rFonts w:hint="eastAsia" w:ascii="仿宋_GB2312" w:hAnsi="仿宋" w:eastAsia="仿宋_GB2312"/>
          <w:sz w:val="32"/>
          <w:szCs w:val="32"/>
        </w:rPr>
        <w:t>万元，支出决算数为</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万元，预算完成度为98.</w:t>
      </w:r>
      <w:r>
        <w:rPr>
          <w:rFonts w:hint="eastAsia" w:ascii="仿宋_GB2312" w:hAnsi="仿宋" w:eastAsia="仿宋_GB2312"/>
          <w:sz w:val="32"/>
          <w:szCs w:val="32"/>
          <w:lang w:val="en-US" w:eastAsia="zh-CN"/>
        </w:rPr>
        <w:t>38</w:t>
      </w:r>
      <w:r>
        <w:rPr>
          <w:rFonts w:hint="eastAsia" w:ascii="仿宋_GB2312" w:hAnsi="仿宋" w:eastAsia="仿宋_GB2312"/>
          <w:sz w:val="32"/>
          <w:szCs w:val="32"/>
        </w:rPr>
        <w:t>%。</w:t>
      </w:r>
      <w:r>
        <w:rPr>
          <w:rFonts w:hint="eastAsia" w:ascii="仿宋_GB2312" w:hAnsi="仿宋" w:eastAsia="仿宋_GB2312"/>
          <w:sz w:val="32"/>
          <w:szCs w:val="32"/>
          <w:lang w:val="zh-CN"/>
        </w:rPr>
        <w:t>20</w:t>
      </w:r>
      <w:r>
        <w:rPr>
          <w:rFonts w:hint="eastAsia" w:ascii="仿宋_GB2312" w:hAnsi="仿宋" w:eastAsia="仿宋_GB2312"/>
          <w:sz w:val="32"/>
          <w:szCs w:val="32"/>
        </w:rPr>
        <w:t>2</w:t>
      </w:r>
      <w:r>
        <w:rPr>
          <w:rFonts w:hint="eastAsia" w:ascii="仿宋_GB2312" w:hAnsi="仿宋" w:eastAsia="仿宋_GB2312"/>
          <w:sz w:val="32"/>
          <w:szCs w:val="32"/>
          <w:lang w:val="en-US" w:eastAsia="zh-CN"/>
        </w:rPr>
        <w:t>5</w:t>
      </w:r>
      <w:r>
        <w:rPr>
          <w:rFonts w:hint="eastAsia" w:ascii="仿宋_GB2312" w:hAnsi="仿宋" w:eastAsia="仿宋_GB2312"/>
          <w:sz w:val="32"/>
          <w:szCs w:val="32"/>
          <w:lang w:val="zh-CN"/>
        </w:rPr>
        <w:t>年支出合计</w:t>
      </w:r>
      <w:r>
        <w:rPr>
          <w:rFonts w:hint="eastAsia" w:ascii="仿宋_GB2312" w:hAnsi="仿宋" w:eastAsia="仿宋_GB2312"/>
          <w:sz w:val="32"/>
          <w:szCs w:val="32"/>
          <w:lang w:val="en-US" w:eastAsia="zh-CN"/>
        </w:rPr>
        <w:t>322.36</w:t>
      </w:r>
      <w:r>
        <w:rPr>
          <w:rFonts w:hint="eastAsia" w:ascii="仿宋_GB2312" w:hAnsi="仿宋" w:eastAsia="仿宋_GB2312"/>
          <w:sz w:val="32"/>
          <w:szCs w:val="32"/>
          <w:lang w:val="zh-CN"/>
        </w:rPr>
        <w:t>万元，</w:t>
      </w:r>
      <w:r>
        <w:rPr>
          <w:rFonts w:hint="eastAsia" w:ascii="仿宋_GB2312" w:hAnsi="仿宋" w:eastAsia="仿宋_GB2312"/>
          <w:sz w:val="32"/>
          <w:szCs w:val="32"/>
        </w:rPr>
        <w:t>其中：一般公共服务支出为</w:t>
      </w:r>
      <w:r>
        <w:rPr>
          <w:rFonts w:hint="eastAsia" w:ascii="仿宋_GB2312" w:hAnsi="仿宋" w:eastAsia="仿宋_GB2312"/>
          <w:sz w:val="32"/>
          <w:szCs w:val="32"/>
          <w:lang w:val="en-US" w:eastAsia="zh-CN"/>
        </w:rPr>
        <w:t>235.87</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73.17</w:t>
      </w:r>
      <w:r>
        <w:rPr>
          <w:rFonts w:hint="eastAsia" w:ascii="仿宋_GB2312" w:hAnsi="仿宋" w:eastAsia="仿宋_GB2312"/>
          <w:sz w:val="32"/>
          <w:szCs w:val="32"/>
        </w:rPr>
        <w:t>%；社会保障和就业支出为</w:t>
      </w:r>
      <w:r>
        <w:rPr>
          <w:rFonts w:hint="eastAsia" w:ascii="仿宋_GB2312" w:hAnsi="仿宋" w:eastAsia="仿宋_GB2312"/>
          <w:sz w:val="32"/>
          <w:szCs w:val="32"/>
          <w:lang w:val="en-US" w:eastAsia="zh-CN"/>
        </w:rPr>
        <w:t>44.83</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13.9</w:t>
      </w:r>
      <w:r>
        <w:rPr>
          <w:rFonts w:hint="eastAsia" w:ascii="仿宋_GB2312" w:hAnsi="仿宋" w:eastAsia="仿宋_GB2312"/>
          <w:sz w:val="32"/>
          <w:szCs w:val="32"/>
        </w:rPr>
        <w:t>%；卫生健康支出为</w:t>
      </w:r>
      <w:r>
        <w:rPr>
          <w:rFonts w:hint="eastAsia" w:ascii="仿宋_GB2312" w:hAnsi="仿宋" w:eastAsia="仿宋_GB2312"/>
          <w:sz w:val="32"/>
          <w:szCs w:val="32"/>
          <w:lang w:val="en-US" w:eastAsia="zh-CN"/>
        </w:rPr>
        <w:t>16.57</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5.14</w:t>
      </w:r>
      <w:r>
        <w:rPr>
          <w:rFonts w:hint="eastAsia" w:ascii="仿宋_GB2312" w:hAnsi="仿宋" w:eastAsia="仿宋_GB2312"/>
          <w:sz w:val="32"/>
          <w:szCs w:val="32"/>
        </w:rPr>
        <w:t>%；住房保障支出为</w:t>
      </w:r>
      <w:r>
        <w:rPr>
          <w:rFonts w:hint="eastAsia" w:ascii="仿宋_GB2312" w:hAnsi="仿宋" w:eastAsia="仿宋_GB2312"/>
          <w:sz w:val="32"/>
          <w:szCs w:val="32"/>
          <w:lang w:val="en-US" w:eastAsia="zh-CN"/>
        </w:rPr>
        <w:t>23.08</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7.15</w:t>
      </w:r>
      <w:r>
        <w:rPr>
          <w:rFonts w:hint="eastAsia" w:ascii="仿宋_GB2312" w:hAnsi="仿宋" w:eastAsia="仿宋_GB2312"/>
          <w:sz w:val="32"/>
          <w:szCs w:val="32"/>
        </w:rPr>
        <w:t>%；国有资本经营预算支出</w:t>
      </w:r>
      <w:r>
        <w:rPr>
          <w:rFonts w:hint="eastAsia" w:ascii="仿宋_GB2312" w:hAnsi="仿宋" w:eastAsia="仿宋_GB2312"/>
          <w:sz w:val="32"/>
          <w:szCs w:val="32"/>
          <w:lang w:val="en-US" w:eastAsia="zh-CN"/>
        </w:rPr>
        <w:t>2.01</w:t>
      </w:r>
      <w:r>
        <w:rPr>
          <w:rFonts w:hint="eastAsia" w:ascii="仿宋_GB2312" w:hAnsi="仿宋" w:eastAsia="仿宋_GB2312"/>
          <w:sz w:val="32"/>
          <w:szCs w:val="32"/>
        </w:rPr>
        <w:t>万元，占比0.26%；较上年支出</w:t>
      </w:r>
      <w:r>
        <w:rPr>
          <w:rFonts w:hint="eastAsia" w:ascii="仿宋_GB2312" w:hAnsi="仿宋" w:eastAsia="仿宋_GB2312"/>
          <w:sz w:val="32"/>
          <w:szCs w:val="32"/>
          <w:lang w:val="en-US" w:eastAsia="zh-CN"/>
        </w:rPr>
        <w:t>348.65</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减少26.29</w:t>
      </w:r>
      <w:r>
        <w:rPr>
          <w:rFonts w:hint="eastAsia" w:ascii="仿宋_GB2312" w:hAnsi="仿宋" w:eastAsia="仿宋_GB2312"/>
          <w:sz w:val="32"/>
          <w:szCs w:val="32"/>
        </w:rPr>
        <w:t>万元。</w:t>
      </w:r>
    </w:p>
    <w:p>
      <w:pPr>
        <w:widowControl/>
        <w:numPr>
          <w:ilvl w:val="0"/>
          <w:numId w:val="5"/>
        </w:numPr>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结余分配和结转结余情况。</w:t>
      </w:r>
    </w:p>
    <w:p>
      <w:pPr>
        <w:ind w:firstLine="640" w:firstLineChars="200"/>
        <w:rPr>
          <w:rFonts w:hint="eastAsia" w:ascii="仿宋_GB2312" w:hAnsi="仿宋" w:eastAsia="仿宋_GB2312"/>
          <w:sz w:val="32"/>
          <w:szCs w:val="32"/>
        </w:rPr>
      </w:pPr>
      <w:r>
        <w:rPr>
          <w:rFonts w:hint="eastAsia" w:ascii="仿宋_GB2312" w:hAnsi="仿宋" w:eastAsia="仿宋_GB2312"/>
          <w:sz w:val="32"/>
          <w:szCs w:val="32"/>
        </w:rPr>
        <w:t>红原县档案馆202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年决算报表结转结余为0元。</w:t>
      </w:r>
    </w:p>
    <w:p>
      <w:pPr>
        <w:rPr>
          <w:rFonts w:hint="eastAsia" w:ascii="黑体" w:hAnsi="黑体" w:eastAsia="黑体"/>
          <w:sz w:val="32"/>
          <w:szCs w:val="32"/>
          <w:highlight w:val="yellow"/>
        </w:rPr>
      </w:pPr>
      <w:r>
        <w:rPr>
          <w:rFonts w:hint="eastAsia" w:ascii="黑体" w:hAnsi="黑体" w:eastAsia="黑体"/>
          <w:sz w:val="32"/>
          <w:szCs w:val="32"/>
          <w:highlight w:val="none"/>
        </w:rPr>
        <w:t>三、部门预算绩效分析</w:t>
      </w:r>
    </w:p>
    <w:p>
      <w:pPr>
        <w:rPr>
          <w:rFonts w:ascii="仿宋_GB2312" w:eastAsia="仿宋_GB2312"/>
          <w:sz w:val="32"/>
          <w:szCs w:val="32"/>
        </w:rPr>
      </w:pPr>
      <w:r>
        <w:rPr>
          <w:rFonts w:hint="eastAsia" w:ascii="楷体_GB2312" w:eastAsia="楷体_GB2312"/>
          <w:b/>
          <w:sz w:val="32"/>
          <w:szCs w:val="32"/>
        </w:rPr>
        <w:t>（一）部门预算总体绩效分析。</w:t>
      </w:r>
      <w:r>
        <w:rPr>
          <w:rFonts w:hint="eastAsia" w:ascii="仿宋_GB2312" w:eastAsia="仿宋_GB2312"/>
          <w:sz w:val="32"/>
          <w:szCs w:val="32"/>
        </w:rPr>
        <w:t>根据部门预算绩效评价指标体系“总体绩效”涉及二、三级指标进行逐项绩效分析并评分，依次包括履职效能、预算管理、财务管理、资产管理、采购管理等情况。</w:t>
      </w:r>
    </w:p>
    <w:p>
      <w:pPr>
        <w:ind w:firstLine="640" w:firstLineChars="200"/>
        <w:rPr>
          <w:rFonts w:hint="eastAsia" w:ascii="仿宋_GB2312" w:eastAsia="仿宋_GB2312"/>
          <w:sz w:val="32"/>
          <w:szCs w:val="32"/>
          <w:lang w:val="zh-CN"/>
        </w:rPr>
      </w:pPr>
      <w:r>
        <w:rPr>
          <w:rFonts w:hint="eastAsia" w:ascii="仿宋_GB2312" w:eastAsia="仿宋_GB2312"/>
          <w:sz w:val="32"/>
          <w:szCs w:val="32"/>
        </w:rPr>
        <w:t>1.</w:t>
      </w:r>
      <w:r>
        <w:rPr>
          <w:rFonts w:hint="eastAsia" w:ascii="仿宋_GB2312" w:eastAsia="仿宋_GB2312"/>
          <w:sz w:val="32"/>
          <w:szCs w:val="32"/>
          <w:lang w:val="zh-CN"/>
        </w:rPr>
        <w:t>履职</w:t>
      </w:r>
      <w:r>
        <w:rPr>
          <w:rFonts w:hint="eastAsia" w:ascii="仿宋_GB2312" w:eastAsia="仿宋_GB2312"/>
          <w:sz w:val="32"/>
          <w:szCs w:val="32"/>
        </w:rPr>
        <w:t>效能</w:t>
      </w:r>
      <w:r>
        <w:rPr>
          <w:rFonts w:hint="eastAsia" w:ascii="仿宋_GB2312" w:eastAsia="仿宋_GB2312"/>
          <w:sz w:val="32"/>
          <w:szCs w:val="32"/>
          <w:lang w:val="zh-CN"/>
        </w:rPr>
        <w:t>。</w:t>
      </w:r>
    </w:p>
    <w:p>
      <w:pPr>
        <w:ind w:firstLine="640" w:firstLineChars="200"/>
        <w:rPr>
          <w:rFonts w:hint="eastAsia" w:ascii="仿宋_GB2312" w:eastAsia="仿宋_GB2312"/>
          <w:sz w:val="32"/>
          <w:szCs w:val="32"/>
        </w:rPr>
      </w:pPr>
      <w:r>
        <w:rPr>
          <w:rFonts w:hint="eastAsia" w:ascii="仿宋_GB2312" w:eastAsia="仿宋_GB2312"/>
          <w:sz w:val="32"/>
          <w:szCs w:val="32"/>
        </w:rPr>
        <w:t>产出指标：质量指标，档案抢救达标率，=100%，全年完成值100%。</w:t>
      </w:r>
    </w:p>
    <w:p>
      <w:pPr>
        <w:ind w:firstLine="640" w:firstLineChars="200"/>
        <w:rPr>
          <w:rFonts w:hint="eastAsia" w:ascii="仿宋_GB2312" w:eastAsia="仿宋_GB2312"/>
          <w:sz w:val="32"/>
          <w:szCs w:val="32"/>
        </w:rPr>
      </w:pPr>
      <w:r>
        <w:rPr>
          <w:rFonts w:hint="eastAsia" w:ascii="仿宋_GB2312" w:eastAsia="仿宋_GB2312"/>
          <w:sz w:val="32"/>
          <w:szCs w:val="32"/>
        </w:rPr>
        <w:t>效益指标：社会效益指标，确保档案馆藏资源安全完整，定性指标，有效保障。</w:t>
      </w:r>
    </w:p>
    <w:p>
      <w:pPr>
        <w:ind w:firstLine="640" w:firstLineChars="200"/>
        <w:rPr>
          <w:rFonts w:hint="eastAsia" w:ascii="仿宋_GB2312" w:eastAsia="仿宋_GB2312"/>
          <w:sz w:val="32"/>
          <w:szCs w:val="32"/>
          <w:lang w:val="zh-CN"/>
        </w:rPr>
      </w:pPr>
      <w:r>
        <w:rPr>
          <w:rFonts w:hint="eastAsia" w:ascii="仿宋_GB2312" w:eastAsia="仿宋_GB2312"/>
          <w:sz w:val="32"/>
          <w:szCs w:val="32"/>
        </w:rPr>
        <w:t>满意度指标：服务对象满意度指标，群众满意度，≥95%，全年完成值100%。</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en-US" w:eastAsia="zh-CN"/>
        </w:rPr>
        <w:t>2.</w:t>
      </w:r>
      <w:r>
        <w:rPr>
          <w:rFonts w:hint="eastAsia" w:ascii="仿宋_GB2312" w:eastAsia="仿宋_GB2312"/>
          <w:sz w:val="32"/>
          <w:szCs w:val="32"/>
          <w:lang w:val="zh-CN"/>
        </w:rPr>
        <w:t>预算管理。</w:t>
      </w:r>
    </w:p>
    <w:p>
      <w:pPr>
        <w:ind w:firstLine="640" w:firstLineChars="200"/>
        <w:rPr>
          <w:rFonts w:hint="eastAsia" w:ascii="仿宋_GB2312" w:eastAsia="仿宋_GB2312"/>
          <w:sz w:val="32"/>
          <w:szCs w:val="32"/>
        </w:rPr>
      </w:pPr>
      <w:r>
        <w:rPr>
          <w:rFonts w:hint="eastAsia" w:ascii="仿宋_GB2312" w:eastAsia="仿宋_GB2312"/>
          <w:sz w:val="32"/>
          <w:szCs w:val="32"/>
          <w:lang w:val="zh-CN"/>
        </w:rPr>
        <w:t>预算编制质量：实际收入与预算收入无差异，实际支出与预算支出无差异。所有应纳入预算的项目被涵盖</w:t>
      </w:r>
      <w:r>
        <w:rPr>
          <w:rFonts w:hint="eastAsia" w:ascii="仿宋_GB2312" w:eastAsia="仿宋_GB2312"/>
          <w:sz w:val="32"/>
          <w:szCs w:val="32"/>
        </w:rPr>
        <w:t>100%，预算分配与单位的年度总体目标相匹配。预算编制符合法律法规和内部政策制度。</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zh-CN"/>
        </w:rPr>
        <w:t>单位收入统筹：</w:t>
      </w:r>
      <w:r>
        <w:rPr>
          <w:rFonts w:hint="eastAsia" w:ascii="仿宋_GB2312" w:eastAsia="仿宋_GB2312"/>
          <w:sz w:val="32"/>
          <w:szCs w:val="32"/>
        </w:rPr>
        <w:t>本单位202</w:t>
      </w:r>
      <w:r>
        <w:rPr>
          <w:rFonts w:hint="eastAsia" w:ascii="仿宋_GB2312" w:eastAsia="仿宋_GB2312"/>
          <w:sz w:val="32"/>
          <w:szCs w:val="32"/>
          <w:lang w:val="en-US" w:eastAsia="zh-CN"/>
        </w:rPr>
        <w:t>5</w:t>
      </w:r>
      <w:r>
        <w:rPr>
          <w:rFonts w:hint="eastAsia" w:ascii="仿宋_GB2312" w:eastAsia="仿宋_GB2312"/>
          <w:sz w:val="32"/>
          <w:szCs w:val="32"/>
        </w:rPr>
        <w:t>年收入全年预算数为</w:t>
      </w:r>
      <w:r>
        <w:rPr>
          <w:rFonts w:hint="eastAsia" w:ascii="仿宋_GB2312" w:eastAsia="仿宋_GB2312"/>
          <w:sz w:val="32"/>
          <w:szCs w:val="32"/>
          <w:lang w:val="en-US" w:eastAsia="zh-CN"/>
        </w:rPr>
        <w:t>327.64</w:t>
      </w:r>
      <w:r>
        <w:rPr>
          <w:rFonts w:hint="eastAsia" w:ascii="仿宋_GB2312" w:eastAsia="仿宋_GB2312"/>
          <w:sz w:val="32"/>
          <w:szCs w:val="32"/>
        </w:rPr>
        <w:t>万元，收入决算数为</w:t>
      </w:r>
      <w:r>
        <w:rPr>
          <w:rFonts w:hint="eastAsia" w:ascii="仿宋_GB2312" w:eastAsia="仿宋_GB2312"/>
          <w:sz w:val="32"/>
          <w:szCs w:val="32"/>
          <w:lang w:val="en-US" w:eastAsia="zh-CN"/>
        </w:rPr>
        <w:t>322.36</w:t>
      </w:r>
      <w:r>
        <w:rPr>
          <w:rFonts w:hint="eastAsia" w:ascii="仿宋_GB2312" w:eastAsia="仿宋_GB2312"/>
          <w:sz w:val="32"/>
          <w:szCs w:val="32"/>
        </w:rPr>
        <w:t>万元，预算完成度为98.</w:t>
      </w:r>
      <w:r>
        <w:rPr>
          <w:rFonts w:hint="eastAsia" w:ascii="仿宋_GB2312" w:eastAsia="仿宋_GB2312"/>
          <w:sz w:val="32"/>
          <w:szCs w:val="32"/>
          <w:lang w:val="en-US" w:eastAsia="zh-CN"/>
        </w:rPr>
        <w:t>38</w:t>
      </w:r>
      <w:r>
        <w:rPr>
          <w:rFonts w:hint="eastAsia" w:ascii="仿宋_GB2312" w:eastAsia="仿宋_GB2312"/>
          <w:sz w:val="32"/>
          <w:szCs w:val="32"/>
        </w:rPr>
        <w:t>%。</w:t>
      </w:r>
      <w:r>
        <w:rPr>
          <w:rFonts w:hint="eastAsia" w:ascii="仿宋_GB2312" w:eastAsia="仿宋_GB2312"/>
          <w:sz w:val="32"/>
          <w:szCs w:val="32"/>
          <w:lang w:val="zh-CN"/>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lang w:val="zh-CN"/>
        </w:rPr>
        <w:t>年度总收入</w:t>
      </w:r>
      <w:r>
        <w:rPr>
          <w:rFonts w:hint="eastAsia" w:ascii="仿宋_GB2312" w:eastAsia="仿宋_GB2312"/>
          <w:sz w:val="32"/>
          <w:szCs w:val="32"/>
          <w:lang w:val="en-US" w:eastAsia="zh-CN"/>
        </w:rPr>
        <w:t>322.36</w:t>
      </w:r>
      <w:r>
        <w:rPr>
          <w:rFonts w:hint="eastAsia" w:ascii="仿宋_GB2312" w:eastAsia="仿宋_GB2312"/>
          <w:sz w:val="32"/>
          <w:szCs w:val="32"/>
          <w:lang w:val="zh-CN"/>
        </w:rPr>
        <w:t>万元，其中：财政拨款收入</w:t>
      </w:r>
      <w:r>
        <w:rPr>
          <w:rFonts w:hint="eastAsia" w:ascii="仿宋_GB2312" w:eastAsia="仿宋_GB2312"/>
          <w:sz w:val="32"/>
          <w:szCs w:val="32"/>
          <w:lang w:val="en-US" w:eastAsia="zh-CN"/>
        </w:rPr>
        <w:t>320.34</w:t>
      </w:r>
      <w:r>
        <w:rPr>
          <w:rFonts w:hint="eastAsia" w:ascii="仿宋_GB2312" w:eastAsia="仿宋_GB2312"/>
          <w:sz w:val="32"/>
          <w:szCs w:val="32"/>
          <w:lang w:val="zh-CN"/>
        </w:rPr>
        <w:t>万元，占</w:t>
      </w:r>
      <w:r>
        <w:rPr>
          <w:rFonts w:hint="eastAsia" w:ascii="仿宋_GB2312" w:eastAsia="仿宋_GB2312"/>
          <w:sz w:val="32"/>
          <w:szCs w:val="32"/>
          <w:lang w:val="en-US" w:eastAsia="zh-CN"/>
        </w:rPr>
        <w:t>99.37</w:t>
      </w:r>
      <w:r>
        <w:rPr>
          <w:rFonts w:hint="eastAsia" w:ascii="仿宋_GB2312" w:eastAsia="仿宋_GB2312"/>
          <w:sz w:val="32"/>
          <w:szCs w:val="32"/>
          <w:lang w:val="zh-CN"/>
        </w:rPr>
        <w:t>%；国有资本经营预算财政拨款收入</w:t>
      </w:r>
      <w:r>
        <w:rPr>
          <w:rFonts w:hint="eastAsia" w:ascii="仿宋_GB2312" w:eastAsia="仿宋_GB2312"/>
          <w:sz w:val="32"/>
          <w:szCs w:val="32"/>
          <w:lang w:val="en-US" w:eastAsia="zh-CN"/>
        </w:rPr>
        <w:t>2.01</w:t>
      </w:r>
      <w:r>
        <w:rPr>
          <w:rFonts w:hint="eastAsia" w:ascii="仿宋_GB2312" w:eastAsia="仿宋_GB2312"/>
          <w:sz w:val="32"/>
          <w:szCs w:val="32"/>
        </w:rPr>
        <w:t>万元，占</w:t>
      </w:r>
      <w:r>
        <w:rPr>
          <w:rFonts w:hint="eastAsia" w:ascii="仿宋_GB2312" w:eastAsia="仿宋_GB2312"/>
          <w:sz w:val="32"/>
          <w:szCs w:val="32"/>
          <w:lang w:val="en-US" w:eastAsia="zh-CN"/>
        </w:rPr>
        <w:t>0.62</w:t>
      </w:r>
      <w:r>
        <w:rPr>
          <w:rFonts w:hint="eastAsia" w:ascii="仿宋_GB2312" w:eastAsia="仿宋_GB2312"/>
          <w:sz w:val="32"/>
          <w:szCs w:val="32"/>
        </w:rPr>
        <w:t>%.</w:t>
      </w:r>
      <w:r>
        <w:rPr>
          <w:rFonts w:hint="eastAsia" w:ascii="仿宋_GB2312" w:eastAsia="仿宋_GB2312"/>
          <w:sz w:val="32"/>
          <w:szCs w:val="32"/>
          <w:lang w:val="zh-CN"/>
        </w:rPr>
        <w:t>；政府性基金预算财政拨款</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%；其他收入</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%；上级补助收入0万元，占0%；事业收入0万元，占0%；经营收入0万元，占0%；附属单位上缴收入0万元，占0%；上年项目支出结转和结余</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w:t>
      </w:r>
    </w:p>
    <w:p>
      <w:pPr>
        <w:ind w:firstLine="640" w:firstLineChars="200"/>
        <w:rPr>
          <w:rFonts w:hint="eastAsia" w:ascii="仿宋_GB2312" w:eastAsia="仿宋_GB2312"/>
          <w:sz w:val="32"/>
          <w:szCs w:val="32"/>
        </w:rPr>
      </w:pPr>
      <w:r>
        <w:rPr>
          <w:rFonts w:hint="eastAsia" w:ascii="仿宋_GB2312" w:eastAsia="仿宋_GB2312"/>
          <w:sz w:val="32"/>
          <w:szCs w:val="32"/>
          <w:lang w:val="zh-CN"/>
        </w:rPr>
        <w:t>支出执行进度：</w:t>
      </w: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年度支出全年预算数为</w:t>
      </w:r>
      <w:r>
        <w:rPr>
          <w:rFonts w:hint="eastAsia" w:ascii="仿宋_GB2312" w:eastAsia="仿宋_GB2312"/>
          <w:sz w:val="32"/>
          <w:szCs w:val="32"/>
          <w:lang w:val="en-US" w:eastAsia="zh-CN"/>
        </w:rPr>
        <w:t>327.64</w:t>
      </w:r>
      <w:r>
        <w:rPr>
          <w:rFonts w:hint="eastAsia" w:ascii="仿宋_GB2312" w:eastAsia="仿宋_GB2312"/>
          <w:sz w:val="32"/>
          <w:szCs w:val="32"/>
        </w:rPr>
        <w:t>万元，支出决算数为</w:t>
      </w:r>
      <w:r>
        <w:rPr>
          <w:rFonts w:hint="eastAsia" w:ascii="仿宋_GB2312" w:eastAsia="仿宋_GB2312"/>
          <w:sz w:val="32"/>
          <w:szCs w:val="32"/>
          <w:lang w:val="en-US" w:eastAsia="zh-CN"/>
        </w:rPr>
        <w:t>322.36</w:t>
      </w:r>
      <w:r>
        <w:rPr>
          <w:rFonts w:hint="eastAsia" w:ascii="仿宋_GB2312" w:eastAsia="仿宋_GB2312"/>
          <w:sz w:val="32"/>
          <w:szCs w:val="32"/>
        </w:rPr>
        <w:t>万元，预算完成度为98.</w:t>
      </w:r>
      <w:r>
        <w:rPr>
          <w:rFonts w:hint="eastAsia" w:ascii="仿宋_GB2312" w:eastAsia="仿宋_GB2312"/>
          <w:sz w:val="32"/>
          <w:szCs w:val="32"/>
          <w:lang w:val="en-US" w:eastAsia="zh-CN"/>
        </w:rPr>
        <w:t>38</w:t>
      </w:r>
      <w:r>
        <w:rPr>
          <w:rFonts w:hint="eastAsia" w:ascii="仿宋_GB2312" w:eastAsia="仿宋_GB2312"/>
          <w:sz w:val="32"/>
          <w:szCs w:val="32"/>
        </w:rPr>
        <w:t>%，执行进度</w:t>
      </w:r>
      <w:r>
        <w:rPr>
          <w:rFonts w:hint="eastAsia" w:ascii="仿宋_GB2312" w:eastAsia="仿宋_GB2312"/>
          <w:sz w:val="32"/>
          <w:szCs w:val="32"/>
          <w:lang w:val="en-US" w:eastAsia="zh-CN"/>
        </w:rPr>
        <w:t>98.38</w:t>
      </w:r>
      <w:r>
        <w:rPr>
          <w:rFonts w:hint="eastAsia" w:ascii="仿宋_GB2312" w:eastAsia="仿宋_GB2312"/>
          <w:sz w:val="32"/>
          <w:szCs w:val="32"/>
        </w:rPr>
        <w:t>%。</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zh-CN"/>
        </w:rPr>
        <w:t>预算年终结余：无。</w:t>
      </w:r>
    </w:p>
    <w:p>
      <w:pPr>
        <w:ind w:firstLine="640" w:firstLineChars="200"/>
        <w:rPr>
          <w:rFonts w:hint="eastAsia" w:ascii="仿宋_GB2312" w:eastAsia="仿宋_GB2312"/>
          <w:sz w:val="32"/>
          <w:szCs w:val="32"/>
          <w:lang w:val="zh-CN"/>
        </w:rPr>
      </w:pPr>
      <w:r>
        <w:rPr>
          <w:rFonts w:hint="eastAsia" w:ascii="仿宋_GB2312" w:eastAsia="仿宋_GB2312"/>
          <w:sz w:val="32"/>
          <w:szCs w:val="32"/>
        </w:rPr>
        <w:t>3.</w:t>
      </w:r>
      <w:r>
        <w:rPr>
          <w:rFonts w:hint="eastAsia" w:ascii="仿宋_GB2312" w:eastAsia="仿宋_GB2312"/>
          <w:sz w:val="32"/>
          <w:szCs w:val="32"/>
          <w:lang w:val="zh-CN"/>
        </w:rPr>
        <w:t>财务管理。围绕财务管理制度、财务岗位设置、资金使用规范进行绩效分析。</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zh-CN"/>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zh-CN"/>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pPr>
        <w:ind w:firstLine="640" w:firstLineChars="200"/>
        <w:rPr>
          <w:rFonts w:hint="eastAsia" w:ascii="仿宋_GB2312" w:eastAsia="仿宋_GB2312"/>
          <w:sz w:val="32"/>
          <w:szCs w:val="32"/>
          <w:lang w:val="zh-CN"/>
        </w:rPr>
      </w:pPr>
      <w:r>
        <w:rPr>
          <w:rFonts w:hint="eastAsia" w:ascii="仿宋_GB2312" w:eastAsia="仿宋_GB2312"/>
          <w:sz w:val="32"/>
          <w:szCs w:val="32"/>
        </w:rPr>
        <w:t>A</w:t>
      </w:r>
      <w:r>
        <w:rPr>
          <w:rFonts w:hint="eastAsia" w:ascii="仿宋_GB2312" w:eastAsia="仿宋_GB2312"/>
          <w:sz w:val="32"/>
          <w:szCs w:val="32"/>
          <w:lang w:val="zh-CN"/>
        </w:rPr>
        <w:t>、明确了记账人员与审批人员、经办人员的职责权限，使其相互分离、相互制约，以明确责任，防止舞弊，各项业务事项得以有序进行。</w:t>
      </w:r>
    </w:p>
    <w:p>
      <w:pPr>
        <w:ind w:firstLine="640" w:firstLineChars="200"/>
        <w:rPr>
          <w:rFonts w:hint="eastAsia" w:ascii="仿宋_GB2312" w:eastAsia="仿宋_GB2312"/>
          <w:sz w:val="32"/>
          <w:szCs w:val="32"/>
          <w:lang w:val="zh-CN"/>
        </w:rPr>
      </w:pPr>
      <w:r>
        <w:rPr>
          <w:rFonts w:hint="eastAsia" w:ascii="仿宋_GB2312" w:eastAsia="仿宋_GB2312"/>
          <w:sz w:val="32"/>
          <w:szCs w:val="32"/>
        </w:rPr>
        <w:t>B</w:t>
      </w:r>
      <w:r>
        <w:rPr>
          <w:rFonts w:hint="eastAsia" w:ascii="仿宋_GB2312" w:eastAsia="仿宋_GB2312"/>
          <w:sz w:val="32"/>
          <w:szCs w:val="32"/>
          <w:lang w:val="zh-CN"/>
        </w:rPr>
        <w:t>、明确了财务收支审批程序和审批人的权限和责任，规范了各项资金的使用，提高了资金使用效益。</w:t>
      </w:r>
    </w:p>
    <w:p>
      <w:pPr>
        <w:ind w:firstLine="640" w:firstLineChars="200"/>
        <w:rPr>
          <w:rFonts w:hint="eastAsia" w:ascii="仿宋_GB2312" w:eastAsia="仿宋_GB2312"/>
          <w:sz w:val="32"/>
          <w:szCs w:val="32"/>
          <w:lang w:val="zh-CN"/>
        </w:rPr>
      </w:pPr>
      <w:r>
        <w:rPr>
          <w:rFonts w:hint="eastAsia" w:ascii="仿宋_GB2312" w:eastAsia="仿宋_GB2312"/>
          <w:sz w:val="32"/>
          <w:szCs w:val="32"/>
        </w:rPr>
        <w:t>C</w:t>
      </w:r>
      <w:r>
        <w:rPr>
          <w:rFonts w:hint="eastAsia" w:ascii="仿宋_GB2312" w:eastAsia="仿宋_GB2312"/>
          <w:sz w:val="32"/>
          <w:szCs w:val="32"/>
          <w:lang w:val="zh-CN"/>
        </w:rPr>
        <w:t>、明确经费支出的范围和开支标准，采取各种有效措施控制经费开支，杜绝了浪费现象的发生。</w:t>
      </w:r>
    </w:p>
    <w:p>
      <w:pPr>
        <w:ind w:firstLine="640" w:firstLineChars="200"/>
        <w:rPr>
          <w:rFonts w:hint="eastAsia" w:ascii="仿宋_GB2312" w:eastAsia="仿宋_GB2312"/>
          <w:sz w:val="32"/>
          <w:szCs w:val="32"/>
          <w:lang w:val="zh-CN"/>
        </w:rPr>
      </w:pPr>
      <w:r>
        <w:rPr>
          <w:rFonts w:hint="eastAsia" w:ascii="仿宋_GB2312" w:eastAsia="仿宋_GB2312"/>
          <w:sz w:val="32"/>
          <w:szCs w:val="32"/>
        </w:rPr>
        <w:t>D</w:t>
      </w:r>
      <w:r>
        <w:rPr>
          <w:rFonts w:hint="eastAsia" w:ascii="仿宋_GB2312" w:eastAsia="仿宋_GB2312"/>
          <w:sz w:val="32"/>
          <w:szCs w:val="32"/>
          <w:lang w:val="zh-CN"/>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pPr>
        <w:ind w:firstLine="640" w:firstLineChars="200"/>
        <w:rPr>
          <w:rFonts w:hint="eastAsia" w:ascii="仿宋_GB2312" w:eastAsia="仿宋_GB2312"/>
          <w:sz w:val="32"/>
          <w:szCs w:val="32"/>
          <w:lang w:val="zh-CN"/>
        </w:rPr>
      </w:pPr>
      <w:r>
        <w:rPr>
          <w:rFonts w:hint="eastAsia" w:ascii="仿宋_GB2312" w:eastAsia="仿宋_GB2312"/>
          <w:sz w:val="32"/>
          <w:szCs w:val="32"/>
        </w:rPr>
        <w:t>4.</w:t>
      </w:r>
      <w:r>
        <w:rPr>
          <w:rFonts w:hint="eastAsia" w:ascii="仿宋_GB2312" w:eastAsia="仿宋_GB2312"/>
          <w:sz w:val="32"/>
          <w:szCs w:val="32"/>
          <w:lang w:val="zh-CN"/>
        </w:rPr>
        <w:t>资产管理。</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zh-CN"/>
        </w:rPr>
        <w:t>人均资产变化率：无变化。</w:t>
      </w:r>
    </w:p>
    <w:p>
      <w:pPr>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lang w:val="zh-CN"/>
        </w:rPr>
        <w:t>资产利用率：</w:t>
      </w:r>
      <w:r>
        <w:rPr>
          <w:rFonts w:hint="eastAsia" w:ascii="仿宋_GB2312" w:eastAsia="仿宋_GB2312"/>
          <w:sz w:val="32"/>
          <w:szCs w:val="32"/>
          <w:highlight w:val="none"/>
        </w:rPr>
        <w:t>100%。</w:t>
      </w:r>
    </w:p>
    <w:p>
      <w:pPr>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lang w:val="zh-CN"/>
        </w:rPr>
        <w:t>资产盘活率：</w:t>
      </w:r>
      <w:r>
        <w:rPr>
          <w:rFonts w:hint="eastAsia" w:ascii="仿宋_GB2312" w:eastAsia="仿宋_GB2312"/>
          <w:sz w:val="32"/>
          <w:szCs w:val="32"/>
          <w:highlight w:val="none"/>
        </w:rPr>
        <w:t>93%。</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zh-CN"/>
        </w:rPr>
        <w:t>单位资产管理由办公室总负责，使用人具体负责管理，对不能继续使用的资产由使用人交回办公室并提出申请，由办公室提供材料交给财务室按照相关程序统一购置。财政所每年对单位资产进行一次集中清理，对不能使用的资产及时报相关部门进行报废处理。</w:t>
      </w:r>
    </w:p>
    <w:p>
      <w:pPr>
        <w:ind w:firstLine="640" w:firstLineChars="200"/>
        <w:rPr>
          <w:rFonts w:hint="eastAsia" w:ascii="仿宋_GB2312" w:eastAsia="仿宋_GB2312"/>
          <w:sz w:val="32"/>
          <w:szCs w:val="32"/>
          <w:lang w:val="zh-CN"/>
        </w:rPr>
      </w:pPr>
      <w:r>
        <w:rPr>
          <w:rFonts w:hint="eastAsia" w:ascii="仿宋_GB2312" w:eastAsia="仿宋_GB2312"/>
          <w:sz w:val="32"/>
          <w:szCs w:val="32"/>
        </w:rPr>
        <w:t>5.</w:t>
      </w:r>
      <w:r>
        <w:rPr>
          <w:rFonts w:hint="eastAsia" w:ascii="仿宋_GB2312" w:eastAsia="仿宋_GB2312"/>
          <w:sz w:val="32"/>
          <w:szCs w:val="32"/>
          <w:lang w:val="zh-CN"/>
        </w:rPr>
        <w:t>采购管理。围绕支持中小企业发展、采购执行率进行绩效分析。</w:t>
      </w:r>
    </w:p>
    <w:p>
      <w:pPr>
        <w:ind w:firstLine="640" w:firstLineChars="200"/>
        <w:rPr>
          <w:rFonts w:hint="eastAsia" w:ascii="仿宋_GB2312" w:eastAsia="仿宋_GB2312"/>
          <w:sz w:val="32"/>
          <w:szCs w:val="32"/>
          <w:lang w:val="zh-CN"/>
        </w:rPr>
      </w:pPr>
      <w:r>
        <w:rPr>
          <w:rFonts w:hint="eastAsia" w:ascii="仿宋_GB2312" w:eastAsia="仿宋_GB2312"/>
          <w:sz w:val="32"/>
          <w:szCs w:val="32"/>
          <w:lang w:val="zh-CN"/>
        </w:rPr>
        <w:t>采购项目</w:t>
      </w:r>
      <w:r>
        <w:rPr>
          <w:rFonts w:hint="eastAsia" w:ascii="仿宋_GB2312" w:eastAsia="仿宋_GB2312"/>
          <w:sz w:val="32"/>
          <w:szCs w:val="32"/>
        </w:rPr>
        <w:t>严格</w:t>
      </w:r>
      <w:r>
        <w:rPr>
          <w:rFonts w:hint="eastAsia" w:ascii="仿宋_GB2312" w:eastAsia="仿宋_GB2312"/>
          <w:sz w:val="32"/>
          <w:szCs w:val="32"/>
          <w:lang w:val="zh-CN"/>
        </w:rPr>
        <w:t>按规定程序报批，要求必须落实统一采购预算资金；一是坚持按《政府采购管理办法》规定的条件，确定采购方式；二是坚持回避制度，与统一采购工作有利害关系的人员不得进入评委。在具体管理过程中，要坚持信息公开；资格审查标准公开；合同条款公开；评标标准、方法公开。</w:t>
      </w:r>
    </w:p>
    <w:p>
      <w:pPr>
        <w:ind w:firstLine="643" w:firstLineChars="200"/>
        <w:rPr>
          <w:rFonts w:eastAsia="仿宋_GB2312"/>
          <w:sz w:val="32"/>
          <w:szCs w:val="32"/>
          <w:lang w:val="zh-CN"/>
        </w:rPr>
      </w:pPr>
      <w:r>
        <w:rPr>
          <w:rFonts w:hint="eastAsia" w:ascii="楷体_GB2312" w:eastAsia="楷体_GB2312"/>
          <w:b/>
          <w:sz w:val="32"/>
          <w:szCs w:val="32"/>
        </w:rPr>
        <w:t>（二）部门预算项目绩效分析。</w:t>
      </w:r>
      <w:r>
        <w:rPr>
          <w:rFonts w:hint="eastAsia" w:eastAsia="仿宋_GB2312"/>
          <w:sz w:val="32"/>
          <w:szCs w:val="32"/>
          <w:lang w:val="zh-CN"/>
        </w:rPr>
        <w:t>填报以下数据，并根据部门预算绩效评价指标体系“项目绩效”涉及二、三级指标进行逐项绩效分析并评分，依次包括项目决策、项目执行、目标实现等情况。</w:t>
      </w:r>
    </w:p>
    <w:p>
      <w:pPr>
        <w:ind w:firstLine="640" w:firstLineChars="200"/>
        <w:rPr>
          <w:rFonts w:hint="default" w:eastAsia="仿宋_GB2312"/>
          <w:sz w:val="32"/>
          <w:szCs w:val="32"/>
          <w:highlight w:val="none"/>
          <w:lang w:val="en-US" w:eastAsia="zh-CN"/>
        </w:rPr>
      </w:pPr>
      <w:r>
        <w:rPr>
          <w:rFonts w:hint="eastAsia" w:eastAsia="仿宋_GB2312"/>
          <w:sz w:val="32"/>
          <w:szCs w:val="32"/>
          <w:highlight w:val="none"/>
          <w:lang w:val="zh-CN"/>
        </w:rPr>
        <w:t>常年项目绩效分析。该类项目总数</w:t>
      </w:r>
      <w:r>
        <w:rPr>
          <w:rFonts w:hint="eastAsia" w:eastAsia="仿宋_GB2312"/>
          <w:sz w:val="32"/>
          <w:szCs w:val="32"/>
          <w:highlight w:val="none"/>
          <w:lang w:val="en-US" w:eastAsia="zh-CN"/>
        </w:rPr>
        <w:t>1</w:t>
      </w:r>
      <w:r>
        <w:rPr>
          <w:rFonts w:hint="eastAsia" w:eastAsia="仿宋_GB2312"/>
          <w:sz w:val="32"/>
          <w:szCs w:val="32"/>
          <w:highlight w:val="none"/>
          <w:lang w:val="zh-CN"/>
        </w:rPr>
        <w:t>个，涉及预算总金额</w:t>
      </w:r>
      <w:r>
        <w:rPr>
          <w:rFonts w:hint="eastAsia" w:eastAsia="仿宋_GB2312"/>
          <w:sz w:val="32"/>
          <w:szCs w:val="32"/>
          <w:highlight w:val="none"/>
          <w:lang w:val="en-US" w:eastAsia="zh-CN"/>
        </w:rPr>
        <w:t>4</w:t>
      </w:r>
      <w:r>
        <w:rPr>
          <w:rFonts w:hint="eastAsia" w:eastAsia="仿宋_GB2312"/>
          <w:sz w:val="32"/>
          <w:szCs w:val="32"/>
          <w:highlight w:val="none"/>
          <w:lang w:val="zh-CN"/>
        </w:rPr>
        <w:t>万元，1—12月预算执行总体进度为</w:t>
      </w:r>
      <w:r>
        <w:rPr>
          <w:rFonts w:hint="eastAsia" w:eastAsia="仿宋_GB2312"/>
          <w:sz w:val="32"/>
          <w:szCs w:val="32"/>
          <w:highlight w:val="none"/>
          <w:lang w:val="en-US" w:eastAsia="zh-CN"/>
        </w:rPr>
        <w:t>99.1</w:t>
      </w:r>
      <w:r>
        <w:rPr>
          <w:rFonts w:hint="eastAsia" w:eastAsia="仿宋_GB2312"/>
          <w:sz w:val="32"/>
          <w:szCs w:val="32"/>
          <w:highlight w:val="none"/>
          <w:lang w:val="zh-CN"/>
        </w:rPr>
        <w:t>%，其中：预算结余率大于10%的项目共计0个。</w:t>
      </w:r>
      <w:r>
        <w:rPr>
          <w:rFonts w:hint="eastAsia" w:eastAsia="仿宋_GB2312"/>
          <w:sz w:val="32"/>
          <w:szCs w:val="32"/>
          <w:highlight w:val="none"/>
          <w:lang w:val="en-US" w:eastAsia="zh-CN"/>
        </w:rPr>
        <w:t xml:space="preserve">                                                 </w:t>
      </w:r>
    </w:p>
    <w:p>
      <w:pPr>
        <w:ind w:firstLine="640" w:firstLineChars="200"/>
        <w:rPr>
          <w:rFonts w:eastAsia="仿宋_GB2312"/>
          <w:sz w:val="32"/>
          <w:szCs w:val="32"/>
          <w:highlight w:val="none"/>
          <w:lang w:val="zh-CN"/>
        </w:rPr>
      </w:pPr>
      <w:r>
        <w:rPr>
          <w:rFonts w:hint="eastAsia" w:eastAsia="仿宋_GB2312"/>
          <w:sz w:val="32"/>
          <w:szCs w:val="32"/>
          <w:highlight w:val="none"/>
          <w:lang w:val="zh-CN"/>
        </w:rPr>
        <w:t>阶段（一次性）项目绩效分析。该类项目总数</w:t>
      </w:r>
      <w:r>
        <w:rPr>
          <w:rFonts w:hint="eastAsia" w:eastAsia="仿宋_GB2312"/>
          <w:sz w:val="32"/>
          <w:szCs w:val="32"/>
          <w:highlight w:val="none"/>
          <w:lang w:val="en-US" w:eastAsia="zh-CN"/>
        </w:rPr>
        <w:t>2</w:t>
      </w:r>
      <w:r>
        <w:rPr>
          <w:rFonts w:hint="eastAsia" w:eastAsia="仿宋_GB2312"/>
          <w:sz w:val="32"/>
          <w:szCs w:val="32"/>
          <w:highlight w:val="none"/>
          <w:lang w:val="zh-CN"/>
        </w:rPr>
        <w:t>个，涉及预算总金额</w:t>
      </w:r>
      <w:r>
        <w:rPr>
          <w:rFonts w:hint="eastAsia" w:eastAsia="仿宋_GB2312"/>
          <w:sz w:val="32"/>
          <w:szCs w:val="32"/>
          <w:highlight w:val="none"/>
          <w:lang w:val="en-US" w:eastAsia="zh-CN"/>
        </w:rPr>
        <w:t>6.29</w:t>
      </w:r>
      <w:r>
        <w:rPr>
          <w:rFonts w:hint="eastAsia" w:eastAsia="仿宋_GB2312"/>
          <w:sz w:val="32"/>
          <w:szCs w:val="32"/>
          <w:highlight w:val="none"/>
          <w:lang w:val="zh-CN"/>
        </w:rPr>
        <w:t>万元，1—12月预算执行总体进度为</w:t>
      </w:r>
      <w:r>
        <w:rPr>
          <w:rFonts w:hint="eastAsia" w:eastAsia="仿宋_GB2312"/>
          <w:sz w:val="32"/>
          <w:szCs w:val="32"/>
          <w:highlight w:val="none"/>
          <w:lang w:val="en-US" w:eastAsia="zh-CN"/>
        </w:rPr>
        <w:t>100</w:t>
      </w:r>
      <w:r>
        <w:rPr>
          <w:rFonts w:hint="eastAsia" w:eastAsia="仿宋_GB2312"/>
          <w:sz w:val="32"/>
          <w:szCs w:val="32"/>
          <w:highlight w:val="none"/>
          <w:lang w:val="zh-CN"/>
        </w:rPr>
        <w:t>%，其中：预算结余率大于10%的项目共计</w:t>
      </w:r>
      <w:r>
        <w:rPr>
          <w:rFonts w:hint="eastAsia" w:eastAsia="仿宋_GB2312"/>
          <w:sz w:val="32"/>
          <w:szCs w:val="32"/>
          <w:highlight w:val="none"/>
          <w:lang w:val="en-US" w:eastAsia="zh-CN"/>
        </w:rPr>
        <w:t>0</w:t>
      </w:r>
      <w:r>
        <w:rPr>
          <w:rFonts w:hint="eastAsia" w:eastAsia="仿宋_GB2312"/>
          <w:sz w:val="32"/>
          <w:szCs w:val="32"/>
          <w:highlight w:val="none"/>
          <w:lang w:val="zh-CN"/>
        </w:rPr>
        <w:t>个。</w:t>
      </w:r>
    </w:p>
    <w:p>
      <w:pPr>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rPr>
        <w:t>1.项目决策。</w:t>
      </w:r>
    </w:p>
    <w:p>
      <w:pPr>
        <w:ind w:firstLine="640" w:firstLineChars="200"/>
        <w:rPr>
          <w:rFonts w:eastAsia="仿宋_GB2312"/>
          <w:sz w:val="32"/>
          <w:szCs w:val="32"/>
        </w:rPr>
      </w:pPr>
      <w:r>
        <w:rPr>
          <w:rFonts w:hint="eastAsia" w:eastAsia="仿宋_GB2312"/>
          <w:sz w:val="32"/>
          <w:szCs w:val="32"/>
          <w:lang w:val="zh-CN"/>
        </w:rPr>
        <w:t>决策程序：</w:t>
      </w:r>
      <w:r>
        <w:rPr>
          <w:rFonts w:hint="eastAsia" w:eastAsia="仿宋_GB2312"/>
          <w:sz w:val="32"/>
          <w:szCs w:val="32"/>
        </w:rPr>
        <w:t>加强对领导机关、领导干部特别是各级领导班子主要负责人的监督。认真检查党的路线、方针、政策和决议的执行情况，监督民主集中制及领导班子议事规则落实情况，反属重大决策、重要干部任免、重大项目安排和大额度资金的使用，必须由领导班子集体作出决定。</w:t>
      </w:r>
    </w:p>
    <w:p>
      <w:pPr>
        <w:ind w:firstLine="640" w:firstLineChars="200"/>
        <w:rPr>
          <w:rFonts w:ascii="仿宋_GB2312" w:hAnsi="仿宋" w:eastAsia="仿宋_GB2312"/>
          <w:sz w:val="32"/>
          <w:szCs w:val="32"/>
          <w:lang w:val="zh-CN"/>
        </w:rPr>
      </w:pPr>
      <w:r>
        <w:rPr>
          <w:rFonts w:hint="eastAsia" w:eastAsia="仿宋_GB2312"/>
          <w:sz w:val="32"/>
          <w:szCs w:val="32"/>
          <w:lang w:val="zh-CN"/>
        </w:rPr>
        <w:t>目标设置：履行政治领导责任，做好理论武装何思想政治工作，负责学习、宣传、贯彻执行党的理论和路线方针政策，贯</w:t>
      </w:r>
      <w:r>
        <w:rPr>
          <w:rFonts w:hint="eastAsia" w:ascii="仿宋_GB2312" w:hAnsi="仿宋" w:eastAsia="仿宋_GB2312"/>
          <w:sz w:val="32"/>
          <w:szCs w:val="32"/>
          <w:lang w:val="zh-CN"/>
        </w:rPr>
        <w:t>彻落实党中央、省委、州委和县委的，决策部署，发挥好把方向、管大局、保落实;提高退役军人思想政治、管理保障和安置优抚等法律法规，拟定退役军人工作政策并组织实施，褒扬彰显退役军人为党、国家和人民牺牲奉献的精神风范和价值导向;</w:t>
      </w:r>
    </w:p>
    <w:p>
      <w:pPr>
        <w:ind w:firstLine="640" w:firstLineChars="200"/>
        <w:rPr>
          <w:rFonts w:ascii="仿宋_GB2312" w:hAnsi="仿宋" w:eastAsia="仿宋_GB2312"/>
          <w:sz w:val="32"/>
          <w:szCs w:val="32"/>
          <w:lang w:val="zh-CN"/>
        </w:rPr>
      </w:pPr>
      <w:r>
        <w:rPr>
          <w:rFonts w:hint="eastAsia" w:ascii="仿宋_GB2312" w:hAnsi="仿宋" w:eastAsia="仿宋_GB2312"/>
          <w:sz w:val="32"/>
          <w:szCs w:val="32"/>
          <w:lang w:val="zh-CN"/>
        </w:rPr>
        <w:t>项目入库：</w:t>
      </w:r>
      <w:r>
        <w:rPr>
          <w:rFonts w:hint="eastAsia" w:ascii="仿宋_GB2312" w:hAnsi="仿宋" w:eastAsia="仿宋_GB2312"/>
          <w:sz w:val="32"/>
          <w:szCs w:val="32"/>
        </w:rPr>
        <w:t>严格</w:t>
      </w:r>
      <w:r>
        <w:rPr>
          <w:rFonts w:hint="eastAsia" w:ascii="仿宋_GB2312" w:hAnsi="仿宋" w:eastAsia="仿宋_GB2312"/>
          <w:sz w:val="32"/>
          <w:szCs w:val="32"/>
          <w:lang w:val="zh-CN"/>
        </w:rPr>
        <w:t>按照程序以及要求，项目在资金使用前必须进行项目入库。</w:t>
      </w:r>
    </w:p>
    <w:p>
      <w:pPr>
        <w:ind w:firstLine="640" w:firstLineChars="200"/>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rPr>
        <w:t>2.项目执行。</w:t>
      </w:r>
    </w:p>
    <w:p>
      <w:pPr>
        <w:ind w:firstLine="640" w:firstLineChars="200"/>
        <w:rPr>
          <w:rFonts w:ascii="仿宋_GB2312" w:hAnsi="仿宋" w:eastAsia="仿宋_GB2312"/>
          <w:sz w:val="32"/>
          <w:szCs w:val="32"/>
          <w:lang w:val="zh-CN"/>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年预算决算总收入</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年支出合计</w:t>
      </w:r>
      <w:r>
        <w:rPr>
          <w:rFonts w:hint="eastAsia" w:ascii="仿宋_GB2312" w:hAnsi="仿宋" w:eastAsia="仿宋_GB2312"/>
          <w:sz w:val="32"/>
          <w:szCs w:val="32"/>
          <w:lang w:val="en-US" w:eastAsia="zh-CN"/>
        </w:rPr>
        <w:t>322.36</w:t>
      </w:r>
      <w:r>
        <w:rPr>
          <w:rFonts w:hint="eastAsia" w:ascii="仿宋_GB2312" w:hAnsi="仿宋" w:eastAsia="仿宋_GB2312"/>
          <w:sz w:val="32"/>
          <w:szCs w:val="32"/>
        </w:rPr>
        <w:t>万元，资金使用率100%。其中：一般公共服务支出为</w:t>
      </w:r>
      <w:r>
        <w:rPr>
          <w:rFonts w:hint="eastAsia" w:ascii="仿宋_GB2312" w:hAnsi="仿宋" w:eastAsia="仿宋_GB2312"/>
          <w:sz w:val="32"/>
          <w:szCs w:val="32"/>
          <w:lang w:val="en-US" w:eastAsia="zh-CN"/>
        </w:rPr>
        <w:t>235.87</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73.16</w:t>
      </w:r>
      <w:r>
        <w:rPr>
          <w:rFonts w:hint="eastAsia" w:ascii="仿宋_GB2312" w:hAnsi="仿宋" w:eastAsia="仿宋_GB2312"/>
          <w:sz w:val="32"/>
          <w:szCs w:val="32"/>
        </w:rPr>
        <w:t>%；社会保障和就业支出为</w:t>
      </w:r>
      <w:r>
        <w:rPr>
          <w:rFonts w:hint="eastAsia" w:ascii="仿宋_GB2312" w:hAnsi="仿宋" w:eastAsia="仿宋_GB2312"/>
          <w:sz w:val="32"/>
          <w:szCs w:val="32"/>
          <w:lang w:val="en-US" w:eastAsia="zh-CN"/>
        </w:rPr>
        <w:t>44.83</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13.9</w:t>
      </w:r>
      <w:r>
        <w:rPr>
          <w:rFonts w:hint="eastAsia" w:ascii="仿宋_GB2312" w:hAnsi="仿宋" w:eastAsia="仿宋_GB2312"/>
          <w:sz w:val="32"/>
          <w:szCs w:val="32"/>
        </w:rPr>
        <w:t>%；卫生健康支出为</w:t>
      </w:r>
      <w:r>
        <w:rPr>
          <w:rFonts w:hint="eastAsia" w:ascii="仿宋_GB2312" w:hAnsi="仿宋" w:eastAsia="仿宋_GB2312"/>
          <w:sz w:val="32"/>
          <w:szCs w:val="32"/>
          <w:lang w:val="en-US" w:eastAsia="zh-CN"/>
        </w:rPr>
        <w:t>16.57</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5.14</w:t>
      </w:r>
      <w:r>
        <w:rPr>
          <w:rFonts w:hint="eastAsia" w:ascii="仿宋_GB2312" w:hAnsi="仿宋" w:eastAsia="仿宋_GB2312"/>
          <w:sz w:val="32"/>
          <w:szCs w:val="32"/>
        </w:rPr>
        <w:t>%；住房保障支出为</w:t>
      </w:r>
      <w:r>
        <w:rPr>
          <w:rFonts w:hint="eastAsia" w:ascii="仿宋_GB2312" w:hAnsi="仿宋" w:eastAsia="仿宋_GB2312"/>
          <w:sz w:val="32"/>
          <w:szCs w:val="32"/>
          <w:lang w:val="en-US" w:eastAsia="zh-CN"/>
        </w:rPr>
        <w:t>23.08</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7.15</w:t>
      </w:r>
      <w:r>
        <w:rPr>
          <w:rFonts w:hint="eastAsia" w:ascii="仿宋_GB2312" w:hAnsi="仿宋" w:eastAsia="仿宋_GB2312"/>
          <w:sz w:val="32"/>
          <w:szCs w:val="32"/>
        </w:rPr>
        <w:t>%；国有资本经营预算支出为</w:t>
      </w:r>
      <w:r>
        <w:rPr>
          <w:rFonts w:hint="eastAsia" w:ascii="仿宋_GB2312" w:hAnsi="仿宋" w:eastAsia="仿宋_GB2312"/>
          <w:sz w:val="32"/>
          <w:szCs w:val="32"/>
          <w:lang w:val="en-US" w:eastAsia="zh-CN"/>
        </w:rPr>
        <w:t>2.01</w:t>
      </w:r>
      <w:r>
        <w:rPr>
          <w:rFonts w:hint="eastAsia" w:ascii="仿宋_GB2312" w:hAnsi="仿宋" w:eastAsia="仿宋_GB2312"/>
          <w:sz w:val="32"/>
          <w:szCs w:val="32"/>
        </w:rPr>
        <w:t>万元，占比</w:t>
      </w:r>
      <w:r>
        <w:rPr>
          <w:rFonts w:hint="eastAsia" w:ascii="仿宋_GB2312" w:hAnsi="仿宋" w:eastAsia="仿宋_GB2312"/>
          <w:sz w:val="32"/>
          <w:szCs w:val="32"/>
          <w:lang w:val="en-US" w:eastAsia="zh-CN"/>
        </w:rPr>
        <w:t>0.62</w:t>
      </w:r>
      <w:r>
        <w:rPr>
          <w:rFonts w:hint="eastAsia" w:ascii="仿宋_GB2312" w:hAnsi="仿宋" w:eastAsia="仿宋_GB2312"/>
          <w:sz w:val="32"/>
          <w:szCs w:val="32"/>
        </w:rPr>
        <w:t>%；较上年支出</w:t>
      </w:r>
      <w:r>
        <w:rPr>
          <w:rFonts w:hint="eastAsia" w:ascii="仿宋_GB2312" w:hAnsi="仿宋" w:eastAsia="仿宋_GB2312"/>
          <w:sz w:val="32"/>
          <w:szCs w:val="32"/>
          <w:lang w:val="en-US" w:eastAsia="zh-CN"/>
        </w:rPr>
        <w:t>348.65</w:t>
      </w:r>
      <w:r>
        <w:rPr>
          <w:rFonts w:hint="eastAsia" w:ascii="仿宋_GB2312" w:hAnsi="仿宋" w:eastAsia="仿宋_GB2312"/>
          <w:sz w:val="32"/>
          <w:szCs w:val="32"/>
        </w:rPr>
        <w:t>万元</w:t>
      </w:r>
      <w:r>
        <w:rPr>
          <w:rFonts w:hint="eastAsia" w:ascii="仿宋_GB2312" w:hAnsi="仿宋" w:eastAsia="仿宋_GB2312"/>
          <w:sz w:val="32"/>
          <w:szCs w:val="32"/>
          <w:lang w:val="en-US" w:eastAsia="zh-CN"/>
        </w:rPr>
        <w:t>减少26.29</w:t>
      </w:r>
      <w:r>
        <w:rPr>
          <w:rFonts w:hint="eastAsia" w:ascii="仿宋_GB2312" w:hAnsi="仿宋" w:eastAsia="仿宋_GB2312"/>
          <w:sz w:val="32"/>
          <w:szCs w:val="32"/>
        </w:rPr>
        <w:t>万元。</w:t>
      </w:r>
    </w:p>
    <w:p>
      <w:pPr>
        <w:ind w:firstLine="640" w:firstLineChars="200"/>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rPr>
        <w:t>3.目标实现。</w:t>
      </w:r>
      <w:r>
        <w:rPr>
          <w:rFonts w:hint="eastAsia" w:eastAsia="仿宋_GB2312"/>
          <w:sz w:val="32"/>
          <w:szCs w:val="32"/>
          <w:lang w:val="zh-CN"/>
        </w:rPr>
        <w:t>围绕目标完成、目标偏离、实现效果进行绩效分析。</w:t>
      </w:r>
    </w:p>
    <w:p>
      <w:pPr>
        <w:ind w:firstLine="640" w:firstLineChars="200"/>
        <w:rPr>
          <w:rFonts w:ascii="仿宋_GB2312" w:hAnsi="仿宋" w:eastAsia="仿宋_GB2312"/>
          <w:sz w:val="32"/>
          <w:szCs w:val="32"/>
          <w:lang w:val="zh-CN"/>
        </w:rPr>
      </w:pP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zh-CN"/>
        </w:rPr>
        <w:t>我</w:t>
      </w:r>
      <w:r>
        <w:rPr>
          <w:rFonts w:hint="eastAsia" w:ascii="仿宋_GB2312" w:hAnsi="仿宋" w:eastAsia="仿宋_GB2312"/>
          <w:sz w:val="32"/>
          <w:szCs w:val="32"/>
        </w:rPr>
        <w:t>单位目标完成100%，未偏离目标。</w:t>
      </w:r>
      <w:r>
        <w:rPr>
          <w:rFonts w:hint="eastAsia" w:ascii="仿宋_GB2312" w:hAnsi="仿宋" w:eastAsia="仿宋_GB2312"/>
          <w:sz w:val="32"/>
          <w:szCs w:val="32"/>
          <w:lang w:val="zh-CN"/>
        </w:rPr>
        <w:t>开发档案信息资源，编纂、公布、出版档案史料，为经济和社会发展提供服务；组织、协调、指导全县档案学术理论和科学技术研究工作，推进档案管理科学化、现代化建设；制定档案工作人员队伍建设规划，组织档案专业教育和档案专业培训工作。</w:t>
      </w:r>
    </w:p>
    <w:p>
      <w:pPr>
        <w:widowControl/>
        <w:numPr>
          <w:ilvl w:val="0"/>
          <w:numId w:val="5"/>
        </w:numPr>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重点领域绩效分析。</w:t>
      </w:r>
    </w:p>
    <w:p>
      <w:pPr>
        <w:ind w:firstLine="640" w:firstLineChars="200"/>
        <w:rPr>
          <w:rFonts w:ascii="仿宋_GB2312" w:hAnsi="仿宋" w:eastAsia="仿宋_GB2312"/>
          <w:sz w:val="32"/>
          <w:szCs w:val="32"/>
        </w:rPr>
      </w:pPr>
      <w:r>
        <w:rPr>
          <w:rFonts w:hint="eastAsia" w:ascii="仿宋_GB2312" w:hAnsi="仿宋" w:eastAsia="仿宋_GB2312"/>
          <w:sz w:val="32"/>
          <w:szCs w:val="32"/>
        </w:rPr>
        <w:t>我单位202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年未涉及重点领域事项。</w:t>
      </w:r>
    </w:p>
    <w:p>
      <w:pPr>
        <w:numPr>
          <w:ilvl w:val="0"/>
          <w:numId w:val="5"/>
        </w:numPr>
        <w:spacing w:line="560" w:lineRule="exact"/>
        <w:ind w:firstLine="643" w:firstLineChars="200"/>
        <w:rPr>
          <w:rFonts w:ascii="楷体_GB2312" w:eastAsia="楷体_GB2312"/>
          <w:b/>
          <w:sz w:val="32"/>
          <w:szCs w:val="32"/>
        </w:rPr>
      </w:pPr>
      <w:r>
        <w:rPr>
          <w:rFonts w:hint="eastAsia" w:ascii="楷体_GB2312" w:eastAsia="楷体_GB2312"/>
          <w:b/>
          <w:sz w:val="32"/>
          <w:szCs w:val="32"/>
        </w:rPr>
        <w:t>绩效结果应用情况。</w:t>
      </w:r>
    </w:p>
    <w:p>
      <w:pPr>
        <w:spacing w:line="560" w:lineRule="exact"/>
        <w:ind w:firstLine="640" w:firstLineChars="200"/>
        <w:rPr>
          <w:rFonts w:eastAsia="仿宋_GB2312"/>
          <w:sz w:val="32"/>
          <w:szCs w:val="32"/>
          <w:lang w:val="zh-CN"/>
        </w:rPr>
      </w:pPr>
      <w:r>
        <w:rPr>
          <w:rFonts w:hint="eastAsia" w:ascii="仿宋_GB2312" w:hAnsi="仿宋" w:eastAsia="仿宋_GB2312"/>
          <w:sz w:val="32"/>
          <w:szCs w:val="32"/>
          <w:lang w:val="zh-CN"/>
        </w:rPr>
        <w:t>我</w:t>
      </w:r>
      <w:r>
        <w:rPr>
          <w:rFonts w:hint="eastAsia" w:ascii="仿宋_GB2312" w:hAnsi="仿宋" w:eastAsia="仿宋_GB2312"/>
          <w:sz w:val="32"/>
          <w:szCs w:val="32"/>
        </w:rPr>
        <w:t>单位</w:t>
      </w:r>
      <w:r>
        <w:rPr>
          <w:rFonts w:hint="eastAsia" w:ascii="仿宋_GB2312" w:hAnsi="仿宋" w:eastAsia="仿宋_GB2312"/>
          <w:sz w:val="32"/>
          <w:szCs w:val="32"/>
          <w:lang w:val="zh-CN"/>
        </w:rPr>
        <w:t>部门绩效结果应用到了下一年的绩效目标设定与调整。根据支出预决算，为下一年度的预算提供了基础预算数据。优化了</w:t>
      </w:r>
      <w:r>
        <w:rPr>
          <w:rFonts w:hint="eastAsia" w:ascii="仿宋_GB2312" w:hAnsi="仿宋" w:eastAsia="仿宋_GB2312"/>
          <w:sz w:val="32"/>
          <w:szCs w:val="32"/>
        </w:rPr>
        <w:t>单位</w:t>
      </w:r>
      <w:r>
        <w:rPr>
          <w:rFonts w:hint="eastAsia" w:ascii="仿宋_GB2312" w:hAnsi="仿宋" w:eastAsia="仿宋_GB2312"/>
          <w:sz w:val="32"/>
          <w:szCs w:val="32"/>
          <w:lang w:val="zh-CN"/>
        </w:rPr>
        <w:t>资金的使用率。保障了机关日常正常运转，专项资金保障了</w:t>
      </w:r>
      <w:r>
        <w:rPr>
          <w:rFonts w:hint="eastAsia" w:ascii="仿宋_GB2312" w:hAnsi="仿宋" w:eastAsia="仿宋_GB2312"/>
          <w:sz w:val="32"/>
          <w:szCs w:val="32"/>
        </w:rPr>
        <w:t>档案管理</w:t>
      </w:r>
      <w:r>
        <w:rPr>
          <w:rFonts w:hint="eastAsia" w:ascii="仿宋_GB2312" w:hAnsi="仿宋" w:eastAsia="仿宋_GB2312"/>
          <w:sz w:val="32"/>
          <w:szCs w:val="32"/>
          <w:lang w:val="zh-CN"/>
        </w:rPr>
        <w:t>，同时在维护少数名族地区的社会稳定，提高人民生活水平，改善人民生活质量等方面有着极其重要的意义，有力促进了社会和谐发展，为全县及乡镇的经济发展作出了应有的贡献，</w:t>
      </w: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年预算及决算已在政府信息公开网站进行了公开。</w:t>
      </w:r>
    </w:p>
    <w:p>
      <w:pPr>
        <w:ind w:firstLine="640" w:firstLineChars="200"/>
        <w:rPr>
          <w:rFonts w:hint="eastAsia" w:ascii="黑体" w:hAnsi="黑体" w:eastAsia="黑体"/>
          <w:sz w:val="32"/>
          <w:szCs w:val="32"/>
        </w:rPr>
      </w:pPr>
      <w:r>
        <w:rPr>
          <w:rFonts w:hint="eastAsia" w:ascii="黑体" w:hAnsi="黑体" w:eastAsia="黑体"/>
          <w:sz w:val="32"/>
          <w:szCs w:val="32"/>
        </w:rPr>
        <w:t>四、评价结论及建议</w:t>
      </w:r>
    </w:p>
    <w:p>
      <w:pPr>
        <w:widowControl/>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（一）评价结论。</w:t>
      </w:r>
    </w:p>
    <w:p>
      <w:pPr>
        <w:spacing w:line="560" w:lineRule="exact"/>
        <w:ind w:firstLine="640" w:firstLineChars="200"/>
        <w:rPr>
          <w:rFonts w:eastAsia="仿宋_GB2312"/>
          <w:sz w:val="32"/>
          <w:szCs w:val="32"/>
          <w:lang w:val="zh-CN"/>
        </w:rPr>
      </w:pPr>
      <w:r>
        <w:rPr>
          <w:rFonts w:hint="eastAsia" w:ascii="仿宋_GB2312" w:hAnsi="仿宋" w:eastAsia="仿宋_GB2312"/>
          <w:sz w:val="32"/>
          <w:szCs w:val="32"/>
          <w:lang w:val="zh-CN"/>
        </w:rPr>
        <w:t>我</w:t>
      </w:r>
      <w:r>
        <w:rPr>
          <w:rFonts w:hint="eastAsia" w:ascii="仿宋_GB2312" w:hAnsi="仿宋" w:eastAsia="仿宋_GB2312"/>
          <w:sz w:val="32"/>
          <w:szCs w:val="32"/>
        </w:rPr>
        <w:t>单位</w:t>
      </w:r>
      <w:r>
        <w:rPr>
          <w:rFonts w:hint="eastAsia" w:ascii="仿宋_GB2312" w:hAnsi="仿宋" w:eastAsia="仿宋_GB2312"/>
          <w:sz w:val="32"/>
          <w:szCs w:val="32"/>
          <w:lang w:val="zh-CN"/>
        </w:rPr>
        <w:t>部门支出预算，保障了机关日常正常运转，专项资金保障了</w:t>
      </w:r>
      <w:r>
        <w:rPr>
          <w:rFonts w:hint="eastAsia" w:ascii="仿宋_GB2312" w:hAnsi="仿宋" w:eastAsia="仿宋_GB2312"/>
          <w:sz w:val="32"/>
          <w:szCs w:val="32"/>
        </w:rPr>
        <w:t>档案管理</w:t>
      </w:r>
      <w:r>
        <w:rPr>
          <w:rFonts w:hint="eastAsia" w:ascii="仿宋_GB2312" w:hAnsi="仿宋" w:eastAsia="仿宋_GB2312"/>
          <w:sz w:val="32"/>
          <w:szCs w:val="32"/>
          <w:lang w:val="zh-CN"/>
        </w:rPr>
        <w:t>，同时在维护少数名族地区的社会稳定，提高人民生活水平，改善人民生活质量等方面有着极其重要的意义，有力促进了社会和谐发展，为全县及乡镇的经济发展作出了应有的贡献，部门整体支出绩效自评等级为优秀。</w:t>
      </w:r>
    </w:p>
    <w:p>
      <w:pPr>
        <w:numPr>
          <w:ilvl w:val="0"/>
          <w:numId w:val="6"/>
        </w:numPr>
        <w:ind w:firstLine="643" w:firstLineChars="200"/>
        <w:rPr>
          <w:rFonts w:ascii="楷体_GB2312" w:eastAsia="楷体_GB2312"/>
          <w:b/>
          <w:sz w:val="32"/>
          <w:szCs w:val="32"/>
        </w:rPr>
      </w:pPr>
      <w:r>
        <w:rPr>
          <w:rFonts w:hint="eastAsia" w:ascii="楷体_GB2312" w:eastAsia="楷体_GB2312"/>
          <w:b/>
          <w:sz w:val="32"/>
          <w:szCs w:val="32"/>
        </w:rPr>
        <w:t>存在问题。</w:t>
      </w:r>
    </w:p>
    <w:p>
      <w:pPr>
        <w:ind w:firstLine="640" w:firstLineChars="200"/>
        <w:rPr>
          <w:rFonts w:ascii="仿宋_GB2312" w:hAnsi="仿宋" w:eastAsia="仿宋_GB2312" w:cs="仿宋_GB2312"/>
          <w:color w:val="000000"/>
          <w:kern w:val="0"/>
          <w:sz w:val="32"/>
          <w:szCs w:val="32"/>
          <w:lang w:bidi="ar"/>
        </w:rPr>
      </w:pPr>
      <w:r>
        <w:rPr>
          <w:rFonts w:hint="eastAsia" w:ascii="仿宋_GB2312" w:hAnsi="仿宋" w:eastAsia="仿宋_GB2312" w:cs="仿宋_GB2312"/>
          <w:color w:val="000000"/>
          <w:kern w:val="0"/>
          <w:sz w:val="32"/>
          <w:szCs w:val="32"/>
          <w:lang w:bidi="ar"/>
        </w:rPr>
        <w:t>由于财政支出的多样性和复杂性，绩效评价指标体系设置难度大，即使可以量化，但实际操作中很多项目间缺乏可比性且指标本身也在逐步变化，需要逐步完善。</w:t>
      </w:r>
      <w:r>
        <w:rPr>
          <w:rFonts w:hint="eastAsia" w:ascii="仿宋_GB2312" w:hAnsi="仿宋" w:eastAsia="仿宋_GB2312" w:cs="仿宋_GB2312"/>
          <w:color w:val="000000"/>
          <w:kern w:val="0"/>
          <w:sz w:val="32"/>
          <w:szCs w:val="32"/>
          <w:lang w:bidi="ar"/>
        </w:rPr>
        <w:br w:type="textWrapping"/>
      </w:r>
      <w:r>
        <w:rPr>
          <w:rFonts w:hint="eastAsia" w:ascii="仿宋_GB2312" w:hAnsi="仿宋" w:cs="仿宋_GB2312"/>
          <w:color w:val="000000"/>
          <w:kern w:val="0"/>
          <w:sz w:val="32"/>
          <w:szCs w:val="32"/>
          <w:lang w:bidi="ar"/>
        </w:rPr>
        <w:t xml:space="preserve">    </w:t>
      </w:r>
      <w:r>
        <w:rPr>
          <w:rFonts w:hint="eastAsia" w:ascii="仿宋_GB2312" w:hAnsi="仿宋" w:eastAsia="仿宋_GB2312" w:cs="仿宋_GB2312"/>
          <w:color w:val="000000"/>
          <w:kern w:val="0"/>
          <w:sz w:val="32"/>
          <w:szCs w:val="32"/>
          <w:lang w:bidi="ar"/>
        </w:rPr>
        <w:t>在平时工作推进过程中，缺乏技术人员进行专业指导及培训，工作推进存在一定困难，预算编制还需更加精准。</w:t>
      </w:r>
    </w:p>
    <w:p>
      <w:pPr>
        <w:numPr>
          <w:ilvl w:val="0"/>
          <w:numId w:val="6"/>
        </w:numPr>
        <w:autoSpaceDE w:val="0"/>
        <w:spacing w:line="560" w:lineRule="exact"/>
        <w:ind w:firstLine="643" w:firstLineChars="200"/>
        <w:jc w:val="left"/>
        <w:rPr>
          <w:rFonts w:ascii="楷体_GB2312" w:eastAsia="楷体_GB2312"/>
          <w:b/>
          <w:sz w:val="32"/>
          <w:szCs w:val="32"/>
        </w:rPr>
      </w:pPr>
      <w:r>
        <w:rPr>
          <w:rFonts w:hint="eastAsia" w:ascii="楷体_GB2312" w:eastAsia="楷体_GB2312"/>
          <w:b/>
          <w:sz w:val="32"/>
          <w:szCs w:val="32"/>
        </w:rPr>
        <w:t>改进建议。</w:t>
      </w:r>
    </w:p>
    <w:p>
      <w:pPr>
        <w:autoSpaceDE w:val="0"/>
        <w:spacing w:line="560" w:lineRule="exact"/>
        <w:ind w:firstLine="640" w:firstLineChars="200"/>
        <w:jc w:val="left"/>
        <w:rPr>
          <w:rFonts w:ascii="仿宋_GB2312" w:hAnsi="仿宋" w:eastAsia="仿宋_GB2312" w:cs="仿宋_GB2312"/>
          <w:color w:val="000000"/>
          <w:kern w:val="0"/>
          <w:sz w:val="32"/>
          <w:szCs w:val="32"/>
          <w:lang w:bidi="ar"/>
        </w:rPr>
      </w:pPr>
      <w:r>
        <w:rPr>
          <w:rFonts w:hint="eastAsia" w:ascii="仿宋_GB2312" w:hAnsi="仿宋" w:eastAsia="仿宋_GB2312" w:cs="仿宋_GB2312"/>
          <w:color w:val="000000"/>
          <w:kern w:val="0"/>
          <w:sz w:val="32"/>
          <w:szCs w:val="32"/>
          <w:lang w:bidi="ar"/>
        </w:rPr>
        <w:t>1.通过各种途径加强绩效管理学习，科学合理编制预算，严格执行预算。</w:t>
      </w:r>
    </w:p>
    <w:p>
      <w:pPr>
        <w:ind w:firstLine="640" w:firstLineChars="200"/>
        <w:rPr>
          <w:rFonts w:eastAsia="仿宋_GB2312"/>
          <w:sz w:val="32"/>
          <w:szCs w:val="32"/>
          <w:lang w:val="zh-CN"/>
        </w:rPr>
      </w:pPr>
      <w:r>
        <w:rPr>
          <w:rFonts w:hint="eastAsia" w:ascii="仿宋_GB2312" w:hAnsi="仿宋" w:eastAsia="仿宋_GB2312" w:cs="仿宋_GB2312"/>
          <w:color w:val="000000"/>
          <w:kern w:val="0"/>
          <w:sz w:val="32"/>
          <w:szCs w:val="32"/>
          <w:lang w:bidi="ar"/>
        </w:rPr>
        <w:t>2.规范账务处理，提高财务信息质量。</w:t>
      </w:r>
    </w:p>
    <w:p>
      <w:pPr>
        <w:ind w:firstLine="640" w:firstLineChars="200"/>
        <w:rPr>
          <w:rFonts w:hint="eastAsia" w:asciiTheme="minorEastAsia" w:hAnsiTheme="minorEastAsia" w:eastAsiaTheme="minorEastAsia"/>
          <w:sz w:val="32"/>
          <w:szCs w:val="32"/>
          <w:lang w:val="zh-CN"/>
        </w:rPr>
      </w:pPr>
    </w:p>
    <w:p>
      <w:pPr>
        <w:ind w:firstLine="640" w:firstLineChars="200"/>
        <w:rPr>
          <w:rFonts w:hint="eastAsia" w:asciiTheme="minorEastAsia" w:hAnsiTheme="minorEastAsia" w:eastAsiaTheme="minorEastAsia"/>
          <w:sz w:val="32"/>
          <w:szCs w:val="32"/>
          <w:lang w:val="zh-CN"/>
        </w:rPr>
      </w:pPr>
    </w:p>
    <w:p>
      <w:pPr>
        <w:ind w:firstLine="640" w:firstLineChars="200"/>
        <w:rPr>
          <w:rFonts w:hint="eastAsia" w:asciiTheme="minorEastAsia" w:hAnsiTheme="minorEastAsia" w:eastAsiaTheme="minorEastAsia"/>
          <w:sz w:val="32"/>
          <w:szCs w:val="32"/>
          <w:lang w:val="zh-CN"/>
        </w:rPr>
      </w:pPr>
    </w:p>
    <w:p>
      <w:pPr>
        <w:ind w:firstLine="640" w:firstLineChars="200"/>
        <w:rPr>
          <w:rFonts w:hint="eastAsia" w:asciiTheme="minorEastAsia" w:hAnsiTheme="minorEastAsia" w:eastAsiaTheme="minorEastAsia"/>
          <w:sz w:val="32"/>
          <w:szCs w:val="32"/>
          <w:lang w:val="zh-CN"/>
        </w:rPr>
      </w:pPr>
    </w:p>
    <w:p>
      <w:pPr>
        <w:ind w:firstLine="640" w:firstLineChars="200"/>
        <w:rPr>
          <w:rFonts w:hint="eastAsia" w:asciiTheme="minorEastAsia" w:hAnsiTheme="minorEastAsia" w:eastAsiaTheme="minorEastAsia"/>
          <w:sz w:val="32"/>
          <w:szCs w:val="32"/>
          <w:lang w:val="zh-CN"/>
        </w:rPr>
      </w:pPr>
    </w:p>
    <w:p>
      <w:pPr>
        <w:ind w:firstLine="640" w:firstLineChars="200"/>
        <w:rPr>
          <w:rFonts w:hint="eastAsia" w:asciiTheme="minorEastAsia" w:hAnsiTheme="minorEastAsia" w:eastAsiaTheme="minorEastAsia"/>
          <w:sz w:val="32"/>
          <w:szCs w:val="32"/>
          <w:lang w:val="zh-CN"/>
        </w:rPr>
      </w:pPr>
    </w:p>
    <w:p>
      <w:pPr>
        <w:ind w:firstLine="640" w:firstLineChars="200"/>
        <w:rPr>
          <w:rFonts w:hint="eastAsia" w:asciiTheme="minorEastAsia" w:hAnsiTheme="minorEastAsia" w:eastAsiaTheme="minorEastAsia"/>
          <w:sz w:val="32"/>
          <w:szCs w:val="32"/>
          <w:lang w:val="zh-CN"/>
        </w:rPr>
      </w:pPr>
    </w:p>
    <w:p>
      <w:pPr>
        <w:pStyle w:val="2"/>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pStyle w:val="2"/>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pStyle w:val="2"/>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pStyle w:val="2"/>
        <w:rPr>
          <w:rFonts w:hint="eastAsia" w:asciiTheme="minorEastAsia" w:hAnsiTheme="minorEastAsia" w:eastAsiaTheme="minorEastAsia"/>
          <w:sz w:val="32"/>
          <w:szCs w:val="32"/>
          <w:lang w:val="zh-CN"/>
        </w:rPr>
      </w:pPr>
    </w:p>
    <w:p>
      <w:pPr>
        <w:rPr>
          <w:rFonts w:hint="eastAsia" w:asciiTheme="minorEastAsia" w:hAnsiTheme="minorEastAsia" w:eastAsiaTheme="minorEastAsia"/>
          <w:sz w:val="32"/>
          <w:szCs w:val="32"/>
          <w:lang w:val="zh-CN"/>
        </w:rPr>
      </w:pPr>
    </w:p>
    <w:p>
      <w:pPr>
        <w:rPr>
          <w:rFonts w:hint="eastAsia"/>
          <w:lang w:val="zh-CN"/>
        </w:rPr>
      </w:pPr>
    </w:p>
    <w:p>
      <w:pPr>
        <w:ind w:firstLine="640" w:firstLineChars="200"/>
      </w:pPr>
      <w:r>
        <w:rPr>
          <w:rFonts w:hint="eastAsia" w:asciiTheme="minorEastAsia" w:hAnsiTheme="minorEastAsia" w:eastAsiaTheme="minorEastAsia"/>
          <w:sz w:val="32"/>
          <w:szCs w:val="32"/>
          <w:lang w:val="zh-CN"/>
        </w:rPr>
        <w:t>附表：</w:t>
      </w:r>
      <w:r>
        <w:rPr>
          <w:rFonts w:hint="eastAsia" w:asciiTheme="minorEastAsia" w:hAnsiTheme="minorEastAsia" w:eastAsiaTheme="minorEastAsia"/>
          <w:sz w:val="32"/>
          <w:szCs w:val="32"/>
        </w:rPr>
        <w:t>部门</w:t>
      </w:r>
      <w:r>
        <w:rPr>
          <w:rFonts w:hint="eastAsia" w:asciiTheme="minorEastAsia" w:hAnsiTheme="minorEastAsia" w:eastAsiaTheme="minorEastAsia"/>
          <w:sz w:val="32"/>
          <w:szCs w:val="32"/>
          <w:lang w:val="zh-CN"/>
        </w:rPr>
        <w:t>预算项目支出绩效自评表（202</w:t>
      </w:r>
      <w:r>
        <w:rPr>
          <w:rFonts w:hint="eastAsia" w:asciiTheme="minorEastAsia" w:hAnsiTheme="minorEastAsia" w:eastAsiaTheme="minorEastAsia"/>
          <w:sz w:val="32"/>
          <w:szCs w:val="32"/>
          <w:lang w:val="en-US" w:eastAsia="zh-CN"/>
        </w:rPr>
        <w:t>5</w:t>
      </w:r>
      <w:r>
        <w:rPr>
          <w:rFonts w:hint="eastAsia" w:asciiTheme="minorEastAsia" w:hAnsiTheme="minorEastAsia" w:eastAsiaTheme="minorEastAsia"/>
          <w:sz w:val="32"/>
          <w:szCs w:val="32"/>
          <w:lang w:val="zh-CN"/>
        </w:rPr>
        <w:t>年度）</w:t>
      </w:r>
      <w:r>
        <w:drawing>
          <wp:inline distT="0" distB="0" distL="114300" distR="114300">
            <wp:extent cx="5609590" cy="4467225"/>
            <wp:effectExtent l="0" t="0" r="10160" b="9525"/>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13"/>
                    <a:stretch>
                      <a:fillRect/>
                    </a:stretch>
                  </pic:blipFill>
                  <pic:spPr>
                    <a:xfrm>
                      <a:off x="0" y="0"/>
                      <a:ext cx="5609590" cy="4467225"/>
                    </a:xfrm>
                    <a:prstGeom prst="rect">
                      <a:avLst/>
                    </a:prstGeom>
                    <a:noFill/>
                    <a:ln>
                      <a:noFill/>
                    </a:ln>
                  </pic:spPr>
                </pic:pic>
              </a:graphicData>
            </a:graphic>
          </wp:inline>
        </w:drawing>
      </w:r>
    </w:p>
    <w:p>
      <w:pPr>
        <w:pStyle w:val="2"/>
        <w:ind w:left="0" w:leftChars="0" w:firstLine="0" w:firstLineChars="0"/>
      </w:pPr>
    </w:p>
    <w:p>
      <w:pPr>
        <w:rPr>
          <w:lang w:val="zh-CN"/>
        </w:rPr>
      </w:pPr>
      <w:r>
        <w:drawing>
          <wp:inline distT="0" distB="0" distL="114300" distR="114300">
            <wp:extent cx="5612130" cy="4404360"/>
            <wp:effectExtent l="0" t="0" r="7620" b="1524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14"/>
                    <a:stretch>
                      <a:fillRect/>
                    </a:stretch>
                  </pic:blipFill>
                  <pic:spPr>
                    <a:xfrm>
                      <a:off x="0" y="0"/>
                      <a:ext cx="5612130" cy="4404360"/>
                    </a:xfrm>
                    <a:prstGeom prst="rect">
                      <a:avLst/>
                    </a:prstGeom>
                    <a:noFill/>
                    <a:ln>
                      <a:noFill/>
                    </a:ln>
                  </pic:spPr>
                </pic:pic>
              </a:graphicData>
            </a:graphic>
          </wp:inline>
        </w:drawing>
      </w:r>
      <w:r>
        <w:drawing>
          <wp:inline distT="0" distB="0" distL="114300" distR="114300">
            <wp:extent cx="5608955" cy="4417060"/>
            <wp:effectExtent l="0" t="0" r="10795" b="254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15"/>
                    <a:stretch>
                      <a:fillRect/>
                    </a:stretch>
                  </pic:blipFill>
                  <pic:spPr>
                    <a:xfrm>
                      <a:off x="0" y="0"/>
                      <a:ext cx="5608955" cy="4417060"/>
                    </a:xfrm>
                    <a:prstGeom prst="rect">
                      <a:avLst/>
                    </a:prstGeom>
                    <a:noFill/>
                    <a:ln>
                      <a:noFill/>
                    </a:ln>
                  </pic:spPr>
                </pic:pic>
              </a:graphicData>
            </a:graphic>
          </wp:inline>
        </w:drawing>
      </w:r>
      <w:r>
        <w:drawing>
          <wp:inline distT="0" distB="0" distL="114300" distR="114300">
            <wp:extent cx="5615305" cy="4533900"/>
            <wp:effectExtent l="0" t="0" r="4445" b="0"/>
            <wp:docPr id="1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icPr>
                  <pic:blipFill>
                    <a:blip r:embed="rId16"/>
                    <a:stretch>
                      <a:fillRect/>
                    </a:stretch>
                  </pic:blipFill>
                  <pic:spPr>
                    <a:xfrm>
                      <a:off x="0" y="0"/>
                      <a:ext cx="5615305" cy="4533900"/>
                    </a:xfrm>
                    <a:prstGeom prst="rect">
                      <a:avLst/>
                    </a:prstGeom>
                    <a:noFill/>
                    <a:ln>
                      <a:noFill/>
                    </a:ln>
                  </pic:spPr>
                </pic:pic>
              </a:graphicData>
            </a:graphic>
          </wp:inline>
        </w:drawing>
      </w:r>
      <w:r>
        <w:drawing>
          <wp:inline distT="0" distB="0" distL="114300" distR="114300">
            <wp:extent cx="5615305" cy="4319905"/>
            <wp:effectExtent l="0" t="0" r="4445" b="4445"/>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17"/>
                    <a:stretch>
                      <a:fillRect/>
                    </a:stretch>
                  </pic:blipFill>
                  <pic:spPr>
                    <a:xfrm>
                      <a:off x="0" y="0"/>
                      <a:ext cx="5615305" cy="4319905"/>
                    </a:xfrm>
                    <a:prstGeom prst="rect">
                      <a:avLst/>
                    </a:prstGeom>
                    <a:noFill/>
                    <a:ln>
                      <a:noFill/>
                    </a:ln>
                  </pic:spPr>
                </pic:pic>
              </a:graphicData>
            </a:graphic>
          </wp:inline>
        </w:drawing>
      </w:r>
    </w:p>
    <w:p>
      <w:pPr>
        <w:rPr>
          <w:rFonts w:hint="eastAsia" w:asciiTheme="minorEastAsia" w:hAnsiTheme="minorEastAsia" w:eastAsiaTheme="minorEastAsia"/>
          <w:sz w:val="32"/>
          <w:szCs w:val="32"/>
          <w:lang w:val="zh-CN"/>
        </w:rPr>
      </w:pPr>
    </w:p>
    <w:p>
      <w:pPr>
        <w:pStyle w:val="2"/>
        <w:ind w:left="420" w:firstLine="640"/>
        <w:rPr>
          <w:rFonts w:hint="eastAsia" w:asciiTheme="minorEastAsia" w:hAnsiTheme="minorEastAsia" w:eastAsiaTheme="minorEastAsia"/>
          <w:sz w:val="32"/>
          <w:lang w:val="zh-CN"/>
        </w:rPr>
      </w:pPr>
    </w:p>
    <w:p/>
    <w:p>
      <w:pPr>
        <w:pStyle w:val="2"/>
        <w:ind w:left="420"/>
      </w:pPr>
    </w:p>
    <w:p>
      <w:pPr>
        <w:rPr>
          <w:lang w:val="zh-CN"/>
        </w:rPr>
      </w:pPr>
    </w:p>
    <w:p>
      <w:pPr>
        <w:pStyle w:val="2"/>
        <w:ind w:left="0" w:leftChars="0" w:firstLine="0" w:firstLineChars="0"/>
        <w:rPr>
          <w:lang w:val="zh-CN"/>
        </w:rPr>
      </w:pPr>
    </w:p>
    <w:p>
      <w:pPr>
        <w:rPr>
          <w:lang w:val="zh-CN"/>
        </w:rPr>
      </w:pPr>
    </w:p>
    <w:p/>
    <w:p>
      <w:pPr>
        <w:pStyle w:val="2"/>
        <w:ind w:left="420"/>
      </w:pPr>
    </w:p>
    <w:p>
      <w:pPr>
        <w:rPr>
          <w:lang w:val="zh-CN"/>
        </w:rPr>
      </w:pPr>
    </w:p>
    <w:p>
      <w:pPr>
        <w:pStyle w:val="4"/>
        <w:jc w:val="center"/>
        <w:rPr>
          <w:rFonts w:hint="eastAsia" w:ascii="黑体" w:hAnsi="黑体" w:eastAsia="黑体"/>
        </w:rPr>
      </w:pPr>
      <w:bookmarkStart w:id="65" w:name="_Toc22076"/>
      <w:r>
        <w:rPr>
          <w:rFonts w:hint="eastAsia" w:ascii="黑体" w:hAnsi="黑体" w:eastAsia="黑体"/>
        </w:rPr>
        <w:t>第五部分 附表</w:t>
      </w:r>
      <w:bookmarkEnd w:id="65"/>
    </w:p>
    <w:p>
      <w:pPr>
        <w:rPr>
          <w:rFonts w:hint="eastAsia" w:ascii="仿宋" w:hAnsi="仿宋" w:eastAsia="仿宋"/>
          <w:sz w:val="32"/>
          <w:szCs w:val="32"/>
        </w:rPr>
      </w:pPr>
      <w:r>
        <w:rPr>
          <w:rFonts w:hint="eastAsia" w:ascii="仿宋" w:hAnsi="仿宋" w:eastAsia="仿宋"/>
          <w:sz w:val="32"/>
          <w:szCs w:val="32"/>
        </w:rPr>
        <w:t>一、收入支出决算总表</w:t>
      </w:r>
    </w:p>
    <w:p>
      <w:pPr>
        <w:rPr>
          <w:rFonts w:hint="eastAsia" w:ascii="仿宋" w:hAnsi="仿宋" w:eastAsia="仿宋"/>
          <w:sz w:val="32"/>
          <w:szCs w:val="32"/>
        </w:rPr>
      </w:pPr>
      <w:r>
        <w:rPr>
          <w:rFonts w:hint="eastAsia" w:ascii="仿宋" w:hAnsi="仿宋" w:eastAsia="仿宋"/>
          <w:sz w:val="32"/>
          <w:szCs w:val="32"/>
        </w:rPr>
        <w:t>二、收入决算表</w:t>
      </w:r>
    </w:p>
    <w:p>
      <w:pPr>
        <w:rPr>
          <w:rFonts w:hint="eastAsia" w:ascii="仿宋" w:hAnsi="仿宋" w:eastAsia="仿宋"/>
          <w:sz w:val="32"/>
          <w:szCs w:val="32"/>
        </w:rPr>
      </w:pPr>
      <w:r>
        <w:rPr>
          <w:rFonts w:hint="eastAsia" w:ascii="仿宋" w:hAnsi="仿宋" w:eastAsia="仿宋"/>
          <w:sz w:val="32"/>
          <w:szCs w:val="32"/>
        </w:rPr>
        <w:t>三、支出决算表</w:t>
      </w:r>
    </w:p>
    <w:p>
      <w:pPr>
        <w:rPr>
          <w:rFonts w:hint="eastAsia" w:ascii="仿宋" w:hAnsi="仿宋" w:eastAsia="仿宋"/>
          <w:sz w:val="32"/>
          <w:szCs w:val="32"/>
        </w:rPr>
      </w:pPr>
      <w:r>
        <w:rPr>
          <w:rFonts w:hint="eastAsia" w:ascii="仿宋" w:hAnsi="仿宋" w:eastAsia="仿宋"/>
          <w:sz w:val="32"/>
          <w:szCs w:val="32"/>
        </w:rPr>
        <w:t>四、财政拨款收入支出决算总表</w:t>
      </w:r>
    </w:p>
    <w:p>
      <w:pPr>
        <w:rPr>
          <w:rFonts w:hint="eastAsia" w:ascii="仿宋" w:hAnsi="仿宋" w:eastAsia="仿宋"/>
          <w:sz w:val="32"/>
          <w:szCs w:val="32"/>
        </w:rPr>
      </w:pPr>
      <w:r>
        <w:rPr>
          <w:rFonts w:hint="eastAsia" w:ascii="仿宋" w:hAnsi="仿宋" w:eastAsia="仿宋"/>
          <w:sz w:val="32"/>
          <w:szCs w:val="32"/>
        </w:rPr>
        <w:t>五、财政拨款支出决算明细表</w:t>
      </w:r>
    </w:p>
    <w:p>
      <w:pPr>
        <w:rPr>
          <w:rFonts w:hint="eastAsia" w:ascii="仿宋" w:hAnsi="仿宋" w:eastAsia="仿宋"/>
          <w:sz w:val="32"/>
          <w:szCs w:val="32"/>
        </w:rPr>
      </w:pPr>
      <w:r>
        <w:rPr>
          <w:rFonts w:hint="eastAsia" w:ascii="仿宋" w:hAnsi="仿宋" w:eastAsia="仿宋"/>
          <w:sz w:val="32"/>
          <w:szCs w:val="32"/>
        </w:rPr>
        <w:t>六、一般公共预算财政拨款支出决算表</w:t>
      </w:r>
    </w:p>
    <w:p>
      <w:pPr>
        <w:rPr>
          <w:rFonts w:hint="eastAsia" w:ascii="仿宋" w:hAnsi="仿宋" w:eastAsia="仿宋"/>
          <w:sz w:val="32"/>
          <w:szCs w:val="32"/>
        </w:rPr>
      </w:pPr>
      <w:r>
        <w:rPr>
          <w:rFonts w:hint="eastAsia" w:ascii="仿宋" w:hAnsi="仿宋" w:eastAsia="仿宋"/>
          <w:sz w:val="32"/>
          <w:szCs w:val="32"/>
        </w:rPr>
        <w:t>七、一般公共预算财政拨款支出决算明细表</w:t>
      </w:r>
    </w:p>
    <w:p>
      <w:pPr>
        <w:rPr>
          <w:rFonts w:hint="eastAsia" w:ascii="仿宋" w:hAnsi="仿宋" w:eastAsia="仿宋"/>
          <w:sz w:val="32"/>
          <w:szCs w:val="32"/>
        </w:rPr>
      </w:pPr>
      <w:r>
        <w:rPr>
          <w:rFonts w:hint="eastAsia" w:ascii="仿宋" w:hAnsi="仿宋" w:eastAsia="仿宋"/>
          <w:sz w:val="32"/>
          <w:szCs w:val="32"/>
        </w:rPr>
        <w:t>八、一般公共预算财政拨款基本支出决算表</w:t>
      </w:r>
    </w:p>
    <w:p>
      <w:pPr>
        <w:rPr>
          <w:rFonts w:hint="eastAsia" w:ascii="仿宋" w:hAnsi="仿宋" w:eastAsia="仿宋"/>
          <w:sz w:val="32"/>
          <w:szCs w:val="32"/>
        </w:rPr>
      </w:pPr>
      <w:r>
        <w:rPr>
          <w:rFonts w:hint="eastAsia" w:ascii="仿宋" w:hAnsi="仿宋" w:eastAsia="仿宋"/>
          <w:sz w:val="32"/>
          <w:szCs w:val="32"/>
        </w:rPr>
        <w:t>九、一般公共预算财政拨款项目支出决算表</w:t>
      </w:r>
    </w:p>
    <w:p>
      <w:pPr>
        <w:rPr>
          <w:rFonts w:hint="eastAsia" w:ascii="仿宋" w:hAnsi="仿宋" w:eastAsia="仿宋"/>
          <w:sz w:val="32"/>
          <w:szCs w:val="32"/>
        </w:rPr>
      </w:pPr>
      <w:r>
        <w:rPr>
          <w:rFonts w:hint="eastAsia" w:ascii="仿宋" w:hAnsi="仿宋" w:eastAsia="仿宋"/>
          <w:sz w:val="32"/>
          <w:szCs w:val="32"/>
        </w:rPr>
        <w:t>十、政府性基金预算财政拨款收入支出决算表</w:t>
      </w:r>
    </w:p>
    <w:p>
      <w:pPr>
        <w:rPr>
          <w:rFonts w:hint="eastAsia" w:ascii="仿宋" w:hAnsi="仿宋" w:eastAsia="仿宋"/>
          <w:sz w:val="32"/>
          <w:szCs w:val="32"/>
        </w:rPr>
      </w:pPr>
      <w:r>
        <w:rPr>
          <w:rFonts w:hint="eastAsia" w:ascii="仿宋" w:hAnsi="仿宋" w:eastAsia="仿宋"/>
          <w:sz w:val="32"/>
          <w:szCs w:val="32"/>
        </w:rPr>
        <w:t>十一、国有资本经营预算财政拨款收入支出决算表</w:t>
      </w:r>
    </w:p>
    <w:p>
      <w:pPr>
        <w:rPr>
          <w:rFonts w:hint="eastAsia" w:ascii="仿宋" w:hAnsi="仿宋" w:eastAsia="仿宋"/>
          <w:sz w:val="32"/>
          <w:szCs w:val="32"/>
        </w:rPr>
      </w:pPr>
      <w:r>
        <w:rPr>
          <w:rFonts w:hint="eastAsia" w:ascii="仿宋" w:hAnsi="仿宋" w:eastAsia="仿宋"/>
          <w:sz w:val="32"/>
          <w:szCs w:val="32"/>
        </w:rPr>
        <w:t>十二、国有资本经营预算财政拨款支出决算表</w:t>
      </w:r>
    </w:p>
    <w:p>
      <w:pPr>
        <w:rPr>
          <w:rFonts w:hint="eastAsia"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pgMar w:top="2098" w:right="1474" w:bottom="1984" w:left="1587"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1"/>
          <w:jc w:val="center"/>
        </w:pPr>
        <w:r>
          <w:fldChar w:fldCharType="begin"/>
        </w:r>
        <w:r>
          <w:instrText xml:space="preserve">PAGE   \* MERGEFORMAT</w:instrText>
        </w:r>
        <w:r>
          <w:fldChar w:fldCharType="separate"/>
        </w:r>
        <w:r>
          <w:rPr>
            <w:lang w:val="zh-CN"/>
          </w:rPr>
          <w:t>23</w:t>
        </w:r>
        <w:r>
          <w:fldChar w:fldCharType="end"/>
        </w:r>
      </w:p>
    </w:sdtContent>
  </w:sdt>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7105B1"/>
    <w:multiLevelType w:val="singleLevel"/>
    <w:tmpl w:val="857105B1"/>
    <w:lvl w:ilvl="0" w:tentative="0">
      <w:start w:val="2"/>
      <w:numFmt w:val="chineseCounting"/>
      <w:suff w:val="nothing"/>
      <w:lvlText w:val="（%1）"/>
      <w:lvlJc w:val="left"/>
      <w:rPr>
        <w:rFonts w:hint="eastAsia"/>
      </w:rPr>
    </w:lvl>
  </w:abstractNum>
  <w:abstractNum w:abstractNumId="1">
    <w:nsid w:val="CF652CEC"/>
    <w:multiLevelType w:val="singleLevel"/>
    <w:tmpl w:val="CF652CEC"/>
    <w:lvl w:ilvl="0" w:tentative="0">
      <w:start w:val="9"/>
      <w:numFmt w:val="chineseCounting"/>
      <w:suff w:val="nothing"/>
      <w:lvlText w:val="%1、"/>
      <w:lvlJc w:val="left"/>
      <w:rPr>
        <w:rFonts w:hint="eastAsia"/>
      </w:rPr>
    </w:lvl>
  </w:abstractNum>
  <w:abstractNum w:abstractNumId="2">
    <w:nsid w:val="D0E2334E"/>
    <w:multiLevelType w:val="singleLevel"/>
    <w:tmpl w:val="D0E2334E"/>
    <w:lvl w:ilvl="0" w:tentative="0">
      <w:start w:val="1"/>
      <w:numFmt w:val="chineseCounting"/>
      <w:suff w:val="nothing"/>
      <w:lvlText w:val="%1、"/>
      <w:lvlJc w:val="left"/>
      <w:rPr>
        <w:rFonts w:hint="eastAsia"/>
      </w:rPr>
    </w:lvl>
  </w:abstractNum>
  <w:abstractNum w:abstractNumId="3">
    <w:nsid w:val="D8807E6F"/>
    <w:multiLevelType w:val="singleLevel"/>
    <w:tmpl w:val="D8807E6F"/>
    <w:lvl w:ilvl="0" w:tentative="0">
      <w:start w:val="2"/>
      <w:numFmt w:val="chineseCounting"/>
      <w:suff w:val="nothing"/>
      <w:lvlText w:val="（%1）"/>
      <w:lvlJc w:val="left"/>
      <w:rPr>
        <w:rFonts w:hint="eastAsia"/>
      </w:r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5">
    <w:nsid w:val="65B78D9A"/>
    <w:multiLevelType w:val="singleLevel"/>
    <w:tmpl w:val="65B78D9A"/>
    <w:lvl w:ilvl="0" w:tentative="0">
      <w:start w:val="2"/>
      <w:numFmt w:val="chineseCounting"/>
      <w:suff w:val="nothing"/>
      <w:lvlText w:val="（%1）"/>
      <w:lvlJc w:val="left"/>
      <w:rPr>
        <w:rFonts w:hint="eastAsia"/>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1354"/>
    <w:rsid w:val="000E6613"/>
    <w:rsid w:val="000E7119"/>
    <w:rsid w:val="00114E9B"/>
    <w:rsid w:val="00142216"/>
    <w:rsid w:val="00144D6A"/>
    <w:rsid w:val="0014729F"/>
    <w:rsid w:val="00157BAB"/>
    <w:rsid w:val="001654D1"/>
    <w:rsid w:val="001730E5"/>
    <w:rsid w:val="001739FE"/>
    <w:rsid w:val="00174518"/>
    <w:rsid w:val="0018106D"/>
    <w:rsid w:val="001877A7"/>
    <w:rsid w:val="00191536"/>
    <w:rsid w:val="00196687"/>
    <w:rsid w:val="001C0962"/>
    <w:rsid w:val="001C2738"/>
    <w:rsid w:val="001D1BC6"/>
    <w:rsid w:val="001D7531"/>
    <w:rsid w:val="001E2A68"/>
    <w:rsid w:val="001E737D"/>
    <w:rsid w:val="001F0592"/>
    <w:rsid w:val="001F6419"/>
    <w:rsid w:val="001F7506"/>
    <w:rsid w:val="002006CD"/>
    <w:rsid w:val="00202B36"/>
    <w:rsid w:val="00204B7A"/>
    <w:rsid w:val="00204CDE"/>
    <w:rsid w:val="0021101A"/>
    <w:rsid w:val="00220536"/>
    <w:rsid w:val="00222852"/>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A6B83"/>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82309"/>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1911701"/>
    <w:rsid w:val="01CF54A4"/>
    <w:rsid w:val="02611400"/>
    <w:rsid w:val="02FEBE30"/>
    <w:rsid w:val="03610AAD"/>
    <w:rsid w:val="036F8141"/>
    <w:rsid w:val="03923E9E"/>
    <w:rsid w:val="048225C5"/>
    <w:rsid w:val="066E0107"/>
    <w:rsid w:val="06B200B6"/>
    <w:rsid w:val="06FD5EC3"/>
    <w:rsid w:val="07996F6E"/>
    <w:rsid w:val="07DFD8BA"/>
    <w:rsid w:val="08163DC3"/>
    <w:rsid w:val="08644685"/>
    <w:rsid w:val="08FD71C8"/>
    <w:rsid w:val="0918296D"/>
    <w:rsid w:val="09473826"/>
    <w:rsid w:val="09C85DCD"/>
    <w:rsid w:val="0A2032A3"/>
    <w:rsid w:val="0B4B4185"/>
    <w:rsid w:val="0B813432"/>
    <w:rsid w:val="0BA80A4F"/>
    <w:rsid w:val="0CE52E5E"/>
    <w:rsid w:val="0CEE7DA1"/>
    <w:rsid w:val="0D123552"/>
    <w:rsid w:val="0D35B1ED"/>
    <w:rsid w:val="0D5871C0"/>
    <w:rsid w:val="0DB93DA2"/>
    <w:rsid w:val="0E7ED1F5"/>
    <w:rsid w:val="0ECA0FA5"/>
    <w:rsid w:val="0EE76D45"/>
    <w:rsid w:val="0F98263C"/>
    <w:rsid w:val="0FF72352"/>
    <w:rsid w:val="101860EC"/>
    <w:rsid w:val="104B7687"/>
    <w:rsid w:val="10C055FF"/>
    <w:rsid w:val="10EE2CE8"/>
    <w:rsid w:val="11107667"/>
    <w:rsid w:val="118107EC"/>
    <w:rsid w:val="119742B0"/>
    <w:rsid w:val="11E16716"/>
    <w:rsid w:val="131E1BC4"/>
    <w:rsid w:val="13D50BC4"/>
    <w:rsid w:val="13F5616D"/>
    <w:rsid w:val="1642548D"/>
    <w:rsid w:val="16BB723D"/>
    <w:rsid w:val="16E326D1"/>
    <w:rsid w:val="17066767"/>
    <w:rsid w:val="171D30A6"/>
    <w:rsid w:val="17AE048B"/>
    <w:rsid w:val="17B7147E"/>
    <w:rsid w:val="17F9714D"/>
    <w:rsid w:val="190213E8"/>
    <w:rsid w:val="19111D16"/>
    <w:rsid w:val="1915418C"/>
    <w:rsid w:val="1918F934"/>
    <w:rsid w:val="19D26E52"/>
    <w:rsid w:val="1A8D710A"/>
    <w:rsid w:val="1AD90A49"/>
    <w:rsid w:val="1B7F701E"/>
    <w:rsid w:val="1B96199E"/>
    <w:rsid w:val="1BE8440E"/>
    <w:rsid w:val="1C630DEB"/>
    <w:rsid w:val="1D155CEE"/>
    <w:rsid w:val="1DC90C0C"/>
    <w:rsid w:val="1DE377EC"/>
    <w:rsid w:val="1DE75D96"/>
    <w:rsid w:val="1DFBC4B3"/>
    <w:rsid w:val="1E717FF4"/>
    <w:rsid w:val="1E740ACF"/>
    <w:rsid w:val="1EDD0EB2"/>
    <w:rsid w:val="1F19C781"/>
    <w:rsid w:val="1F33FCE5"/>
    <w:rsid w:val="1F7F7398"/>
    <w:rsid w:val="1FD2DB6F"/>
    <w:rsid w:val="1FEA5FAB"/>
    <w:rsid w:val="1FF35744"/>
    <w:rsid w:val="1FF6BC77"/>
    <w:rsid w:val="1FF9236D"/>
    <w:rsid w:val="21407CDA"/>
    <w:rsid w:val="215A1AEF"/>
    <w:rsid w:val="21C33594"/>
    <w:rsid w:val="21D411B3"/>
    <w:rsid w:val="221A3129"/>
    <w:rsid w:val="2333840E"/>
    <w:rsid w:val="233E10F9"/>
    <w:rsid w:val="237C31E1"/>
    <w:rsid w:val="23860B96"/>
    <w:rsid w:val="23B27E86"/>
    <w:rsid w:val="240371BF"/>
    <w:rsid w:val="240F2BF3"/>
    <w:rsid w:val="241F5F8C"/>
    <w:rsid w:val="244B60F7"/>
    <w:rsid w:val="248264CD"/>
    <w:rsid w:val="2521586F"/>
    <w:rsid w:val="257C638F"/>
    <w:rsid w:val="26097A5C"/>
    <w:rsid w:val="26311D54"/>
    <w:rsid w:val="265724D7"/>
    <w:rsid w:val="26D34D37"/>
    <w:rsid w:val="275004DF"/>
    <w:rsid w:val="276E6065"/>
    <w:rsid w:val="280C0195"/>
    <w:rsid w:val="281C1398"/>
    <w:rsid w:val="288A256B"/>
    <w:rsid w:val="28DE3344"/>
    <w:rsid w:val="29133CEB"/>
    <w:rsid w:val="29930F67"/>
    <w:rsid w:val="29DB78AB"/>
    <w:rsid w:val="29FD04D3"/>
    <w:rsid w:val="2B670A61"/>
    <w:rsid w:val="2BAF1A1F"/>
    <w:rsid w:val="2BFF7BC6"/>
    <w:rsid w:val="2C605B80"/>
    <w:rsid w:val="2C8654C0"/>
    <w:rsid w:val="2C8A61B5"/>
    <w:rsid w:val="2CD59C95"/>
    <w:rsid w:val="2D3F0918"/>
    <w:rsid w:val="2D86572E"/>
    <w:rsid w:val="2DAB5C48"/>
    <w:rsid w:val="2DF04E50"/>
    <w:rsid w:val="2E097D0B"/>
    <w:rsid w:val="2E9939DA"/>
    <w:rsid w:val="2EBD7913"/>
    <w:rsid w:val="2EFD05E5"/>
    <w:rsid w:val="2F040D46"/>
    <w:rsid w:val="2F4F95CE"/>
    <w:rsid w:val="2FACAFDD"/>
    <w:rsid w:val="2FAE5751"/>
    <w:rsid w:val="2FB1A395"/>
    <w:rsid w:val="2FB9045A"/>
    <w:rsid w:val="2FCF0B76"/>
    <w:rsid w:val="2FD9A7D8"/>
    <w:rsid w:val="31611FD8"/>
    <w:rsid w:val="319F7F4E"/>
    <w:rsid w:val="3253511C"/>
    <w:rsid w:val="3304709D"/>
    <w:rsid w:val="33637D75"/>
    <w:rsid w:val="338F7AAD"/>
    <w:rsid w:val="33EC7412"/>
    <w:rsid w:val="346B3AE1"/>
    <w:rsid w:val="34A93372"/>
    <w:rsid w:val="351B188E"/>
    <w:rsid w:val="369F2D2E"/>
    <w:rsid w:val="36AA5135"/>
    <w:rsid w:val="36BE0DA7"/>
    <w:rsid w:val="36C51AC9"/>
    <w:rsid w:val="3704745F"/>
    <w:rsid w:val="37526B56"/>
    <w:rsid w:val="376B6AA6"/>
    <w:rsid w:val="376D39B2"/>
    <w:rsid w:val="37915E44"/>
    <w:rsid w:val="37A02D9E"/>
    <w:rsid w:val="37AD5FB6"/>
    <w:rsid w:val="37E16F03"/>
    <w:rsid w:val="37F53A3B"/>
    <w:rsid w:val="384971D6"/>
    <w:rsid w:val="38D469F0"/>
    <w:rsid w:val="38F78389"/>
    <w:rsid w:val="39033616"/>
    <w:rsid w:val="391C2C5B"/>
    <w:rsid w:val="397BAF1F"/>
    <w:rsid w:val="39DE0F51"/>
    <w:rsid w:val="39E7B272"/>
    <w:rsid w:val="39F7642F"/>
    <w:rsid w:val="39FF7B37"/>
    <w:rsid w:val="3A93777A"/>
    <w:rsid w:val="3AB79AF3"/>
    <w:rsid w:val="3AE70304"/>
    <w:rsid w:val="3AFDCB77"/>
    <w:rsid w:val="3B255623"/>
    <w:rsid w:val="3B7EF35A"/>
    <w:rsid w:val="3B9FDB6C"/>
    <w:rsid w:val="3BD05FF1"/>
    <w:rsid w:val="3BF5BC2F"/>
    <w:rsid w:val="3BF7C23A"/>
    <w:rsid w:val="3BFF223E"/>
    <w:rsid w:val="3C6EC0A1"/>
    <w:rsid w:val="3CC9583D"/>
    <w:rsid w:val="3CDB0824"/>
    <w:rsid w:val="3CEBA265"/>
    <w:rsid w:val="3CED4EFE"/>
    <w:rsid w:val="3CF03B65"/>
    <w:rsid w:val="3D001457"/>
    <w:rsid w:val="3D503AC8"/>
    <w:rsid w:val="3D6A7F9F"/>
    <w:rsid w:val="3D7C341E"/>
    <w:rsid w:val="3D7E7F4D"/>
    <w:rsid w:val="3D98207C"/>
    <w:rsid w:val="3D9CF30A"/>
    <w:rsid w:val="3DFF5A3E"/>
    <w:rsid w:val="3E04245F"/>
    <w:rsid w:val="3E78745D"/>
    <w:rsid w:val="3E7B71BD"/>
    <w:rsid w:val="3ECF0647"/>
    <w:rsid w:val="3EEE77E9"/>
    <w:rsid w:val="3F394AF5"/>
    <w:rsid w:val="3FBE5714"/>
    <w:rsid w:val="3FDD8615"/>
    <w:rsid w:val="3FDFB2FF"/>
    <w:rsid w:val="3FF4CAE0"/>
    <w:rsid w:val="3FF75FAF"/>
    <w:rsid w:val="3FF7B227"/>
    <w:rsid w:val="404E4E95"/>
    <w:rsid w:val="40BA21A4"/>
    <w:rsid w:val="41603D49"/>
    <w:rsid w:val="41DB3848"/>
    <w:rsid w:val="422E7835"/>
    <w:rsid w:val="426C34DD"/>
    <w:rsid w:val="42A0411B"/>
    <w:rsid w:val="42A30499"/>
    <w:rsid w:val="433703CF"/>
    <w:rsid w:val="43747EDB"/>
    <w:rsid w:val="440F3BF2"/>
    <w:rsid w:val="447E5A70"/>
    <w:rsid w:val="44E268DA"/>
    <w:rsid w:val="45770E98"/>
    <w:rsid w:val="457F4F6B"/>
    <w:rsid w:val="460A7F82"/>
    <w:rsid w:val="464146EE"/>
    <w:rsid w:val="467039B7"/>
    <w:rsid w:val="4737FB58"/>
    <w:rsid w:val="47472EA9"/>
    <w:rsid w:val="47ECCB02"/>
    <w:rsid w:val="47FA6A3F"/>
    <w:rsid w:val="48135247"/>
    <w:rsid w:val="495657FD"/>
    <w:rsid w:val="49C471B5"/>
    <w:rsid w:val="49D7AE48"/>
    <w:rsid w:val="4A3F6C7E"/>
    <w:rsid w:val="4A627F82"/>
    <w:rsid w:val="4A9A1BBA"/>
    <w:rsid w:val="4B0E749A"/>
    <w:rsid w:val="4B4F25DA"/>
    <w:rsid w:val="4B5430D5"/>
    <w:rsid w:val="4BBB4781"/>
    <w:rsid w:val="4BD709A5"/>
    <w:rsid w:val="4BDD9BFF"/>
    <w:rsid w:val="4BE068DB"/>
    <w:rsid w:val="4D577224"/>
    <w:rsid w:val="4DBF1CEB"/>
    <w:rsid w:val="4DBF6A6B"/>
    <w:rsid w:val="4DF23239"/>
    <w:rsid w:val="4DF6A672"/>
    <w:rsid w:val="4E292708"/>
    <w:rsid w:val="4E326885"/>
    <w:rsid w:val="4E5E4D9B"/>
    <w:rsid w:val="4E9513C8"/>
    <w:rsid w:val="4EAB630A"/>
    <w:rsid w:val="4EBE1859"/>
    <w:rsid w:val="4ECE2238"/>
    <w:rsid w:val="4EF60FE2"/>
    <w:rsid w:val="4F74632B"/>
    <w:rsid w:val="4F7EA413"/>
    <w:rsid w:val="4FAB812F"/>
    <w:rsid w:val="4FE9BD67"/>
    <w:rsid w:val="4FEE4C07"/>
    <w:rsid w:val="4FFB052F"/>
    <w:rsid w:val="500026F1"/>
    <w:rsid w:val="5018071D"/>
    <w:rsid w:val="50A56850"/>
    <w:rsid w:val="512E4742"/>
    <w:rsid w:val="51610463"/>
    <w:rsid w:val="51725DDE"/>
    <w:rsid w:val="51DD3C94"/>
    <w:rsid w:val="52AA41EF"/>
    <w:rsid w:val="53675CE8"/>
    <w:rsid w:val="537E6D0A"/>
    <w:rsid w:val="538A0E4D"/>
    <w:rsid w:val="53956EA2"/>
    <w:rsid w:val="53A46A0F"/>
    <w:rsid w:val="53A9044E"/>
    <w:rsid w:val="53AB6B88"/>
    <w:rsid w:val="53E2584A"/>
    <w:rsid w:val="53E540FB"/>
    <w:rsid w:val="53F74C96"/>
    <w:rsid w:val="540C3B4A"/>
    <w:rsid w:val="55243ADE"/>
    <w:rsid w:val="5583522D"/>
    <w:rsid w:val="55A430E9"/>
    <w:rsid w:val="57237983"/>
    <w:rsid w:val="57777986"/>
    <w:rsid w:val="57BD3DD4"/>
    <w:rsid w:val="57F9CD1E"/>
    <w:rsid w:val="597E3BBF"/>
    <w:rsid w:val="59B32AF6"/>
    <w:rsid w:val="5A0415B9"/>
    <w:rsid w:val="5AF92295"/>
    <w:rsid w:val="5AF9D8E9"/>
    <w:rsid w:val="5AFB4A48"/>
    <w:rsid w:val="5B9219CA"/>
    <w:rsid w:val="5BAC3CF6"/>
    <w:rsid w:val="5BDD38BD"/>
    <w:rsid w:val="5BDD79E6"/>
    <w:rsid w:val="5BEFC772"/>
    <w:rsid w:val="5BFF5DFC"/>
    <w:rsid w:val="5C5A7034"/>
    <w:rsid w:val="5CD71FC4"/>
    <w:rsid w:val="5CF21823"/>
    <w:rsid w:val="5CF83722"/>
    <w:rsid w:val="5D1F11B5"/>
    <w:rsid w:val="5D323B9D"/>
    <w:rsid w:val="5D3647F9"/>
    <w:rsid w:val="5DA644D4"/>
    <w:rsid w:val="5DAE1B18"/>
    <w:rsid w:val="5DE7D9E5"/>
    <w:rsid w:val="5E2C17FB"/>
    <w:rsid w:val="5E407E9C"/>
    <w:rsid w:val="5ECEC941"/>
    <w:rsid w:val="5ED51A61"/>
    <w:rsid w:val="5EE94953"/>
    <w:rsid w:val="5EFF8FC6"/>
    <w:rsid w:val="5F5BA39A"/>
    <w:rsid w:val="5F7D3B79"/>
    <w:rsid w:val="5F7F4610"/>
    <w:rsid w:val="5FBF9FF3"/>
    <w:rsid w:val="5FCD4E2C"/>
    <w:rsid w:val="5FEF394A"/>
    <w:rsid w:val="5FF67715"/>
    <w:rsid w:val="604B4FE5"/>
    <w:rsid w:val="604C7876"/>
    <w:rsid w:val="60707406"/>
    <w:rsid w:val="609A6058"/>
    <w:rsid w:val="60B42EAB"/>
    <w:rsid w:val="61103140"/>
    <w:rsid w:val="611D46E8"/>
    <w:rsid w:val="61CA71D5"/>
    <w:rsid w:val="627EE9EA"/>
    <w:rsid w:val="62DC3ABE"/>
    <w:rsid w:val="63B23AA5"/>
    <w:rsid w:val="63B4228C"/>
    <w:rsid w:val="63CF28B8"/>
    <w:rsid w:val="63FE1623"/>
    <w:rsid w:val="641F000C"/>
    <w:rsid w:val="647F5392"/>
    <w:rsid w:val="64E322C4"/>
    <w:rsid w:val="65485CE1"/>
    <w:rsid w:val="65726DA0"/>
    <w:rsid w:val="65A378DC"/>
    <w:rsid w:val="65F939E3"/>
    <w:rsid w:val="65FB93B9"/>
    <w:rsid w:val="6633C463"/>
    <w:rsid w:val="669541A0"/>
    <w:rsid w:val="66FF699A"/>
    <w:rsid w:val="67D55B77"/>
    <w:rsid w:val="67EE7F84"/>
    <w:rsid w:val="686F5F53"/>
    <w:rsid w:val="688500EA"/>
    <w:rsid w:val="688B417A"/>
    <w:rsid w:val="6A0F7353"/>
    <w:rsid w:val="6A35063F"/>
    <w:rsid w:val="6AFFCEAF"/>
    <w:rsid w:val="6B7C68B9"/>
    <w:rsid w:val="6B96E9E6"/>
    <w:rsid w:val="6BCE57B5"/>
    <w:rsid w:val="6BFEA4DB"/>
    <w:rsid w:val="6BFFB662"/>
    <w:rsid w:val="6C4A05C8"/>
    <w:rsid w:val="6C4D56E2"/>
    <w:rsid w:val="6C997352"/>
    <w:rsid w:val="6CFF4FB8"/>
    <w:rsid w:val="6D265288"/>
    <w:rsid w:val="6D3330DB"/>
    <w:rsid w:val="6D6BD6E0"/>
    <w:rsid w:val="6D77E73C"/>
    <w:rsid w:val="6DBF5E93"/>
    <w:rsid w:val="6DFF077E"/>
    <w:rsid w:val="6E5371C6"/>
    <w:rsid w:val="6E7E3605"/>
    <w:rsid w:val="6E7FDCC7"/>
    <w:rsid w:val="6ED6A62E"/>
    <w:rsid w:val="6EE00B15"/>
    <w:rsid w:val="6EE737B2"/>
    <w:rsid w:val="6EEB2329"/>
    <w:rsid w:val="6EECE67A"/>
    <w:rsid w:val="6EF96804"/>
    <w:rsid w:val="6F130F06"/>
    <w:rsid w:val="6F6F90A8"/>
    <w:rsid w:val="6F6FB3EB"/>
    <w:rsid w:val="6F8731EA"/>
    <w:rsid w:val="6F974C10"/>
    <w:rsid w:val="6FB335A0"/>
    <w:rsid w:val="6FBC2ADD"/>
    <w:rsid w:val="6FD57C00"/>
    <w:rsid w:val="6FEFFFD8"/>
    <w:rsid w:val="6FF5CC65"/>
    <w:rsid w:val="6FFB47EC"/>
    <w:rsid w:val="6FFF034A"/>
    <w:rsid w:val="70133EFF"/>
    <w:rsid w:val="703457B6"/>
    <w:rsid w:val="71274440"/>
    <w:rsid w:val="712A28F1"/>
    <w:rsid w:val="713B3518"/>
    <w:rsid w:val="715C0E4B"/>
    <w:rsid w:val="718E2F6E"/>
    <w:rsid w:val="71FFD401"/>
    <w:rsid w:val="72233669"/>
    <w:rsid w:val="72510AD1"/>
    <w:rsid w:val="72734D90"/>
    <w:rsid w:val="727D6FC3"/>
    <w:rsid w:val="72912AFC"/>
    <w:rsid w:val="72AF585A"/>
    <w:rsid w:val="72F923AD"/>
    <w:rsid w:val="7332FE48"/>
    <w:rsid w:val="73AD73D5"/>
    <w:rsid w:val="73B6EB34"/>
    <w:rsid w:val="73FA497D"/>
    <w:rsid w:val="744731E5"/>
    <w:rsid w:val="74BBD01D"/>
    <w:rsid w:val="74ED5379"/>
    <w:rsid w:val="75DEEEC2"/>
    <w:rsid w:val="767F479D"/>
    <w:rsid w:val="76E3355F"/>
    <w:rsid w:val="76F742AF"/>
    <w:rsid w:val="76F7BE7D"/>
    <w:rsid w:val="76FF5125"/>
    <w:rsid w:val="77341D49"/>
    <w:rsid w:val="773570D3"/>
    <w:rsid w:val="775817D1"/>
    <w:rsid w:val="77597F31"/>
    <w:rsid w:val="776F6FFA"/>
    <w:rsid w:val="7777A522"/>
    <w:rsid w:val="77858688"/>
    <w:rsid w:val="778769C8"/>
    <w:rsid w:val="77CB741A"/>
    <w:rsid w:val="77D7BE3A"/>
    <w:rsid w:val="77DC22F5"/>
    <w:rsid w:val="78971152"/>
    <w:rsid w:val="790E622A"/>
    <w:rsid w:val="7923391B"/>
    <w:rsid w:val="797E3A6C"/>
    <w:rsid w:val="79CF70E2"/>
    <w:rsid w:val="79D7FD79"/>
    <w:rsid w:val="79E75806"/>
    <w:rsid w:val="79EE5BA4"/>
    <w:rsid w:val="7A2E5E97"/>
    <w:rsid w:val="7A334F0C"/>
    <w:rsid w:val="7A641148"/>
    <w:rsid w:val="7A6F8BF5"/>
    <w:rsid w:val="7A894339"/>
    <w:rsid w:val="7ACF82B5"/>
    <w:rsid w:val="7AFF28C9"/>
    <w:rsid w:val="7AFF72A0"/>
    <w:rsid w:val="7AFF7572"/>
    <w:rsid w:val="7B6C7DFB"/>
    <w:rsid w:val="7B7D76A7"/>
    <w:rsid w:val="7BAE2FE2"/>
    <w:rsid w:val="7BAF6951"/>
    <w:rsid w:val="7BBB32D9"/>
    <w:rsid w:val="7BBFBED0"/>
    <w:rsid w:val="7BC3E394"/>
    <w:rsid w:val="7BF3FE4C"/>
    <w:rsid w:val="7BFB5035"/>
    <w:rsid w:val="7BFDE17E"/>
    <w:rsid w:val="7CBFC87B"/>
    <w:rsid w:val="7CCF5D2D"/>
    <w:rsid w:val="7CFE0F48"/>
    <w:rsid w:val="7D055E6E"/>
    <w:rsid w:val="7D3DE31C"/>
    <w:rsid w:val="7D7EC23E"/>
    <w:rsid w:val="7D7F8A13"/>
    <w:rsid w:val="7DBBCB01"/>
    <w:rsid w:val="7DC765D0"/>
    <w:rsid w:val="7DDB0EE0"/>
    <w:rsid w:val="7DFF51D8"/>
    <w:rsid w:val="7E634199"/>
    <w:rsid w:val="7E8ADEBF"/>
    <w:rsid w:val="7EEF11D3"/>
    <w:rsid w:val="7EF78C20"/>
    <w:rsid w:val="7EF94F78"/>
    <w:rsid w:val="7F3F679B"/>
    <w:rsid w:val="7F4FC4EF"/>
    <w:rsid w:val="7F5E4D54"/>
    <w:rsid w:val="7F630591"/>
    <w:rsid w:val="7F6B75FA"/>
    <w:rsid w:val="7F6F6E79"/>
    <w:rsid w:val="7F781CD5"/>
    <w:rsid w:val="7F9F518D"/>
    <w:rsid w:val="7FA30C79"/>
    <w:rsid w:val="7FA5709A"/>
    <w:rsid w:val="7FAF8ABF"/>
    <w:rsid w:val="7FB7174D"/>
    <w:rsid w:val="7FB7269E"/>
    <w:rsid w:val="7FBD6753"/>
    <w:rsid w:val="7FBFABB4"/>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200"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Plain Text"/>
    <w:basedOn w:val="1"/>
    <w:unhideWhenUsed/>
    <w:qFormat/>
    <w:uiPriority w:val="99"/>
    <w:rPr>
      <w:rFonts w:ascii="宋体" w:hAnsi="Courier New"/>
    </w:rPr>
  </w:style>
  <w:style w:type="paragraph" w:styleId="10">
    <w:name w:val="Balloon Text"/>
    <w:basedOn w:val="1"/>
    <w:link w:val="32"/>
    <w:semiHidden/>
    <w:unhideWhenUsed/>
    <w:qFormat/>
    <w:uiPriority w:val="99"/>
    <w:rPr>
      <w:sz w:val="18"/>
      <w:szCs w:val="18"/>
    </w:rPr>
  </w:style>
  <w:style w:type="paragraph" w:styleId="11">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jc w:val="left"/>
    </w:pPr>
    <w:rPr>
      <w:kern w:val="0"/>
      <w:sz w:val="24"/>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字符"/>
    <w:link w:val="12"/>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字符"/>
    <w:link w:val="11"/>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字符"/>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字符"/>
    <w:basedOn w:val="17"/>
    <w:link w:val="4"/>
    <w:qFormat/>
    <w:uiPriority w:val="9"/>
    <w:rPr>
      <w:rFonts w:ascii="Times New Roman" w:hAnsi="Times New Roman"/>
      <w:b/>
      <w:bCs/>
      <w:kern w:val="44"/>
      <w:sz w:val="44"/>
      <w:szCs w:val="44"/>
    </w:rPr>
  </w:style>
  <w:style w:type="character" w:customStyle="1" w:styleId="30">
    <w:name w:val="标题 2 字符"/>
    <w:basedOn w:val="17"/>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字符"/>
    <w:basedOn w:val="17"/>
    <w:link w:val="10"/>
    <w:semiHidden/>
    <w:qFormat/>
    <w:uiPriority w:val="99"/>
    <w:rPr>
      <w:rFonts w:ascii="Times New Roman" w:hAnsi="Times New Roman"/>
      <w:kern w:val="2"/>
      <w:sz w:val="18"/>
      <w:szCs w:val="18"/>
    </w:rPr>
  </w:style>
  <w:style w:type="character" w:customStyle="1" w:styleId="33">
    <w:name w:val="标题 3 字符"/>
    <w:basedOn w:val="17"/>
    <w:link w:val="6"/>
    <w:qFormat/>
    <w:uiPriority w:val="9"/>
    <w:rPr>
      <w:rFonts w:ascii="Times New Roman" w:hAnsi="Times New Roman"/>
      <w:b/>
      <w:bCs/>
      <w:kern w:val="2"/>
      <w:sz w:val="32"/>
      <w:szCs w:val="32"/>
    </w:rPr>
  </w:style>
  <w:style w:type="paragraph" w:customStyle="1" w:styleId="34">
    <w:name w:val="TOC 标题2"/>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color w:val="000000"/>
      <w:kern w:val="0"/>
      <w:sz w:val="28"/>
      <w:szCs w:val="21"/>
      <w:lang w:val="zh-CN"/>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8">
    <w:name w:val="WPSOffice手动目录 3"/>
    <w:qFormat/>
    <w:uiPriority w:val="0"/>
    <w:pPr>
      <w:ind w:left="400" w:leftChars="4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收、支决算情况</a:t>
            </a:r>
            <a:endParaRPr lang="zh-CN" altLang="en-US"/>
          </a:p>
        </c:rich>
      </c:tx>
      <c:layout>
        <c:manualLayout>
          <c:xMode val="edge"/>
          <c:yMode val="edge"/>
          <c:x val="0.423"/>
          <c:y val="0.0181666666666667"/>
        </c:manualLayout>
      </c:layout>
      <c:overlay val="0"/>
      <c:spPr>
        <a:noFill/>
        <a:ln>
          <a:noFill/>
        </a:ln>
        <a:effectLst/>
      </c:spPr>
    </c:title>
    <c:autoTitleDeleted val="0"/>
    <c:plotArea>
      <c:layout>
        <c:manualLayout>
          <c:layoutTarget val="inner"/>
          <c:xMode val="edge"/>
          <c:yMode val="edge"/>
          <c:x val="0.0863713536039512"/>
          <c:y val="0.167671355213217"/>
          <c:w val="0.882914029942892"/>
          <c:h val="0.620763563295378"/>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Sheet1!$B$2:$B$5</c:f>
              <c:numCache>
                <c:formatCode>General</c:formatCode>
                <c:ptCount val="4"/>
                <c:pt idx="0">
                  <c:v>348.66</c:v>
                </c:pt>
                <c:pt idx="1">
                  <c:v>322.36</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Sheet1!$C$2:$C$5</c:f>
              <c:numCache>
                <c:formatCode>General</c:formatCode>
                <c:ptCount val="4"/>
                <c:pt idx="0">
                  <c:v>348.66</c:v>
                </c:pt>
                <c:pt idx="1">
                  <c:v>322.36</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Sheet1!$D$2:$D$5</c:f>
              <c:numCache>
                <c:formatCode>General</c:formatCode>
                <c:ptCount val="4"/>
              </c:numCache>
            </c:numRef>
          </c:val>
        </c:ser>
        <c:dLbls>
          <c:showLegendKey val="0"/>
          <c:showVal val="1"/>
          <c:showCatName val="0"/>
          <c:showSerName val="0"/>
          <c:showPercent val="0"/>
          <c:showBubbleSize val="0"/>
        </c:dLbls>
        <c:gapWidth val="219"/>
        <c:overlap val="-27"/>
        <c:axId val="696114452"/>
        <c:axId val="144329780"/>
      </c:barChart>
      <c:catAx>
        <c:axId val="696114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4329780"/>
        <c:crosses val="autoZero"/>
        <c:auto val="1"/>
        <c:lblAlgn val="ctr"/>
        <c:lblOffset val="100"/>
        <c:noMultiLvlLbl val="0"/>
      </c:catAx>
      <c:valAx>
        <c:axId val="1443297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9611445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本年度收入</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国有资本经营预算财政拨款收入</c:v>
                </c:pt>
              </c:strCache>
            </c:strRef>
          </c:cat>
          <c:val>
            <c:numRef>
              <c:f>Sheet1!$B$2:$B$5</c:f>
              <c:numCache>
                <c:formatCode>General</c:formatCode>
                <c:ptCount val="4"/>
                <c:pt idx="0">
                  <c:v>320.34</c:v>
                </c:pt>
                <c:pt idx="1">
                  <c:v>2.01</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国有资本经营预算财政拨款收入</c:v>
                </c:pt>
              </c:strCache>
            </c:strRef>
          </c:cat>
          <c:val>
            <c:numRef>
              <c:f>Sheet1!$C$2:$C$5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Sheet1!$B$2:$B$5</c:f>
              <c:numCache>
                <c:formatCode>General</c:formatCode>
                <c:ptCount val="4"/>
                <c:pt idx="0">
                  <c:v>310.09</c:v>
                </c:pt>
                <c:pt idx="1">
                  <c:v>12.26</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基本支出</c:v>
                </c:pt>
                <c:pt idx="1">
                  <c:v>项目支出</c:v>
                </c:pt>
              </c:strCache>
            </c:strRef>
          </c:cat>
          <c:val>
            <c:numRef>
              <c:f>Sheet1!$C$2:$C$5</c:f>
              <c:numCache>
                <c:formatCode>General</c:formatCode>
                <c:ptCount val="4"/>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zh-CN" altLang="en-US"/>
              <a:t>财政拨款收支决算情况</a:t>
            </a:r>
            <a:endParaRPr lang="zh-CN" altLang="en-US"/>
          </a:p>
        </c:rich>
      </c:tx>
      <c:layout>
        <c:manualLayout>
          <c:xMode val="edge"/>
          <c:yMode val="edge"/>
          <c:x val="0.3185"/>
          <c:y val="0.0163333333333333"/>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Sheet1!$B$2:$B$5</c:f>
              <c:numCache>
                <c:formatCode>General</c:formatCode>
                <c:ptCount val="4"/>
                <c:pt idx="0">
                  <c:v>348.65</c:v>
                </c:pt>
                <c:pt idx="1">
                  <c:v>322.36</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Sheet1!$C$2:$C$5</c:f>
              <c:numCache>
                <c:formatCode>General</c:formatCode>
                <c:ptCount val="4"/>
                <c:pt idx="0">
                  <c:v>348.65</c:v>
                </c:pt>
                <c:pt idx="1">
                  <c:v>322.36</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Sheet1!$D$2:$D$5</c:f>
              <c:numCache>
                <c:formatCode>General</c:formatCode>
                <c:ptCount val="4"/>
              </c:numCache>
            </c:numRef>
          </c:val>
        </c:ser>
        <c:dLbls>
          <c:showLegendKey val="0"/>
          <c:showVal val="1"/>
          <c:showCatName val="0"/>
          <c:showSerName val="0"/>
          <c:showPercent val="0"/>
          <c:showBubbleSize val="0"/>
        </c:dLbls>
        <c:gapWidth val="219"/>
        <c:overlap val="-27"/>
        <c:axId val="100832905"/>
        <c:axId val="172725960"/>
      </c:barChart>
      <c:catAx>
        <c:axId val="10083290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2725960"/>
        <c:crosses val="autoZero"/>
        <c:auto val="1"/>
        <c:lblAlgn val="ctr"/>
        <c:lblOffset val="100"/>
        <c:noMultiLvlLbl val="0"/>
      </c:catAx>
      <c:valAx>
        <c:axId val="172725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083290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a:t>
            </a:r>
          </a:p>
        </c:rich>
      </c:tx>
      <c:layout/>
      <c:overlay val="0"/>
      <c:spPr>
        <a:noFill/>
        <a:ln>
          <a:noFill/>
        </a:ln>
        <a:effectLst/>
      </c:spPr>
    </c:title>
    <c:autoTitleDeleted val="0"/>
    <c:plotArea>
      <c:layout/>
      <c:barChart>
        <c:barDir val="col"/>
        <c:grouping val="stacked"/>
        <c:varyColors val="0"/>
        <c:ser>
          <c:idx val="0"/>
          <c:order val="0"/>
          <c:tx>
            <c:strRef>
              <c:f>Sheet1!$B$1</c:f>
              <c:strCache>
                <c:ptCount val="1"/>
                <c:pt idx="0">
                  <c:v>支出变动情况</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348.65</c:v>
                </c:pt>
                <c:pt idx="1">
                  <c:v>322.36</c:v>
                </c:pt>
              </c:numCache>
            </c:numRef>
          </c:val>
        </c:ser>
        <c:ser>
          <c:idx val="1"/>
          <c:order val="1"/>
          <c:tx>
            <c:strRef>
              <c:f>Sheet1!$C$1</c:f>
              <c:strCache>
                <c:ptCount val="1"/>
                <c:pt idx="0">
                  <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overlap val="100"/>
        <c:axId val="421811393"/>
        <c:axId val="822729418"/>
      </c:barChart>
      <c:catAx>
        <c:axId val="42181139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2729418"/>
        <c:crosses val="autoZero"/>
        <c:auto val="1"/>
        <c:lblAlgn val="ctr"/>
        <c:lblOffset val="100"/>
        <c:noMultiLvlLbl val="0"/>
      </c:catAx>
      <c:valAx>
        <c:axId val="82272941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2181139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一般公共服务支出</c:v>
                </c:pt>
                <c:pt idx="1">
                  <c:v>社会保障和就业支出</c:v>
                </c:pt>
                <c:pt idx="2">
                  <c:v>卫生健康支出</c:v>
                </c:pt>
                <c:pt idx="3">
                  <c:v>住房保障支出</c:v>
                </c:pt>
                <c:pt idx="4">
                  <c:v>国有资本经营预算支出</c:v>
                </c:pt>
              </c:strCache>
            </c:strRef>
          </c:cat>
          <c:val>
            <c:numRef>
              <c:f>Sheet1!$B$2:$B$6</c:f>
              <c:numCache>
                <c:formatCode>General</c:formatCode>
                <c:ptCount val="5"/>
                <c:pt idx="0">
                  <c:v>235.87</c:v>
                </c:pt>
                <c:pt idx="1">
                  <c:v>44.83</c:v>
                </c:pt>
                <c:pt idx="2">
                  <c:v>16.57</c:v>
                </c:pt>
                <c:pt idx="3">
                  <c:v>23.08</c:v>
                </c:pt>
                <c:pt idx="4">
                  <c:v>2.01</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elete val="1"/>
          </c:dLbls>
          <c:cat>
            <c:strRef>
              <c:f>Sheet1!$A$2:$A$6</c:f>
              <c:strCache>
                <c:ptCount val="5"/>
                <c:pt idx="0">
                  <c:v>一般公共服务支出</c:v>
                </c:pt>
                <c:pt idx="1">
                  <c:v>社会保障和就业支出</c:v>
                </c:pt>
                <c:pt idx="2">
                  <c:v>卫生健康支出</c:v>
                </c:pt>
                <c:pt idx="3">
                  <c:v>住房保障支出</c:v>
                </c:pt>
                <c:pt idx="4">
                  <c:v>国有资本经营预算支出</c:v>
                </c:pt>
              </c:strCache>
            </c:strRef>
          </c:cat>
          <c:val>
            <c:numRef>
              <c:f>Sheet1!$C$2:$C$6</c:f>
              <c:numCache>
                <c:formatCode>General</c:formatCode>
                <c:ptCount val="5"/>
              </c:numCache>
            </c:numRef>
          </c:val>
        </c:ser>
        <c:ser>
          <c:idx val="2"/>
          <c:order val="2"/>
          <c:tx>
            <c:strRef>
              <c:f>Sheet1!$D$1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elete val="1"/>
          </c:dLbls>
          <c:cat>
            <c:strRef>
              <c:f>Sheet1!$A$2:$A$6</c:f>
              <c:strCache>
                <c:ptCount val="5"/>
                <c:pt idx="0">
                  <c:v>一般公共服务支出</c:v>
                </c:pt>
                <c:pt idx="1">
                  <c:v>社会保障和就业支出</c:v>
                </c:pt>
                <c:pt idx="2">
                  <c:v>卫生健康支出</c:v>
                </c:pt>
                <c:pt idx="3">
                  <c:v>住房保障支出</c:v>
                </c:pt>
                <c:pt idx="4">
                  <c:v>国有资本经营预算支出</c:v>
                </c:pt>
              </c:strCache>
            </c:strRef>
          </c:cat>
          <c:val>
            <c:numRef>
              <c:f>Sheet1!$D$2:$D$6</c:f>
              <c:numCache>
                <c:formatCode>General</c:formatCode>
                <c:ptCount val="5"/>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本年度三公经费支出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公务用车购置及运行维护费</c:v>
                </c:pt>
                <c:pt idx="1">
                  <c:v>公务接待支出</c:v>
                </c:pt>
              </c:strCache>
            </c:strRef>
          </c:cat>
          <c:val>
            <c:numRef>
              <c:f>Sheet1!$B$2:$B$5</c:f>
              <c:numCache>
                <c:formatCode>General</c:formatCode>
                <c:ptCount val="4"/>
                <c:pt idx="0">
                  <c:v>0.35</c:v>
                </c:pt>
                <c:pt idx="1">
                  <c:v>0.09</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公务用车购置及运行维护费</c:v>
                </c:pt>
                <c:pt idx="1">
                  <c:v>公务接待支出</c:v>
                </c:pt>
              </c:strCache>
            </c:strRef>
          </c:cat>
          <c:val>
            <c:numRef>
              <c:f>Sheet1!$C$2:$C$5</c:f>
              <c:numCache>
                <c:formatCode>General</c:formatCode>
                <c:ptCount val="4"/>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29</Pages>
  <Words>6059</Words>
  <Characters>6727</Characters>
  <Lines>354</Lines>
  <Paragraphs>255</Paragraphs>
  <TotalTime>152</TotalTime>
  <ScaleCrop>false</ScaleCrop>
  <LinksUpToDate>false</LinksUpToDate>
  <CharactersWithSpaces>12531</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Administrator</cp:lastModifiedBy>
  <cp:lastPrinted>2023-08-03T10:35:00Z</cp:lastPrinted>
  <dcterms:modified xsi:type="dcterms:W3CDTF">2026-10-16T07:55:44Z</dcterms:modified>
  <dc:title>四川省***</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00E3994C78F14454A25EB61D3BBC194C</vt:lpwstr>
  </property>
</Properties>
</file>