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6A70A1">
      <w:pPr>
        <w:pStyle w:val="5"/>
        <w:rPr>
          <w:rFonts w:hint="eastAsia" w:ascii="黑体" w:hAnsi="黑体" w:eastAsia="黑体" w:cs="黑体"/>
          <w:color w:val="auto"/>
          <w:kern w:val="2"/>
          <w:sz w:val="32"/>
          <w:szCs w:val="32"/>
          <w:highlight w:val="none"/>
          <w:lang w:val="en-US" w:eastAsia="zh-CN" w:bidi="ar-SA"/>
        </w:rPr>
      </w:pPr>
      <w:bookmarkStart w:id="0" w:name="_Toc15378441"/>
      <w:bookmarkStart w:id="1" w:name="_Toc15377193"/>
      <w:bookmarkStart w:id="2" w:name="_Toc15396597"/>
      <w:bookmarkStart w:id="3" w:name="_Toc15377425"/>
      <w:bookmarkStart w:id="4" w:name="_Toc15396475"/>
      <w:bookmarkStart w:id="5" w:name="_Toc15306267"/>
      <w:r>
        <w:rPr>
          <w:rFonts w:hint="eastAsia" w:ascii="黑体" w:hAnsi="黑体" w:eastAsia="黑体" w:cs="黑体"/>
          <w:color w:val="auto"/>
          <w:kern w:val="2"/>
          <w:sz w:val="32"/>
          <w:szCs w:val="32"/>
          <w:highlight w:val="none"/>
          <w:lang w:val="en-US" w:eastAsia="zh-CN" w:bidi="ar-SA"/>
        </w:rPr>
        <w:t>附件4</w:t>
      </w:r>
    </w:p>
    <w:p w14:paraId="272ABFF3">
      <w:pPr>
        <w:pStyle w:val="5"/>
        <w:rPr>
          <w:rFonts w:hint="eastAsia" w:ascii="Times New Roman" w:hAnsi="Times New Roman" w:eastAsia="方正小标宋简体" w:cs="Times New Roman"/>
          <w:color w:val="auto"/>
          <w:kern w:val="2"/>
          <w:sz w:val="72"/>
          <w:szCs w:val="72"/>
          <w:highlight w:val="none"/>
          <w:lang w:val="en-US" w:eastAsia="zh-CN" w:bidi="ar-SA"/>
        </w:rPr>
      </w:pPr>
    </w:p>
    <w:p w14:paraId="699FDAF6">
      <w:pPr>
        <w:pStyle w:val="5"/>
        <w:rPr>
          <w:rFonts w:hint="eastAsia" w:ascii="Times New Roman" w:hAnsi="Times New Roman" w:eastAsia="方正小标宋简体" w:cs="Times New Roman"/>
          <w:color w:val="auto"/>
          <w:kern w:val="2"/>
          <w:sz w:val="72"/>
          <w:szCs w:val="72"/>
          <w:highlight w:val="none"/>
          <w:lang w:val="en-US" w:eastAsia="zh-CN" w:bidi="ar-SA"/>
        </w:rPr>
      </w:pPr>
    </w:p>
    <w:p w14:paraId="5400DE31">
      <w:pPr>
        <w:pStyle w:val="5"/>
        <w:rPr>
          <w:rFonts w:hint="eastAsia" w:ascii="Times New Roman" w:hAnsi="Times New Roman" w:eastAsia="方正小标宋简体" w:cs="Times New Roman"/>
          <w:color w:val="auto"/>
          <w:kern w:val="2"/>
          <w:sz w:val="72"/>
          <w:szCs w:val="72"/>
          <w:highlight w:val="none"/>
          <w:lang w:val="en-US" w:eastAsia="zh-CN" w:bidi="ar-SA"/>
        </w:rPr>
      </w:pPr>
    </w:p>
    <w:p w14:paraId="1F03B206">
      <w:pPr>
        <w:pStyle w:val="5"/>
        <w:rPr>
          <w:rFonts w:hint="eastAsia" w:ascii="Times New Roman" w:hAnsi="Times New Roman" w:eastAsia="方正小标宋简体" w:cs="Times New Roman"/>
          <w:color w:val="auto"/>
          <w:kern w:val="2"/>
          <w:sz w:val="72"/>
          <w:szCs w:val="72"/>
          <w:highlight w:val="none"/>
          <w:lang w:val="en-US" w:eastAsia="zh-CN" w:bidi="ar-SA"/>
        </w:rPr>
      </w:pPr>
    </w:p>
    <w:p w14:paraId="4F2C94D2">
      <w:pPr>
        <w:pStyle w:val="5"/>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2025年度红原县县委党校</w:t>
      </w:r>
      <w:r>
        <w:rPr>
          <w:rFonts w:hint="eastAsia" w:ascii="Times New Roman" w:hAnsi="Times New Roman" w:eastAsia="方正小标宋简体" w:cs="Times New Roman"/>
          <w:color w:val="auto"/>
          <w:kern w:val="2"/>
          <w:sz w:val="44"/>
          <w:szCs w:val="44"/>
          <w:highlight w:val="none"/>
          <w:lang w:val="en-US" w:eastAsia="zh-CN" w:bidi="ar-SA"/>
        </w:rPr>
        <w:t>决算</w:t>
      </w:r>
    </w:p>
    <w:p w14:paraId="2FA2A5E4">
      <w:pPr>
        <w:pStyle w:val="5"/>
        <w:jc w:val="center"/>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公开</w:t>
      </w:r>
      <w:r>
        <w:rPr>
          <w:rFonts w:hint="eastAsia" w:ascii="Times New Roman" w:eastAsia="方正小标宋简体" w:cs="Times New Roman"/>
          <w:color w:val="auto"/>
          <w:kern w:val="2"/>
          <w:sz w:val="44"/>
          <w:szCs w:val="44"/>
          <w:highlight w:val="none"/>
          <w:lang w:val="en-US" w:eastAsia="zh-CN" w:bidi="ar-SA"/>
        </w:rPr>
        <w:t>表</w:t>
      </w:r>
    </w:p>
    <w:p w14:paraId="35C0B593">
      <w:pPr>
        <w:spacing w:line="600" w:lineRule="exact"/>
        <w:jc w:val="center"/>
        <w:outlineLvl w:val="0"/>
        <w:rPr>
          <w:rFonts w:ascii="Times New Roman" w:hAnsi="Times New Roman" w:eastAsia="方正小标宋简体"/>
          <w:color w:val="auto"/>
          <w:sz w:val="72"/>
          <w:szCs w:val="72"/>
          <w:highlight w:val="none"/>
        </w:rPr>
      </w:pPr>
    </w:p>
    <w:p w14:paraId="70924C6C">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04C4B9A4">
      <w:pPr>
        <w:rPr>
          <w:rFonts w:ascii="Times New Roman" w:hAnsi="Times New Roman"/>
        </w:rPr>
      </w:pPr>
    </w:p>
    <w:p w14:paraId="630D3C7A">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3627E26E">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3DD260E0">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07AFD627">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14:paraId="18EBC16A">
      <w:pPr>
        <w:pStyle w:val="5"/>
        <w:jc w:val="center"/>
        <w:rPr>
          <w:rFonts w:hint="eastAsia" w:ascii="Times New Roman" w:hAnsi="Times New Roman" w:eastAsia="方正小标宋简体" w:cs="Times New Roman"/>
          <w:color w:val="auto"/>
          <w:kern w:val="2"/>
          <w:sz w:val="44"/>
          <w:szCs w:val="44"/>
          <w:highlight w:val="none"/>
          <w:lang w:val="en-US" w:eastAsia="zh-CN" w:bidi="ar-SA"/>
        </w:rPr>
      </w:pPr>
      <w:bookmarkStart w:id="6" w:name="_Toc15378442"/>
      <w:bookmarkStart w:id="7" w:name="_Toc15377426"/>
      <w:bookmarkStart w:id="8" w:name="_Toc15396476"/>
      <w:bookmarkStart w:id="9" w:name="_Toc15396598"/>
      <w:bookmarkStart w:id="10" w:name="_Toc15377194"/>
      <w:r>
        <w:rPr>
          <w:rFonts w:hint="eastAsia" w:ascii="Times New Roman" w:eastAsia="方正小标宋简体" w:cs="Times New Roman"/>
          <w:color w:val="auto"/>
          <w:kern w:val="2"/>
          <w:sz w:val="44"/>
          <w:szCs w:val="44"/>
          <w:highlight w:val="none"/>
          <w:lang w:val="en-US" w:eastAsia="zh-CN" w:bidi="ar-SA"/>
        </w:rPr>
        <w:t>2025年度</w:t>
      </w:r>
      <w:bookmarkEnd w:id="5"/>
      <w:bookmarkStart w:id="11" w:name="_Toc15306268"/>
      <w:r>
        <w:rPr>
          <w:rFonts w:hint="eastAsia" w:ascii="Times New Roman" w:eastAsia="方正小标宋简体" w:cs="Times New Roman"/>
          <w:color w:val="auto"/>
          <w:kern w:val="2"/>
          <w:sz w:val="44"/>
          <w:szCs w:val="44"/>
          <w:highlight w:val="none"/>
          <w:lang w:val="en-US" w:eastAsia="zh-CN" w:bidi="ar-SA"/>
        </w:rPr>
        <w:t>中共红原县委党校</w:t>
      </w:r>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14:paraId="6CEDE7B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val="en-US" w:eastAsia="zh-CN"/>
        </w:rPr>
        <w:t>（注：</w:t>
      </w:r>
      <w:r>
        <w:rPr>
          <w:rFonts w:hint="eastAsia" w:eastAsia="仿宋_GB2312" w:cs="仿宋_GB2312"/>
          <w:color w:val="auto"/>
          <w:sz w:val="32"/>
          <w:szCs w:val="32"/>
          <w:highlight w:val="none"/>
          <w:lang w:val="en-US" w:eastAsia="zh-CN"/>
        </w:rPr>
        <w:t>以下为部门公开范本。单位公开内容应参照部门公开内容和报表格式，并与部门公开内容做好衔接）</w:t>
      </w:r>
    </w:p>
    <w:p w14:paraId="0609F909">
      <w:pPr>
        <w:widowControl/>
        <w:jc w:val="center"/>
        <w:rPr>
          <w:rFonts w:hint="eastAsia" w:ascii="Times New Roman" w:hAnsi="Times New Roman" w:eastAsia="黑体"/>
          <w:color w:val="auto"/>
          <w:sz w:val="48"/>
          <w:szCs w:val="48"/>
          <w:highlight w:val="none"/>
        </w:rPr>
        <w:sectPr>
          <w:footerReference r:id="rId6" w:type="first"/>
          <w:footerReference r:id="rId5" w:type="default"/>
          <w:pgSz w:w="11906" w:h="16838"/>
          <w:pgMar w:top="1440" w:right="1800" w:bottom="1440" w:left="1800" w:header="851" w:footer="992" w:gutter="0"/>
          <w:pgNumType w:fmt="decimal" w:start="1"/>
          <w:cols w:space="425" w:num="1"/>
          <w:titlePg/>
          <w:docGrid w:type="lines" w:linePitch="312" w:charSpace="0"/>
        </w:sectPr>
      </w:pPr>
    </w:p>
    <w:p w14:paraId="72E174D3">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2A7DE974">
      <w:pPr>
        <w:widowControl/>
        <w:jc w:val="center"/>
        <w:rPr>
          <w:rFonts w:ascii="Times New Roman" w:hAnsi="Times New Roman" w:eastAsia="黑体" w:cstheme="minorBidi"/>
          <w:color w:val="auto"/>
          <w:sz w:val="28"/>
          <w:szCs w:val="28"/>
          <w:highlight w:val="none"/>
        </w:rPr>
      </w:pPr>
    </w:p>
    <w:p w14:paraId="1934B577">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20</w:t>
      </w:r>
      <w:r>
        <w:rPr>
          <w:rFonts w:hint="eastAsia" w:ascii="Times New Roman" w:hAnsi="Times New Roman" w:eastAsia="仿宋_GB2312" w:cs="仿宋_GB2312"/>
          <w:color w:val="auto"/>
          <w:sz w:val="32"/>
          <w:szCs w:val="32"/>
          <w:highlight w:val="none"/>
        </w:rPr>
        <w:t>日</w:t>
      </w:r>
    </w:p>
    <w:p w14:paraId="6FCC8990">
      <w:pPr>
        <w:rPr>
          <w:rFonts w:ascii="Times New Roman" w:hAnsi="Times New Roman"/>
          <w:color w:val="auto"/>
          <w:highlight w:val="none"/>
        </w:rPr>
      </w:pPr>
    </w:p>
    <w:p w14:paraId="21E7ABEA">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68E7D236">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方正仿宋_GBK" w:hAnsi="方正仿宋_GBK" w:eastAsia="方正仿宋_GBK" w:cs="方正仿宋_GBK"/>
          <w:b/>
          <w:bCs/>
          <w:color w:val="000000"/>
          <w:kern w:val="0"/>
          <w:sz w:val="32"/>
          <w:szCs w:val="32"/>
          <w:lang w:val="en-US" w:eastAsia="zh-CN" w:bidi="ar"/>
        </w:rPr>
      </w:pPr>
      <w:r>
        <w:rPr>
          <w:rFonts w:hint="eastAsia" w:ascii="方正仿宋_GBK" w:hAnsi="方正仿宋_GBK" w:eastAsia="方正仿宋_GBK" w:cs="方正仿宋_GBK"/>
          <w:b/>
          <w:bCs/>
          <w:color w:val="000000"/>
          <w:kern w:val="0"/>
          <w:sz w:val="32"/>
          <w:szCs w:val="32"/>
          <w:lang w:val="en-US" w:eastAsia="zh-CN" w:bidi="ar"/>
        </w:rPr>
        <w:t>1.主要职能</w:t>
      </w:r>
    </w:p>
    <w:p w14:paraId="4EC8942C">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中共红原县委党校是在红原县委直接领导下培养党员领导干部和理论干部的学校，是县委的重要部门，是培训轮训党员领导干部的主渠道、主阵地。主要职能包括：</w:t>
      </w:r>
    </w:p>
    <w:p w14:paraId="0CF3D15F">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承担全县副科级以下党员领导干部、村（社区）党组织书记、后备干部等主体班次培训，开展党的理论、路线、方针、政策教育，提升干部政治素养与履职能力。</w:t>
      </w:r>
    </w:p>
    <w:p w14:paraId="0FB1A2D9">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围绕县委、县政府中心工作和红原县经济社会发展中的重大理论与实践问题开展调研，为县委、县政府决策提供理论支撑与对策建议。</w:t>
      </w:r>
    </w:p>
    <w:p w14:paraId="42F52CF1">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负责全县党员干部党性教育、理想信念教育，依托本地红色资源打造特色教学课程，传承红色基因，筑牢干部思想根基。</w:t>
      </w:r>
    </w:p>
    <w:p w14:paraId="78636F9E">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指导基层党组织开展党员教育工作，开发党员教育教材与课程，提升基层党员队伍整体素质。</w:t>
      </w:r>
    </w:p>
    <w:p w14:paraId="26736A49">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b/>
          <w:bCs/>
          <w:color w:val="000000"/>
          <w:kern w:val="0"/>
          <w:sz w:val="32"/>
          <w:szCs w:val="32"/>
          <w:lang w:val="en-US" w:eastAsia="zh-CN" w:bidi="ar"/>
        </w:rPr>
      </w:pPr>
      <w:r>
        <w:rPr>
          <w:rFonts w:hint="eastAsia" w:ascii="方正仿宋_GBK" w:hAnsi="方正仿宋_GBK" w:eastAsia="方正仿宋_GBK" w:cs="方正仿宋_GBK"/>
          <w:b/>
          <w:bCs/>
          <w:color w:val="000000"/>
          <w:kern w:val="0"/>
          <w:sz w:val="32"/>
          <w:szCs w:val="32"/>
          <w:lang w:val="en-US" w:eastAsia="zh-CN" w:bidi="ar"/>
        </w:rPr>
        <w:t>2.机构情况</w:t>
      </w:r>
    </w:p>
    <w:p w14:paraId="3ED9360E">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中共红原县委党校内设办公室、总务室、理论研究室3个职能科室。2025年度新成立党员干部教育培训中心，保持稳定的组织架构以保障教学、科研及管理工作有序开展。</w:t>
      </w:r>
    </w:p>
    <w:p w14:paraId="6DD2D3CE">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b/>
          <w:bCs/>
          <w:color w:val="000000"/>
          <w:kern w:val="0"/>
          <w:sz w:val="32"/>
          <w:szCs w:val="32"/>
          <w:lang w:val="en-US" w:eastAsia="zh-CN" w:bidi="ar"/>
        </w:rPr>
      </w:pPr>
      <w:r>
        <w:rPr>
          <w:rFonts w:hint="eastAsia" w:ascii="方正仿宋_GBK" w:hAnsi="方正仿宋_GBK" w:eastAsia="方正仿宋_GBK" w:cs="方正仿宋_GBK"/>
          <w:b/>
          <w:bCs/>
          <w:color w:val="000000"/>
          <w:kern w:val="0"/>
          <w:sz w:val="32"/>
          <w:szCs w:val="32"/>
          <w:lang w:val="en-US" w:eastAsia="zh-CN" w:bidi="ar"/>
        </w:rPr>
        <w:t>3.人员情况</w:t>
      </w:r>
    </w:p>
    <w:p w14:paraId="0263E7D2">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default"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2025年末，党校共有教职工21人，其中专职教师9人、行政及后勤人员12人。与2024年相比，新增专职教师2人，主要因近年干部培训需求增长，通过公开招聘引进思政领域专业教师，充实教学力量；1名专职教师，因工作原因，调离本单位.</w:t>
      </w:r>
    </w:p>
    <w:p w14:paraId="113A0B4A">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right="0"/>
        <w:jc w:val="left"/>
        <w:textAlignment w:val="auto"/>
        <w:rPr>
          <w:rFonts w:hint="eastAsia" w:ascii="方正楷体_GBK" w:hAnsi="方正楷体_GBK" w:eastAsia="方正楷体_GBK" w:cs="方正楷体_GBK"/>
          <w:color w:val="000000"/>
          <w:kern w:val="0"/>
          <w:sz w:val="32"/>
          <w:szCs w:val="32"/>
          <w:lang w:val="en-US" w:eastAsia="zh-CN" w:bidi="ar"/>
        </w:rPr>
      </w:pPr>
      <w:r>
        <w:rPr>
          <w:rFonts w:hint="eastAsia" w:ascii="方正楷体_GBK" w:hAnsi="方正楷体_GBK" w:eastAsia="方正楷体_GBK" w:cs="方正楷体_GBK"/>
          <w:color w:val="000000"/>
          <w:kern w:val="0"/>
          <w:sz w:val="32"/>
          <w:szCs w:val="32"/>
          <w:lang w:val="en-US" w:eastAsia="zh-CN" w:bidi="ar"/>
        </w:rPr>
        <w:t>（二）当年取得的主要事业成效</w:t>
      </w:r>
    </w:p>
    <w:p w14:paraId="0229AD04">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color w:val="000000"/>
          <w:kern w:val="0"/>
          <w:sz w:val="32"/>
          <w:szCs w:val="32"/>
          <w:lang w:val="en-US" w:eastAsia="zh-CN" w:bidi="ar"/>
        </w:rPr>
        <w:t>2025年，党校紧扣县委“生态立县、牧业强县、文旅兴县、开放活县”发展战略，聚焦干部能力提升与思想建设，各项工作取得显著成效：</w:t>
      </w:r>
    </w:p>
    <w:p w14:paraId="53A7B25E">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b/>
          <w:bCs/>
          <w:color w:val="000000"/>
          <w:kern w:val="0"/>
          <w:sz w:val="32"/>
          <w:szCs w:val="32"/>
          <w:lang w:val="en-US" w:eastAsia="zh-CN" w:bidi="ar"/>
        </w:rPr>
        <w:t>培训质效稳步提升：</w:t>
      </w:r>
      <w:r>
        <w:rPr>
          <w:rFonts w:hint="eastAsia" w:ascii="方正仿宋_GBK" w:hAnsi="方正仿宋_GBK" w:eastAsia="方正仿宋_GBK" w:cs="方正仿宋_GBK"/>
          <w:color w:val="000000"/>
          <w:kern w:val="0"/>
          <w:sz w:val="32"/>
          <w:szCs w:val="32"/>
          <w:lang w:val="en-US" w:eastAsia="zh-CN" w:bidi="ar"/>
        </w:rPr>
        <w:t>2025年全年举办乡科级领导干部进修班等各类主题班10期参训学员达571人次，举办县农牧民党员和群众及示范培训班5期，参训人员达331人次，举办3507大讲堂三期参训学员达324人次，与阿若红壤联合举办主题班3期参训学员达45人次，举办自主培训班1期，参训学员30人次，协助其他单位各类班次5期，参训学员达384人次，举办雅克先锋马背党校2期参训学员达917人次，红色文化传承大厅讲解53场次，参训学员1280余人次，承接四川长征干部培训中心赵耀草地分院现场教学70场次，受训学员3480人次实现培训覆盖各类重点人群。</w:t>
      </w:r>
    </w:p>
    <w:p w14:paraId="7E80EAD0">
      <w:pPr>
        <w:snapToGrid w:val="0"/>
        <w:spacing w:line="520" w:lineRule="exact"/>
        <w:ind w:firstLine="640" w:firstLineChars="200"/>
        <w:rPr>
          <w:rFonts w:hint="eastAsia" w:ascii="方正仿宋_GBK" w:hAnsi="方正仿宋_GBK" w:eastAsia="方正仿宋_GBK" w:cs="方正仿宋_GBK"/>
          <w:color w:val="000000"/>
          <w:kern w:val="0"/>
          <w:sz w:val="32"/>
          <w:szCs w:val="32"/>
          <w:lang w:val="en-US" w:eastAsia="zh-CN" w:bidi="ar"/>
        </w:rPr>
      </w:pPr>
      <w:r>
        <w:rPr>
          <w:rFonts w:hint="eastAsia" w:ascii="方正仿宋_GBK" w:hAnsi="方正仿宋_GBK" w:eastAsia="方正仿宋_GBK" w:cs="方正仿宋_GBK"/>
          <w:b/>
          <w:bCs/>
          <w:color w:val="000000"/>
          <w:kern w:val="0"/>
          <w:sz w:val="32"/>
          <w:szCs w:val="32"/>
          <w:lang w:val="en-US" w:eastAsia="zh-CN" w:bidi="ar"/>
        </w:rPr>
        <w:t>基层指导作用凸显：</w:t>
      </w:r>
      <w:r>
        <w:rPr>
          <w:rFonts w:hint="eastAsia" w:ascii="方正仿宋_GBK" w:hAnsi="方正仿宋_GBK" w:eastAsia="方正仿宋_GBK" w:cs="方正仿宋_GBK"/>
          <w:color w:val="000000"/>
          <w:kern w:val="0"/>
          <w:sz w:val="32"/>
          <w:szCs w:val="32"/>
          <w:lang w:val="en-US" w:eastAsia="zh-CN" w:bidi="ar"/>
        </w:rPr>
        <w:t>为全县11个乡镇党委提供党员教育课程指导与师资支持，有效提升基层党员政策理论水平与服务群众能力。</w:t>
      </w:r>
    </w:p>
    <w:p w14:paraId="16F3BEDA">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14:paraId="787F0044">
      <w:pPr>
        <w:snapToGrid w:val="0"/>
        <w:spacing w:line="520" w:lineRule="exact"/>
        <w:ind w:firstLine="643" w:firstLineChars="200"/>
        <w:rPr>
          <w:rFonts w:ascii="楷体_GB2312" w:hAnsi="仿宋" w:eastAsia="楷体_GB2312"/>
          <w:b/>
          <w:sz w:val="32"/>
          <w:szCs w:val="32"/>
        </w:rPr>
      </w:pPr>
      <w:r>
        <w:rPr>
          <w:rFonts w:hint="eastAsia" w:ascii="楷体_GB2312" w:hAnsi="仿宋" w:eastAsia="楷体_GB2312"/>
          <w:b/>
          <w:sz w:val="32"/>
          <w:szCs w:val="32"/>
        </w:rPr>
        <w:t>（一）收入支出预算安排情况。</w:t>
      </w:r>
    </w:p>
    <w:p w14:paraId="2F5F4B1A">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单位本年度收入的年初预算数为564.69万元，上年度收入的年初预算数为584.25万元，差异为19.56万元。本年度支出的年初预算数为564.69万元，上年度支出的年初预算数为584.25万元，差异为19.56万元。(可用柱形图或折线图)</w:t>
      </w:r>
    </w:p>
    <w:p w14:paraId="28DE3FC0">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r>
        <w:rPr>
          <w:rStyle w:val="18"/>
          <w:rFonts w:hint="eastAsia" w:ascii="宋体" w:hAnsi="宋体" w:eastAsia="宋体" w:cs="宋体"/>
          <w:sz w:val="30"/>
          <w:szCs w:val="30"/>
          <w:shd w:val="clear" w:color="auto" w:fill="FFFFFF"/>
          <w:lang w:eastAsia="zh-CN"/>
        </w:rPr>
        <w:pict>
          <v:shape id="Object 2" o:spid="_x0000_s1026" o:spt="75" type="#_x0000_t75" style="position:absolute;left:0pt;margin-left:20.45pt;margin-top:1.9pt;height:181.2pt;width:366.4pt;mso-wrap-distance-left:9pt;mso-wrap-distance-right:9pt;z-index:-251657216;mso-width-relative:page;mso-height-relative:page;" o:ole="t" filled="f" o:preferrelative="t" stroked="f" coordsize="21600,21600" wrapcoords="21592 -2 0 0 0 21600 21592 21602 8 21602 21600 21600 21600 0 8 -2 21592 -2">
            <v:path/>
            <v:fill on="f" focussize="0,0"/>
            <v:stroke on="f"/>
            <v:imagedata r:id="rId11" o:title=""/>
            <o:lock v:ext="edit" aspectratio="t"/>
            <w10:wrap type="tight"/>
          </v:shape>
          <o:OLEObject Type="Embed" ProgID="Excel.Chart.8" ShapeID="Object 2" DrawAspect="Content" ObjectID="_1468075725" r:id="rId10">
            <o:LockedField>false</o:LockedField>
          </o:OLEObject>
        </w:pict>
      </w:r>
    </w:p>
    <w:p w14:paraId="411E85BC">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3296EEC2">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20218589">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22AC65D0">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1A3AEE05">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3EBE3E0B">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（二）收入支出预算执行情况。</w:t>
      </w:r>
    </w:p>
    <w:p w14:paraId="77B76E31">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pict>
          <v:shape id="Object 3" o:spid="_x0000_s1027" o:spt="75" type="#_x0000_t75" style="position:absolute;left:0pt;margin-left:22.2pt;margin-top:152.3pt;height:196.65pt;width:390.8pt;z-index:251660288;mso-width-relative:page;mso-height-relative:page;" o:ole="t" filled="f" o:preferrelative="t" stroked="f" coordsize="21600,21600">
            <v:path/>
            <v:fill on="f" focussize="0,0"/>
            <v:stroke on="f"/>
            <v:imagedata r:id="rId13" o:title=""/>
            <o:lock v:ext="edit" aspectratio="t"/>
          </v:shape>
          <o:OLEObject Type="Embed" ProgID="Excel.Chart.8" ShapeID="Object 3" DrawAspect="Content" ObjectID="_1468075726" r:id="rId12">
            <o:LockedField>false</o:LockedField>
          </o:OLEObject>
        </w:pict>
      </w:r>
      <w:r>
        <w:rPr>
          <w:rFonts w:hint="eastAsia" w:ascii="仿宋" w:hAnsi="仿宋" w:eastAsia="仿宋" w:cs="仿宋"/>
          <w:sz w:val="32"/>
          <w:szCs w:val="32"/>
          <w:lang w:val="en-US" w:eastAsia="zh-CN"/>
        </w:rPr>
        <w:t>本单位本年度收入全年预算数为1527.91万元，收入决算数为1369.81万元，预算完成度为89.65%，上年度预算完成度为99.4%。 本年度支出全年预算数为1527.91万元，支出决算数为1369.81万元，预算完成度为89.65%，上年度预算完成度为99.4%。(可用柱形图或折线图)</w:t>
      </w:r>
    </w:p>
    <w:p w14:paraId="2D94C9E5">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2BA2736">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32F477D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46F880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2ECB6F9">
      <w:pPr>
        <w:pStyle w:val="15"/>
        <w:keepNext w:val="0"/>
        <w:keepLines w:val="0"/>
        <w:widowControl/>
        <w:suppressLineNumbers w:val="0"/>
        <w:spacing w:before="0" w:beforeAutospacing="0"/>
        <w:jc w:val="left"/>
        <w:rPr>
          <w:rStyle w:val="18"/>
          <w:rFonts w:hint="eastAsia" w:ascii="宋体" w:hAnsi="宋体" w:eastAsia="宋体" w:cs="宋体"/>
          <w:sz w:val="24"/>
          <w:szCs w:val="24"/>
          <w:shd w:val="clear" w:color="auto" w:fill="FFFFFF"/>
        </w:rPr>
      </w:pPr>
    </w:p>
    <w:p w14:paraId="4D06AB7F">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0FE1D539">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0788F61D">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1．收入支出与预算对比分析。</w:t>
      </w:r>
    </w:p>
    <w:p w14:paraId="507FFA1B">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（1）预、决算差异情况，可分收入支出功能科目、分单位、分收入支出具体项目逐项对比（可列表）。       </w:t>
      </w:r>
    </w:p>
    <w:p w14:paraId="17559442">
      <w:pPr>
        <w:pStyle w:val="15"/>
        <w:keepNext w:val="0"/>
        <w:keepLines w:val="0"/>
        <w:widowControl/>
        <w:suppressLineNumbers w:val="0"/>
        <w:spacing w:before="0" w:beforeAutospacing="0"/>
        <w:ind w:left="0"/>
        <w:jc w:val="left"/>
        <w:rPr>
          <w:rFonts w:hint="eastAsia"/>
          <w:lang w:val="en-US" w:eastAsia="zh-CN"/>
        </w:rPr>
      </w:pPr>
      <w:r>
        <w:rPr>
          <w:rFonts w:hint="eastAsia" w:ascii="仿宋" w:hAnsi="仿宋" w:eastAsia="仿宋" w:cs="仿宋"/>
          <w:sz w:val="32"/>
          <w:szCs w:val="32"/>
          <w:lang w:val="en-US" w:eastAsia="zh-CN"/>
        </w:rPr>
        <w:t xml:space="preserve">  </w:t>
      </w:r>
      <w:r>
        <w:rPr>
          <w:rFonts w:hint="eastAsia"/>
          <w:lang w:val="en-US" w:eastAsia="zh-CN"/>
        </w:rPr>
        <w:t xml:space="preserve">                    </w:t>
      </w:r>
      <w:r>
        <w:rPr>
          <w:rFonts w:hint="eastAsia"/>
          <w:lang w:val="en-US" w:eastAsia="zh-CN"/>
        </w:rPr>
        <w:object>
          <v:shape id="_x0000_i1025" o:spt="75" type="#_x0000_t75" style="height:66pt;width:72.75pt;" o:ole="t" filled="f" o:preferrelative="t" stroked="f" coordsize="21600,21600">
            <v:path/>
            <v:fill on="f" focussize="0,0"/>
            <v:stroke on="f"/>
            <v:imagedata r:id="rId15" o:title=""/>
            <o:lock v:ext="edit" aspectratio="t"/>
            <w10:wrap type="none"/>
            <w10:anchorlock/>
          </v:shape>
          <o:OLEObject Type="Embed" ProgID="Excel.Sheet.8" ShapeID="_x0000_i1025" DrawAspect="Icon" ObjectID="_1468075727" r:id="rId14">
            <o:LockedField>false</o:LockedField>
          </o:OLEObject>
        </w:object>
      </w:r>
      <w:r>
        <w:rPr>
          <w:rFonts w:hint="eastAsia"/>
          <w:lang w:val="en-US" w:eastAsia="zh-CN"/>
        </w:rPr>
        <w:t xml:space="preserve">   </w:t>
      </w:r>
    </w:p>
    <w:p w14:paraId="5CCE0AB9">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(2）差异原因分析。差异较大的应分析到具体收入支出功能科目和具体单位。</w:t>
      </w:r>
    </w:p>
    <w:p w14:paraId="22566484">
      <w:pPr>
        <w:pStyle w:val="15"/>
        <w:keepNext w:val="0"/>
        <w:keepLines w:val="0"/>
        <w:widowControl/>
        <w:suppressLineNumbers w:val="0"/>
        <w:spacing w:before="0" w:beforeAutospacing="0"/>
        <w:ind w:left="0"/>
        <w:jc w:val="left"/>
        <w:rPr>
          <w:rFonts w:hint="eastAsia"/>
          <w:lang w:val="en-US" w:eastAsia="zh-CN"/>
        </w:rPr>
      </w:pPr>
      <w:r>
        <w:rPr>
          <w:rFonts w:hint="eastAsia"/>
          <w:lang w:val="en-US" w:eastAsia="zh-CN"/>
        </w:rPr>
        <w:t xml:space="preserve">                         </w:t>
      </w:r>
      <w:r>
        <w:rPr>
          <w:rFonts w:hint="eastAsia"/>
          <w:lang w:val="en-US" w:eastAsia="zh-CN"/>
        </w:rPr>
        <w:object>
          <v:shape id="_x0000_i1026" o:spt="75" type="#_x0000_t75" style="height:66pt;width:72.75pt;" o:ole="t" filled="f" o:preferrelative="t" stroked="f" coordsize="21600,21600">
            <v:path/>
            <v:fill on="f" focussize="0,0"/>
            <v:stroke on="f"/>
            <v:imagedata r:id="rId17" o:title=""/>
            <o:lock v:ext="edit" aspectratio="t"/>
            <w10:wrap type="none"/>
            <w10:anchorlock/>
          </v:shape>
          <o:OLEObject Type="Embed" ProgID="Excel.Sheet.8" ShapeID="_x0000_i1026" DrawAspect="Icon" ObjectID="_1468075728" r:id="rId16">
            <o:LockedField>false</o:LockedField>
          </o:OLEObject>
        </w:object>
      </w:r>
    </w:p>
    <w:p w14:paraId="1EFA23F2">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2．收入支出结构分析。</w:t>
      </w:r>
    </w:p>
    <w:p w14:paraId="0BDE542E">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本单位本年度总收入为1369.81万元。其中：一般公共预算财政拨款收入为1350.29万元，占比98.57%；其他收入为9.76万元，占比1.43%。本年度总支出为1369.81万元。其中：一般公共服务支出为0万元，占比0%；教育支出为1215.13万元，占比88.7%；文化旅游体育与传媒支出为0万元，占比0%；社会保障和就业支出为82.26万元，占比6%；卫生健康支出为30.31万元，占比2.21%；住房保障支出为42.11万元，占比3.09%；其他支出为0万元，占比0%。（可分别制作饼状图）</w:t>
      </w:r>
    </w:p>
    <w:p w14:paraId="407CC70A">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object>
          <v:shape id="_x0000_i1027" o:spt="75" type="#_x0000_t75" style="height:261pt;width:273pt;" o:ole="t" filled="f" o:preferrelative="t" stroked="f" coordsize="21600,21600">
            <v:path/>
            <v:fill on="f" focussize="0,0"/>
            <v:stroke on="f"/>
            <v:imagedata r:id="rId19" o:title=""/>
            <o:lock v:ext="edit" aspectratio="f"/>
            <w10:wrap type="none"/>
            <w10:anchorlock/>
          </v:shape>
          <o:OLEObject Type="Embed" ProgID="Excel.Sheet.12" ShapeID="_x0000_i1027" DrawAspect="Content" ObjectID="_1468075729" r:id="rId18">
            <o:LockedField>false</o:LockedField>
          </o:OLEObject>
        </w:object>
      </w:r>
    </w:p>
    <w:p w14:paraId="6AC32D49">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13C87193">
      <w:pPr>
        <w:pStyle w:val="15"/>
        <w:keepNext w:val="0"/>
        <w:keepLines w:val="0"/>
        <w:widowControl/>
        <w:numPr>
          <w:ilvl w:val="0"/>
          <w:numId w:val="1"/>
        </w:numPr>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年度一般公共预算财政拨款收入相比上年度增加81.74万元；其他收入相比上年度增加-8.18万元。本年度一般公共服务支出相比上年度增加0万元，教育支出相比上年度增加69.71万元；文化旅游体育与传媒支出相比上年度增加-1.4万元；社会保障和就业支出相比上年度增加8.91万元；卫生健康支出相比上年度增加-6.32万元；住房保障支出相比上年度增加2.65万元；其他支出相比上年度增加0万元。(可用柱形图或折线图)</w:t>
      </w:r>
    </w:p>
    <w:p w14:paraId="0545454A">
      <w:pPr>
        <w:pStyle w:val="15"/>
        <w:keepNext w:val="0"/>
        <w:keepLines w:val="0"/>
        <w:widowControl/>
        <w:numPr>
          <w:ilvl w:val="0"/>
          <w:numId w:val="0"/>
        </w:numPr>
        <w:suppressLineNumbers w:val="0"/>
        <w:spacing w:before="0" w:beforeAutospacing="0"/>
        <w:ind w:left="420" w:leftChars="200" w:firstLine="0" w:firstLineChars="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object>
          <v:shape id="_x0000_i1028" o:spt="75" type="#_x0000_t75" style="height:258pt;width:333.75pt;" o:ole="t" filled="f" o:preferrelative="t" stroked="f" coordsize="21600,21600">
            <v:path/>
            <v:fill on="f" focussize="0,0"/>
            <v:stroke on="f"/>
            <v:imagedata r:id="rId21" o:title=""/>
            <o:lock v:ext="edit" aspectratio="f"/>
            <w10:wrap type="none"/>
            <w10:anchorlock/>
          </v:shape>
          <o:OLEObject Type="Embed" ProgID="Excel.Sheet.12" ShapeID="_x0000_i1028" DrawAspect="Content" ObjectID="_1468075730" r:id="rId20">
            <o:LockedField>false</o:LockedField>
          </o:OLEObject>
        </w:object>
      </w:r>
    </w:p>
    <w:p w14:paraId="1A3B347C">
      <w:pPr>
        <w:pStyle w:val="15"/>
        <w:keepNext w:val="0"/>
        <w:keepLines w:val="0"/>
        <w:widowControl/>
        <w:numPr>
          <w:ilvl w:val="0"/>
          <w:numId w:val="0"/>
        </w:numPr>
        <w:suppressLineNumbers w:val="0"/>
        <w:spacing w:before="0" w:beforeAutospacing="0"/>
        <w:ind w:left="420" w:leftChars="200" w:firstLine="0" w:firstLineChars="0"/>
        <w:jc w:val="left"/>
        <w:rPr>
          <w:rFonts w:hint="eastAsia" w:ascii="仿宋" w:hAnsi="仿宋" w:eastAsia="仿宋" w:cs="仿宋"/>
          <w:sz w:val="32"/>
          <w:szCs w:val="32"/>
          <w:lang w:val="en-US" w:eastAsia="zh-CN"/>
        </w:rPr>
      </w:pPr>
    </w:p>
    <w:p w14:paraId="1A5CF7E2">
      <w:pPr>
        <w:pStyle w:val="15"/>
        <w:keepNext w:val="0"/>
        <w:keepLines w:val="0"/>
        <w:widowControl/>
        <w:numPr>
          <w:ilvl w:val="0"/>
          <w:numId w:val="0"/>
        </w:numPr>
        <w:suppressLineNumbers w:val="0"/>
        <w:spacing w:before="0" w:beforeAutospacing="0"/>
        <w:ind w:right="0" w:rightChars="0"/>
        <w:jc w:val="left"/>
        <w:rPr>
          <w:rStyle w:val="18"/>
          <w:rFonts w:hint="eastAsia" w:ascii="宋体" w:hAnsi="宋体" w:eastAsia="宋体" w:cs="宋体"/>
          <w:sz w:val="24"/>
          <w:szCs w:val="24"/>
          <w:shd w:val="clear" w:color="auto" w:fill="FFFFFF"/>
        </w:rPr>
      </w:pPr>
    </w:p>
    <w:p w14:paraId="314D6117">
      <w:pPr>
        <w:snapToGrid w:val="0"/>
        <w:spacing w:line="520" w:lineRule="exact"/>
        <w:ind w:firstLine="643" w:firstLineChars="200"/>
        <w:rPr>
          <w:rFonts w:ascii="仿宋_GB2312" w:hAnsi="仿宋" w:eastAsia="仿宋_GB2312"/>
          <w:b/>
          <w:sz w:val="32"/>
          <w:szCs w:val="32"/>
        </w:rPr>
      </w:pPr>
      <w:r>
        <w:rPr>
          <w:rFonts w:hint="eastAsia" w:ascii="仿宋_GB2312" w:hAnsi="仿宋" w:eastAsia="仿宋_GB2312"/>
          <w:b/>
          <w:sz w:val="32"/>
          <w:szCs w:val="32"/>
        </w:rPr>
        <w:t>3．支出按经济分类科目分析。</w:t>
      </w:r>
    </w:p>
    <w:p w14:paraId="017022CE">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三公”经费支出情况：本单位本年度“三公”经费支出决算数为2.61万元。其中:因公出国（境）费支出决算数为0.00万元，相比上年度增加0.00万元，公务用车购置及运行维护费支出决算数为2.61万元，相比上年度增加-0.22万元；公务接待费支出决算数为0万元，相比上年度增加0.25万元。 本年度“三公”经费支出预算数为2.92万元，决算数为2.61万元，预算完成度为89.38%。本年度因 公出国（境）费人均支出为0.00万元，公务用车购置及运行维护费人均支出为0.12万元，公务接待费人均支出为0万元。（可做表、柱图、折线图）</w:t>
      </w:r>
    </w:p>
    <w:p w14:paraId="73F9E50F">
      <w:pPr>
        <w:pStyle w:val="15"/>
        <w:keepNext w:val="0"/>
        <w:keepLines w:val="0"/>
        <w:widowControl/>
        <w:suppressLineNumbers w:val="0"/>
        <w:spacing w:before="0" w:beforeAutospacing="0"/>
        <w:ind w:left="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eastAsia="zh-CN"/>
        </w:rPr>
        <w:object>
          <v:shape id="_x0000_i1029" o:spt="75" type="#_x0000_t75" style="height:242.25pt;width:406.5pt;" o:ole="t" filled="f" o:preferrelative="t" stroked="f" coordsize="21600,21600" o:gfxdata="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">
            <v:path/>
            <v:fill on="f" focussize="0,0"/>
            <v:stroke on="f"/>
            <v:imagedata r:id="rId23" o:title=""/>
            <o:lock v:ext="edit" aspectratio="f"/>
            <w10:wrap type="none"/>
            <w10:anchorlock/>
          </v:shape>
          <o:OLEObject Type="Embed" ProgID="excel.sheet.8" ShapeID="_x0000_i1029" DrawAspect="Content" ObjectID="_1468075731" r:id="rId22">
            <o:LockedField>false</o:LockedField>
          </o:OLEObject>
        </w:object>
      </w:r>
    </w:p>
    <w:p w14:paraId="43A1576F">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（2）会议费支出情况：本单位本年度会议费支出决算数为0.00万元，相比上年度增加0.00万元；会议费人均支出为0.00万元。</w:t>
      </w:r>
    </w:p>
    <w:p w14:paraId="7F6E1B3A">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（3）培训费支出情况：本单位本年度培训费支出决算数为0万元，相比上年度增加0万元；培训费人均支出为0万元。（可做表、柱图、折线图）</w:t>
      </w:r>
    </w:p>
    <w:p w14:paraId="4D62427A">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lang w:eastAsia="zh-CN"/>
        </w:rPr>
      </w:pPr>
      <w:r>
        <w:rPr>
          <w:rStyle w:val="18"/>
          <w:rFonts w:hint="eastAsia" w:ascii="宋体" w:hAnsi="宋体" w:eastAsia="宋体" w:cs="宋体"/>
          <w:sz w:val="24"/>
          <w:szCs w:val="24"/>
          <w:shd w:val="clear" w:color="auto" w:fill="FFFFFF"/>
          <w:lang w:eastAsia="zh-CN"/>
        </w:rPr>
        <w:object>
          <v:shape id="_x0000_i1030" o:spt="75" type="#_x0000_t75" style="height:141.75pt;width:240.75pt;" o:ole="t" filled="f" o:preferrelative="t" stroked="f" coordsize="21600,21600">
            <v:path/>
            <v:fill on="f" focussize="0,0"/>
            <v:stroke on="f"/>
            <v:imagedata r:id="rId25" o:title=""/>
            <o:lock v:ext="edit" aspectratio="f"/>
            <w10:wrap type="none"/>
            <w10:anchorlock/>
          </v:shape>
          <o:OLEObject Type="Embed" ProgID="excel.sheet.8" ShapeID="_x0000_i1030" DrawAspect="Content" ObjectID="_1468075732" r:id="rId24">
            <o:LockedField>false</o:LockedField>
          </o:OLEObject>
        </w:object>
      </w:r>
    </w:p>
    <w:p w14:paraId="56B7FBD7">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（4）其他对单位影响较大的支出情况。</w:t>
      </w:r>
    </w:p>
    <w:p w14:paraId="3B62CCC9">
      <w:pPr>
        <w:pStyle w:val="15"/>
        <w:keepNext w:val="0"/>
        <w:keepLines w:val="0"/>
        <w:widowControl/>
        <w:suppressLineNumbers w:val="0"/>
        <w:spacing w:before="0" w:beforeAutospacing="0"/>
        <w:ind w:left="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无</w:t>
      </w:r>
    </w:p>
    <w:p w14:paraId="5EC82B53">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（5）重点经济分类支出中存在的问题及改进措施。</w:t>
      </w:r>
    </w:p>
    <w:p w14:paraId="688DDFCE">
      <w:pPr>
        <w:pStyle w:val="15"/>
        <w:keepNext w:val="0"/>
        <w:keepLines w:val="0"/>
        <w:widowControl/>
        <w:suppressLineNumbers w:val="0"/>
        <w:spacing w:before="0" w:beforeAutospacing="0"/>
        <w:ind w:left="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无</w:t>
      </w:r>
    </w:p>
    <w:p w14:paraId="4D989441">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43F4BFB3">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0FF29A03">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7EA7ECF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7AD73EC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6544B0B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120331B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6BF9918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5E2A12B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084D33D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7E33C67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69A0719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466C5FA4">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w:t>
      </w:r>
      <w:bookmarkStart w:id="82" w:name="_GoBack"/>
      <w:bookmarkEnd w:id="82"/>
      <w:r>
        <w:rPr>
          <w:rFonts w:hint="eastAsia" w:ascii="Times New Roman" w:hAnsi="Times New Roman" w:eastAsia="仿宋_GB2312" w:cs="仿宋_GB2312"/>
          <w:color w:val="auto"/>
          <w:sz w:val="32"/>
          <w:szCs w:val="32"/>
          <w:highlight w:val="none"/>
        </w:rPr>
        <w:t>拨款收入支出决算表</w:t>
      </w:r>
    </w:p>
    <w:p w14:paraId="639AE20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2B44C91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616C6E2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497B455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09F4AE43">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2" w:name="_Toc15377196"/>
      <w:bookmarkStart w:id="13" w:name="_Toc15396599"/>
      <w:r>
        <w:rPr>
          <w:rFonts w:hint="eastAsia" w:ascii="Times New Roman" w:hAnsi="Times New Roman" w:eastAsia="仿宋_GB2312" w:cs="仿宋_GB2312"/>
          <w:b/>
          <w:color w:val="auto"/>
          <w:sz w:val="32"/>
          <w:szCs w:val="32"/>
          <w:highlight w:val="none"/>
        </w:rPr>
        <w:br w:type="page"/>
      </w:r>
    </w:p>
    <w:p w14:paraId="5E2DE790">
      <w:pPr>
        <w:pStyle w:val="2"/>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12"/>
      <w:bookmarkEnd w:id="13"/>
    </w:p>
    <w:p w14:paraId="1A891C53">
      <w:pPr>
        <w:widowControl/>
        <w:jc w:val="left"/>
        <w:rPr>
          <w:rFonts w:ascii="Times New Roman" w:hAnsi="Times New Roman" w:eastAsia="黑体"/>
          <w:color w:val="auto"/>
          <w:sz w:val="32"/>
          <w:szCs w:val="32"/>
          <w:highlight w:val="none"/>
        </w:rPr>
      </w:pPr>
    </w:p>
    <w:p w14:paraId="272707C1">
      <w:pPr>
        <w:pStyle w:val="3"/>
        <w:rPr>
          <w:rStyle w:val="30"/>
          <w:rFonts w:hint="eastAsia" w:ascii="Times New Roman" w:hAnsi="Times New Roman" w:eastAsia="黑体"/>
          <w:b w:val="0"/>
          <w:bCs w:val="0"/>
          <w:color w:val="auto"/>
          <w:highlight w:val="none"/>
          <w:lang w:eastAsia="zh-CN"/>
        </w:rPr>
      </w:pPr>
      <w:bookmarkStart w:id="14" w:name="_Toc15377197"/>
      <w:bookmarkStart w:id="15" w:name="_Toc15396600"/>
      <w:r>
        <w:rPr>
          <w:rFonts w:hint="eastAsia" w:ascii="Times New Roman" w:hAnsi="Times New Roman" w:eastAsia="黑体"/>
          <w:b w:val="0"/>
          <w:color w:val="auto"/>
          <w:highlight w:val="none"/>
        </w:rPr>
        <w:t>一、</w:t>
      </w:r>
      <w:bookmarkEnd w:id="14"/>
      <w:bookmarkEnd w:id="15"/>
      <w:r>
        <w:rPr>
          <w:rFonts w:hint="eastAsia" w:ascii="Times New Roman" w:hAnsi="Times New Roman" w:eastAsia="黑体"/>
          <w:b w:val="0"/>
          <w:color w:val="auto"/>
          <w:highlight w:val="none"/>
          <w:lang w:eastAsia="zh-CN"/>
        </w:rPr>
        <w:t>部门职责</w:t>
      </w:r>
    </w:p>
    <w:p w14:paraId="526B2E57">
      <w:pPr>
        <w:pStyle w:val="3"/>
        <w:rPr>
          <w:rStyle w:val="30"/>
          <w:rFonts w:ascii="Times New Roman" w:hAnsi="Times New Roman"/>
          <w:b w:val="0"/>
          <w:bCs w:val="0"/>
          <w:color w:val="auto"/>
          <w:highlight w:val="none"/>
        </w:rPr>
      </w:pPr>
      <w:bookmarkStart w:id="16" w:name="_Toc15377200"/>
      <w:bookmarkStart w:id="17" w:name="_Toc15396601"/>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16"/>
      <w:bookmarkEnd w:id="17"/>
    </w:p>
    <w:p w14:paraId="7FEE97B1">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红原县县委党校</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单位**个，其中行政单位**个，参照公务员法管理的事业单位</w:t>
      </w:r>
      <w:r>
        <w:rPr>
          <w:rFonts w:hint="eastAsia" w:ascii="Times New Roman" w:hAnsi="Times New Roman" w:eastAsia="仿宋_GB2312" w:cs="仿宋_GB2312"/>
          <w:bCs/>
          <w:color w:val="auto"/>
          <w:sz w:val="32"/>
          <w:szCs w:val="32"/>
          <w:highlight w:val="none"/>
        </w:rPr>
        <w:t>**</w:t>
      </w:r>
      <w:r>
        <w:rPr>
          <w:rFonts w:hint="eastAsia" w:ascii="Times New Roman" w:hAnsi="Times New Roman" w:eastAsia="仿宋_GB2312" w:cs="仿宋_GB2312"/>
          <w:color w:val="auto"/>
          <w:sz w:val="32"/>
          <w:szCs w:val="32"/>
          <w:highlight w:val="none"/>
        </w:rPr>
        <w:t>个，其他事业单位**个。</w:t>
      </w:r>
    </w:p>
    <w:p w14:paraId="4923EBDA">
      <w:pPr>
        <w:pStyle w:val="5"/>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红原县县委党校</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部门决算编制范围的二级预算单位包括：</w:t>
      </w:r>
    </w:p>
    <w:p w14:paraId="4FDD6511">
      <w:pPr>
        <w:pStyle w:val="5"/>
        <w:numPr>
          <w:ilvl w:val="0"/>
          <w:numId w:val="2"/>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18" w:name="_Toc15377432"/>
      <w:bookmarkStart w:id="19" w:name="_Toc15378448"/>
      <w:bookmarkStart w:id="20" w:name="_Toc15377201"/>
      <w:bookmarkStart w:id="21" w:name="_Toc15306275"/>
      <w:r>
        <w:rPr>
          <w:rFonts w:hint="eastAsia" w:ascii="Times New Roman" w:hAnsi="Times New Roman" w:eastAsia="仿宋_GB2312" w:cs="仿宋_GB2312"/>
          <w:color w:val="auto"/>
          <w:sz w:val="32"/>
          <w:szCs w:val="32"/>
          <w:highlight w:val="none"/>
        </w:rPr>
        <w:t>***</w:t>
      </w:r>
      <w:bookmarkEnd w:id="18"/>
      <w:bookmarkEnd w:id="19"/>
      <w:bookmarkEnd w:id="20"/>
      <w:bookmarkEnd w:id="21"/>
    </w:p>
    <w:p w14:paraId="0BE4DD12">
      <w:pPr>
        <w:pStyle w:val="5"/>
        <w:numPr>
          <w:ilvl w:val="0"/>
          <w:numId w:val="2"/>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22" w:name="_Toc15306276"/>
      <w:bookmarkStart w:id="23" w:name="_Toc15377202"/>
      <w:bookmarkStart w:id="24" w:name="_Toc15378449"/>
      <w:bookmarkStart w:id="25" w:name="_Toc15377433"/>
      <w:r>
        <w:rPr>
          <w:rFonts w:hint="eastAsia" w:ascii="Times New Roman" w:hAnsi="Times New Roman" w:eastAsia="仿宋_GB2312" w:cs="仿宋_GB2312"/>
          <w:color w:val="auto"/>
          <w:sz w:val="32"/>
          <w:szCs w:val="32"/>
          <w:highlight w:val="none"/>
        </w:rPr>
        <w:t>***</w:t>
      </w:r>
      <w:bookmarkEnd w:id="22"/>
      <w:bookmarkEnd w:id="23"/>
      <w:bookmarkEnd w:id="24"/>
      <w:bookmarkEnd w:id="25"/>
    </w:p>
    <w:p w14:paraId="54EC9EAB">
      <w:pPr>
        <w:pStyle w:val="5"/>
        <w:numPr>
          <w:ilvl w:val="0"/>
          <w:numId w:val="2"/>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26" w:name="_Toc15378450"/>
      <w:bookmarkStart w:id="27" w:name="_Toc15306277"/>
      <w:bookmarkStart w:id="28" w:name="_Toc15377203"/>
      <w:bookmarkStart w:id="29" w:name="_Toc15377434"/>
      <w:r>
        <w:rPr>
          <w:rFonts w:hint="eastAsia" w:ascii="Times New Roman" w:hAnsi="Times New Roman" w:eastAsia="仿宋_GB2312" w:cs="仿宋_GB2312"/>
          <w:color w:val="auto"/>
          <w:sz w:val="32"/>
          <w:szCs w:val="32"/>
          <w:highlight w:val="none"/>
        </w:rPr>
        <w:t>***</w:t>
      </w:r>
      <w:bookmarkEnd w:id="26"/>
      <w:bookmarkEnd w:id="27"/>
      <w:bookmarkEnd w:id="28"/>
      <w:bookmarkEnd w:id="29"/>
    </w:p>
    <w:p w14:paraId="18AEFF79">
      <w:pPr>
        <w:pStyle w:val="5"/>
        <w:adjustRightInd w:val="0"/>
        <w:snapToGrid w:val="0"/>
        <w:spacing w:before="93" w:line="600" w:lineRule="exact"/>
        <w:ind w:firstLine="1120" w:firstLineChars="35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w:t>
      </w:r>
    </w:p>
    <w:p w14:paraId="7F4CE0DD">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7E564189">
      <w:pPr>
        <w:pStyle w:val="2"/>
        <w:jc w:val="center"/>
        <w:rPr>
          <w:rFonts w:hint="eastAsia" w:ascii="Times New Roman" w:hAnsi="Times New Roman" w:eastAsia="方正小标宋简体" w:cs="方正小标宋简体"/>
          <w:b w:val="0"/>
          <w:color w:val="auto"/>
          <w:highlight w:val="none"/>
        </w:rPr>
      </w:pPr>
      <w:bookmarkStart w:id="30" w:name="_Toc15377204"/>
      <w:bookmarkStart w:id="31"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30"/>
      <w:bookmarkEnd w:id="31"/>
    </w:p>
    <w:p w14:paraId="05BD9BC9">
      <w:pPr>
        <w:rPr>
          <w:rFonts w:ascii="Times New Roman" w:hAnsi="Times New Roman"/>
          <w:color w:val="auto"/>
          <w:highlight w:val="none"/>
        </w:rPr>
      </w:pPr>
    </w:p>
    <w:p w14:paraId="2D798382">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32" w:name="_Toc15396603"/>
      <w:bookmarkStart w:id="3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32"/>
      <w:bookmarkEnd w:id="33"/>
    </w:p>
    <w:p w14:paraId="4570437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1369.82</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总计各增加/减少**万元，增长/下降**%。主要变动原因是……</w:t>
      </w:r>
    </w:p>
    <w:p w14:paraId="0B217C4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7D41B43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2DF30BC5">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34" w:name="_Toc15396604"/>
      <w:bookmarkStart w:id="35" w:name="_Toc15377206"/>
      <w:r>
        <w:rPr>
          <w:rFonts w:hint="eastAsia" w:ascii="Times New Roman" w:hAnsi="Times New Roman" w:eastAsia="黑体"/>
          <w:color w:val="auto"/>
          <w:sz w:val="32"/>
          <w:szCs w:val="32"/>
          <w:highlight w:val="none"/>
          <w:lang w:eastAsia="zh-CN"/>
        </w:rPr>
        <w:t>二、收入决算情况说明</w:t>
      </w:r>
      <w:bookmarkEnd w:id="34"/>
      <w:bookmarkEnd w:id="35"/>
    </w:p>
    <w:p w14:paraId="3FDDD33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1369.82</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1360.06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99.28</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9.76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0.71</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33F82A16">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38206CEB">
      <w:pPr>
        <w:ind w:firstLine="800" w:firstLineChars="250"/>
        <w:rPr>
          <w:rFonts w:hint="eastAsia" w:ascii="Times New Roman" w:hAnsi="Times New Roman" w:eastAsia="仿宋_GB2312" w:cs="仿宋_GB2312"/>
          <w:color w:val="auto"/>
          <w:sz w:val="32"/>
          <w:szCs w:val="32"/>
          <w:highlight w:val="none"/>
          <w:lang w:eastAsia="zh-CN"/>
        </w:rPr>
      </w:pPr>
    </w:p>
    <w:p w14:paraId="281A98A5">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36" w:name="_Toc15396605"/>
      <w:bookmarkStart w:id="3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36"/>
      <w:bookmarkEnd w:id="37"/>
    </w:p>
    <w:p w14:paraId="6AB30205">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1369.82</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596.18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43.52</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773.64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56.47</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7FA6E620">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534A61A7">
      <w:pPr>
        <w:ind w:firstLine="800" w:firstLineChars="250"/>
        <w:rPr>
          <w:rFonts w:hint="eastAsia" w:ascii="Times New Roman" w:hAnsi="Times New Roman" w:eastAsia="仿宋_GB2312" w:cs="仿宋_GB2312"/>
          <w:color w:val="auto"/>
          <w:sz w:val="32"/>
          <w:szCs w:val="32"/>
          <w:highlight w:val="none"/>
          <w:lang w:eastAsia="zh-CN"/>
        </w:rPr>
      </w:pPr>
    </w:p>
    <w:p w14:paraId="5726A72B">
      <w:pPr>
        <w:spacing w:line="600" w:lineRule="exact"/>
        <w:ind w:firstLine="640" w:firstLineChars="200"/>
        <w:outlineLvl w:val="1"/>
        <w:rPr>
          <w:rStyle w:val="30"/>
          <w:rFonts w:ascii="Times New Roman" w:hAnsi="Times New Roman" w:eastAsia="黑体"/>
          <w:b w:val="0"/>
          <w:color w:val="auto"/>
          <w:highlight w:val="none"/>
        </w:rPr>
      </w:pPr>
      <w:bookmarkStart w:id="38" w:name="_Toc15396606"/>
      <w:bookmarkStart w:id="39" w:name="_Toc15377208"/>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38"/>
      <w:bookmarkEnd w:id="39"/>
    </w:p>
    <w:p w14:paraId="6CEA37D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1360.06</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年度相比，财政拨款收入、支出总计各增加/减少**万元，增长/下降**%。主要变动原因是……</w:t>
      </w:r>
    </w:p>
    <w:p w14:paraId="737581D4">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4B8075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87E1AD2">
      <w:pPr>
        <w:spacing w:line="600" w:lineRule="exact"/>
        <w:ind w:firstLine="640" w:firstLineChars="200"/>
        <w:outlineLvl w:val="1"/>
        <w:rPr>
          <w:rStyle w:val="30"/>
          <w:rFonts w:ascii="Times New Roman" w:hAnsi="Times New Roman" w:eastAsia="黑体"/>
          <w:b w:val="0"/>
          <w:color w:val="auto"/>
          <w:highlight w:val="none"/>
        </w:rPr>
      </w:pPr>
      <w:bookmarkStart w:id="40" w:name="_Toc15377209"/>
      <w:bookmarkStart w:id="4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40"/>
      <w:bookmarkEnd w:id="41"/>
    </w:p>
    <w:p w14:paraId="69B6ACF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42"/>
    </w:p>
    <w:p w14:paraId="3B602CB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1360.06</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99.28</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年度相比，一般公共预算财政拨款支出增加/减少**万元，增长/下降**%。主要变动原因是……</w:t>
      </w:r>
    </w:p>
    <w:p w14:paraId="3050AB7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517D7F2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67F8DB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43"/>
    </w:p>
    <w:p w14:paraId="0584361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1360.06</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万元，占**%；卫生健康支出**万元，占**%；住房保障支出**万元，占**%；……</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31BE3B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586F9E3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4D47EA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44"/>
    </w:p>
    <w:p w14:paraId="0AD9CEF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5" w:name="_Toc15378460"/>
      <w:bookmarkStart w:id="46" w:name="_Toc15377213"/>
      <w:bookmarkStart w:id="47"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1360.06</w:t>
      </w:r>
      <w:r>
        <w:rPr>
          <w:rFonts w:hint="eastAsia" w:ascii="Times New Roman" w:hAnsi="Times New Roman" w:eastAsia="仿宋_GB2312" w:cs="仿宋_GB2312"/>
          <w:color w:val="auto"/>
          <w:kern w:val="2"/>
          <w:sz w:val="32"/>
          <w:szCs w:val="32"/>
          <w:highlight w:val="none"/>
          <w:lang w:val="en-US" w:eastAsia="zh-CN" w:bidi="ar-SA"/>
        </w:rPr>
        <w:t>，完成预算**%。其中：</w:t>
      </w:r>
      <w:bookmarkEnd w:id="45"/>
      <w:bookmarkEnd w:id="46"/>
      <w:bookmarkEnd w:id="47"/>
    </w:p>
    <w:p w14:paraId="3AC6347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2C4CDCB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2.教育（类）***（款）***（项）: 支出决算为**万元，完成预算**%，决算数小于/等于预算数的主要原因是……</w:t>
      </w:r>
    </w:p>
    <w:p w14:paraId="716FFA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3.科学技术（类）***（款）***（项）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70D8F0B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4.文化旅游体育与传媒（类）***（款）***（项）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04FF027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508276A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547257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3EAD6D44">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6C7D94C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739A873">
      <w:pPr>
        <w:tabs>
          <w:tab w:val="right" w:pos="8306"/>
        </w:tabs>
        <w:spacing w:line="600" w:lineRule="exact"/>
        <w:ind w:firstLine="640"/>
        <w:outlineLvl w:val="1"/>
        <w:rPr>
          <w:rStyle w:val="30"/>
          <w:rFonts w:ascii="Times New Roman" w:hAnsi="Times New Roman"/>
          <w:color w:val="auto"/>
          <w:highlight w:val="none"/>
        </w:rPr>
      </w:pPr>
      <w:bookmarkStart w:id="48" w:name="_Toc15377214"/>
      <w:bookmarkStart w:id="4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48"/>
      <w:bookmarkEnd w:id="49"/>
      <w:r>
        <w:rPr>
          <w:rStyle w:val="30"/>
          <w:rFonts w:ascii="Times New Roman" w:hAnsi="Times New Roman" w:eastAsia="黑体"/>
          <w:b w:val="0"/>
          <w:color w:val="auto"/>
          <w:highlight w:val="none"/>
        </w:rPr>
        <w:tab/>
      </w:r>
    </w:p>
    <w:p w14:paraId="41E4A3B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596.18</w:t>
      </w:r>
      <w:r>
        <w:rPr>
          <w:rFonts w:hint="eastAsia" w:ascii="Times New Roman" w:hAnsi="Times New Roman" w:eastAsia="仿宋_GB2312" w:cs="仿宋_GB2312"/>
          <w:color w:val="auto"/>
          <w:kern w:val="2"/>
          <w:sz w:val="32"/>
          <w:szCs w:val="32"/>
          <w:highlight w:val="none"/>
          <w:lang w:val="en-US" w:eastAsia="zh-CN" w:bidi="ar-SA"/>
        </w:rPr>
        <w:t>万元，其中：</w:t>
      </w:r>
    </w:p>
    <w:p w14:paraId="42AD0C8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561.89</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34.29</w:t>
      </w:r>
      <w:r>
        <w:rPr>
          <w:rFonts w:hint="eastAsia" w:ascii="Times New Roman" w:hAnsi="Times New Roman" w:eastAsia="仿宋_GB2312" w:cs="仿宋_GB2312"/>
          <w:color w:val="auto"/>
          <w:kern w:val="2"/>
          <w:sz w:val="32"/>
          <w:szCs w:val="32"/>
          <w:highlight w:val="none"/>
          <w:lang w:val="en-US" w:eastAsia="zh-CN" w:bidi="ar-SA"/>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7C26718A">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46F0A02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BFC8234">
      <w:pPr>
        <w:spacing w:line="600" w:lineRule="exact"/>
        <w:ind w:firstLine="640"/>
        <w:outlineLvl w:val="1"/>
        <w:rPr>
          <w:rStyle w:val="30"/>
          <w:rFonts w:ascii="Times New Roman" w:hAnsi="Times New Roman" w:eastAsia="黑体"/>
          <w:b w:val="0"/>
          <w:color w:val="auto"/>
          <w:highlight w:val="none"/>
        </w:rPr>
      </w:pPr>
      <w:bookmarkStart w:id="50" w:name="_Toc15396609"/>
      <w:bookmarkStart w:id="51"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50"/>
      <w:bookmarkEnd w:id="51"/>
    </w:p>
    <w:p w14:paraId="4673E04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52"/>
    </w:p>
    <w:p w14:paraId="6FB9068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2.62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89.58</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7A57035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1A67FC4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53"/>
    </w:p>
    <w:p w14:paraId="77CAD85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2.62</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0349E4B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53DD881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080F26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6B9DD8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2.62</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2DB42CB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735DB59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2.62</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75375FD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526B7E6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187DE7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5EEAE6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54" w:name="_Toc15396610"/>
      <w:bookmarkStart w:id="55" w:name="_Toc15377218"/>
    </w:p>
    <w:p w14:paraId="6A9AB871">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54"/>
      <w:bookmarkEnd w:id="55"/>
    </w:p>
    <w:p w14:paraId="3F87E09C">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8426DB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078BF98">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56" w:name="_Toc15377219"/>
      <w:bookmarkStart w:id="57"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56"/>
      <w:bookmarkEnd w:id="57"/>
    </w:p>
    <w:p w14:paraId="51A4FFF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D9D4FA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2AA0D69">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58" w:name="_Toc15377221"/>
      <w:bookmarkStart w:id="5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58"/>
      <w:bookmarkEnd w:id="59"/>
    </w:p>
    <w:p w14:paraId="7542787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0" w:name="_Toc15377222"/>
      <w:r>
        <w:rPr>
          <w:rFonts w:hint="eastAsia" w:ascii="Times New Roman" w:hAnsi="Times New Roman" w:eastAsia="楷体_GB2312" w:cs="楷体_GB2312"/>
          <w:b/>
          <w:color w:val="auto"/>
          <w:sz w:val="32"/>
          <w:szCs w:val="32"/>
          <w:highlight w:val="none"/>
        </w:rPr>
        <w:t>（一）机关运行经费支出情况</w:t>
      </w:r>
      <w:bookmarkEnd w:id="60"/>
    </w:p>
    <w:p w14:paraId="6F5147F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红原县县委党校</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20.15</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1BB357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AC9679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1" w:name="_Toc15377223"/>
      <w:r>
        <w:rPr>
          <w:rFonts w:hint="eastAsia" w:ascii="Times New Roman" w:hAnsi="Times New Roman" w:eastAsia="楷体_GB2312" w:cs="楷体_GB2312"/>
          <w:b/>
          <w:color w:val="auto"/>
          <w:sz w:val="32"/>
          <w:szCs w:val="32"/>
          <w:highlight w:val="none"/>
        </w:rPr>
        <w:t>（二）政府采购支出情况</w:t>
      </w:r>
      <w:bookmarkEnd w:id="61"/>
    </w:p>
    <w:p w14:paraId="1E1A363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红原县县委党校</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48.11</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46.76</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1.35</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04E6EAE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F49D59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2" w:name="_Toc15377224"/>
      <w:r>
        <w:rPr>
          <w:rFonts w:hint="eastAsia" w:ascii="Times New Roman" w:hAnsi="Times New Roman" w:eastAsia="楷体_GB2312" w:cs="楷体_GB2312"/>
          <w:b/>
          <w:color w:val="auto"/>
          <w:sz w:val="32"/>
          <w:szCs w:val="32"/>
          <w:highlight w:val="none"/>
        </w:rPr>
        <w:t>（三）国有资产占有使用情况</w:t>
      </w:r>
      <w:bookmarkEnd w:id="62"/>
    </w:p>
    <w:p w14:paraId="4602077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红原县县委党校</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76390C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774999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2C81426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根据预算绩效管理要求，***在2025年度，组织对***（项目名称）等***个项目涉及金额***万元开展了事前绩效评估，对***个项目编制了绩效目标，预算执行过程中，选取***个项目开展绩效监控。</w:t>
      </w:r>
    </w:p>
    <w:p w14:paraId="38888BC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2025年度一般公共预算、政府性基金预算、国有资本经营预算、社会保险基金预算以及资本资产、债券资金等全面开展绩效自评，形成***部门预算（含部门预算项目）绩效自评报告（此项单位不涉及）、***等专项预算项目绩效自评报告，其中，***部门预算（含部门预算项目）绩效自评得分为***分，绩效自评综述……；***专项预算项目绩效自评得分为***分，绩效自评综述……。绩效自评报告详见附件。（注：如不涉及，可根据实际修改表述。）</w:t>
      </w:r>
    </w:p>
    <w:p w14:paraId="5A5E766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790E8A7">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63" w:name="_Toc15396613"/>
      <w:bookmarkStart w:id="6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63"/>
      <w:bookmarkEnd w:id="64"/>
    </w:p>
    <w:p w14:paraId="65962A09">
      <w:pPr>
        <w:spacing w:line="600" w:lineRule="exact"/>
        <w:jc w:val="left"/>
        <w:rPr>
          <w:rFonts w:ascii="Times New Roman" w:hAnsi="Times New Roman"/>
          <w:b/>
          <w:color w:val="auto"/>
          <w:sz w:val="44"/>
          <w:szCs w:val="44"/>
          <w:highlight w:val="none"/>
        </w:rPr>
      </w:pPr>
    </w:p>
    <w:p w14:paraId="2C31E6C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7C85B2F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67163B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202F0A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77890BA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095346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4B4549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60B251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5BD221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1E1A26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1165E66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2365AB2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6EFAEF6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1B8FA43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753A67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25E431C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236C557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4C75175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73BA3C4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5A916BF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41B31E3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6D6CFCC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50F5828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34FE5C3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75EBF20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4F14A94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5DB1A91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5C2FC12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5</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0F5756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70B908F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58993B4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410FA1A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55570D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99D05C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14:paraId="176EAC3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193620C6">
      <w:pPr>
        <w:spacing w:line="600" w:lineRule="exact"/>
        <w:jc w:val="center"/>
        <w:rPr>
          <w:rStyle w:val="29"/>
          <w:rFonts w:hint="eastAsia" w:ascii="Times New Roman" w:hAnsi="Times New Roman" w:eastAsia="黑体"/>
          <w:b w:val="0"/>
          <w:color w:val="auto"/>
          <w:highlight w:val="none"/>
          <w:lang w:eastAsia="zh-CN"/>
        </w:rPr>
      </w:pPr>
      <w:bookmarkStart w:id="65"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66"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66"/>
    </w:p>
    <w:p w14:paraId="12F9D0E4">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766DE403">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7962D7C6">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28D90E3F">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14:paraId="572F42AC">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14:paraId="6A2E3BFB">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79DFFDB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4C4A1D79">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仿宋_GB2312"/>
          <w:color w:val="auto"/>
          <w:kern w:val="2"/>
          <w:sz w:val="32"/>
          <w:szCs w:val="32"/>
          <w:highlight w:val="none"/>
          <w:lang w:val="en-US" w:eastAsia="zh-CN" w:bidi="ar-SA"/>
        </w:rPr>
        <w:t>***内设</w:t>
      </w:r>
      <w:r>
        <w:rPr>
          <w:rFonts w:hint="default" w:ascii="Times New Roman" w:hAnsi="Times New Roman" w:eastAsia="仿宋_GB2312" w:cs="仿宋_GB2312"/>
          <w:color w:val="auto"/>
          <w:kern w:val="2"/>
          <w:sz w:val="32"/>
          <w:szCs w:val="32"/>
          <w:highlight w:val="none"/>
          <w:lang w:val="en-US" w:eastAsia="zh-CN" w:bidi="ar-SA"/>
        </w:rPr>
        <w:t>处室</w:t>
      </w:r>
      <w:r>
        <w:rPr>
          <w:rFonts w:hint="eastAsia" w:ascii="Times New Roman" w:hAnsi="Times New Roman" w:eastAsia="仿宋_GB2312" w:cs="仿宋_GB2312"/>
          <w:color w:val="auto"/>
          <w:kern w:val="2"/>
          <w:sz w:val="32"/>
          <w:szCs w:val="32"/>
          <w:highlight w:val="none"/>
          <w:lang w:val="en-US" w:eastAsia="zh-CN" w:bidi="ar-SA"/>
        </w:rPr>
        <w:t>及下属单位情况</w:t>
      </w:r>
      <w:r>
        <w:rPr>
          <w:rFonts w:hint="default" w:ascii="Times New Roman" w:hAnsi="Times New Roman" w:eastAsia="仿宋_GB2312" w:cs="仿宋_GB2312"/>
          <w:color w:val="auto"/>
          <w:kern w:val="2"/>
          <w:sz w:val="32"/>
          <w:szCs w:val="32"/>
          <w:highlight w:val="none"/>
          <w:lang w:val="en-US" w:eastAsia="zh-CN" w:bidi="ar-SA"/>
        </w:rPr>
        <w:t>。</w:t>
      </w:r>
    </w:p>
    <w:p w14:paraId="2AE0AF50">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职责和功能。</w:t>
      </w:r>
    </w:p>
    <w:p w14:paraId="3429F7F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Times New Roman"/>
          <w:sz w:val="32"/>
          <w:szCs w:val="32"/>
          <w:lang w:val="en-US" w:eastAsia="zh-CN"/>
        </w:rPr>
        <w:t>及下属单位编制</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年末实有人数</w:t>
      </w:r>
      <w:r>
        <w:rPr>
          <w:rFonts w:hint="eastAsia" w:ascii="Times New Roman" w:hAnsi="Times New Roman" w:eastAsia="仿宋_GB2312" w:cs="Times New Roman"/>
          <w:sz w:val="32"/>
          <w:szCs w:val="32"/>
          <w:lang w:val="en-US" w:eastAsia="zh-CN"/>
        </w:rPr>
        <w:t>情况。</w:t>
      </w:r>
    </w:p>
    <w:p w14:paraId="78BA370E">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3C0490AE">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年年初预算收入情况、决算报表收入情况。</w:t>
      </w:r>
    </w:p>
    <w:p w14:paraId="304D02C8">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年年初预算支出情况、决算报表支出情况。</w:t>
      </w:r>
    </w:p>
    <w:p w14:paraId="078C6C2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14:paraId="379134C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4FEDEB1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61A5368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6CADCEA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708513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90656F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D5E923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6170E5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06F703E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73EFC1F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5282FAC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5FCCD4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B83B9C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631937D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016E5B2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56EAD8C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56AD011A">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bidi="ar"/>
        </w:rPr>
        <w:t>简要阐述部门预算绩效自评总体结论，其中必须包含自评得分。</w:t>
      </w:r>
    </w:p>
    <w:p w14:paraId="063E3D36">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bidi="ar"/>
        </w:rPr>
        <w:t>简要阐述部门预算绩效自评发现的主要问题。</w:t>
      </w:r>
    </w:p>
    <w:p w14:paraId="39897EAA">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Times New Roman" w:hAnsi="Times New Roman" w:eastAsia="仿宋_GB2312" w:cs="Times New Roman"/>
          <w:sz w:val="32"/>
          <w:szCs w:val="32"/>
          <w:u w:val="none"/>
          <w:lang w:val="en-US" w:eastAsia="zh-CN" w:bidi="ar"/>
        </w:rPr>
        <w:t>简要阐述</w:t>
      </w:r>
      <w:bookmarkStart w:id="67" w:name="_Hlk110546638"/>
      <w:r>
        <w:rPr>
          <w:rFonts w:hint="eastAsia" w:ascii="Times New Roman" w:hAnsi="Times New Roman" w:eastAsia="仿宋_GB2312" w:cs="Times New Roman"/>
          <w:sz w:val="32"/>
          <w:szCs w:val="32"/>
          <w:u w:val="none"/>
          <w:lang w:val="en" w:eastAsia="zh-CN" w:bidi="ar"/>
        </w:rPr>
        <w:t>预算安排、完善政策、改进管理等方面的</w:t>
      </w:r>
      <w:r>
        <w:rPr>
          <w:rFonts w:hint="eastAsia" w:ascii="Times New Roman" w:hAnsi="Times New Roman" w:eastAsia="仿宋_GB2312" w:cs="Times New Roman"/>
          <w:sz w:val="32"/>
          <w:szCs w:val="32"/>
          <w:u w:val="none"/>
          <w:lang w:val="en-US" w:eastAsia="zh-CN" w:bidi="ar"/>
        </w:rPr>
        <w:t>措施</w:t>
      </w:r>
      <w:r>
        <w:rPr>
          <w:rFonts w:hint="eastAsia" w:ascii="Times New Roman" w:hAnsi="Times New Roman" w:eastAsia="仿宋_GB2312" w:cs="Times New Roman"/>
          <w:sz w:val="32"/>
          <w:szCs w:val="32"/>
          <w:u w:val="none"/>
          <w:lang w:val="en" w:eastAsia="zh-CN" w:bidi="ar"/>
        </w:rPr>
        <w:t>建议，其中</w:t>
      </w:r>
      <w:r>
        <w:rPr>
          <w:rFonts w:hint="eastAsia" w:ascii="Times New Roman" w:hAnsi="Times New Roman" w:eastAsia="仿宋_GB2312" w:cs="Times New Roman"/>
          <w:sz w:val="32"/>
          <w:szCs w:val="32"/>
          <w:u w:val="none"/>
          <w:lang w:val="en-US" w:eastAsia="zh-CN" w:bidi="ar"/>
        </w:rPr>
        <w:t>必须对应评价发现的主要问题一一提出措施建议。</w:t>
      </w:r>
    </w:p>
    <w:bookmarkEnd w:id="67"/>
    <w:p w14:paraId="50E86DA6">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00FDCA69">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7C9AAE2C">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4EEAC35D">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7FFF3A34">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289957C7">
      <w:pPr>
        <w:pStyle w:val="5"/>
        <w:rPr>
          <w:rFonts w:hint="eastAsia" w:ascii="Times New Roman" w:hAnsi="Times New Roman" w:cs="宋体"/>
          <w:color w:val="FF0000"/>
          <w:kern w:val="0"/>
          <w:sz w:val="32"/>
          <w:szCs w:val="32"/>
          <w:highlight w:val="yellow"/>
          <w:shd w:val="clear" w:color="auto" w:fill="FFFFFF"/>
          <w:lang w:val="zh-CN"/>
        </w:rPr>
      </w:pPr>
    </w:p>
    <w:p w14:paraId="0EB3B5FE">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72BA8E95">
      <w:pPr>
        <w:pStyle w:val="5"/>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5A06681F">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2B61F461">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14:paraId="1BB819C6">
      <w:pPr>
        <w:pStyle w:val="35"/>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14:paraId="02A6F43C">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14:paraId="30B7EF9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14:paraId="30F82B64">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14:paraId="139E352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14:paraId="381E506D">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14:paraId="39464346">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14:paraId="035F90A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14:paraId="403C39A5">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14:paraId="3B1E2E52">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eastAsia="zh-CN"/>
        </w:rPr>
        <w:t>（三）评价选点。</w:t>
      </w:r>
      <w:r>
        <w:rPr>
          <w:rFonts w:hint="eastAsia" w:ascii="Times New Roman" w:hAnsi="Times New Roman" w:eastAsia="仿宋_GB2312" w:cs="仿宋_GB2312"/>
          <w:b w:val="0"/>
          <w:bCs w:val="0"/>
          <w:kern w:val="0"/>
          <w:position w:val="0"/>
          <w:sz w:val="32"/>
          <w:szCs w:val="32"/>
          <w:highlight w:val="none"/>
          <w:lang w:val="zh-CN" w:eastAsia="zh-CN" w:bidi="ar-SA"/>
        </w:rPr>
        <w:t>项目绩效自评所抽样点位情况。每个专项预算项目应选取专项资金分配涉及市县总数的20%、总计不超过20个的市县点位进行实地踏勘，且点位清单应作为自评附表。</w:t>
      </w:r>
    </w:p>
    <w:p w14:paraId="0CAE770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14:paraId="29323CA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14:paraId="19502B7F">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14:paraId="497DE6F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14:paraId="4E8EB277">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14:paraId="7BD207D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14:paraId="1078474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14:paraId="522425D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14:paraId="23B8304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14:paraId="5525201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14:paraId="6045110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14:paraId="2484195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14:paraId="338408F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14:paraId="0C02E94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14:paraId="16BD70D4">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14:paraId="157DE77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14:paraId="02C7158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14:paraId="6F0AFE6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14:paraId="2C86A2F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14:paraId="4BE63A0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14:paraId="19091A8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14:paraId="1B5B16D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bCs/>
          <w:kern w:val="0"/>
          <w:position w:val="0"/>
          <w:sz w:val="32"/>
          <w:szCs w:val="32"/>
          <w:highlight w:val="none"/>
          <w:lang w:val="en-US" w:eastAsia="zh-CN" w:bidi="ar-SA"/>
        </w:rPr>
      </w:pPr>
      <w:r>
        <w:rPr>
          <w:rFonts w:hint="eastAsia" w:ascii="Times New Roman" w:hAnsi="Times New Roman" w:eastAsia="仿宋_GB2312" w:cs="仿宋_GB2312"/>
          <w:b/>
          <w:bCs/>
          <w:kern w:val="0"/>
          <w:position w:val="0"/>
          <w:sz w:val="32"/>
          <w:szCs w:val="32"/>
          <w:highlight w:val="none"/>
          <w:lang w:val="en-US" w:eastAsia="zh-CN" w:bidi="ar-SA"/>
        </w:rPr>
        <w:t>（</w:t>
      </w:r>
      <w:r>
        <w:rPr>
          <w:rFonts w:hint="eastAsia" w:eastAsia="仿宋_GB2312" w:cs="仿宋_GB2312"/>
          <w:b/>
          <w:bCs/>
          <w:kern w:val="0"/>
          <w:position w:val="0"/>
          <w:sz w:val="32"/>
          <w:szCs w:val="32"/>
          <w:highlight w:val="none"/>
          <w:lang w:val="en-US" w:eastAsia="zh-CN" w:bidi="ar-SA"/>
        </w:rPr>
        <w:t>注：</w:t>
      </w:r>
      <w:r>
        <w:rPr>
          <w:rFonts w:hint="eastAsia" w:ascii="Times New Roman" w:hAnsi="Times New Roman" w:eastAsia="仿宋_GB2312" w:cs="仿宋_GB2312"/>
          <w:b/>
          <w:bCs/>
          <w:kern w:val="0"/>
          <w:position w:val="0"/>
          <w:sz w:val="32"/>
          <w:szCs w:val="32"/>
          <w:highlight w:val="none"/>
          <w:lang w:val="en-US" w:eastAsia="zh-CN" w:bidi="ar-SA"/>
        </w:rPr>
        <w:t>以上绩效自评报告，除涉密敏感内容外，原则上都应予以公开）</w:t>
      </w:r>
    </w:p>
    <w:p w14:paraId="26C6F0F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5C29B08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3F1391F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68"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3A391D87">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65"/>
      <w:bookmarkEnd w:id="68"/>
      <w:bookmarkStart w:id="69" w:name="_Toc15396619"/>
    </w:p>
    <w:p w14:paraId="4BFD798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4CD84AC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69"/>
    </w:p>
    <w:p w14:paraId="026A44F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0" w:name="_Toc15396620"/>
      <w:r>
        <w:rPr>
          <w:rFonts w:hint="eastAsia" w:ascii="Times New Roman" w:hAnsi="Times New Roman" w:eastAsia="仿宋_GB2312" w:cs="仿宋_GB2312"/>
          <w:color w:val="auto"/>
          <w:sz w:val="32"/>
          <w:szCs w:val="32"/>
          <w:highlight w:val="none"/>
        </w:rPr>
        <w:t>二、收入决算表</w:t>
      </w:r>
      <w:bookmarkEnd w:id="70"/>
    </w:p>
    <w:p w14:paraId="145D8FE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1" w:name="_Toc15396621"/>
      <w:r>
        <w:rPr>
          <w:rFonts w:hint="eastAsia" w:ascii="Times New Roman" w:hAnsi="Times New Roman" w:eastAsia="仿宋_GB2312" w:cs="仿宋_GB2312"/>
          <w:color w:val="auto"/>
          <w:sz w:val="32"/>
          <w:szCs w:val="32"/>
          <w:highlight w:val="none"/>
        </w:rPr>
        <w:t>三、支出决算表</w:t>
      </w:r>
      <w:bookmarkEnd w:id="71"/>
    </w:p>
    <w:p w14:paraId="5DEFC6CC">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2" w:name="_Toc15396622"/>
      <w:r>
        <w:rPr>
          <w:rFonts w:hint="eastAsia" w:ascii="Times New Roman" w:hAnsi="Times New Roman" w:eastAsia="仿宋_GB2312" w:cs="仿宋_GB2312"/>
          <w:color w:val="auto"/>
          <w:sz w:val="32"/>
          <w:szCs w:val="32"/>
          <w:highlight w:val="none"/>
        </w:rPr>
        <w:t>四、财政拨款收入支出决算总表</w:t>
      </w:r>
      <w:bookmarkEnd w:id="72"/>
    </w:p>
    <w:p w14:paraId="5F49D00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3" w:name="_Toc15396623"/>
      <w:r>
        <w:rPr>
          <w:rFonts w:hint="eastAsia" w:ascii="Times New Roman" w:hAnsi="Times New Roman" w:eastAsia="仿宋_GB2312" w:cs="仿宋_GB2312"/>
          <w:color w:val="auto"/>
          <w:sz w:val="32"/>
          <w:szCs w:val="32"/>
          <w:highlight w:val="none"/>
        </w:rPr>
        <w:t>五、财政拨款支出决算明细表</w:t>
      </w:r>
      <w:bookmarkEnd w:id="73"/>
      <w:bookmarkStart w:id="74" w:name="_Toc15396624"/>
    </w:p>
    <w:p w14:paraId="5ABAE7B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74"/>
    </w:p>
    <w:p w14:paraId="1E67070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5" w:name="_Toc15396625"/>
      <w:r>
        <w:rPr>
          <w:rFonts w:hint="eastAsia" w:ascii="Times New Roman" w:hAnsi="Times New Roman" w:eastAsia="仿宋_GB2312" w:cs="仿宋_GB2312"/>
          <w:color w:val="auto"/>
          <w:sz w:val="32"/>
          <w:szCs w:val="32"/>
          <w:highlight w:val="none"/>
        </w:rPr>
        <w:t>七、一般公共预算财政拨款支出决算明细表</w:t>
      </w:r>
      <w:bookmarkEnd w:id="75"/>
    </w:p>
    <w:p w14:paraId="3CC2616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6" w:name="_Toc15396626"/>
      <w:r>
        <w:rPr>
          <w:rFonts w:hint="eastAsia" w:ascii="Times New Roman" w:hAnsi="Times New Roman" w:eastAsia="仿宋_GB2312" w:cs="仿宋_GB2312"/>
          <w:color w:val="auto"/>
          <w:sz w:val="32"/>
          <w:szCs w:val="32"/>
          <w:highlight w:val="none"/>
        </w:rPr>
        <w:t>八、一般公共预算财政拨款基本支出决算表</w:t>
      </w:r>
      <w:bookmarkEnd w:id="76"/>
    </w:p>
    <w:p w14:paraId="722604D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7" w:name="_Toc15396627"/>
      <w:r>
        <w:rPr>
          <w:rFonts w:hint="eastAsia" w:ascii="Times New Roman" w:hAnsi="Times New Roman" w:eastAsia="仿宋_GB2312" w:cs="仿宋_GB2312"/>
          <w:color w:val="auto"/>
          <w:sz w:val="32"/>
          <w:szCs w:val="32"/>
          <w:highlight w:val="none"/>
        </w:rPr>
        <w:t>九、一般公共预算财政拨款项目支出决算表</w:t>
      </w:r>
      <w:bookmarkEnd w:id="77"/>
    </w:p>
    <w:p w14:paraId="3734455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8" w:name="_Toc15396628"/>
      <w:r>
        <w:rPr>
          <w:rFonts w:hint="eastAsia" w:ascii="Times New Roman" w:hAnsi="Times New Roman" w:eastAsia="仿宋_GB2312" w:cs="仿宋_GB2312"/>
          <w:color w:val="auto"/>
          <w:sz w:val="32"/>
          <w:szCs w:val="32"/>
          <w:highlight w:val="none"/>
        </w:rPr>
        <w:t>十、</w:t>
      </w:r>
      <w:bookmarkEnd w:id="78"/>
      <w:r>
        <w:rPr>
          <w:rFonts w:hint="eastAsia" w:ascii="Times New Roman" w:hAnsi="Times New Roman" w:eastAsia="仿宋_GB2312" w:cs="仿宋_GB2312"/>
          <w:color w:val="auto"/>
          <w:sz w:val="32"/>
          <w:szCs w:val="32"/>
          <w:highlight w:val="none"/>
        </w:rPr>
        <w:t>政府性基金预算财政拨款收入支出决算表</w:t>
      </w:r>
    </w:p>
    <w:p w14:paraId="592E8DC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9" w:name="_Toc15396629"/>
      <w:r>
        <w:rPr>
          <w:rFonts w:hint="eastAsia" w:ascii="Times New Roman" w:hAnsi="Times New Roman" w:eastAsia="仿宋_GB2312" w:cs="仿宋_GB2312"/>
          <w:color w:val="auto"/>
          <w:sz w:val="32"/>
          <w:szCs w:val="32"/>
          <w:highlight w:val="none"/>
        </w:rPr>
        <w:t>十一、</w:t>
      </w:r>
      <w:bookmarkEnd w:id="7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21C7690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80" w:name="_Toc15396630"/>
      <w:r>
        <w:rPr>
          <w:rFonts w:hint="eastAsia" w:ascii="Times New Roman" w:hAnsi="Times New Roman" w:eastAsia="仿宋_GB2312" w:cs="仿宋_GB2312"/>
          <w:color w:val="auto"/>
          <w:sz w:val="32"/>
          <w:szCs w:val="32"/>
          <w:highlight w:val="none"/>
        </w:rPr>
        <w:t>十二、</w:t>
      </w:r>
      <w:bookmarkEnd w:id="80"/>
      <w:r>
        <w:rPr>
          <w:rFonts w:hint="eastAsia" w:ascii="Times New Roman" w:hAnsi="Times New Roman" w:eastAsia="仿宋_GB2312" w:cs="仿宋_GB2312"/>
          <w:color w:val="auto"/>
          <w:sz w:val="32"/>
          <w:szCs w:val="32"/>
          <w:highlight w:val="none"/>
          <w:lang w:eastAsia="zh-CN"/>
        </w:rPr>
        <w:t>国有资本经营预算财政拨款支出决算表</w:t>
      </w:r>
    </w:p>
    <w:p w14:paraId="70F2B53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81" w:name="_Toc15396631"/>
      <w:r>
        <w:rPr>
          <w:rFonts w:hint="eastAsia" w:ascii="Times New Roman" w:hAnsi="Times New Roman" w:eastAsia="仿宋_GB2312" w:cs="仿宋_GB2312"/>
          <w:color w:val="auto"/>
          <w:sz w:val="32"/>
          <w:szCs w:val="32"/>
          <w:highlight w:val="none"/>
        </w:rPr>
        <w:t>十三、</w:t>
      </w:r>
      <w:bookmarkEnd w:id="81"/>
      <w:r>
        <w:rPr>
          <w:rFonts w:hint="eastAsia" w:ascii="Times New Roman" w:hAnsi="Times New Roman" w:eastAsia="仿宋_GB2312" w:cs="仿宋_GB2312"/>
          <w:color w:val="auto"/>
          <w:sz w:val="32"/>
          <w:szCs w:val="32"/>
          <w:highlight w:val="none"/>
          <w:lang w:eastAsia="zh-CN"/>
        </w:rPr>
        <w:t>财政拨款“三公”经费支出决算表</w:t>
      </w:r>
    </w:p>
    <w:p w14:paraId="44493027">
      <w:pPr>
        <w:rPr>
          <w:rFonts w:hint="eastAsia" w:ascii="Times New Roman" w:hAnsi="Times New Roman"/>
          <w:lang w:eastAsia="zh-CN"/>
        </w:rPr>
      </w:pPr>
    </w:p>
    <w:sectPr>
      <w:footerReference r:id="rId8" w:type="firs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DA5758CF">
    <w:panose1 w:val="020B07030202040202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5FD34">
    <w:pPr>
      <w:pStyle w:val="10"/>
      <w:jc w:val="center"/>
    </w:pPr>
  </w:p>
  <w:p w14:paraId="4D8E0948">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F7432">
    <w:pPr>
      <w:pStyle w:val="10"/>
      <w:jc w:val="center"/>
    </w:pPr>
  </w:p>
  <w:p w14:paraId="1055C270">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2CCF">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E519F">
    <w:pPr>
      <w:pStyle w:val="10"/>
      <w:jc w:val="center"/>
    </w:pPr>
  </w:p>
  <w:p w14:paraId="64977CE7">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064BD">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ACC7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48ACC7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2203C">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1">
    <w:nsid w:val="7523AD21"/>
    <w:multiLevelType w:val="singleLevel"/>
    <w:tmpl w:val="7523AD21"/>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47664"/>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6"/>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1"/>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5"/>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2"/>
    <w:qFormat/>
    <w:uiPriority w:val="9"/>
    <w:rPr>
      <w:rFonts w:ascii="Times New Roman" w:hAnsi="Times New Roman"/>
      <w:b/>
      <w:bCs/>
      <w:kern w:val="44"/>
      <w:sz w:val="44"/>
      <w:szCs w:val="44"/>
    </w:rPr>
  </w:style>
  <w:style w:type="character" w:customStyle="1" w:styleId="30">
    <w:name w:val="标题 2 Char"/>
    <w:basedOn w:val="17"/>
    <w:link w:val="3"/>
    <w:qFormat/>
    <w:uiPriority w:val="9"/>
    <w:rPr>
      <w:rFonts w:asciiTheme="majorHAnsi" w:hAnsiTheme="majorHAnsi" w:eastAsiaTheme="majorEastAsia" w:cstheme="majorBidi"/>
      <w:b/>
      <w:bCs/>
      <w:kern w:val="2"/>
      <w:sz w:val="32"/>
      <w:szCs w:val="32"/>
    </w:rPr>
  </w:style>
  <w:style w:type="paragraph" w:customStyle="1" w:styleId="3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9"/>
    <w:semiHidden/>
    <w:qFormat/>
    <w:uiPriority w:val="99"/>
    <w:rPr>
      <w:rFonts w:ascii="Times New Roman" w:hAnsi="Times New Roman"/>
      <w:kern w:val="2"/>
      <w:sz w:val="18"/>
      <w:szCs w:val="18"/>
    </w:rPr>
  </w:style>
  <w:style w:type="character" w:customStyle="1" w:styleId="33">
    <w:name w:val="标题 3 Char"/>
    <w:basedOn w:val="17"/>
    <w:link w:val="4"/>
    <w:qFormat/>
    <w:uiPriority w:val="9"/>
    <w:rPr>
      <w:rFonts w:ascii="Times New Roman" w:hAnsi="Times New Roman"/>
      <w:b/>
      <w:bCs/>
      <w:kern w:val="2"/>
      <w:sz w:val="32"/>
      <w:szCs w:val="32"/>
    </w:rPr>
  </w:style>
  <w:style w:type="paragraph" w:customStyle="1" w:styleId="34">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8.emf"/><Relationship Id="rId24" Type="http://schemas.openxmlformats.org/officeDocument/2006/relationships/oleObject" Target="embeddings/oleObject8.bin"/><Relationship Id="rId23" Type="http://schemas.openxmlformats.org/officeDocument/2006/relationships/image" Target="media/image7.emf"/><Relationship Id="rId22" Type="http://schemas.openxmlformats.org/officeDocument/2006/relationships/oleObject" Target="embeddings/oleObject7.bin"/><Relationship Id="rId21" Type="http://schemas.openxmlformats.org/officeDocument/2006/relationships/image" Target="media/image6.e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emf"/><Relationship Id="rId18" Type="http://schemas.openxmlformats.org/officeDocument/2006/relationships/oleObject" Target="embeddings/oleObject5.bin"/><Relationship Id="rId17" Type="http://schemas.openxmlformats.org/officeDocument/2006/relationships/image" Target="media/image4.emf"/><Relationship Id="rId16" Type="http://schemas.openxmlformats.org/officeDocument/2006/relationships/oleObject" Target="embeddings/oleObject4.bin"/><Relationship Id="rId15" Type="http://schemas.openxmlformats.org/officeDocument/2006/relationships/image" Target="media/image3.emf"/><Relationship Id="rId14" Type="http://schemas.openxmlformats.org/officeDocument/2006/relationships/oleObject" Target="embeddings/oleObject3.bin"/><Relationship Id="rId13" Type="http://schemas.openxmlformats.org/officeDocument/2006/relationships/image" Target="media/image2.emf"/><Relationship Id="rId12" Type="http://schemas.openxmlformats.org/officeDocument/2006/relationships/oleObject" Target="embeddings/oleObject2.bin"/><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30</Pages>
  <Words>7896</Words>
  <Characters>8428</Characters>
  <Lines>61</Lines>
  <Paragraphs>17</Paragraphs>
  <TotalTime>0</TotalTime>
  <ScaleCrop>false</ScaleCrop>
  <LinksUpToDate>false</LinksUpToDate>
  <CharactersWithSpaces>8455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单行路。</cp:lastModifiedBy>
  <cp:lastPrinted>2026-08-03T09:27:00Z</cp:lastPrinted>
  <dcterms:modified xsi:type="dcterms:W3CDTF">2026-10-20T08:45:37Z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DA1B97FCCABC40AEAFEC373F20C618B2_13</vt:lpwstr>
  </property>
  <property fmtid="{D5CDD505-2E9C-101B-9397-08002B2CF9AE}" pid="4" name="KSOTemplateDocerSaveRecord">
    <vt:lpwstr>eyJoZGlkIjoiYjZkNTUxYWJlODc2ZGE0YTk5MjdiNGRhNWFkYjdmMWUiLCJ1c2VySWQiOiI1NDY5Mjc0ODUifQ==</vt:lpwstr>
  </property>
</Properties>
</file>