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document.xml" ContentType="application/vnd.openxmlformats-officedocument.wordprocessingml.document.main+xml"/>
  <Override PartName="/word/drawings/drawing1.xml" ContentType="application/vnd.openxmlformats-officedocument.drawingml.chartshap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019F6B">
      <w:pPr>
        <w:rPr>
          <w:rFonts w:ascii="Times New Roman" w:hAnsi="Times New Roman"/>
        </w:rPr>
      </w:pPr>
      <w:bookmarkStart w:id="0" w:name="_Toc15377193"/>
      <w:bookmarkStart w:id="1" w:name="_Toc15378441"/>
      <w:bookmarkStart w:id="2" w:name="_Toc15396475"/>
      <w:bookmarkStart w:id="3" w:name="_Toc15377425"/>
      <w:bookmarkStart w:id="4" w:name="_Toc15396597"/>
      <w:bookmarkStart w:id="5" w:name="_Toc15306267"/>
    </w:p>
    <w:p w14:paraId="204B31FE">
      <w:pPr>
        <w:pStyle w:val="8"/>
        <w:jc w:val="center"/>
        <w:rPr>
          <w:rFonts w:hint="eastAsia" w:ascii="Times New Roman" w:hAnsi="Times New Roman" w:eastAsia="方正小标宋简体" w:cs="Times New Roman"/>
          <w:color w:val="auto"/>
          <w:kern w:val="2"/>
          <w:sz w:val="44"/>
          <w:szCs w:val="44"/>
          <w:highlight w:val="none"/>
          <w:lang w:val="en-US" w:eastAsia="zh-CN" w:bidi="ar-SA"/>
        </w:rPr>
      </w:pPr>
    </w:p>
    <w:p w14:paraId="60B0677F">
      <w:pPr>
        <w:pStyle w:val="8"/>
        <w:jc w:val="center"/>
        <w:rPr>
          <w:rFonts w:hint="eastAsia" w:ascii="Times New Roman" w:hAnsi="Times New Roman" w:eastAsia="方正小标宋简体" w:cs="Times New Roman"/>
          <w:color w:val="auto"/>
          <w:kern w:val="2"/>
          <w:sz w:val="44"/>
          <w:szCs w:val="44"/>
          <w:highlight w:val="none"/>
          <w:lang w:val="en-US" w:eastAsia="zh-CN" w:bidi="ar-SA"/>
        </w:rPr>
      </w:pPr>
    </w:p>
    <w:p w14:paraId="66751FE0">
      <w:pPr>
        <w:pStyle w:val="8"/>
        <w:jc w:val="center"/>
        <w:rPr>
          <w:rFonts w:hint="eastAsia" w:ascii="Times New Roman" w:hAnsi="Times New Roman" w:eastAsia="方正小标宋简体" w:cs="Times New Roman"/>
          <w:color w:val="auto"/>
          <w:kern w:val="2"/>
          <w:sz w:val="44"/>
          <w:szCs w:val="44"/>
          <w:highlight w:val="none"/>
          <w:lang w:val="en-US" w:eastAsia="zh-CN" w:bidi="ar-SA"/>
        </w:rPr>
      </w:pPr>
    </w:p>
    <w:p w14:paraId="6A858921">
      <w:pPr>
        <w:pStyle w:val="8"/>
        <w:jc w:val="center"/>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p w14:paraId="0C93BF52">
      <w:pPr>
        <w:pStyle w:val="32"/>
        <w:keepNext w:val="0"/>
        <w:keepLines w:val="0"/>
        <w:widowControl/>
        <w:suppressLineNumbers w:val="0"/>
        <w:shd w:val="clear" w:color="auto" w:fill="auto"/>
        <w:spacing w:before="0" w:beforeAutospacing="0"/>
        <w:ind w:left="0"/>
        <w:jc w:val="center"/>
        <w:rPr>
          <w:rFonts w:hint="eastAsia" w:ascii="Times New Roman" w:hAnsi="Times New Roman" w:eastAsia="方正小标宋简体" w:cs="Times New Roman"/>
          <w:b w:val="0"/>
          <w:i w:val="0"/>
          <w:caps w:val="0"/>
          <w:smallCaps w:val="0"/>
          <w:strike w:val="0"/>
          <w:dstrike w:val="0"/>
          <w:vanish w:val="0"/>
          <w:color w:val="auto"/>
          <w:kern w:val="2"/>
          <w:sz w:val="44"/>
          <w:szCs w:val="44"/>
          <w:highlight w:val="none"/>
          <w:lang w:val="en-US" w:eastAsia="zh-CN" w:bidi="ar-SA"/>
        </w:rPr>
      </w:pPr>
      <w:bookmarkStart w:id="6" w:name="_Toc15377426"/>
      <w:bookmarkStart w:id="7" w:name="_Toc15396476"/>
      <w:bookmarkStart w:id="8" w:name="_Toc15396598"/>
      <w:bookmarkStart w:id="9" w:name="_Toc15377194"/>
      <w:bookmarkStart w:id="10" w:name="_Toc15378442"/>
      <w:r>
        <w:rPr>
          <w:rFonts w:hint="eastAsia" w:ascii="Times New Roman" w:hAnsi="Times New Roman" w:eastAsia="方正小标宋简体" w:cs="Times New Roman"/>
          <w:color w:val="auto"/>
          <w:kern w:val="2"/>
          <w:sz w:val="44"/>
          <w:szCs w:val="44"/>
          <w:highlight w:val="none"/>
          <w:lang w:val="en-US" w:eastAsia="zh-CN" w:bidi="ar-SA"/>
        </w:rPr>
        <w:t>2025年度四川省</w:t>
      </w:r>
      <w:bookmarkEnd w:id="5"/>
      <w:bookmarkEnd w:id="6"/>
      <w:bookmarkEnd w:id="7"/>
      <w:bookmarkEnd w:id="8"/>
      <w:bookmarkEnd w:id="9"/>
      <w:bookmarkEnd w:id="10"/>
      <w:r>
        <w:rPr>
          <w:rFonts w:hint="eastAsia" w:ascii="Times New Roman" w:hAnsi="Times New Roman" w:eastAsia="方正小标宋简体" w:cs="Times New Roman"/>
          <w:b w:val="0"/>
          <w:i w:val="0"/>
          <w:caps w:val="0"/>
          <w:smallCaps w:val="0"/>
          <w:strike w:val="0"/>
          <w:dstrike w:val="0"/>
          <w:vanish w:val="0"/>
          <w:color w:val="auto"/>
          <w:kern w:val="2"/>
          <w:sz w:val="44"/>
          <w:szCs w:val="44"/>
          <w:highlight w:val="none"/>
          <w:lang w:val="en-US" w:eastAsia="zh-CN" w:bidi="ar-SA"/>
        </w:rPr>
        <w:t>阿坝州红原县</w:t>
      </w:r>
    </w:p>
    <w:p w14:paraId="581455FB">
      <w:pPr>
        <w:pStyle w:val="32"/>
        <w:keepNext w:val="0"/>
        <w:keepLines w:val="0"/>
        <w:widowControl/>
        <w:suppressLineNumbers w:val="0"/>
        <w:shd w:val="clear" w:color="auto" w:fill="auto"/>
        <w:spacing w:before="0" w:beforeAutospacing="0"/>
        <w:ind w:left="0"/>
        <w:jc w:val="center"/>
        <w:rPr>
          <w:rFonts w:hint="eastAsia" w:ascii="Times New Roman" w:hAnsi="Times New Roman" w:eastAsia="方正小标宋简体" w:cs="Times New Roman"/>
          <w:b w:val="0"/>
          <w:i w:val="0"/>
          <w:caps w:val="0"/>
          <w:smallCaps w:val="0"/>
          <w:strike w:val="0"/>
          <w:dstrike w:val="0"/>
          <w:vanish w:val="0"/>
          <w:color w:val="auto"/>
          <w:kern w:val="2"/>
          <w:sz w:val="44"/>
          <w:szCs w:val="44"/>
          <w:highlight w:val="none"/>
          <w:lang w:val="en-US" w:eastAsia="zh-CN" w:bidi="ar-SA"/>
        </w:rPr>
      </w:pPr>
      <w:r>
        <w:rPr>
          <w:rFonts w:hint="eastAsia" w:ascii="Times New Roman" w:hAnsi="Times New Roman" w:eastAsia="方正小标宋简体" w:cs="Times New Roman"/>
          <w:b w:val="0"/>
          <w:i w:val="0"/>
          <w:caps w:val="0"/>
          <w:smallCaps w:val="0"/>
          <w:strike w:val="0"/>
          <w:dstrike w:val="0"/>
          <w:vanish w:val="0"/>
          <w:color w:val="auto"/>
          <w:kern w:val="2"/>
          <w:sz w:val="44"/>
          <w:szCs w:val="44"/>
          <w:highlight w:val="none"/>
          <w:lang w:val="en-US" w:eastAsia="zh-CN" w:bidi="ar-SA"/>
        </w:rPr>
        <w:t>科学技术协会部门决算</w:t>
      </w:r>
    </w:p>
    <w:p w14:paraId="1512E855">
      <w:pPr>
        <w:pStyle w:val="32"/>
        <w:keepNext w:val="0"/>
        <w:keepLines w:val="0"/>
        <w:widowControl/>
        <w:suppressLineNumbers w:val="0"/>
        <w:shd w:val="clear" w:color="auto" w:fill="auto"/>
        <w:spacing w:before="0" w:beforeAutospacing="0"/>
        <w:ind w:left="0"/>
        <w:jc w:val="center"/>
        <w:rPr>
          <w:rFonts w:hint="eastAsia" w:ascii="Times New Roman" w:hAnsi="Times New Roman" w:eastAsia="方正小标宋简体" w:cs="Times New Roman"/>
          <w:b w:val="0"/>
          <w:i w:val="0"/>
          <w:caps w:val="0"/>
          <w:smallCaps w:val="0"/>
          <w:strike w:val="0"/>
          <w:dstrike w:val="0"/>
          <w:vanish w:val="0"/>
          <w:color w:val="auto"/>
          <w:kern w:val="2"/>
          <w:sz w:val="44"/>
          <w:szCs w:val="44"/>
          <w:highlight w:val="none"/>
          <w:lang w:val="en-US" w:eastAsia="zh-CN" w:bidi="ar-SA"/>
        </w:rPr>
      </w:pPr>
      <w:r>
        <w:rPr>
          <w:rFonts w:hint="eastAsia" w:ascii="Times New Roman" w:hAnsi="Times New Roman" w:eastAsia="方正小标宋简体" w:cs="Times New Roman"/>
          <w:b w:val="0"/>
          <w:i w:val="0"/>
          <w:caps w:val="0"/>
          <w:smallCaps w:val="0"/>
          <w:strike w:val="0"/>
          <w:dstrike w:val="0"/>
          <w:vanish w:val="0"/>
          <w:color w:val="auto"/>
          <w:kern w:val="2"/>
          <w:sz w:val="44"/>
          <w:szCs w:val="44"/>
          <w:highlight w:val="none"/>
          <w:lang w:val="en-US" w:eastAsia="zh-CN" w:bidi="ar-SA"/>
        </w:rPr>
        <w:t>(部门公开范本)</w:t>
      </w:r>
    </w:p>
    <w:p w14:paraId="74D8BD21">
      <w:pPr>
        <w:widowControl/>
        <w:jc w:val="center"/>
        <w:rPr>
          <w:rFonts w:hint="eastAsia" w:ascii="Times New Roman" w:hAnsi="Times New Roman" w:eastAsia="黑体"/>
          <w:color w:val="auto"/>
          <w:sz w:val="48"/>
          <w:szCs w:val="48"/>
          <w:highlight w:val="none"/>
        </w:rPr>
      </w:pPr>
    </w:p>
    <w:p w14:paraId="7AA1BF54">
      <w:pPr>
        <w:widowControl/>
        <w:jc w:val="center"/>
        <w:rPr>
          <w:rFonts w:hint="eastAsia" w:ascii="Times New Roman" w:hAnsi="Times New Roman" w:eastAsia="黑体"/>
          <w:color w:val="auto"/>
          <w:sz w:val="48"/>
          <w:szCs w:val="48"/>
          <w:highlight w:val="none"/>
        </w:rPr>
      </w:pPr>
    </w:p>
    <w:p w14:paraId="10D41BEF">
      <w:pPr>
        <w:widowControl/>
        <w:jc w:val="center"/>
        <w:rPr>
          <w:rFonts w:hint="eastAsia" w:ascii="Times New Roman" w:hAnsi="Times New Roman" w:eastAsia="黑体"/>
          <w:color w:val="auto"/>
          <w:sz w:val="48"/>
          <w:szCs w:val="48"/>
          <w:highlight w:val="none"/>
        </w:rPr>
      </w:pPr>
    </w:p>
    <w:p w14:paraId="749F6FF7">
      <w:pPr>
        <w:widowControl/>
        <w:jc w:val="center"/>
        <w:rPr>
          <w:rFonts w:hint="eastAsia" w:ascii="Times New Roman" w:hAnsi="Times New Roman" w:eastAsia="黑体"/>
          <w:color w:val="auto"/>
          <w:sz w:val="48"/>
          <w:szCs w:val="48"/>
          <w:highlight w:val="none"/>
        </w:rPr>
      </w:pPr>
    </w:p>
    <w:p w14:paraId="33E241DC">
      <w:pPr>
        <w:widowControl/>
        <w:jc w:val="center"/>
        <w:rPr>
          <w:rFonts w:hint="eastAsia" w:ascii="Times New Roman" w:hAnsi="Times New Roman" w:eastAsia="黑体"/>
          <w:color w:val="auto"/>
          <w:sz w:val="48"/>
          <w:szCs w:val="48"/>
          <w:highlight w:val="none"/>
        </w:rPr>
      </w:pPr>
    </w:p>
    <w:p w14:paraId="4137A849">
      <w:pPr>
        <w:widowControl/>
        <w:jc w:val="center"/>
        <w:rPr>
          <w:rFonts w:hint="eastAsia" w:ascii="Times New Roman" w:hAnsi="Times New Roman" w:eastAsia="黑体"/>
          <w:color w:val="auto"/>
          <w:sz w:val="48"/>
          <w:szCs w:val="48"/>
          <w:highlight w:val="none"/>
        </w:rPr>
      </w:pPr>
    </w:p>
    <w:p w14:paraId="6F3BC813">
      <w:pPr>
        <w:widowControl/>
        <w:jc w:val="center"/>
        <w:rPr>
          <w:rFonts w:hint="eastAsia" w:ascii="Times New Roman" w:hAnsi="Times New Roman" w:eastAsia="黑体"/>
          <w:color w:val="auto"/>
          <w:sz w:val="48"/>
          <w:szCs w:val="48"/>
          <w:highlight w:val="none"/>
        </w:rPr>
      </w:pPr>
    </w:p>
    <w:p w14:paraId="6DF915A7">
      <w:pPr>
        <w:widowControl/>
        <w:jc w:val="center"/>
        <w:rPr>
          <w:rFonts w:hint="eastAsia" w:ascii="Times New Roman" w:hAnsi="Times New Roman" w:eastAsia="黑体"/>
          <w:color w:val="auto"/>
          <w:sz w:val="48"/>
          <w:szCs w:val="48"/>
          <w:highlight w:val="none"/>
        </w:rPr>
      </w:pPr>
    </w:p>
    <w:p w14:paraId="6A9F8730">
      <w:pPr>
        <w:widowControl/>
        <w:jc w:val="center"/>
        <w:rPr>
          <w:rFonts w:hint="eastAsia" w:ascii="Times New Roman" w:hAnsi="Times New Roman" w:eastAsia="黑体"/>
          <w:color w:val="auto"/>
          <w:sz w:val="48"/>
          <w:szCs w:val="48"/>
          <w:highlight w:val="none"/>
        </w:rPr>
      </w:pPr>
    </w:p>
    <w:p w14:paraId="27F3B8CC">
      <w:pPr>
        <w:widowControl/>
        <w:jc w:val="center"/>
        <w:rPr>
          <w:rFonts w:hint="eastAsia" w:ascii="Times New Roman" w:hAnsi="Times New Roman" w:eastAsia="黑体"/>
          <w:color w:val="auto"/>
          <w:sz w:val="48"/>
          <w:szCs w:val="48"/>
          <w:highlight w:val="none"/>
        </w:rPr>
      </w:pPr>
    </w:p>
    <w:p w14:paraId="448466E0">
      <w:pPr>
        <w:widowControl/>
        <w:jc w:val="center"/>
        <w:rPr>
          <w:rFonts w:hint="eastAsia" w:ascii="Times New Roman" w:hAnsi="Times New Roman" w:eastAsia="黑体"/>
          <w:color w:val="auto"/>
          <w:sz w:val="48"/>
          <w:szCs w:val="48"/>
          <w:highlight w:val="none"/>
        </w:rPr>
      </w:pPr>
    </w:p>
    <w:p w14:paraId="4BB6D1BE">
      <w:pPr>
        <w:widowControl/>
        <w:jc w:val="center"/>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14:paraId="4D32F156">
      <w:pPr>
        <w:widowControl/>
        <w:jc w:val="center"/>
        <w:rPr>
          <w:rFonts w:ascii="Times New Roman" w:hAnsi="Times New Roman" w:eastAsia="黑体" w:cs="Arial"/>
          <w:color w:val="auto"/>
          <w:sz w:val="28"/>
          <w:szCs w:val="28"/>
          <w:highlight w:val="none"/>
        </w:rPr>
      </w:pPr>
    </w:p>
    <w:p w14:paraId="7743C82E">
      <w:pPr>
        <w:pStyle w:val="13"/>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26</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10</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14</w:t>
      </w:r>
      <w:r>
        <w:rPr>
          <w:rFonts w:hint="eastAsia" w:ascii="Times New Roman" w:hAnsi="Times New Roman" w:eastAsia="仿宋_GB2312" w:cs="仿宋_GB2312"/>
          <w:color w:val="auto"/>
          <w:sz w:val="32"/>
          <w:szCs w:val="32"/>
          <w:highlight w:val="none"/>
        </w:rPr>
        <w:t>日</w:t>
      </w:r>
    </w:p>
    <w:p w14:paraId="476CBCCF">
      <w:pPr>
        <w:rPr>
          <w:rFonts w:ascii="Times New Roman" w:hAnsi="Times New Roman"/>
          <w:color w:val="auto"/>
          <w:highlight w:val="none"/>
        </w:rPr>
      </w:pPr>
    </w:p>
    <w:p w14:paraId="75A33665">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第一部分 部门概况</w:t>
      </w:r>
    </w:p>
    <w:p w14:paraId="32A1E33F">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w:t>
      </w:r>
      <w:r>
        <w:rPr>
          <w:rFonts w:hint="eastAsia" w:ascii="Times New Roman" w:hAnsi="Times New Roman" w:eastAsia="仿宋_GB2312" w:cs="仿宋_GB2312"/>
          <w:color w:val="auto"/>
          <w:sz w:val="32"/>
          <w:szCs w:val="32"/>
          <w:highlight w:val="none"/>
          <w:lang w:eastAsia="zh-CN"/>
        </w:rPr>
        <w:t>部门职责</w:t>
      </w:r>
    </w:p>
    <w:p w14:paraId="731301AA">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二、机构设置</w:t>
      </w:r>
    </w:p>
    <w:p w14:paraId="2CA5D472">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第二部分</w:t>
      </w:r>
      <w:r>
        <w:rPr>
          <w:rFonts w:hint="eastAsia" w:ascii="Times New Roman" w:hAnsi="Times New Roman" w:eastAsia="黑体" w:cs="黑体"/>
          <w:color w:val="auto"/>
          <w:sz w:val="32"/>
          <w:szCs w:val="32"/>
          <w:highlight w:val="none"/>
          <w:lang w:val="en-US" w:eastAsia="zh-CN"/>
        </w:rPr>
        <w:t xml:space="preserve"> 2025年度</w:t>
      </w:r>
      <w:r>
        <w:rPr>
          <w:rFonts w:hint="eastAsia" w:ascii="Times New Roman" w:hAnsi="Times New Roman" w:eastAsia="黑体" w:cs="黑体"/>
          <w:color w:val="auto"/>
          <w:sz w:val="32"/>
          <w:szCs w:val="32"/>
          <w:highlight w:val="none"/>
        </w:rPr>
        <w:t>部门决算情况说明</w:t>
      </w:r>
    </w:p>
    <w:p w14:paraId="228C4DD3">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一、收入支出决算总体情况说明</w:t>
      </w:r>
    </w:p>
    <w:p w14:paraId="15C397AF">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二、收入决算情况说明</w:t>
      </w:r>
    </w:p>
    <w:p w14:paraId="3483FF40">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三、支出决算情况说明</w:t>
      </w:r>
    </w:p>
    <w:p w14:paraId="06315611">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四、财政拨款收入支出决算总体情况说明</w:t>
      </w:r>
    </w:p>
    <w:p w14:paraId="26D7446C">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五、一般公共预算财政拨款支出决算情况说明</w:t>
      </w:r>
    </w:p>
    <w:p w14:paraId="6F2B9A2B">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六、一般公共预算财政拨款基本支出决算情况说明</w:t>
      </w:r>
    </w:p>
    <w:p w14:paraId="6F00297D">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七、财政拨款</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color w:val="auto"/>
          <w:sz w:val="32"/>
          <w:szCs w:val="32"/>
          <w:highlight w:val="none"/>
        </w:rPr>
        <w:t>三公”经费支出决算情况说明</w:t>
      </w:r>
    </w:p>
    <w:p w14:paraId="4955833A">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八、政府性基金预算支出决算情况说明</w:t>
      </w:r>
    </w:p>
    <w:p w14:paraId="0D78D420">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w:t>
      </w:r>
      <w:r>
        <w:rPr>
          <w:rFonts w:hint="eastAsia" w:ascii="Times New Roman" w:hAnsi="Times New Roman" w:eastAsia="仿宋_GB2312" w:cs="仿宋_GB2312"/>
          <w:color w:val="auto"/>
          <w:sz w:val="32"/>
          <w:szCs w:val="32"/>
          <w:highlight w:val="none"/>
          <w:lang w:eastAsia="zh-CN"/>
        </w:rPr>
        <w:t>国</w:t>
      </w:r>
      <w:r>
        <w:rPr>
          <w:rFonts w:hint="eastAsia" w:ascii="Times New Roman" w:hAnsi="Times New Roman" w:eastAsia="仿宋_GB2312" w:cs="仿宋_GB2312"/>
          <w:color w:val="auto"/>
          <w:sz w:val="32"/>
          <w:szCs w:val="32"/>
          <w:highlight w:val="none"/>
        </w:rPr>
        <w:t>有资本经营预算支出决算情况说明</w:t>
      </w:r>
    </w:p>
    <w:p w14:paraId="42F01AD2">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eastAsia="zh-CN"/>
        </w:rPr>
        <w:t>十</w:t>
      </w:r>
      <w:r>
        <w:rPr>
          <w:rFonts w:hint="eastAsia" w:ascii="Times New Roman" w:hAnsi="Times New Roman" w:eastAsia="仿宋_GB2312" w:cs="仿宋_GB2312"/>
          <w:color w:val="auto"/>
          <w:sz w:val="32"/>
          <w:szCs w:val="32"/>
          <w:highlight w:val="none"/>
        </w:rPr>
        <w:t>、其他重要事项的情况说明</w:t>
      </w:r>
    </w:p>
    <w:p w14:paraId="41F42E23">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第三部分 名词解释</w:t>
      </w:r>
    </w:p>
    <w:p w14:paraId="135D7404">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第四部分 附件</w:t>
      </w:r>
    </w:p>
    <w:p w14:paraId="207D9537">
      <w:pPr>
        <w:pStyle w:val="13"/>
        <w:keepNext w:val="0"/>
        <w:keepLines w:val="0"/>
        <w:pageBreakBefore w:val="0"/>
        <w:kinsoku/>
        <w:wordWrap/>
        <w:overflowPunct/>
        <w:topLinePunct w:val="0"/>
        <w:autoSpaceDE/>
        <w:autoSpaceDN/>
        <w:bidi w:val="0"/>
        <w:adjustRightInd w:val="0"/>
        <w:snapToGrid w:val="0"/>
        <w:spacing w:before="0" w:line="560" w:lineRule="exact"/>
        <w:jc w:val="left"/>
        <w:textAlignment w:val="auto"/>
        <w:rPr>
          <w:rFonts w:hint="eastAsia" w:ascii="Times New Roman" w:hAnsi="Times New Roman" w:eastAsia="黑体" w:cs="黑体"/>
          <w:color w:val="auto"/>
          <w:sz w:val="32"/>
          <w:szCs w:val="32"/>
          <w:highlight w:val="none"/>
        </w:rPr>
      </w:pPr>
      <w:r>
        <w:rPr>
          <w:rFonts w:hint="eastAsia" w:ascii="Times New Roman" w:hAnsi="Times New Roman" w:eastAsia="黑体" w:cs="黑体"/>
          <w:color w:val="auto"/>
          <w:sz w:val="32"/>
          <w:szCs w:val="32"/>
          <w:highlight w:val="none"/>
        </w:rPr>
        <w:t>第五部分 附表</w:t>
      </w:r>
    </w:p>
    <w:p w14:paraId="184FF785">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p>
    <w:p w14:paraId="2566E2B1">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二、收入决算表</w:t>
      </w:r>
    </w:p>
    <w:p w14:paraId="4E646F55">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三、支出决算表</w:t>
      </w:r>
    </w:p>
    <w:p w14:paraId="5809D42B">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四、财政拨款收入支出决算总表</w:t>
      </w:r>
    </w:p>
    <w:p w14:paraId="279CB53B">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五、财政拨款支出决算明细表</w:t>
      </w:r>
    </w:p>
    <w:p w14:paraId="6EBF7763">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p>
    <w:p w14:paraId="1451F24D">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七、一般公共预算财政拨款支出决算明细表</w:t>
      </w:r>
    </w:p>
    <w:p w14:paraId="6CA00F96">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八、一般公共预算财政拨款基本支出决算</w:t>
      </w:r>
      <w:r>
        <w:rPr>
          <w:rFonts w:hint="eastAsia" w:ascii="Times New Roman" w:hAnsi="Times New Roman" w:eastAsia="仿宋_GB2312" w:cs="仿宋_GB2312"/>
          <w:color w:val="auto"/>
          <w:sz w:val="32"/>
          <w:szCs w:val="32"/>
          <w:highlight w:val="none"/>
          <w:lang w:eastAsia="zh-CN"/>
        </w:rPr>
        <w:t>明细</w:t>
      </w:r>
      <w:r>
        <w:rPr>
          <w:rFonts w:hint="eastAsia" w:ascii="Times New Roman" w:hAnsi="Times New Roman" w:eastAsia="仿宋_GB2312" w:cs="仿宋_GB2312"/>
          <w:color w:val="auto"/>
          <w:sz w:val="32"/>
          <w:szCs w:val="32"/>
          <w:highlight w:val="none"/>
        </w:rPr>
        <w:t>表</w:t>
      </w:r>
    </w:p>
    <w:p w14:paraId="44FF2658">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九、一般公共预算财政拨款项目支出决算表</w:t>
      </w:r>
    </w:p>
    <w:p w14:paraId="088A0102">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十、政府性基金预算财政拨款收入支出决算表</w:t>
      </w:r>
    </w:p>
    <w:p w14:paraId="68B4C88B">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十一、国有资本经营预算财政拨款收入支出决算表</w:t>
      </w:r>
    </w:p>
    <w:p w14:paraId="63EA977A">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十二、</w:t>
      </w:r>
      <w:r>
        <w:rPr>
          <w:rFonts w:hint="eastAsia" w:ascii="Times New Roman" w:hAnsi="Times New Roman" w:eastAsia="仿宋_GB2312" w:cs="仿宋_GB2312"/>
          <w:color w:val="auto"/>
          <w:sz w:val="32"/>
          <w:szCs w:val="32"/>
          <w:highlight w:val="none"/>
          <w:lang w:val="en-US" w:eastAsia="zh-CN"/>
        </w:rPr>
        <w:t>国有资本经营预算财政拨款支出决算表</w:t>
      </w:r>
    </w:p>
    <w:p w14:paraId="3B119A63">
      <w:pPr>
        <w:pStyle w:val="14"/>
        <w:keepNext w:val="0"/>
        <w:keepLines w:val="0"/>
        <w:pageBreakBefore w:val="0"/>
        <w:widowControl w:val="0"/>
        <w:kinsoku/>
        <w:wordWrap/>
        <w:overflowPunct/>
        <w:topLinePunct w:val="0"/>
        <w:autoSpaceDE/>
        <w:autoSpaceDN/>
        <w:bidi w:val="0"/>
        <w:adjustRightInd w:val="0"/>
        <w:snapToGrid w:val="0"/>
        <w:spacing w:line="560" w:lineRule="exact"/>
        <w:ind w:left="0" w:leftChars="0" w:firstLine="640" w:firstLineChars="200"/>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十三、财政拨款“三公”经费支出决算表</w:t>
      </w:r>
    </w:p>
    <w:p w14:paraId="58BC4F92">
      <w:pPr>
        <w:keepNext w:val="0"/>
        <w:keepLines w:val="0"/>
        <w:pageBreakBefore w:val="0"/>
        <w:widowControl/>
        <w:kinsoku/>
        <w:wordWrap/>
        <w:overflowPunct/>
        <w:topLinePunct w:val="0"/>
        <w:autoSpaceDE/>
        <w:autoSpaceDN/>
        <w:bidi w:val="0"/>
        <w:spacing w:line="560" w:lineRule="exact"/>
        <w:jc w:val="left"/>
        <w:textAlignment w:val="auto"/>
        <w:rPr>
          <w:rFonts w:hint="eastAsia" w:ascii="Times New Roman" w:hAnsi="Times New Roman" w:eastAsia="仿宋_GB2312" w:cs="仿宋_GB2312"/>
          <w:bCs/>
          <w:color w:val="auto"/>
          <w:kern w:val="44"/>
          <w:sz w:val="32"/>
          <w:szCs w:val="32"/>
          <w:highlight w:val="none"/>
        </w:rPr>
      </w:pPr>
      <w:bookmarkStart w:id="11" w:name="_Toc15377196"/>
      <w:bookmarkStart w:id="12" w:name="_Toc15396599"/>
      <w:r>
        <w:rPr>
          <w:rFonts w:hint="eastAsia" w:ascii="Times New Roman" w:hAnsi="Times New Roman" w:eastAsia="仿宋_GB2312" w:cs="仿宋_GB2312"/>
          <w:b/>
          <w:color w:val="auto"/>
          <w:sz w:val="32"/>
          <w:szCs w:val="32"/>
          <w:highlight w:val="none"/>
        </w:rPr>
        <w:br w:type="page"/>
      </w:r>
    </w:p>
    <w:p w14:paraId="6601C4F8">
      <w:pPr>
        <w:pStyle w:val="5"/>
        <w:jc w:val="center"/>
        <w:rPr>
          <w:rStyle w:val="20"/>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20"/>
          <w:rFonts w:hint="eastAsia" w:ascii="Times New Roman" w:hAnsi="Times New Roman" w:eastAsia="方正小标宋简体" w:cs="方正小标宋简体"/>
          <w:b w:val="0"/>
          <w:bCs w:val="0"/>
          <w:color w:val="auto"/>
          <w:highlight w:val="none"/>
        </w:rPr>
        <w:t>部门概况</w:t>
      </w:r>
      <w:bookmarkEnd w:id="11"/>
      <w:bookmarkEnd w:id="12"/>
    </w:p>
    <w:p w14:paraId="659B8796">
      <w:pPr>
        <w:widowControl/>
        <w:jc w:val="left"/>
        <w:rPr>
          <w:rFonts w:ascii="Times New Roman" w:hAnsi="Times New Roman" w:eastAsia="黑体"/>
          <w:color w:val="auto"/>
          <w:sz w:val="32"/>
          <w:szCs w:val="32"/>
          <w:highlight w:val="none"/>
        </w:rPr>
      </w:pPr>
    </w:p>
    <w:p w14:paraId="1258F9E6">
      <w:pPr>
        <w:pStyle w:val="6"/>
        <w:numPr>
          <w:ilvl w:val="0"/>
          <w:numId w:val="1"/>
        </w:numPr>
        <w:rPr>
          <w:rFonts w:ascii="Times New Roman" w:hAnsi="Times New Roman" w:eastAsia="黑体"/>
          <w:b w:val="0"/>
          <w:color w:val="auto"/>
          <w:highlight w:val="none"/>
          <w:lang w:eastAsia="zh-CN"/>
        </w:rPr>
      </w:pPr>
      <w:bookmarkStart w:id="13" w:name="_Toc15396600"/>
      <w:bookmarkEnd w:id="13"/>
      <w:bookmarkStart w:id="14" w:name="_Toc15377197"/>
      <w:bookmarkEnd w:id="14"/>
      <w:r>
        <w:rPr>
          <w:rFonts w:hint="eastAsia" w:ascii="Times New Roman" w:hAnsi="Times New Roman" w:eastAsia="黑体"/>
          <w:b w:val="0"/>
          <w:color w:val="auto"/>
          <w:highlight w:val="none"/>
          <w:lang w:eastAsia="zh-CN"/>
        </w:rPr>
        <w:t>部门职责</w:t>
      </w:r>
    </w:p>
    <w:p w14:paraId="308EBE9D">
      <w:pPr>
        <w:pStyle w:val="32"/>
        <w:spacing w:before="0" w:beforeAutospacing="0" w:line="560" w:lineRule="exact"/>
        <w:ind w:left="0"/>
        <w:rPr>
          <w:rFonts w:hint="eastAsia" w:ascii="Times New Roman" w:hAnsi="Times New Roman" w:eastAsia="仿宋_GB2312" w:cs="仿宋_GB2312"/>
          <w:b w:val="0"/>
          <w:i w:val="0"/>
          <w:caps w:val="0"/>
          <w:smallCaps w:val="0"/>
          <w:strike w:val="0"/>
          <w:dstrike w:val="0"/>
          <w:snapToGrid/>
          <w:vanish w:val="0"/>
          <w:color w:val="auto"/>
          <w:spacing w:val="0"/>
          <w:w w:val="100"/>
          <w:kern w:val="2"/>
          <w:position w:val="0"/>
          <w:sz w:val="32"/>
          <w:szCs w:val="32"/>
          <w:highlight w:val="none"/>
          <w:u w:val="none"/>
          <w:shd w:val="clear" w:color="auto" w:fill="auto"/>
          <w:vertAlign w:val="baseline"/>
          <w:lang w:val="en-US" w:eastAsia="zh-CN" w:bidi="ar-SA"/>
        </w:rPr>
      </w:pPr>
      <w:bookmarkStart w:id="15" w:name="_Toc15396601"/>
      <w:bookmarkStart w:id="16" w:name="_Toc15377200"/>
      <w:r>
        <w:rPr>
          <w:rFonts w:hint="eastAsia" w:ascii="Times New Roman" w:hAnsi="Times New Roman" w:eastAsia="仿宋_GB2312" w:cs="仿宋_GB2312"/>
          <w:b w:val="0"/>
          <w:i w:val="0"/>
          <w:caps w:val="0"/>
          <w:smallCaps w:val="0"/>
          <w:strike w:val="0"/>
          <w:dstrike w:val="0"/>
          <w:snapToGrid/>
          <w:vanish w:val="0"/>
          <w:color w:val="auto"/>
          <w:spacing w:val="0"/>
          <w:w w:val="100"/>
          <w:kern w:val="2"/>
          <w:position w:val="0"/>
          <w:sz w:val="32"/>
          <w:szCs w:val="32"/>
          <w:highlight w:val="none"/>
          <w:u w:val="none"/>
          <w:shd w:val="clear" w:color="auto" w:fill="auto"/>
          <w:vertAlign w:val="baseline"/>
          <w:lang w:val="en-US" w:eastAsia="zh-CN" w:bidi="ar-SA"/>
        </w:rPr>
        <w:t>（一）主要职能。当好党和政府发展科技事业的助手，进一步搞好科技工作者服务工作；加强科技普及工作；为提高全面科技文化素质服务，为社会主义精神文明建设服务，进一步做好基层组织、下级组织的服务工作，实行群众办公、民主办公、加强科学协会自身体制作风改革；加强农村科普网络的建立，搞好协会的协调管理工作。（职能参照州政府批准的三定方案）</w:t>
      </w:r>
    </w:p>
    <w:p w14:paraId="1D36FBB7">
      <w:pPr>
        <w:keepNext w:val="0"/>
        <w:keepLines w:val="0"/>
        <w:pageBreakBefore w:val="0"/>
        <w:widowControl/>
        <w:suppressLineNumbers w:val="0"/>
        <w:suppressAutoHyphens w:val="0"/>
        <w:kinsoku/>
        <w:wordWrap/>
        <w:overflowPunct/>
        <w:topLinePunct w:val="0"/>
        <w:autoSpaceDE/>
        <w:autoSpaceDN/>
        <w:spacing w:line="560" w:lineRule="exact"/>
        <w:textAlignment w:val="center"/>
        <w:rPr>
          <w:rFonts w:hint="eastAsia" w:ascii="Times New Roman" w:hAnsi="Times New Roman" w:eastAsia="仿宋_GB2312" w:cs="仿宋_GB2312"/>
          <w:b w:val="0"/>
          <w:i w:val="0"/>
          <w:caps w:val="0"/>
          <w:smallCaps w:val="0"/>
          <w:strike w:val="0"/>
          <w:dstrike w:val="0"/>
          <w:snapToGrid/>
          <w:vanish w:val="0"/>
          <w:color w:val="auto"/>
          <w:spacing w:val="0"/>
          <w:w w:val="100"/>
          <w:kern w:val="2"/>
          <w:position w:val="0"/>
          <w:sz w:val="32"/>
          <w:szCs w:val="32"/>
          <w:highlight w:val="none"/>
          <w:u w:val="none"/>
          <w:shd w:val="clear" w:color="auto" w:fill="auto"/>
          <w:vertAlign w:val="baseline"/>
          <w:lang w:val="en-US" w:eastAsia="zh-CN" w:bidi="ar-SA"/>
        </w:rPr>
      </w:pPr>
      <w:r>
        <w:rPr>
          <w:rFonts w:hint="eastAsia" w:ascii="Times New Roman" w:hAnsi="Times New Roman" w:eastAsia="仿宋_GB2312" w:cs="仿宋_GB2312"/>
          <w:b w:val="0"/>
          <w:i w:val="0"/>
          <w:caps w:val="0"/>
          <w:smallCaps w:val="0"/>
          <w:strike w:val="0"/>
          <w:dstrike w:val="0"/>
          <w:snapToGrid/>
          <w:vanish w:val="0"/>
          <w:color w:val="auto"/>
          <w:spacing w:val="0"/>
          <w:w w:val="100"/>
          <w:kern w:val="2"/>
          <w:position w:val="0"/>
          <w:sz w:val="32"/>
          <w:szCs w:val="32"/>
          <w:highlight w:val="none"/>
          <w:u w:val="none"/>
          <w:shd w:val="clear" w:color="auto" w:fill="auto"/>
          <w:vertAlign w:val="baseline"/>
          <w:lang w:val="en-US" w:eastAsia="zh-CN" w:bidi="ar-SA"/>
        </w:rPr>
        <w:t>（二）202</w:t>
      </w:r>
      <w:r>
        <w:rPr>
          <w:rFonts w:hint="eastAsia" w:eastAsia="仿宋_GB2312" w:cs="仿宋_GB2312"/>
          <w:b w:val="0"/>
          <w:i w:val="0"/>
          <w:caps w:val="0"/>
          <w:smallCaps w:val="0"/>
          <w:strike w:val="0"/>
          <w:dstrike w:val="0"/>
          <w:snapToGrid/>
          <w:vanish w:val="0"/>
          <w:color w:val="auto"/>
          <w:spacing w:val="0"/>
          <w:w w:val="100"/>
          <w:kern w:val="2"/>
          <w:position w:val="0"/>
          <w:sz w:val="32"/>
          <w:szCs w:val="32"/>
          <w:highlight w:val="none"/>
          <w:u w:val="none"/>
          <w:shd w:val="clear" w:color="auto" w:fill="auto"/>
          <w:vertAlign w:val="baseline"/>
          <w:lang w:val="en-US" w:eastAsia="zh-CN" w:bidi="ar-SA"/>
        </w:rPr>
        <w:t>5</w:t>
      </w:r>
      <w:r>
        <w:rPr>
          <w:rFonts w:hint="eastAsia" w:ascii="Times New Roman" w:hAnsi="Times New Roman" w:eastAsia="仿宋_GB2312" w:cs="仿宋_GB2312"/>
          <w:b w:val="0"/>
          <w:i w:val="0"/>
          <w:caps w:val="0"/>
          <w:smallCaps w:val="0"/>
          <w:strike w:val="0"/>
          <w:dstrike w:val="0"/>
          <w:snapToGrid/>
          <w:vanish w:val="0"/>
          <w:color w:val="auto"/>
          <w:spacing w:val="0"/>
          <w:w w:val="100"/>
          <w:kern w:val="2"/>
          <w:position w:val="0"/>
          <w:sz w:val="32"/>
          <w:szCs w:val="32"/>
          <w:highlight w:val="none"/>
          <w:u w:val="none"/>
          <w:shd w:val="clear" w:color="auto" w:fill="auto"/>
          <w:vertAlign w:val="baseline"/>
          <w:lang w:val="en-US" w:eastAsia="zh-CN" w:bidi="ar-SA"/>
        </w:rPr>
        <w:t>年重点工作完成情况。</w:t>
      </w:r>
    </w:p>
    <w:p w14:paraId="29CAF2E3">
      <w:pPr>
        <w:keepNext w:val="0"/>
        <w:keepLines w:val="0"/>
        <w:pageBreakBefore w:val="0"/>
        <w:widowControl w:val="0"/>
        <w:pBdr>
          <w:bottom w:val="single" w:color="FFFFFF" w:sz="4" w:space="31"/>
        </w:pBdr>
        <w:kinsoku/>
        <w:wordWrap/>
        <w:overflowPunct/>
        <w:topLinePunct w:val="0"/>
        <w:autoSpaceDE w:val="0"/>
        <w:autoSpaceDN/>
        <w:bidi w:val="0"/>
        <w:adjustRightInd/>
        <w:snapToGrid w:val="0"/>
        <w:spacing w:beforeAutospacing="0" w:afterAutospacing="0" w:line="576" w:lineRule="exact"/>
        <w:ind w:firstLine="640" w:firstLineChars="200"/>
        <w:textAlignment w:val="auto"/>
        <w:outlineLvl w:val="9"/>
        <w:rPr>
          <w:rFonts w:hint="eastAsia" w:ascii="仿宋_GB2312" w:hAnsi="仿宋_GB2312" w:eastAsia="仿宋_GB2312" w:cs="仿宋_GB2312"/>
          <w:b w:val="0"/>
          <w:color w:val="000000"/>
          <w:spacing w:val="0"/>
          <w:sz w:val="32"/>
          <w:szCs w:val="32"/>
          <w:shd w:val="clear" w:color="auto" w:fill="FFFFFF"/>
          <w:lang w:val="en-US" w:eastAsia="zh-CN" w:bidi="ar-SA"/>
        </w:rPr>
      </w:pPr>
      <w:r>
        <w:rPr>
          <w:rFonts w:hint="eastAsia" w:ascii="仿宋_GB2312" w:hAnsi="仿宋_GB2312" w:eastAsia="仿宋_GB2312" w:cs="仿宋_GB2312"/>
          <w:b w:val="0"/>
          <w:color w:val="000000"/>
          <w:spacing w:val="0"/>
          <w:sz w:val="32"/>
          <w:szCs w:val="32"/>
          <w:shd w:val="clear" w:color="auto" w:fill="FFFFFF"/>
          <w:lang w:val="en-US" w:eastAsia="zh-CN" w:bidi="ar-SA"/>
        </w:rPr>
        <w:t>组织开展系列科普活动，不断提升全民科学素质1.2025年，县科协按照上级部门要求，积极组织县级部门围绕卫生健康、食品安全、防震减灾等热点开展了科普宣传8场次，通过活动的开展向农牧民群众宣传普及科学知识，积极宣传引导群众“上天府科技云、向科学要答案，”有效传播科学思想、弘扬科学精神，提升全民科学素质。活动共发放各类宣传资料2500余份，发放科普小礼品（围裙、台历、雨伞、手提袋）800余份，科普咨询20余人，受益群众达3000余人。</w:t>
      </w:r>
    </w:p>
    <w:p w14:paraId="0D48DF55">
      <w:pPr>
        <w:keepNext w:val="0"/>
        <w:keepLines w:val="0"/>
        <w:pageBreakBefore w:val="0"/>
        <w:widowControl w:val="0"/>
        <w:pBdr>
          <w:bottom w:val="single" w:color="FFFFFF" w:sz="4" w:space="31"/>
        </w:pBdr>
        <w:kinsoku/>
        <w:wordWrap/>
        <w:overflowPunct/>
        <w:topLinePunct w:val="0"/>
        <w:autoSpaceDE w:val="0"/>
        <w:autoSpaceDN/>
        <w:bidi w:val="0"/>
        <w:adjustRightInd/>
        <w:snapToGrid w:val="0"/>
        <w:spacing w:beforeAutospacing="0" w:afterAutospacing="0" w:line="576" w:lineRule="exact"/>
        <w:ind w:firstLine="640" w:firstLineChars="200"/>
        <w:textAlignment w:val="auto"/>
        <w:outlineLvl w:val="9"/>
        <w:rPr>
          <w:rFonts w:hint="eastAsia" w:ascii="仿宋_GB2312" w:hAnsi="仿宋_GB2312" w:eastAsia="仿宋_GB2312" w:cs="仿宋_GB2312"/>
          <w:b w:val="0"/>
          <w:color w:val="000000"/>
          <w:spacing w:val="0"/>
          <w:sz w:val="32"/>
          <w:szCs w:val="32"/>
          <w:shd w:val="clear" w:color="auto" w:fill="FFFFFF"/>
          <w:lang w:val="en-US" w:eastAsia="zh-CN" w:bidi="ar-SA"/>
        </w:rPr>
      </w:pPr>
      <w:r>
        <w:rPr>
          <w:rFonts w:hint="eastAsia" w:ascii="仿宋_GB2312" w:hAnsi="仿宋_GB2312" w:eastAsia="仿宋_GB2312" w:cs="仿宋_GB2312"/>
          <w:b w:val="0"/>
          <w:color w:val="000000"/>
          <w:spacing w:val="0"/>
          <w:sz w:val="32"/>
          <w:szCs w:val="32"/>
          <w:shd w:val="clear" w:color="auto" w:fill="FFFFFF"/>
          <w:lang w:val="en-US" w:eastAsia="zh-CN" w:bidi="ar-SA"/>
        </w:rPr>
        <w:t>科技赋能乡村振兴，助力牦牛产业发展。1.由四川省科协委托省农村专业技术协会组建的专家组，专程赴红原县开展“科技赋能乡村振兴”系列服务活动。专家组先后走进雅克牦牛标准化养殖基地、下哈拉玛村牦牛标准化养殖基地及养殖大户索朗达基家庭牧场，为农牧民传授秋冬牦牛常见病防治、饲养管理、合理用药及寄生虫防控等关键技术，解决了养殖户在实际养殖过程中遇到的难题。在龙日镇举办的“红原县科技赋能乡村振兴服务专项推进会暨牦牛养殖实用技术培训会”上，40余名养殖大户、合作社技术骨干参加培训。四川农业大学王娅教授结合典型病例图片和临床案例，讲解了牦牛腹泻、腹胀、寄生虫等高发疾病的感染途径、危害程度、识别特征、防控流程及治疗方案。2.10月14日至15日，四川农业大学、四川昭化肉牛羊科技小院驻站专家舒刚副教授、张伟讲师一行赴红原县牦牛养殖基地、交易市场、屠宰企业、肉和奶加工企业等进行调研，把脉红原牦牛产业发展，现场进行指导并提出发展建议。</w:t>
      </w:r>
    </w:p>
    <w:p w14:paraId="514ACC6D">
      <w:pPr>
        <w:keepNext w:val="0"/>
        <w:keepLines w:val="0"/>
        <w:pageBreakBefore w:val="0"/>
        <w:widowControl w:val="0"/>
        <w:pBdr>
          <w:bottom w:val="single" w:color="FFFFFF" w:sz="4" w:space="31"/>
        </w:pBdr>
        <w:kinsoku/>
        <w:wordWrap/>
        <w:overflowPunct/>
        <w:topLinePunct w:val="0"/>
        <w:autoSpaceDE w:val="0"/>
        <w:autoSpaceDN/>
        <w:bidi w:val="0"/>
        <w:adjustRightInd/>
        <w:snapToGrid w:val="0"/>
        <w:spacing w:beforeAutospacing="0" w:afterAutospacing="0" w:line="576" w:lineRule="exact"/>
        <w:ind w:firstLine="640" w:firstLineChars="200"/>
        <w:textAlignment w:val="auto"/>
        <w:outlineLvl w:val="9"/>
        <w:rPr>
          <w:rFonts w:hint="eastAsia" w:ascii="仿宋_GB2312" w:hAnsi="仿宋_GB2312" w:eastAsia="仿宋_GB2312" w:cs="仿宋_GB2312"/>
          <w:b w:val="0"/>
          <w:color w:val="000000"/>
          <w:spacing w:val="0"/>
          <w:sz w:val="32"/>
          <w:szCs w:val="32"/>
          <w:shd w:val="clear" w:color="auto" w:fill="FFFFFF"/>
          <w:lang w:val="en-US" w:eastAsia="zh-CN" w:bidi="ar-SA"/>
        </w:rPr>
      </w:pPr>
      <w:r>
        <w:rPr>
          <w:rFonts w:hint="eastAsia" w:ascii="仿宋_GB2312" w:hAnsi="仿宋_GB2312" w:eastAsia="仿宋_GB2312" w:cs="仿宋_GB2312"/>
          <w:b w:val="0"/>
          <w:color w:val="000000"/>
          <w:spacing w:val="0"/>
          <w:sz w:val="32"/>
          <w:szCs w:val="32"/>
          <w:shd w:val="clear" w:color="auto" w:fill="FFFFFF"/>
          <w:lang w:val="en-US" w:eastAsia="zh-CN" w:bidi="ar-SA"/>
        </w:rPr>
        <w:t>持续推进我县“天府科技云”服务工作。为持续提升“保姆式”服务的质量和覆盖面，严格按照省州下达任务要求，目前，天府科技云平台注册用户2471个，其中：科技工作者1792名， 已经完成保姆跟单服务637单，推荐科创项目14条，开通工作室6家，专家工作室3家。</w:t>
      </w:r>
    </w:p>
    <w:p w14:paraId="2EDAD7D0">
      <w:pPr>
        <w:keepNext w:val="0"/>
        <w:keepLines w:val="0"/>
        <w:pageBreakBefore w:val="0"/>
        <w:widowControl w:val="0"/>
        <w:pBdr>
          <w:bottom w:val="single" w:color="FFFFFF" w:sz="4" w:space="31"/>
        </w:pBdr>
        <w:kinsoku/>
        <w:wordWrap/>
        <w:overflowPunct/>
        <w:topLinePunct w:val="0"/>
        <w:autoSpaceDE w:val="0"/>
        <w:autoSpaceDN/>
        <w:bidi w:val="0"/>
        <w:adjustRightInd/>
        <w:snapToGrid w:val="0"/>
        <w:spacing w:beforeAutospacing="0" w:afterAutospacing="0" w:line="576" w:lineRule="exact"/>
        <w:ind w:firstLine="640" w:firstLineChars="200"/>
        <w:textAlignment w:val="auto"/>
        <w:outlineLvl w:val="9"/>
        <w:rPr>
          <w:rFonts w:hint="eastAsia" w:ascii="仿宋_GB2312" w:hAnsi="仿宋_GB2312" w:eastAsia="仿宋_GB2312" w:cs="仿宋_GB2312"/>
          <w:b w:val="0"/>
          <w:color w:val="000000"/>
          <w:spacing w:val="0"/>
          <w:sz w:val="32"/>
          <w:szCs w:val="32"/>
          <w:shd w:val="clear" w:color="auto" w:fill="FFFFFF"/>
          <w:lang w:val="en-US" w:eastAsia="zh-CN" w:bidi="ar-SA"/>
        </w:rPr>
      </w:pPr>
      <w:r>
        <w:rPr>
          <w:rFonts w:hint="eastAsia" w:ascii="仿宋_GB2312" w:hAnsi="仿宋_GB2312" w:eastAsia="仿宋_GB2312" w:cs="仿宋_GB2312"/>
          <w:b w:val="0"/>
          <w:color w:val="000000"/>
          <w:spacing w:val="0"/>
          <w:sz w:val="32"/>
          <w:szCs w:val="32"/>
          <w:shd w:val="clear" w:color="auto" w:fill="FFFFFF"/>
          <w:lang w:val="en-US" w:eastAsia="zh-CN" w:bidi="ar-SA"/>
        </w:rPr>
        <w:t>加强青少年科普教育，培养青少年创新意识。1.县科协邀请中国航空工业集团成飞公司科协、四川省航空宇航学会、四川京晟航空科技有限公司，走进安曲镇小学，为400余名师生带来了一场别开生面的航空科普盛宴。四川京晟航空科技有限公司的老师通过简单讲解，向学生介绍无人机足球的操控原理、安全规则及基础操作技巧，指导大家亲手操控无人机足球。同时，红原县科协为学校捐赠了航模小飞机、歼十模型飞机，为学生搭建接触航空知识、激发科学兴趣的实物载体。2.阿坝州科技馆走进红原县安曲镇小学，为全校200余名师生带去了一场妙趣横生的科普盛宴。活动现场，科技馆带去了广受学生喜爱的科技展品四足机器狗及跳舞机器人，听话的机器狗随着工作人员的指令作出“比心、伸懒腰、拜年”等动作逗得学生们哄堂大笑，跳舞机器人的两支舞蹈《少年中国说》和《科目三》更是将欢乐的气氛拉满。“空气大炮”“倒不出的水”“杯子提盘子”“腾云驾雾”等多个科学实验引起了同学们强烈的好奇心。3.积极组织各中小学参加阿坝州青少年科技创新大赛暨机器人大赛，荣获科技小制作三等奖1项。</w:t>
      </w:r>
    </w:p>
    <w:p w14:paraId="1EE44D3B">
      <w:pPr>
        <w:keepNext w:val="0"/>
        <w:keepLines w:val="0"/>
        <w:pageBreakBefore w:val="0"/>
        <w:widowControl w:val="0"/>
        <w:pBdr>
          <w:bottom w:val="single" w:color="FFFFFF" w:sz="4" w:space="31"/>
        </w:pBdr>
        <w:kinsoku/>
        <w:wordWrap/>
        <w:overflowPunct/>
        <w:topLinePunct w:val="0"/>
        <w:autoSpaceDE w:val="0"/>
        <w:autoSpaceDN/>
        <w:bidi w:val="0"/>
        <w:adjustRightInd/>
        <w:snapToGrid w:val="0"/>
        <w:spacing w:beforeAutospacing="0" w:afterAutospacing="0" w:line="576" w:lineRule="exact"/>
        <w:ind w:firstLine="640" w:firstLineChars="200"/>
        <w:textAlignment w:val="auto"/>
        <w:outlineLvl w:val="9"/>
        <w:rPr>
          <w:rFonts w:hint="eastAsia" w:ascii="仿宋_GB2312" w:hAnsi="仿宋_GB2312" w:eastAsia="仿宋_GB2312" w:cs="仿宋_GB2312"/>
          <w:b w:val="0"/>
          <w:color w:val="000000"/>
          <w:spacing w:val="0"/>
          <w:sz w:val="32"/>
          <w:szCs w:val="32"/>
          <w:shd w:val="clear" w:color="auto" w:fill="FFFFFF"/>
          <w:lang w:val="en-US" w:eastAsia="zh-CN" w:bidi="ar-SA"/>
        </w:rPr>
      </w:pPr>
      <w:r>
        <w:rPr>
          <w:rFonts w:hint="eastAsia" w:ascii="仿宋_GB2312" w:hAnsi="仿宋_GB2312" w:eastAsia="仿宋_GB2312" w:cs="仿宋_GB2312"/>
          <w:b w:val="0"/>
          <w:color w:val="000000"/>
          <w:spacing w:val="0"/>
          <w:sz w:val="32"/>
          <w:szCs w:val="32"/>
          <w:shd w:val="clear" w:color="auto" w:fill="FFFFFF"/>
          <w:lang w:val="en-US" w:eastAsia="zh-CN" w:bidi="ar-SA"/>
        </w:rPr>
        <w:t>天府科普大咖说”走进红原热坤村。“天府科普大咖说”阿坝科普大咖专家团走进阿坝州红原县热坤村，为该村孩子们带来了一场以高原特色药材为主题的科普讲座。活动通过PPT展示、趣味讲解与互动问答，让孩子们近距离认识家乡的“宝藏药材”，在心中播下科学探索的种子。活动现场，西南民族大学刘圆教授以红原本土药材甘松为核心，结合高原生态环境展开讲解。她通过展示甘松植株标本，直观呈现其根茎、叶片形态，向孩子们介绍“这种药材偏爱海拔3000米以上的山坡草地，耐得住红原的严寒，是高原特有的“宝贝”；同时详细讲解甘松在传统药用中的价值，将专业知识转化为孩子们能理解的“健康小常识”。</w:t>
      </w:r>
    </w:p>
    <w:p w14:paraId="4B750873">
      <w:pPr>
        <w:keepNext w:val="0"/>
        <w:keepLines w:val="0"/>
        <w:pageBreakBefore w:val="0"/>
        <w:widowControl w:val="0"/>
        <w:pBdr>
          <w:bottom w:val="single" w:color="FFFFFF" w:sz="4" w:space="31"/>
        </w:pBdr>
        <w:kinsoku/>
        <w:wordWrap/>
        <w:overflowPunct/>
        <w:topLinePunct w:val="0"/>
        <w:autoSpaceDE w:val="0"/>
        <w:autoSpaceDN/>
        <w:bidi w:val="0"/>
        <w:adjustRightInd/>
        <w:snapToGrid w:val="0"/>
        <w:spacing w:beforeAutospacing="0" w:afterAutospacing="0" w:line="576" w:lineRule="exact"/>
        <w:ind w:firstLine="640" w:firstLineChars="200"/>
        <w:textAlignment w:val="auto"/>
        <w:outlineLvl w:val="9"/>
        <w:rPr>
          <w:rFonts w:hint="eastAsia" w:ascii="仿宋_GB2312" w:hAnsi="仿宋_GB2312" w:eastAsia="仿宋_GB2312" w:cs="仿宋_GB2312"/>
          <w:b w:val="0"/>
          <w:color w:val="000000"/>
          <w:spacing w:val="0"/>
          <w:sz w:val="32"/>
          <w:szCs w:val="32"/>
          <w:shd w:val="clear" w:color="auto" w:fill="FFFFFF"/>
          <w:lang w:val="en-US" w:eastAsia="zh-CN" w:bidi="ar-SA"/>
        </w:rPr>
      </w:pPr>
      <w:r>
        <w:rPr>
          <w:rFonts w:hint="eastAsia" w:ascii="仿宋_GB2312" w:hAnsi="仿宋_GB2312" w:eastAsia="仿宋_GB2312" w:cs="仿宋_GB2312"/>
          <w:b w:val="0"/>
          <w:color w:val="000000"/>
          <w:spacing w:val="0"/>
          <w:sz w:val="32"/>
          <w:szCs w:val="32"/>
          <w:shd w:val="clear" w:color="auto" w:fill="FFFFFF"/>
          <w:lang w:val="en-US" w:eastAsia="zh-CN" w:bidi="ar-SA"/>
        </w:rPr>
        <w:t>成功召开红原县科协第七次代表大会。红原县科学技术协会第七次代表大会顺利召开。来自全县各领域的科技工作者65名代表齐聚一堂，共商科技发展大计。大会听取并审议通过了红原县科协第六届委员会工作报告，全面总结回顾了过去五年工作成效与经验，明确未来五年工作目标和重点任务。严格按照议程，选举产生了红原县科协第七届委员会委员、常务委员以及新一届领导班子，为红原县科协事业发展提供了坚强的组织保障。</w:t>
      </w:r>
    </w:p>
    <w:p w14:paraId="0A41CD4B">
      <w:pPr>
        <w:keepNext w:val="0"/>
        <w:keepLines w:val="0"/>
        <w:pageBreakBefore w:val="0"/>
        <w:widowControl w:val="0"/>
        <w:pBdr>
          <w:bottom w:val="single" w:color="FFFFFF" w:sz="4" w:space="31"/>
        </w:pBdr>
        <w:kinsoku/>
        <w:wordWrap/>
        <w:overflowPunct/>
        <w:topLinePunct w:val="0"/>
        <w:autoSpaceDE w:val="0"/>
        <w:autoSpaceDN/>
        <w:bidi w:val="0"/>
        <w:adjustRightInd/>
        <w:snapToGrid w:val="0"/>
        <w:spacing w:beforeAutospacing="0" w:afterAutospacing="0" w:line="576" w:lineRule="exact"/>
        <w:ind w:firstLine="640" w:firstLineChars="200"/>
        <w:textAlignment w:val="auto"/>
        <w:outlineLvl w:val="9"/>
        <w:rPr>
          <w:rFonts w:hint="eastAsia" w:ascii="仿宋_GB2312" w:hAnsi="仿宋_GB2312" w:eastAsia="仿宋_GB2312" w:cs="仿宋_GB2312"/>
          <w:b w:val="0"/>
          <w:color w:val="000000"/>
          <w:spacing w:val="0"/>
          <w:sz w:val="32"/>
          <w:szCs w:val="32"/>
          <w:shd w:val="clear" w:color="auto" w:fill="FFFFFF"/>
          <w:lang w:val="en-US" w:eastAsia="zh-CN" w:bidi="ar-SA"/>
        </w:rPr>
      </w:pPr>
      <w:r>
        <w:rPr>
          <w:rFonts w:hint="eastAsia" w:ascii="仿宋_GB2312" w:hAnsi="仿宋_GB2312" w:eastAsia="仿宋_GB2312" w:cs="仿宋_GB2312"/>
          <w:b w:val="0"/>
          <w:color w:val="000000"/>
          <w:spacing w:val="0"/>
          <w:sz w:val="32"/>
          <w:szCs w:val="32"/>
          <w:shd w:val="clear" w:color="auto" w:fill="FFFFFF"/>
          <w:lang w:val="en-US" w:eastAsia="zh-CN" w:bidi="ar-SA"/>
        </w:rPr>
        <w:t>开展双联双进，抓好群众工作。1.扎实开展群众工作。为做实做细群众工作，不断增进党群干群关系，每位干部职工常态化走村入户，面对面倾听群众诉求、心贴心了解群众冷暖，做好入户台账，实实在在为群众办实事、解难题。为联系户送去生活用品，坚持每月电话沟通交流，让群众感受到党和政府的温暖。到茸塔寺开展“联心同行”工作2次，了解近期的生活状况以及对策措施。2.扎实开展“石榴籽工程”爱心爸妈结对帮扶工作。为深入贯彻落实群众工作“石榴籽”工程，扎实推进“爱心爸妈”结对帮扶行动，县科协积极作为，组织工作人员为3名结对困境儿童送去学习用品，切实解决孩子们生活和学习中的困难。</w:t>
      </w:r>
    </w:p>
    <w:p w14:paraId="1DD7948D">
      <w:pPr>
        <w:keepNext w:val="0"/>
        <w:keepLines w:val="0"/>
        <w:pageBreakBefore w:val="0"/>
        <w:widowControl w:val="0"/>
        <w:pBdr>
          <w:bottom w:val="single" w:color="FFFFFF" w:sz="4" w:space="31"/>
        </w:pBdr>
        <w:kinsoku/>
        <w:wordWrap/>
        <w:overflowPunct/>
        <w:topLinePunct w:val="0"/>
        <w:autoSpaceDE w:val="0"/>
        <w:autoSpaceDN/>
        <w:bidi w:val="0"/>
        <w:adjustRightInd/>
        <w:snapToGrid w:val="0"/>
        <w:spacing w:beforeAutospacing="0" w:afterAutospacing="0" w:line="576" w:lineRule="exact"/>
        <w:ind w:firstLine="640" w:firstLineChars="200"/>
        <w:textAlignment w:val="auto"/>
        <w:outlineLvl w:val="9"/>
        <w:rPr>
          <w:rFonts w:hint="eastAsia" w:ascii="仿宋_GB2312" w:hAnsi="仿宋_GB2312" w:eastAsia="仿宋_GB2312" w:cs="仿宋_GB2312"/>
          <w:b w:val="0"/>
          <w:color w:val="000000"/>
          <w:spacing w:val="0"/>
          <w:sz w:val="32"/>
          <w:szCs w:val="32"/>
          <w:shd w:val="clear" w:color="auto" w:fill="FFFFFF"/>
          <w:lang w:val="en-US" w:eastAsia="zh-CN" w:bidi="ar-SA"/>
        </w:rPr>
      </w:pPr>
      <w:r>
        <w:rPr>
          <w:rFonts w:hint="eastAsia" w:ascii="仿宋_GB2312" w:hAnsi="仿宋_GB2312" w:eastAsia="仿宋_GB2312" w:cs="仿宋_GB2312"/>
          <w:b w:val="0"/>
          <w:color w:val="000000"/>
          <w:spacing w:val="0"/>
          <w:sz w:val="32"/>
          <w:szCs w:val="32"/>
          <w:shd w:val="clear" w:color="auto" w:fill="FFFFFF"/>
          <w:lang w:val="en-US" w:eastAsia="zh-CN" w:bidi="ar-SA"/>
        </w:rPr>
        <w:t>院士（专家）工作站建设情况。按照省州科协关于院士（专家）工作站申报要求，我会积极推进州级院士专家工作站建设，积极做好院士（专家）工作站申报工作。</w:t>
      </w:r>
    </w:p>
    <w:p w14:paraId="4C3BC2BD">
      <w:pPr>
        <w:keepNext w:val="0"/>
        <w:keepLines w:val="0"/>
        <w:pageBreakBefore w:val="0"/>
        <w:widowControl w:val="0"/>
        <w:pBdr>
          <w:bottom w:val="single" w:color="FFFFFF" w:sz="4" w:space="31"/>
        </w:pBdr>
        <w:kinsoku/>
        <w:wordWrap/>
        <w:overflowPunct/>
        <w:topLinePunct w:val="0"/>
        <w:autoSpaceDE w:val="0"/>
        <w:autoSpaceDN/>
        <w:bidi w:val="0"/>
        <w:adjustRightInd/>
        <w:snapToGrid w:val="0"/>
        <w:spacing w:beforeAutospacing="0" w:afterAutospacing="0" w:line="576" w:lineRule="exact"/>
        <w:ind w:firstLine="640" w:firstLineChars="200"/>
        <w:textAlignment w:val="auto"/>
        <w:outlineLvl w:val="9"/>
        <w:rPr>
          <w:rFonts w:hint="eastAsia" w:ascii="Times New Roman" w:hAnsi="Times New Roman" w:eastAsia="仿宋_GB2312" w:cs="仿宋_GB2312"/>
          <w:b w:val="0"/>
          <w:i w:val="0"/>
          <w:caps w:val="0"/>
          <w:smallCaps w:val="0"/>
          <w:strike w:val="0"/>
          <w:dstrike w:val="0"/>
          <w:snapToGrid/>
          <w:vanish w:val="0"/>
          <w:color w:val="auto"/>
          <w:spacing w:val="0"/>
          <w:w w:val="100"/>
          <w:kern w:val="2"/>
          <w:position w:val="0"/>
          <w:sz w:val="32"/>
          <w:szCs w:val="32"/>
          <w:highlight w:val="none"/>
          <w:u w:val="none"/>
          <w:shd w:val="clear" w:color="auto" w:fill="auto"/>
          <w:vertAlign w:val="baseline"/>
          <w:lang w:val="en-US" w:eastAsia="zh-CN" w:bidi="ar-SA"/>
        </w:rPr>
      </w:pPr>
    </w:p>
    <w:p w14:paraId="60C5F9EC">
      <w:pPr>
        <w:keepNext w:val="0"/>
        <w:keepLines w:val="0"/>
        <w:pageBreakBefore w:val="0"/>
        <w:widowControl w:val="0"/>
        <w:numPr>
          <w:ilvl w:val="0"/>
          <w:numId w:val="2"/>
        </w:numPr>
        <w:pBdr>
          <w:bottom w:val="single" w:color="FFFFFF" w:sz="4" w:space="31"/>
        </w:pBdr>
        <w:kinsoku/>
        <w:wordWrap/>
        <w:overflowPunct/>
        <w:topLinePunct w:val="0"/>
        <w:autoSpaceDE w:val="0"/>
        <w:autoSpaceDN/>
        <w:bidi w:val="0"/>
        <w:adjustRightInd/>
        <w:snapToGrid w:val="0"/>
        <w:spacing w:beforeAutospacing="0" w:afterAutospacing="0" w:line="576" w:lineRule="exact"/>
        <w:ind w:left="0" w:firstLine="640" w:firstLineChars="200"/>
        <w:textAlignment w:val="auto"/>
        <w:outlineLvl w:val="9"/>
        <w:rPr>
          <w:rFonts w:hint="eastAsia" w:ascii="Times New Roman" w:hAnsi="Times New Roman" w:eastAsia="仿宋_GB2312" w:cs="仿宋_GB2312"/>
          <w:b w:val="0"/>
          <w:i w:val="0"/>
          <w:caps w:val="0"/>
          <w:smallCaps w:val="0"/>
          <w:strike w:val="0"/>
          <w:dstrike w:val="0"/>
          <w:snapToGrid/>
          <w:vanish w:val="0"/>
          <w:color w:val="auto"/>
          <w:spacing w:val="0"/>
          <w:w w:val="100"/>
          <w:kern w:val="2"/>
          <w:position w:val="0"/>
          <w:sz w:val="32"/>
          <w:szCs w:val="32"/>
          <w:highlight w:val="none"/>
          <w:u w:val="none"/>
          <w:shd w:val="clear" w:color="auto" w:fill="auto"/>
          <w:vertAlign w:val="baseline"/>
          <w:lang w:val="en-US" w:eastAsia="zh-CN" w:bidi="ar-SA"/>
        </w:rPr>
      </w:pPr>
      <w:r>
        <w:rPr>
          <w:rFonts w:hint="eastAsia" w:ascii="Times New Roman" w:hAnsi="Times New Roman" w:eastAsia="仿宋_GB2312" w:cs="仿宋_GB2312"/>
          <w:b w:val="0"/>
          <w:i w:val="0"/>
          <w:caps w:val="0"/>
          <w:smallCaps w:val="0"/>
          <w:strike w:val="0"/>
          <w:dstrike w:val="0"/>
          <w:snapToGrid/>
          <w:vanish w:val="0"/>
          <w:color w:val="auto"/>
          <w:spacing w:val="0"/>
          <w:w w:val="100"/>
          <w:kern w:val="2"/>
          <w:position w:val="0"/>
          <w:sz w:val="32"/>
          <w:szCs w:val="32"/>
          <w:highlight w:val="none"/>
          <w:u w:val="none"/>
          <w:shd w:val="clear" w:color="auto" w:fill="auto"/>
          <w:vertAlign w:val="baseline"/>
          <w:lang w:val="en-US" w:eastAsia="zh-CN" w:bidi="ar-SA"/>
        </w:rPr>
        <w:t>机构设置</w:t>
      </w:r>
      <w:bookmarkEnd w:id="15"/>
      <w:bookmarkEnd w:id="16"/>
    </w:p>
    <w:p w14:paraId="7C6C0E52">
      <w:pPr>
        <w:keepNext w:val="0"/>
        <w:keepLines w:val="0"/>
        <w:pageBreakBefore w:val="0"/>
        <w:widowControl w:val="0"/>
        <w:pBdr>
          <w:bottom w:val="single" w:color="FFFFFF" w:sz="4" w:space="31"/>
        </w:pBdr>
        <w:kinsoku/>
        <w:wordWrap/>
        <w:overflowPunct/>
        <w:topLinePunct w:val="0"/>
        <w:autoSpaceDE w:val="0"/>
        <w:autoSpaceDN/>
        <w:bidi w:val="0"/>
        <w:adjustRightInd/>
        <w:snapToGrid w:val="0"/>
        <w:spacing w:beforeAutospacing="0" w:afterAutospacing="0" w:line="576" w:lineRule="exact"/>
        <w:ind w:firstLine="640" w:firstLineChars="200"/>
        <w:textAlignment w:val="auto"/>
        <w:outlineLvl w:val="9"/>
        <w:rPr>
          <w:rFonts w:hint="eastAsia" w:ascii="Times New Roman" w:hAnsi="Times New Roman"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红原县科学技术协会</w:t>
      </w:r>
      <w:r>
        <w:rPr>
          <w:rFonts w:hint="eastAsia" w:ascii="Times New Roman" w:hAnsi="Times New Roman" w:eastAsia="仿宋_GB2312" w:cs="仿宋_GB2312"/>
          <w:color w:val="auto"/>
          <w:sz w:val="32"/>
          <w:szCs w:val="32"/>
          <w:highlight w:val="none"/>
        </w:rPr>
        <w:t>下属二级</w:t>
      </w:r>
      <w:r>
        <w:rPr>
          <w:rFonts w:hint="eastAsia" w:ascii="Times New Roman" w:hAnsi="Times New Roman" w:eastAsia="仿宋_GB2312" w:cs="仿宋_GB2312"/>
          <w:color w:val="auto"/>
          <w:sz w:val="32"/>
          <w:szCs w:val="32"/>
          <w:highlight w:val="none"/>
          <w:lang w:eastAsia="zh-CN"/>
        </w:rPr>
        <w:t>预算</w:t>
      </w:r>
      <w:r>
        <w:rPr>
          <w:rFonts w:hint="eastAsia" w:ascii="Times New Roman" w:hAnsi="Times New Roman" w:eastAsia="仿宋_GB2312" w:cs="仿宋_GB2312"/>
          <w:color w:val="auto"/>
          <w:sz w:val="32"/>
          <w:szCs w:val="32"/>
          <w:highlight w:val="none"/>
        </w:rPr>
        <w:t>单位</w:t>
      </w:r>
      <w:r>
        <w:rPr>
          <w:rFonts w:hint="eastAsia" w:eastAsia="仿宋_GB2312" w:cs="仿宋_GB2312"/>
          <w:color w:val="auto"/>
          <w:sz w:val="32"/>
          <w:szCs w:val="32"/>
          <w:highlight w:val="none"/>
          <w:lang w:val="en-US" w:eastAsia="zh-CN"/>
        </w:rPr>
        <w:t>1</w:t>
      </w:r>
      <w:r>
        <w:rPr>
          <w:rFonts w:hint="eastAsia" w:ascii="Times New Roman" w:hAnsi="Times New Roman" w:eastAsia="仿宋_GB2312" w:cs="仿宋_GB2312"/>
          <w:color w:val="auto"/>
          <w:sz w:val="32"/>
          <w:szCs w:val="32"/>
          <w:highlight w:val="none"/>
        </w:rPr>
        <w:t>个，其中行政单位</w:t>
      </w:r>
      <w:r>
        <w:rPr>
          <w:rFonts w:hint="eastAsia" w:eastAsia="仿宋_GB2312" w:cs="仿宋_GB2312"/>
          <w:color w:val="auto"/>
          <w:sz w:val="32"/>
          <w:szCs w:val="32"/>
          <w:highlight w:val="none"/>
          <w:lang w:val="en-US" w:eastAsia="zh-CN"/>
        </w:rPr>
        <w:t>1</w:t>
      </w:r>
      <w:r>
        <w:rPr>
          <w:rFonts w:hint="eastAsia" w:ascii="Times New Roman" w:hAnsi="Times New Roman" w:eastAsia="仿宋_GB2312" w:cs="仿宋_GB2312"/>
          <w:color w:val="auto"/>
          <w:sz w:val="32"/>
          <w:szCs w:val="32"/>
          <w:highlight w:val="none"/>
        </w:rPr>
        <w:t>个，参照公务员法管理的事业单位</w:t>
      </w:r>
      <w:r>
        <w:rPr>
          <w:rFonts w:hint="eastAsia" w:eastAsia="仿宋_GB2312" w:cs="仿宋_GB2312"/>
          <w:color w:val="auto"/>
          <w:sz w:val="32"/>
          <w:szCs w:val="32"/>
          <w:highlight w:val="none"/>
          <w:lang w:val="en-US" w:eastAsia="zh-CN"/>
        </w:rPr>
        <w:t>0</w:t>
      </w:r>
      <w:r>
        <w:rPr>
          <w:rFonts w:hint="eastAsia" w:ascii="Times New Roman" w:hAnsi="Times New Roman" w:eastAsia="仿宋_GB2312" w:cs="仿宋_GB2312"/>
          <w:color w:val="auto"/>
          <w:sz w:val="32"/>
          <w:szCs w:val="32"/>
          <w:highlight w:val="none"/>
        </w:rPr>
        <w:t>个，其他事业单位</w:t>
      </w:r>
      <w:r>
        <w:rPr>
          <w:rFonts w:hint="eastAsia" w:eastAsia="仿宋_GB2312" w:cs="仿宋_GB2312"/>
          <w:color w:val="auto"/>
          <w:sz w:val="32"/>
          <w:szCs w:val="32"/>
          <w:highlight w:val="none"/>
          <w:lang w:val="en-US" w:eastAsia="zh-CN"/>
        </w:rPr>
        <w:t>1</w:t>
      </w:r>
      <w:r>
        <w:rPr>
          <w:rFonts w:hint="eastAsia" w:ascii="Times New Roman" w:hAnsi="Times New Roman" w:eastAsia="仿宋_GB2312" w:cs="仿宋_GB2312"/>
          <w:color w:val="auto"/>
          <w:sz w:val="32"/>
          <w:szCs w:val="32"/>
          <w:highlight w:val="none"/>
        </w:rPr>
        <w:t>个。</w:t>
      </w:r>
    </w:p>
    <w:p w14:paraId="734A54A9">
      <w:pPr>
        <w:keepNext w:val="0"/>
        <w:keepLines w:val="0"/>
        <w:pageBreakBefore w:val="0"/>
        <w:widowControl w:val="0"/>
        <w:pBdr>
          <w:bottom w:val="single" w:color="FFFFFF" w:sz="4" w:space="31"/>
        </w:pBdr>
        <w:kinsoku/>
        <w:wordWrap/>
        <w:overflowPunct/>
        <w:topLinePunct w:val="0"/>
        <w:autoSpaceDE w:val="0"/>
        <w:autoSpaceDN/>
        <w:bidi w:val="0"/>
        <w:adjustRightInd/>
        <w:snapToGrid w:val="0"/>
        <w:spacing w:beforeAutospacing="0" w:afterAutospacing="0" w:line="576" w:lineRule="exact"/>
        <w:ind w:firstLine="640" w:firstLineChars="200"/>
        <w:textAlignment w:val="auto"/>
        <w:outlineLvl w:val="9"/>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纳入</w:t>
      </w:r>
      <w:r>
        <w:rPr>
          <w:rFonts w:hint="eastAsia" w:ascii="仿宋_GB2312" w:hAnsi="仿宋_GB2312" w:eastAsia="仿宋_GB2312" w:cs="仿宋_GB2312"/>
          <w:color w:val="auto"/>
          <w:sz w:val="32"/>
          <w:szCs w:val="32"/>
          <w:highlight w:val="none"/>
        </w:rPr>
        <w:t>红原县科学技术协会</w:t>
      </w:r>
      <w:r>
        <w:rPr>
          <w:rFonts w:hint="eastAsia" w:ascii="Times New Roman" w:hAnsi="Times New Roman"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rPr>
        <w:t>部门决算编制范围的二级预算单位包括：</w:t>
      </w:r>
    </w:p>
    <w:p w14:paraId="48C2C777">
      <w:pPr>
        <w:keepNext w:val="0"/>
        <w:keepLines w:val="0"/>
        <w:pageBreakBefore w:val="0"/>
        <w:widowControl w:val="0"/>
        <w:pBdr>
          <w:bottom w:val="single" w:color="FFFFFF" w:sz="4" w:space="31"/>
        </w:pBdr>
        <w:kinsoku/>
        <w:wordWrap/>
        <w:overflowPunct/>
        <w:topLinePunct w:val="0"/>
        <w:autoSpaceDE w:val="0"/>
        <w:autoSpaceDN/>
        <w:bidi w:val="0"/>
        <w:adjustRightInd/>
        <w:snapToGrid w:val="0"/>
        <w:spacing w:beforeAutospacing="0" w:afterAutospacing="0" w:line="576" w:lineRule="exact"/>
        <w:ind w:firstLine="640" w:firstLineChars="200"/>
        <w:textAlignment w:val="auto"/>
        <w:outlineLvl w:val="9"/>
        <w:rPr>
          <w:rFonts w:hint="eastAsia" w:ascii="仿宋_GB2312" w:hAnsi="仿宋_GB2312"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lang w:val="en-US" w:eastAsia="zh-CN"/>
        </w:rPr>
        <w:t>1.红原县民族科普中心</w:t>
      </w:r>
      <w:r>
        <w:rPr>
          <w:rFonts w:hint="eastAsia" w:ascii="仿宋_GB2312" w:hAnsi="仿宋_GB2312" w:eastAsia="仿宋_GB2312" w:cs="仿宋_GB2312"/>
          <w:color w:val="auto"/>
          <w:sz w:val="32"/>
          <w:szCs w:val="32"/>
          <w:highlight w:val="none"/>
          <w:lang w:val="en-US" w:eastAsia="zh-CN"/>
        </w:rPr>
        <w:t>。</w:t>
      </w:r>
    </w:p>
    <w:p w14:paraId="56EBD276">
      <w:pPr>
        <w:keepNext w:val="0"/>
        <w:keepLines w:val="0"/>
        <w:pageBreakBefore w:val="0"/>
        <w:widowControl w:val="0"/>
        <w:pBdr>
          <w:bottom w:val="single" w:color="FFFFFF" w:sz="4" w:space="31"/>
        </w:pBdr>
        <w:kinsoku/>
        <w:wordWrap/>
        <w:overflowPunct/>
        <w:topLinePunct w:val="0"/>
        <w:autoSpaceDE w:val="0"/>
        <w:autoSpaceDN/>
        <w:bidi w:val="0"/>
        <w:adjustRightInd/>
        <w:snapToGrid w:val="0"/>
        <w:spacing w:beforeAutospacing="0" w:afterAutospacing="0" w:line="576" w:lineRule="exact"/>
        <w:ind w:firstLine="640"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红原县科学技术协会为独立核算全额拨款行政单位，下设民族科普中心。本年度截止2025年底我单位共有编制7个，其中行政编制3个，行政工勤编制1个，事业编制3个；退休人员1人。</w:t>
      </w:r>
    </w:p>
    <w:p w14:paraId="508E4BEF">
      <w:pPr>
        <w:pStyle w:val="32"/>
        <w:keepNext w:val="0"/>
        <w:keepLines w:val="0"/>
        <w:widowControl/>
        <w:suppressLineNumbers w:val="0"/>
        <w:kinsoku/>
        <w:wordWrap/>
        <w:overflowPunct/>
        <w:topLinePunct w:val="0"/>
        <w:autoSpaceDE w:val="0"/>
        <w:autoSpaceDN/>
        <w:spacing w:before="0" w:beforeAutospacing="0" w:line="560" w:lineRule="exact"/>
        <w:ind w:left="0"/>
        <w:jc w:val="left"/>
        <w:rPr>
          <w:rFonts w:hint="eastAsia" w:ascii="宋体" w:hAnsi="宋体" w:eastAsia="宋体" w:cs="宋体"/>
          <w:kern w:val="0"/>
          <w:sz w:val="24"/>
          <w:szCs w:val="24"/>
        </w:rPr>
      </w:pPr>
      <w:r>
        <w:rPr>
          <w:rFonts w:hint="eastAsia" w:ascii="宋体" w:hAnsi="宋体" w:eastAsia="宋体" w:cs="宋体"/>
          <w:kern w:val="0"/>
          <w:sz w:val="24"/>
          <w:szCs w:val="24"/>
          <w:shd w:val="clear" w:color="auto" w:fill="FFFFFF"/>
        </w:rPr>
        <w:t xml:space="preserve"> </w:t>
      </w:r>
    </w:p>
    <w:p w14:paraId="052086D3">
      <w:pPr>
        <w:pStyle w:val="1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576" w:lineRule="exact"/>
        <w:ind w:left="0" w:right="0" w:firstLine="640" w:firstLineChars="200"/>
        <w:jc w:val="left"/>
        <w:textAlignment w:val="auto"/>
        <w:rPr>
          <w:rFonts w:hint="eastAsia" w:ascii="仿宋_GB2312" w:hAnsi="仿宋_GB2312" w:eastAsia="仿宋_GB2312" w:cs="仿宋_GB2312"/>
          <w:color w:val="auto"/>
          <w:kern w:val="0"/>
          <w:sz w:val="32"/>
          <w:szCs w:val="32"/>
          <w:highlight w:val="none"/>
          <w:lang w:val="en-US" w:eastAsia="zh-CN" w:bidi="ar-SA"/>
        </w:rPr>
      </w:pPr>
    </w:p>
    <w:p w14:paraId="0320FCFE">
      <w:pPr>
        <w:widowControl/>
        <w:jc w:val="left"/>
        <w:rPr>
          <w:rFonts w:hint="eastAsia" w:ascii="仿宋_GB2312" w:hAnsi="仿宋_GB2312" w:eastAsia="仿宋_GB2312" w:cs="仿宋_GB2312"/>
          <w:color w:val="auto"/>
          <w:kern w:val="0"/>
          <w:sz w:val="32"/>
          <w:szCs w:val="32"/>
          <w:highlight w:val="none"/>
          <w:lang w:val="en-US" w:eastAsia="zh-CN" w:bidi="ar-SA"/>
        </w:rPr>
      </w:pPr>
      <w:r>
        <w:rPr>
          <w:rFonts w:hint="eastAsia" w:ascii="仿宋_GB2312" w:hAnsi="仿宋_GB2312" w:eastAsia="仿宋_GB2312" w:cs="仿宋_GB2312"/>
          <w:color w:val="auto"/>
          <w:kern w:val="0"/>
          <w:sz w:val="32"/>
          <w:szCs w:val="32"/>
          <w:highlight w:val="none"/>
          <w:lang w:val="en-US" w:eastAsia="zh-CN" w:bidi="ar-SA"/>
        </w:rPr>
        <w:br w:type="page"/>
      </w:r>
    </w:p>
    <w:p w14:paraId="1910F0C5">
      <w:pPr>
        <w:pStyle w:val="5"/>
        <w:jc w:val="center"/>
        <w:rPr>
          <w:rFonts w:hint="eastAsia" w:ascii="Times New Roman" w:hAnsi="Times New Roman" w:eastAsia="方正小标宋简体" w:cs="方正小标宋简体"/>
          <w:b w:val="0"/>
          <w:color w:val="auto"/>
          <w:highlight w:val="none"/>
        </w:rPr>
      </w:pPr>
      <w:bookmarkStart w:id="17" w:name="_Toc15396602"/>
      <w:bookmarkStart w:id="18" w:name="_Toc15377204"/>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17"/>
      <w:bookmarkEnd w:id="18"/>
    </w:p>
    <w:p w14:paraId="215B27BD">
      <w:pPr>
        <w:rPr>
          <w:rFonts w:ascii="Times New Roman" w:hAnsi="Times New Roman"/>
          <w:color w:val="auto"/>
          <w:highlight w:val="none"/>
        </w:rPr>
      </w:pPr>
    </w:p>
    <w:p w14:paraId="3B33B825">
      <w:pPr>
        <w:pStyle w:val="2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Style w:val="21"/>
          <w:rFonts w:hint="eastAsia" w:ascii="Times New Roman" w:hAnsi="Times New Roman" w:eastAsia="黑体"/>
          <w:b w:val="0"/>
          <w:color w:val="auto"/>
          <w:highlight w:val="none"/>
        </w:rPr>
      </w:pPr>
      <w:bookmarkStart w:id="19" w:name="_Toc15396603"/>
      <w:bookmarkStart w:id="20" w:name="_Toc15377205"/>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21"/>
          <w:rFonts w:hint="eastAsia" w:ascii="Times New Roman" w:hAnsi="Times New Roman" w:eastAsia="黑体"/>
          <w:b w:val="0"/>
          <w:color w:val="auto"/>
          <w:highlight w:val="none"/>
        </w:rPr>
        <w:t>入支出决算总体情况说明</w:t>
      </w:r>
      <w:bookmarkEnd w:id="19"/>
      <w:bookmarkEnd w:id="20"/>
    </w:p>
    <w:p w14:paraId="531C3377">
      <w:pPr>
        <w:keepNext w:val="0"/>
        <w:keepLines w:val="0"/>
        <w:pageBreakBefore w:val="0"/>
        <w:widowControl w:val="0"/>
        <w:pBdr>
          <w:bottom w:val="single" w:color="FFFFFF" w:sz="4" w:space="31"/>
        </w:pBdr>
        <w:kinsoku/>
        <w:wordWrap/>
        <w:overflowPunct/>
        <w:topLinePunct w:val="0"/>
        <w:autoSpaceDE w:val="0"/>
        <w:autoSpaceDN/>
        <w:bidi w:val="0"/>
        <w:adjustRightInd/>
        <w:snapToGrid w:val="0"/>
        <w:spacing w:beforeAutospacing="0" w:afterAutospacing="0" w:line="576" w:lineRule="exact"/>
        <w:ind w:firstLine="640" w:firstLineChars="200"/>
        <w:textAlignment w:val="auto"/>
        <w:outlineLvl w:val="9"/>
        <w:rPr>
          <w:rFonts w:hint="eastAsia" w:ascii="仿宋_GB2312" w:hAnsi="仿宋_GB2312" w:eastAsia="仿宋_GB2312" w:cs="仿宋_GB2312"/>
          <w:b w:val="0"/>
          <w:color w:val="000000"/>
          <w:spacing w:val="0"/>
          <w:sz w:val="32"/>
          <w:szCs w:val="32"/>
          <w:shd w:val="clear" w:color="auto" w:fill="FFFFFF"/>
          <w:lang w:bidi="ar-SA"/>
        </w:rPr>
      </w:pPr>
      <w:r>
        <w:rPr>
          <w:rFonts w:hint="eastAsia" w:ascii="仿宋_GB2312" w:hAnsi="仿宋_GB2312" w:eastAsia="仿宋_GB2312" w:cs="仿宋_GB2312"/>
          <w:b w:val="0"/>
          <w:color w:val="000000"/>
          <w:spacing w:val="0"/>
          <w:sz w:val="32"/>
          <w:szCs w:val="32"/>
          <w:shd w:val="clear" w:color="auto" w:fill="FFFFFF"/>
          <w:lang w:bidi="ar-SA"/>
        </w:rPr>
        <w:t>本单位本年度收入的</w:t>
      </w:r>
      <w:r>
        <w:rPr>
          <w:rFonts w:hint="eastAsia" w:ascii="仿宋_GB2312" w:hAnsi="仿宋_GB2312" w:eastAsia="仿宋_GB2312" w:cs="仿宋_GB2312"/>
          <w:b w:val="0"/>
          <w:color w:val="000000"/>
          <w:spacing w:val="0"/>
          <w:sz w:val="32"/>
          <w:szCs w:val="32"/>
          <w:shd w:val="clear" w:color="auto" w:fill="FFFFFF"/>
          <w:lang w:val="en-US" w:eastAsia="zh-CN" w:bidi="ar-SA"/>
        </w:rPr>
        <w:t>决算</w:t>
      </w:r>
      <w:r>
        <w:rPr>
          <w:rFonts w:hint="eastAsia" w:ascii="仿宋_GB2312" w:hAnsi="仿宋_GB2312" w:eastAsia="仿宋_GB2312" w:cs="仿宋_GB2312"/>
          <w:b w:val="0"/>
          <w:color w:val="000000"/>
          <w:spacing w:val="0"/>
          <w:sz w:val="32"/>
          <w:szCs w:val="32"/>
          <w:shd w:val="clear" w:color="auto" w:fill="FFFFFF"/>
          <w:lang w:eastAsia="zh-CN" w:bidi="ar-SA"/>
        </w:rPr>
        <w:t>数</w:t>
      </w:r>
      <w:r>
        <w:rPr>
          <w:rFonts w:hint="eastAsia" w:ascii="仿宋_GB2312" w:hAnsi="仿宋_GB2312" w:eastAsia="仿宋_GB2312" w:cs="仿宋_GB2312"/>
          <w:b w:val="0"/>
          <w:color w:val="000000"/>
          <w:spacing w:val="0"/>
          <w:sz w:val="32"/>
          <w:szCs w:val="32"/>
          <w:shd w:val="clear" w:color="auto" w:fill="FFFFFF"/>
          <w:lang w:bidi="ar-SA"/>
        </w:rPr>
        <w:t>为</w:t>
      </w:r>
      <w:r>
        <w:rPr>
          <w:rFonts w:hint="eastAsia" w:ascii="仿宋_GB2312" w:hAnsi="仿宋_GB2312" w:eastAsia="仿宋_GB2312" w:cs="仿宋_GB2312"/>
          <w:b w:val="0"/>
          <w:color w:val="000000"/>
          <w:spacing w:val="0"/>
          <w:sz w:val="32"/>
          <w:szCs w:val="32"/>
          <w:shd w:val="clear" w:color="auto" w:fill="FFFFFF"/>
          <w:lang w:val="en-US" w:eastAsia="zh-CN" w:bidi="ar-SA"/>
        </w:rPr>
        <w:t>207.75</w:t>
      </w:r>
      <w:r>
        <w:rPr>
          <w:rFonts w:hint="eastAsia" w:ascii="仿宋_GB2312" w:hAnsi="仿宋_GB2312" w:eastAsia="仿宋_GB2312" w:cs="仿宋_GB2312"/>
          <w:b w:val="0"/>
          <w:color w:val="000000"/>
          <w:spacing w:val="0"/>
          <w:sz w:val="32"/>
          <w:szCs w:val="32"/>
          <w:shd w:val="clear" w:color="auto" w:fill="FFFFFF"/>
          <w:lang w:bidi="ar-SA"/>
        </w:rPr>
        <w:t>万元，上年度收入的</w:t>
      </w:r>
      <w:r>
        <w:rPr>
          <w:rFonts w:hint="eastAsia" w:ascii="仿宋_GB2312" w:hAnsi="仿宋_GB2312" w:eastAsia="仿宋_GB2312" w:cs="仿宋_GB2312"/>
          <w:b w:val="0"/>
          <w:color w:val="000000"/>
          <w:spacing w:val="0"/>
          <w:sz w:val="32"/>
          <w:szCs w:val="32"/>
          <w:shd w:val="clear" w:color="auto" w:fill="FFFFFF"/>
          <w:lang w:val="en-US" w:eastAsia="zh-CN" w:bidi="ar-SA"/>
        </w:rPr>
        <w:t>决算</w:t>
      </w:r>
      <w:r>
        <w:rPr>
          <w:rFonts w:hint="eastAsia" w:ascii="仿宋_GB2312" w:hAnsi="仿宋_GB2312" w:eastAsia="仿宋_GB2312" w:cs="仿宋_GB2312"/>
          <w:b w:val="0"/>
          <w:color w:val="000000"/>
          <w:spacing w:val="0"/>
          <w:sz w:val="32"/>
          <w:szCs w:val="32"/>
          <w:shd w:val="clear" w:color="auto" w:fill="FFFFFF"/>
          <w:lang w:eastAsia="zh-CN" w:bidi="ar-SA"/>
        </w:rPr>
        <w:t>数</w:t>
      </w:r>
      <w:r>
        <w:rPr>
          <w:rFonts w:hint="eastAsia" w:ascii="仿宋_GB2312" w:hAnsi="仿宋_GB2312" w:eastAsia="仿宋_GB2312" w:cs="仿宋_GB2312"/>
          <w:b w:val="0"/>
          <w:color w:val="000000"/>
          <w:spacing w:val="0"/>
          <w:sz w:val="32"/>
          <w:szCs w:val="32"/>
          <w:shd w:val="clear" w:color="auto" w:fill="FFFFFF"/>
          <w:lang w:bidi="ar-SA"/>
        </w:rPr>
        <w:t>为</w:t>
      </w:r>
      <w:r>
        <w:rPr>
          <w:rFonts w:hint="eastAsia" w:ascii="仿宋_GB2312" w:hAnsi="仿宋_GB2312" w:eastAsia="仿宋_GB2312" w:cs="仿宋_GB2312"/>
          <w:b w:val="0"/>
          <w:color w:val="000000"/>
          <w:spacing w:val="0"/>
          <w:sz w:val="32"/>
          <w:szCs w:val="32"/>
          <w:shd w:val="clear" w:color="auto" w:fill="FFFFFF"/>
          <w:lang w:val="en-US" w:eastAsia="zh-CN" w:bidi="ar-SA"/>
        </w:rPr>
        <w:t>223.11</w:t>
      </w:r>
      <w:r>
        <w:rPr>
          <w:rFonts w:hint="eastAsia" w:ascii="仿宋_GB2312" w:hAnsi="仿宋_GB2312" w:eastAsia="仿宋_GB2312" w:cs="仿宋_GB2312"/>
          <w:b w:val="0"/>
          <w:color w:val="000000"/>
          <w:spacing w:val="0"/>
          <w:sz w:val="32"/>
          <w:szCs w:val="32"/>
          <w:shd w:val="clear" w:color="auto" w:fill="FFFFFF"/>
          <w:lang w:bidi="ar-SA"/>
        </w:rPr>
        <w:t>万元，差异为</w:t>
      </w:r>
      <w:r>
        <w:rPr>
          <w:rFonts w:hint="eastAsia" w:ascii="仿宋_GB2312" w:hAnsi="仿宋_GB2312" w:eastAsia="仿宋_GB2312" w:cs="仿宋_GB2312"/>
          <w:b w:val="0"/>
          <w:color w:val="000000"/>
          <w:spacing w:val="0"/>
          <w:sz w:val="32"/>
          <w:szCs w:val="32"/>
          <w:shd w:val="clear" w:color="auto" w:fill="FFFFFF"/>
          <w:lang w:val="en-US" w:eastAsia="zh-CN" w:bidi="ar-SA"/>
        </w:rPr>
        <w:t>-15.36</w:t>
      </w:r>
      <w:r>
        <w:rPr>
          <w:rFonts w:hint="eastAsia" w:ascii="仿宋_GB2312" w:hAnsi="仿宋_GB2312" w:eastAsia="仿宋_GB2312" w:cs="仿宋_GB2312"/>
          <w:b w:val="0"/>
          <w:color w:val="000000"/>
          <w:spacing w:val="0"/>
          <w:sz w:val="32"/>
          <w:szCs w:val="32"/>
          <w:shd w:val="clear" w:color="auto" w:fill="FFFFFF"/>
          <w:lang w:bidi="ar-SA"/>
        </w:rPr>
        <w:t>万元；</w:t>
      </w:r>
      <w:r>
        <w:rPr>
          <w:rStyle w:val="18"/>
          <w:rFonts w:hint="eastAsia" w:ascii="仿宋_GB2312" w:hAnsi="仿宋_GB2312" w:eastAsia="仿宋_GB2312" w:cs="仿宋_GB2312"/>
          <w:b w:val="0"/>
          <w:color w:val="000000"/>
          <w:spacing w:val="0"/>
          <w:sz w:val="32"/>
          <w:szCs w:val="32"/>
          <w:shd w:val="clear" w:color="auto" w:fill="FFFFFF"/>
          <w:lang w:bidi="ar-SA"/>
        </w:rPr>
        <w:t>主要原</w:t>
      </w:r>
      <w:r>
        <w:rPr>
          <w:rStyle w:val="18"/>
          <w:rFonts w:hint="eastAsia" w:ascii="仿宋_GB2312" w:hAnsi="仿宋_GB2312" w:eastAsia="仿宋_GB2312" w:cs="仿宋_GB2312"/>
          <w:b w:val="0"/>
          <w:color w:val="000000"/>
          <w:spacing w:val="0"/>
          <w:sz w:val="32"/>
          <w:szCs w:val="32"/>
          <w:shd w:val="clear" w:color="auto" w:fill="FFFFFF"/>
          <w:lang w:val="en-US" w:eastAsia="zh-CN" w:bidi="ar-SA"/>
        </w:rPr>
        <w:t>因</w:t>
      </w:r>
      <w:r>
        <w:rPr>
          <w:rStyle w:val="18"/>
          <w:rFonts w:hint="eastAsia" w:ascii="仿宋_GB2312" w:hAnsi="仿宋_GB2312" w:eastAsia="仿宋_GB2312" w:cs="仿宋_GB2312"/>
          <w:b w:val="0"/>
          <w:color w:val="000000"/>
          <w:spacing w:val="0"/>
          <w:sz w:val="32"/>
          <w:szCs w:val="32"/>
          <w:shd w:val="clear" w:color="auto" w:fill="FFFFFF"/>
          <w:lang w:bidi="ar-SA"/>
        </w:rPr>
        <w:t>为</w:t>
      </w:r>
      <w:r>
        <w:rPr>
          <w:rStyle w:val="18"/>
          <w:rFonts w:hint="eastAsia" w:ascii="仿宋_GB2312" w:hAnsi="仿宋_GB2312" w:eastAsia="仿宋_GB2312" w:cs="仿宋_GB2312"/>
          <w:b w:val="0"/>
          <w:color w:val="000000"/>
          <w:spacing w:val="0"/>
          <w:sz w:val="32"/>
          <w:szCs w:val="32"/>
          <w:shd w:val="clear" w:color="auto" w:fill="FFFFFF"/>
          <w:lang w:val="en-US" w:eastAsia="zh-CN" w:bidi="ar-SA"/>
        </w:rPr>
        <w:t>2025年我单位人员有所减少。</w:t>
      </w:r>
      <w:r>
        <w:rPr>
          <w:rFonts w:hint="eastAsia" w:ascii="仿宋_GB2312" w:hAnsi="仿宋_GB2312" w:eastAsia="仿宋_GB2312" w:cs="仿宋_GB2312"/>
          <w:b w:val="0"/>
          <w:color w:val="000000"/>
          <w:spacing w:val="0"/>
          <w:sz w:val="32"/>
          <w:szCs w:val="32"/>
          <w:shd w:val="clear" w:color="auto" w:fill="FFFFFF"/>
          <w:lang w:bidi="ar-SA"/>
        </w:rPr>
        <w:t>本年度支出的</w:t>
      </w:r>
      <w:r>
        <w:rPr>
          <w:rFonts w:hint="eastAsia" w:ascii="仿宋_GB2312" w:hAnsi="仿宋_GB2312" w:eastAsia="仿宋_GB2312" w:cs="仿宋_GB2312"/>
          <w:b w:val="0"/>
          <w:color w:val="000000"/>
          <w:spacing w:val="0"/>
          <w:sz w:val="32"/>
          <w:szCs w:val="32"/>
          <w:shd w:val="clear" w:color="auto" w:fill="FFFFFF"/>
          <w:lang w:val="en-US" w:eastAsia="zh-CN" w:bidi="ar-SA"/>
        </w:rPr>
        <w:t>决算</w:t>
      </w:r>
      <w:r>
        <w:rPr>
          <w:rFonts w:hint="eastAsia" w:ascii="仿宋_GB2312" w:hAnsi="仿宋_GB2312" w:eastAsia="仿宋_GB2312" w:cs="仿宋_GB2312"/>
          <w:b w:val="0"/>
          <w:color w:val="000000"/>
          <w:spacing w:val="0"/>
          <w:sz w:val="32"/>
          <w:szCs w:val="32"/>
          <w:shd w:val="clear" w:color="auto" w:fill="FFFFFF"/>
          <w:lang w:bidi="ar-SA"/>
        </w:rPr>
        <w:t xml:space="preserve">数为 </w:t>
      </w:r>
      <w:r>
        <w:rPr>
          <w:rFonts w:hint="eastAsia" w:ascii="仿宋_GB2312" w:hAnsi="仿宋_GB2312" w:eastAsia="仿宋_GB2312" w:cs="仿宋_GB2312"/>
          <w:b w:val="0"/>
          <w:color w:val="000000"/>
          <w:spacing w:val="0"/>
          <w:sz w:val="32"/>
          <w:szCs w:val="32"/>
          <w:shd w:val="clear" w:color="auto" w:fill="FFFFFF"/>
          <w:lang w:val="en-US" w:eastAsia="zh-CN" w:bidi="ar-SA"/>
        </w:rPr>
        <w:t>207.75</w:t>
      </w:r>
      <w:r>
        <w:rPr>
          <w:rFonts w:hint="eastAsia" w:ascii="仿宋_GB2312" w:hAnsi="仿宋_GB2312" w:eastAsia="仿宋_GB2312" w:cs="仿宋_GB2312"/>
          <w:b w:val="0"/>
          <w:color w:val="000000"/>
          <w:spacing w:val="0"/>
          <w:sz w:val="32"/>
          <w:szCs w:val="32"/>
          <w:shd w:val="clear" w:color="auto" w:fill="FFFFFF"/>
          <w:lang w:bidi="ar-SA"/>
        </w:rPr>
        <w:t>万元，上年度支出的</w:t>
      </w:r>
      <w:r>
        <w:rPr>
          <w:rFonts w:hint="eastAsia" w:ascii="仿宋_GB2312" w:hAnsi="仿宋_GB2312" w:eastAsia="仿宋_GB2312" w:cs="仿宋_GB2312"/>
          <w:b w:val="0"/>
          <w:color w:val="000000"/>
          <w:spacing w:val="0"/>
          <w:sz w:val="32"/>
          <w:szCs w:val="32"/>
          <w:shd w:val="clear" w:color="auto" w:fill="FFFFFF"/>
          <w:lang w:val="en-US" w:eastAsia="zh-CN" w:bidi="ar-SA"/>
        </w:rPr>
        <w:t>决算</w:t>
      </w:r>
      <w:r>
        <w:rPr>
          <w:rFonts w:hint="eastAsia" w:ascii="仿宋_GB2312" w:hAnsi="仿宋_GB2312" w:eastAsia="仿宋_GB2312" w:cs="仿宋_GB2312"/>
          <w:b w:val="0"/>
          <w:color w:val="000000"/>
          <w:spacing w:val="0"/>
          <w:sz w:val="32"/>
          <w:szCs w:val="32"/>
          <w:shd w:val="clear" w:color="auto" w:fill="FFFFFF"/>
          <w:lang w:bidi="ar-SA"/>
        </w:rPr>
        <w:t xml:space="preserve">数为 </w:t>
      </w:r>
      <w:r>
        <w:rPr>
          <w:rFonts w:hint="eastAsia" w:ascii="仿宋_GB2312" w:hAnsi="仿宋_GB2312" w:eastAsia="仿宋_GB2312" w:cs="仿宋_GB2312"/>
          <w:b w:val="0"/>
          <w:color w:val="000000"/>
          <w:spacing w:val="0"/>
          <w:sz w:val="32"/>
          <w:szCs w:val="32"/>
          <w:shd w:val="clear" w:color="auto" w:fill="FFFFFF"/>
          <w:lang w:val="en-US" w:eastAsia="zh-CN" w:bidi="ar-SA"/>
        </w:rPr>
        <w:t>223.11</w:t>
      </w:r>
      <w:r>
        <w:rPr>
          <w:rFonts w:hint="eastAsia" w:ascii="仿宋_GB2312" w:hAnsi="仿宋_GB2312" w:eastAsia="仿宋_GB2312" w:cs="仿宋_GB2312"/>
          <w:b w:val="0"/>
          <w:color w:val="000000"/>
          <w:spacing w:val="0"/>
          <w:sz w:val="32"/>
          <w:szCs w:val="32"/>
          <w:shd w:val="clear" w:color="auto" w:fill="FFFFFF"/>
          <w:lang w:bidi="ar-SA"/>
        </w:rPr>
        <w:t>万元，差异为</w:t>
      </w:r>
      <w:r>
        <w:rPr>
          <w:rFonts w:hint="eastAsia" w:ascii="仿宋_GB2312" w:hAnsi="仿宋_GB2312" w:eastAsia="仿宋_GB2312" w:cs="仿宋_GB2312"/>
          <w:b w:val="0"/>
          <w:color w:val="000000"/>
          <w:spacing w:val="0"/>
          <w:sz w:val="32"/>
          <w:szCs w:val="32"/>
          <w:shd w:val="clear" w:color="auto" w:fill="FFFFFF"/>
          <w:lang w:val="en-US" w:eastAsia="zh-CN" w:bidi="ar-SA"/>
        </w:rPr>
        <w:t>-15.36</w:t>
      </w:r>
      <w:r>
        <w:rPr>
          <w:rFonts w:hint="eastAsia" w:ascii="仿宋_GB2312" w:hAnsi="仿宋_GB2312" w:eastAsia="仿宋_GB2312" w:cs="仿宋_GB2312"/>
          <w:b w:val="0"/>
          <w:color w:val="000000"/>
          <w:spacing w:val="0"/>
          <w:sz w:val="32"/>
          <w:szCs w:val="32"/>
          <w:shd w:val="clear" w:color="auto" w:fill="FFFFFF"/>
          <w:lang w:bidi="ar-SA"/>
        </w:rPr>
        <w:t>万元；</w:t>
      </w:r>
      <w:r>
        <w:rPr>
          <w:rStyle w:val="18"/>
          <w:rFonts w:hint="eastAsia" w:ascii="仿宋_GB2312" w:hAnsi="仿宋_GB2312" w:eastAsia="仿宋_GB2312" w:cs="仿宋_GB2312"/>
          <w:b w:val="0"/>
          <w:color w:val="000000"/>
          <w:spacing w:val="0"/>
          <w:sz w:val="32"/>
          <w:szCs w:val="32"/>
          <w:shd w:val="clear" w:color="auto" w:fill="FFFFFF"/>
          <w:lang w:bidi="ar-SA"/>
        </w:rPr>
        <w:t>主要原</w:t>
      </w:r>
      <w:r>
        <w:rPr>
          <w:rStyle w:val="18"/>
          <w:rFonts w:hint="eastAsia" w:ascii="仿宋_GB2312" w:hAnsi="仿宋_GB2312" w:eastAsia="仿宋_GB2312" w:cs="仿宋_GB2312"/>
          <w:b w:val="0"/>
          <w:color w:val="000000"/>
          <w:spacing w:val="0"/>
          <w:sz w:val="32"/>
          <w:szCs w:val="32"/>
          <w:shd w:val="clear" w:color="auto" w:fill="FFFFFF"/>
          <w:lang w:val="en-US" w:eastAsia="zh-CN" w:bidi="ar-SA"/>
        </w:rPr>
        <w:t>因2025年我单位人员有所减少</w:t>
      </w:r>
      <w:r>
        <w:rPr>
          <w:rFonts w:hint="eastAsia" w:ascii="仿宋_GB2312" w:hAnsi="仿宋_GB2312" w:eastAsia="仿宋_GB2312" w:cs="仿宋_GB2312"/>
          <w:b w:val="0"/>
          <w:color w:val="000000"/>
          <w:spacing w:val="0"/>
          <w:sz w:val="32"/>
          <w:szCs w:val="32"/>
          <w:shd w:val="clear" w:color="auto" w:fill="FFFFFF"/>
          <w:lang w:bidi="ar-SA"/>
        </w:rPr>
        <w:t>。</w:t>
      </w:r>
    </w:p>
    <w:p w14:paraId="585A2A1B">
      <w:pPr>
        <w:pStyle w:val="2"/>
        <w:rPr>
          <w:rFonts w:hint="eastAsia" w:ascii="Times New Roman" w:hAnsi="Times New Roman" w:eastAsia="仿宋_GB2312" w:cs="仿宋_GB2312"/>
          <w:color w:val="auto"/>
          <w:sz w:val="32"/>
          <w:szCs w:val="32"/>
          <w:highlight w:val="none"/>
        </w:rPr>
      </w:pPr>
      <w:r>
        <w:drawing>
          <wp:inline distT="0" distB="0" distL="114300" distR="114300">
            <wp:extent cx="4878070" cy="2857500"/>
            <wp:effectExtent l="6350" t="6350" r="7620" b="16510"/>
            <wp:docPr id="1750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BA60F65">
      <w:pPr>
        <w:keepNext w:val="0"/>
        <w:keepLines w:val="0"/>
        <w:pageBreakBefore w:val="0"/>
        <w:widowControl w:val="0"/>
        <w:pBdr>
          <w:bottom w:val="single" w:color="FFFFFF" w:sz="4" w:space="31"/>
        </w:pBdr>
        <w:kinsoku/>
        <w:wordWrap/>
        <w:overflowPunct/>
        <w:topLinePunct w:val="0"/>
        <w:autoSpaceDE w:val="0"/>
        <w:autoSpaceDN/>
        <w:bidi w:val="0"/>
        <w:adjustRightInd/>
        <w:snapToGrid w:val="0"/>
        <w:spacing w:beforeAutospacing="0" w:afterAutospacing="0" w:line="576" w:lineRule="exact"/>
        <w:ind w:firstLine="320" w:firstLineChars="100"/>
        <w:textAlignment w:val="auto"/>
        <w:outlineLvl w:val="9"/>
        <w:rPr>
          <w:rFonts w:hint="eastAsia" w:ascii="Times New Roman" w:hAnsi="Times New Roman" w:eastAsia="黑体"/>
          <w:color w:val="auto"/>
          <w:sz w:val="32"/>
          <w:szCs w:val="32"/>
          <w:highlight w:val="none"/>
          <w:lang w:eastAsia="zh-CN"/>
        </w:rPr>
      </w:pP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bookmarkStart w:id="21" w:name="_Toc15377206"/>
      <w:bookmarkStart w:id="22" w:name="_Toc15396604"/>
    </w:p>
    <w:p w14:paraId="540BF14F">
      <w:pPr>
        <w:pStyle w:val="2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r>
        <w:rPr>
          <w:rFonts w:hint="eastAsia" w:ascii="Times New Roman" w:hAnsi="Times New Roman" w:eastAsia="黑体"/>
          <w:color w:val="auto"/>
          <w:sz w:val="32"/>
          <w:szCs w:val="32"/>
          <w:highlight w:val="none"/>
          <w:lang w:eastAsia="zh-CN"/>
        </w:rPr>
        <w:t>二、收入决算情况说明</w:t>
      </w:r>
      <w:bookmarkEnd w:id="21"/>
      <w:bookmarkEnd w:id="22"/>
    </w:p>
    <w:p w14:paraId="703E19D4">
      <w:pPr>
        <w:pStyle w:val="2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207.75</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207.75</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100</w:t>
      </w:r>
      <w:r>
        <w:rPr>
          <w:rFonts w:hint="eastAsia" w:ascii="Times New Roman" w:hAnsi="Times New Roman"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%；国有资本经营预算财政拨款收入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p>
    <w:p w14:paraId="0FE1DC45">
      <w:pPr>
        <w:pStyle w:val="28"/>
        <w:keepNext w:val="0"/>
        <w:keepLines w:val="0"/>
        <w:pageBreakBefore w:val="0"/>
        <w:widowControl w:val="0"/>
        <w:kinsoku/>
        <w:wordWrap/>
        <w:overflowPunct/>
        <w:topLinePunct w:val="0"/>
        <w:autoSpaceDE/>
        <w:autoSpaceDN/>
        <w:bidi w:val="0"/>
        <w:adjustRightInd/>
        <w:snapToGrid/>
        <w:spacing w:line="600" w:lineRule="exact"/>
        <w:ind w:left="0" w:firstLine="0" w:firstLineChars="0"/>
        <w:textAlignment w:val="auto"/>
        <w:outlineLvl w:val="1"/>
        <w:rPr>
          <w:rFonts w:hint="eastAsia" w:ascii="Times New Roman" w:hAnsi="Times New Roman" w:eastAsia="仿宋_GB2312" w:cs="仿宋_GB2312"/>
          <w:color w:val="auto"/>
          <w:sz w:val="32"/>
          <w:szCs w:val="32"/>
          <w:highlight w:val="none"/>
          <w:lang w:eastAsia="zh-CN"/>
        </w:rPr>
      </w:pPr>
    </w:p>
    <w:p w14:paraId="4535CEA6">
      <w:pPr>
        <w:pStyle w:val="28"/>
        <w:keepNext w:val="0"/>
        <w:keepLines w:val="0"/>
        <w:pageBreakBefore w:val="0"/>
        <w:widowControl w:val="0"/>
        <w:kinsoku/>
        <w:wordWrap/>
        <w:overflowPunct/>
        <w:topLinePunct w:val="0"/>
        <w:autoSpaceDE/>
        <w:autoSpaceDN/>
        <w:bidi w:val="0"/>
        <w:adjustRightInd/>
        <w:snapToGrid/>
        <w:spacing w:line="600" w:lineRule="exact"/>
        <w:ind w:firstLine="960" w:firstLineChars="300"/>
        <w:jc w:val="both"/>
        <w:textAlignment w:val="auto"/>
        <w:outlineLvl w:val="1"/>
        <w:rPr>
          <w:rFonts w:hint="eastAsia" w:ascii="Times New Roman" w:hAnsi="Times New Roman" w:eastAsia="仿宋_GB2312" w:cs="仿宋_GB2312"/>
          <w:color w:val="auto"/>
          <w:sz w:val="32"/>
          <w:szCs w:val="32"/>
          <w:highlight w:val="none"/>
          <w:lang w:eastAsia="zh-CN"/>
        </w:rPr>
      </w:pPr>
    </w:p>
    <w:p w14:paraId="46D7652E">
      <w:pPr>
        <w:pStyle w:val="28"/>
        <w:keepNext w:val="0"/>
        <w:keepLines w:val="0"/>
        <w:pageBreakBefore w:val="0"/>
        <w:widowControl w:val="0"/>
        <w:kinsoku/>
        <w:wordWrap/>
        <w:overflowPunct/>
        <w:topLinePunct w:val="0"/>
        <w:autoSpaceDE/>
        <w:autoSpaceDN/>
        <w:bidi w:val="0"/>
        <w:adjustRightInd/>
        <w:snapToGrid/>
        <w:spacing w:line="300" w:lineRule="auto"/>
        <w:ind w:firstLine="960" w:firstLineChars="300"/>
        <w:jc w:val="both"/>
        <w:textAlignment w:val="auto"/>
        <w:outlineLvl w:val="1"/>
        <w:rPr>
          <w:rFonts w:hint="eastAsia" w:ascii="Times New Roman" w:hAnsi="Times New Roman" w:eastAsia="仿宋_GB2312" w:cs="仿宋_GB2312"/>
          <w:color w:val="auto"/>
          <w:sz w:val="32"/>
          <w:szCs w:val="32"/>
          <w:highlight w:val="none"/>
          <w:lang w:eastAsia="zh-CN"/>
        </w:rPr>
      </w:pPr>
    </w:p>
    <w:p w14:paraId="1B80FAEC">
      <w:pPr>
        <w:pStyle w:val="28"/>
        <w:keepNext w:val="0"/>
        <w:keepLines w:val="0"/>
        <w:pageBreakBefore w:val="0"/>
        <w:widowControl w:val="0"/>
        <w:kinsoku/>
        <w:wordWrap/>
        <w:overflowPunct/>
        <w:topLinePunct w:val="0"/>
        <w:autoSpaceDE/>
        <w:autoSpaceDN/>
        <w:bidi w:val="0"/>
        <w:adjustRightInd/>
        <w:snapToGrid/>
        <w:spacing w:line="600" w:lineRule="exact"/>
        <w:ind w:firstLine="960" w:firstLineChars="300"/>
        <w:jc w:val="both"/>
        <w:textAlignment w:val="auto"/>
        <w:outlineLvl w:val="1"/>
        <w:rPr>
          <w:rFonts w:hint="eastAsia" w:ascii="Times New Roman" w:hAnsi="Times New Roman" w:eastAsia="仿宋_GB2312" w:cs="仿宋_GB2312"/>
          <w:color w:val="auto"/>
          <w:sz w:val="32"/>
          <w:szCs w:val="32"/>
          <w:highlight w:val="none"/>
          <w:lang w:eastAsia="zh-CN"/>
        </w:rPr>
      </w:pPr>
    </w:p>
    <w:p w14:paraId="452D0987">
      <w:pPr>
        <w:pStyle w:val="28"/>
        <w:keepNext w:val="0"/>
        <w:keepLines w:val="0"/>
        <w:pageBreakBefore w:val="0"/>
        <w:widowControl w:val="0"/>
        <w:kinsoku/>
        <w:wordWrap/>
        <w:overflowPunct/>
        <w:topLinePunct w:val="0"/>
        <w:autoSpaceDE/>
        <w:autoSpaceDN/>
        <w:bidi w:val="0"/>
        <w:adjustRightInd/>
        <w:snapToGrid/>
        <w:spacing w:line="240" w:lineRule="auto"/>
        <w:ind w:firstLine="960" w:firstLineChars="300"/>
        <w:jc w:val="both"/>
        <w:textAlignment w:val="auto"/>
        <w:outlineLvl w:val="1"/>
        <w:rPr>
          <w:rFonts w:hint="eastAsia" w:ascii="Times New Roman" w:hAnsi="Times New Roman" w:eastAsia="仿宋_GB2312" w:cs="仿宋_GB2312"/>
          <w:color w:val="auto"/>
          <w:sz w:val="32"/>
          <w:szCs w:val="32"/>
          <w:highlight w:val="none"/>
          <w:lang w:eastAsia="zh-CN"/>
        </w:rPr>
      </w:pPr>
    </w:p>
    <w:p w14:paraId="25AA2823">
      <w:pPr>
        <w:pStyle w:val="28"/>
        <w:keepNext w:val="0"/>
        <w:keepLines w:val="0"/>
        <w:pageBreakBefore w:val="0"/>
        <w:widowControl w:val="0"/>
        <w:kinsoku/>
        <w:wordWrap/>
        <w:overflowPunct/>
        <w:topLinePunct w:val="0"/>
        <w:autoSpaceDE/>
        <w:autoSpaceDN/>
        <w:bidi w:val="0"/>
        <w:adjustRightInd/>
        <w:snapToGrid/>
        <w:spacing w:line="600" w:lineRule="exact"/>
        <w:ind w:firstLine="960" w:firstLineChars="300"/>
        <w:jc w:val="both"/>
        <w:textAlignment w:val="auto"/>
        <w:outlineLvl w:val="1"/>
        <w:rPr>
          <w:rFonts w:hint="eastAsia" w:ascii="Times New Roman" w:hAnsi="Times New Roman" w:eastAsia="仿宋_GB2312" w:cs="仿宋_GB2312"/>
          <w:color w:val="auto"/>
          <w:sz w:val="32"/>
          <w:szCs w:val="32"/>
          <w:highlight w:val="none"/>
          <w:lang w:eastAsia="zh-CN"/>
        </w:rPr>
      </w:pPr>
    </w:p>
    <w:p w14:paraId="1B1B98C8">
      <w:pPr>
        <w:pStyle w:val="28"/>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both"/>
        <w:textAlignment w:val="auto"/>
        <w:outlineLvl w:val="1"/>
        <w:rPr>
          <w:rFonts w:hint="eastAsia" w:ascii="Times New Roman" w:hAnsi="Times New Roman" w:eastAsia="仿宋_GB2312" w:cs="仿宋_GB2312"/>
          <w:color w:val="auto"/>
          <w:sz w:val="32"/>
          <w:szCs w:val="32"/>
          <w:highlight w:val="none"/>
          <w:lang w:eastAsia="zh-CN"/>
        </w:rPr>
      </w:pPr>
    </w:p>
    <w:p w14:paraId="67910A34">
      <w:pPr>
        <w:pStyle w:val="28"/>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both"/>
        <w:textAlignment w:val="auto"/>
        <w:outlineLvl w:val="1"/>
        <w:rPr>
          <w:rFonts w:hint="eastAsia" w:ascii="Times New Roman" w:hAnsi="Times New Roman" w:eastAsia="仿宋_GB2312" w:cs="仿宋_GB2312"/>
          <w:color w:val="auto"/>
          <w:sz w:val="32"/>
          <w:szCs w:val="32"/>
          <w:highlight w:val="none"/>
          <w:lang w:eastAsia="zh-CN"/>
        </w:rPr>
      </w:pPr>
    </w:p>
    <w:p w14:paraId="08577840">
      <w:pPr>
        <w:pStyle w:val="28"/>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both"/>
        <w:textAlignment w:val="auto"/>
        <w:outlineLvl w:val="1"/>
        <w:rPr>
          <w:rFonts w:hint="eastAsia" w:ascii="Times New Roman" w:hAnsi="Times New Roman" w:eastAsia="仿宋_GB2312" w:cs="仿宋_GB2312"/>
          <w:color w:val="auto"/>
          <w:sz w:val="32"/>
          <w:szCs w:val="32"/>
          <w:highlight w:val="none"/>
          <w:lang w:eastAsia="zh-CN"/>
        </w:rPr>
      </w:pPr>
      <w:r>
        <w:drawing>
          <wp:anchor distT="0" distB="0" distL="114300" distR="114300" simplePos="0" relativeHeight="251660288" behindDoc="1" locked="0" layoutInCell="1" allowOverlap="1">
            <wp:simplePos x="0" y="0"/>
            <wp:positionH relativeFrom="column">
              <wp:posOffset>6350</wp:posOffset>
            </wp:positionH>
            <wp:positionV relativeFrom="paragraph">
              <wp:posOffset>-2843530</wp:posOffset>
            </wp:positionV>
            <wp:extent cx="4986020" cy="3137535"/>
            <wp:effectExtent l="6350" t="6350" r="6350" b="10795"/>
            <wp:wrapTight wrapText="bothSides">
              <wp:wrapPolygon>
                <wp:start x="-28" y="-44"/>
                <wp:lineTo x="-28" y="21464"/>
                <wp:lineTo x="21512" y="21464"/>
                <wp:lineTo x="21512" y="-44"/>
                <wp:lineTo x="-28" y="-44"/>
              </wp:wrapPolygon>
            </wp:wrapTight>
            <wp:docPr id="13207"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28BDE890">
      <w:pPr>
        <w:pStyle w:val="28"/>
        <w:keepNext w:val="0"/>
        <w:keepLines w:val="0"/>
        <w:pageBreakBefore w:val="0"/>
        <w:widowControl w:val="0"/>
        <w:kinsoku/>
        <w:wordWrap/>
        <w:overflowPunct/>
        <w:topLinePunct w:val="0"/>
        <w:autoSpaceDE/>
        <w:autoSpaceDN/>
        <w:bidi w:val="0"/>
        <w:adjustRightInd/>
        <w:snapToGrid/>
        <w:spacing w:line="600" w:lineRule="exact"/>
        <w:jc w:val="both"/>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14:paraId="60E21AA0">
      <w:pPr>
        <w:ind w:firstLine="800" w:firstLineChars="250"/>
        <w:rPr>
          <w:rFonts w:hint="eastAsia" w:ascii="Times New Roman" w:hAnsi="Times New Roman" w:eastAsia="仿宋_GB2312" w:cs="仿宋_GB2312"/>
          <w:color w:val="auto"/>
          <w:sz w:val="32"/>
          <w:szCs w:val="32"/>
          <w:highlight w:val="none"/>
          <w:lang w:eastAsia="zh-CN"/>
        </w:rPr>
      </w:pPr>
    </w:p>
    <w:p w14:paraId="7F198B00">
      <w:pPr>
        <w:pStyle w:val="2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Style w:val="21"/>
          <w:rFonts w:hint="eastAsia" w:ascii="Times New Roman" w:hAnsi="Times New Roman" w:eastAsia="黑体"/>
          <w:b w:val="0"/>
          <w:color w:val="auto"/>
          <w:highlight w:val="none"/>
        </w:rPr>
      </w:pPr>
      <w:bookmarkStart w:id="23" w:name="_Toc15396605"/>
      <w:bookmarkStart w:id="24"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21"/>
          <w:rFonts w:hint="eastAsia" w:ascii="Times New Roman" w:hAnsi="Times New Roman" w:eastAsia="黑体"/>
          <w:b w:val="0"/>
          <w:color w:val="auto"/>
          <w:highlight w:val="none"/>
        </w:rPr>
        <w:t>出决算情况说明</w:t>
      </w:r>
      <w:bookmarkEnd w:id="23"/>
      <w:bookmarkEnd w:id="24"/>
    </w:p>
    <w:p w14:paraId="39C7C4FE">
      <w:pPr>
        <w:pStyle w:val="28"/>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207.7</w:t>
      </w:r>
      <w:r>
        <w:rPr>
          <w:rFonts w:hint="eastAsia" w:ascii="仿宋_GB2312" w:hAnsi="仿宋_GB2312" w:eastAsia="仿宋_GB2312" w:cs="仿宋_GB2312"/>
          <w:sz w:val="32"/>
          <w:szCs w:val="32"/>
          <w:lang w:val="en-US" w:eastAsia="zh-CN"/>
        </w:rPr>
        <w:t>6</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183.46</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88.3</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24.3</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11.69</w:t>
      </w:r>
      <w:r>
        <w:rPr>
          <w:rFonts w:hint="eastAsia" w:ascii="Times New Roman" w:hAnsi="Times New Roman"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p>
    <w:p w14:paraId="683E97BD">
      <w:pPr>
        <w:pStyle w:val="28"/>
        <w:keepNext w:val="0"/>
        <w:keepLines w:val="0"/>
        <w:pageBreakBefore w:val="0"/>
        <w:widowControl w:val="0"/>
        <w:kinsoku/>
        <w:wordWrap/>
        <w:overflowPunct/>
        <w:topLinePunct w:val="0"/>
        <w:autoSpaceDE/>
        <w:autoSpaceDN/>
        <w:bidi w:val="0"/>
        <w:adjustRightInd/>
        <w:snapToGrid/>
        <w:spacing w:line="600" w:lineRule="exact"/>
        <w:ind w:left="0" w:firstLine="0" w:firstLineChars="0"/>
        <w:textAlignment w:val="auto"/>
        <w:outlineLvl w:val="1"/>
      </w:pPr>
      <w:r>
        <w:rPr>
          <w:rFonts w:hint="eastAsia"/>
          <w:lang w:val="en-US" w:eastAsia="zh-CN"/>
        </w:rPr>
        <w:t xml:space="preserve">      </w:t>
      </w:r>
    </w:p>
    <w:p w14:paraId="389E308C">
      <w:pPr>
        <w:pStyle w:val="28"/>
        <w:keepNext w:val="0"/>
        <w:keepLines w:val="0"/>
        <w:pageBreakBefore w:val="0"/>
        <w:widowControl w:val="0"/>
        <w:kinsoku/>
        <w:wordWrap/>
        <w:overflowPunct/>
        <w:topLinePunct w:val="0"/>
        <w:autoSpaceDE/>
        <w:autoSpaceDN/>
        <w:bidi w:val="0"/>
        <w:adjustRightInd/>
        <w:snapToGrid/>
        <w:spacing w:line="600" w:lineRule="exact"/>
        <w:ind w:left="0" w:firstLine="0" w:firstLineChars="0"/>
        <w:textAlignment w:val="auto"/>
        <w:outlineLvl w:val="1"/>
      </w:pPr>
    </w:p>
    <w:p w14:paraId="705E5E21">
      <w:pPr>
        <w:pStyle w:val="28"/>
        <w:keepNext w:val="0"/>
        <w:keepLines w:val="0"/>
        <w:pageBreakBefore w:val="0"/>
        <w:widowControl w:val="0"/>
        <w:kinsoku/>
        <w:wordWrap/>
        <w:overflowPunct/>
        <w:topLinePunct w:val="0"/>
        <w:autoSpaceDE/>
        <w:autoSpaceDN/>
        <w:bidi w:val="0"/>
        <w:adjustRightInd/>
        <w:snapToGrid/>
        <w:spacing w:line="600" w:lineRule="exact"/>
        <w:ind w:left="0" w:firstLine="0" w:firstLineChars="0"/>
        <w:textAlignment w:val="auto"/>
        <w:outlineLvl w:val="1"/>
      </w:pPr>
    </w:p>
    <w:p w14:paraId="2067A6D8">
      <w:pPr>
        <w:pStyle w:val="28"/>
        <w:keepNext w:val="0"/>
        <w:keepLines w:val="0"/>
        <w:pageBreakBefore w:val="0"/>
        <w:widowControl w:val="0"/>
        <w:kinsoku/>
        <w:wordWrap/>
        <w:overflowPunct/>
        <w:topLinePunct w:val="0"/>
        <w:autoSpaceDE/>
        <w:autoSpaceDN/>
        <w:bidi w:val="0"/>
        <w:adjustRightInd/>
        <w:snapToGrid/>
        <w:spacing w:line="600" w:lineRule="exact"/>
        <w:ind w:left="0" w:firstLine="0" w:firstLineChars="0"/>
        <w:textAlignment w:val="auto"/>
        <w:outlineLvl w:val="1"/>
      </w:pPr>
    </w:p>
    <w:p w14:paraId="5F024134">
      <w:pPr>
        <w:pStyle w:val="28"/>
        <w:keepNext w:val="0"/>
        <w:keepLines w:val="0"/>
        <w:pageBreakBefore w:val="0"/>
        <w:widowControl w:val="0"/>
        <w:kinsoku/>
        <w:wordWrap/>
        <w:overflowPunct/>
        <w:topLinePunct w:val="0"/>
        <w:autoSpaceDE/>
        <w:autoSpaceDN/>
        <w:bidi w:val="0"/>
        <w:adjustRightInd/>
        <w:snapToGrid/>
        <w:spacing w:line="600" w:lineRule="exact"/>
        <w:ind w:left="0" w:firstLine="0" w:firstLineChars="0"/>
        <w:textAlignment w:val="auto"/>
        <w:outlineLvl w:val="1"/>
      </w:pPr>
    </w:p>
    <w:p w14:paraId="27E811C0">
      <w:pPr>
        <w:pStyle w:val="28"/>
        <w:keepNext w:val="0"/>
        <w:keepLines w:val="0"/>
        <w:pageBreakBefore w:val="0"/>
        <w:widowControl w:val="0"/>
        <w:kinsoku/>
        <w:wordWrap/>
        <w:overflowPunct/>
        <w:topLinePunct w:val="0"/>
        <w:autoSpaceDE/>
        <w:autoSpaceDN/>
        <w:bidi w:val="0"/>
        <w:adjustRightInd/>
        <w:snapToGrid/>
        <w:spacing w:line="600" w:lineRule="exact"/>
        <w:ind w:left="0" w:firstLine="0" w:firstLineChars="0"/>
        <w:textAlignment w:val="auto"/>
        <w:outlineLvl w:val="1"/>
      </w:pPr>
    </w:p>
    <w:p w14:paraId="6E2570A9">
      <w:pPr>
        <w:pStyle w:val="28"/>
        <w:keepNext w:val="0"/>
        <w:keepLines w:val="0"/>
        <w:pageBreakBefore w:val="0"/>
        <w:widowControl w:val="0"/>
        <w:kinsoku/>
        <w:wordWrap/>
        <w:overflowPunct/>
        <w:topLinePunct w:val="0"/>
        <w:autoSpaceDE/>
        <w:autoSpaceDN/>
        <w:bidi w:val="0"/>
        <w:adjustRightInd/>
        <w:snapToGrid/>
        <w:spacing w:line="600" w:lineRule="exact"/>
        <w:ind w:left="0" w:firstLine="0" w:firstLineChars="0"/>
        <w:textAlignment w:val="auto"/>
        <w:outlineLvl w:val="1"/>
      </w:pPr>
    </w:p>
    <w:p w14:paraId="6AEB4E6E">
      <w:pPr>
        <w:pStyle w:val="28"/>
        <w:keepNext w:val="0"/>
        <w:keepLines w:val="0"/>
        <w:pageBreakBefore w:val="0"/>
        <w:widowControl w:val="0"/>
        <w:kinsoku/>
        <w:wordWrap/>
        <w:overflowPunct/>
        <w:topLinePunct w:val="0"/>
        <w:autoSpaceDE/>
        <w:autoSpaceDN/>
        <w:bidi w:val="0"/>
        <w:adjustRightInd/>
        <w:snapToGrid/>
        <w:spacing w:line="600" w:lineRule="exact"/>
        <w:ind w:left="0" w:firstLine="0" w:firstLineChars="0"/>
        <w:textAlignment w:val="auto"/>
        <w:outlineLvl w:val="1"/>
      </w:pPr>
    </w:p>
    <w:p w14:paraId="129583C6">
      <w:pPr>
        <w:pStyle w:val="28"/>
        <w:keepNext w:val="0"/>
        <w:keepLines w:val="0"/>
        <w:pageBreakBefore w:val="0"/>
        <w:widowControl w:val="0"/>
        <w:kinsoku/>
        <w:wordWrap/>
        <w:overflowPunct/>
        <w:topLinePunct w:val="0"/>
        <w:autoSpaceDE/>
        <w:autoSpaceDN/>
        <w:bidi w:val="0"/>
        <w:adjustRightInd/>
        <w:snapToGrid/>
        <w:spacing w:line="600" w:lineRule="exact"/>
        <w:ind w:left="0" w:firstLine="640" w:firstLineChars="200"/>
        <w:textAlignment w:val="auto"/>
        <w:outlineLvl w:val="1"/>
        <w:rPr>
          <w:rFonts w:hint="eastAsia" w:eastAsia="仿宋_GB2312" w:cs="仿宋_GB2312"/>
          <w:color w:val="auto"/>
          <w:sz w:val="32"/>
          <w:szCs w:val="32"/>
          <w:highlight w:val="none"/>
          <w:lang w:val="en-US" w:eastAsia="zh-CN"/>
        </w:rPr>
      </w:pPr>
      <w:r>
        <w:rPr>
          <w:rFonts w:hint="eastAsia" w:eastAsia="仿宋_GB2312" w:cs="仿宋_GB2312"/>
          <w:color w:val="auto"/>
          <w:sz w:val="32"/>
          <w:szCs w:val="32"/>
          <w:highlight w:val="none"/>
          <w:lang w:val="en-US" w:eastAsia="zh-CN"/>
        </w:rPr>
        <w:t xml:space="preserve">                </w:t>
      </w:r>
    </w:p>
    <w:p w14:paraId="6495977E">
      <w:pPr>
        <w:pStyle w:val="28"/>
        <w:keepNext w:val="0"/>
        <w:keepLines w:val="0"/>
        <w:pageBreakBefore w:val="0"/>
        <w:widowControl w:val="0"/>
        <w:kinsoku/>
        <w:wordWrap/>
        <w:overflowPunct/>
        <w:topLinePunct w:val="0"/>
        <w:autoSpaceDE/>
        <w:autoSpaceDN/>
        <w:bidi w:val="0"/>
        <w:adjustRightInd/>
        <w:snapToGrid/>
        <w:spacing w:line="600" w:lineRule="exact"/>
        <w:ind w:left="0" w:firstLine="640" w:firstLineChars="200"/>
        <w:textAlignment w:val="auto"/>
        <w:outlineLvl w:val="1"/>
        <w:rPr>
          <w:rFonts w:hint="eastAsia" w:eastAsia="仿宋_GB2312" w:cs="仿宋_GB2312"/>
          <w:color w:val="auto"/>
          <w:sz w:val="32"/>
          <w:szCs w:val="32"/>
          <w:highlight w:val="none"/>
          <w:lang w:val="en-US" w:eastAsia="zh-CN"/>
        </w:rPr>
      </w:pPr>
    </w:p>
    <w:p w14:paraId="4B7ECE35">
      <w:pPr>
        <w:pStyle w:val="28"/>
        <w:keepNext w:val="0"/>
        <w:keepLines w:val="0"/>
        <w:pageBreakBefore w:val="0"/>
        <w:widowControl w:val="0"/>
        <w:kinsoku/>
        <w:wordWrap/>
        <w:overflowPunct/>
        <w:topLinePunct w:val="0"/>
        <w:autoSpaceDE/>
        <w:autoSpaceDN/>
        <w:bidi w:val="0"/>
        <w:adjustRightInd/>
        <w:snapToGrid/>
        <w:spacing w:line="600" w:lineRule="exact"/>
        <w:ind w:left="0" w:firstLine="640" w:firstLineChars="200"/>
        <w:textAlignment w:val="auto"/>
        <w:outlineLvl w:val="1"/>
        <w:rPr>
          <w:rFonts w:hint="eastAsia" w:ascii="Times New Roman" w:hAnsi="Times New Roman" w:eastAsia="仿宋_GB2312" w:cs="仿宋_GB2312"/>
          <w:color w:val="auto"/>
          <w:sz w:val="32"/>
          <w:szCs w:val="32"/>
          <w:highlight w:val="none"/>
          <w:lang w:eastAsia="zh-CN"/>
        </w:rPr>
      </w:pPr>
    </w:p>
    <w:p w14:paraId="25C70053">
      <w:pPr>
        <w:pStyle w:val="28"/>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textAlignment w:val="auto"/>
        <w:outlineLvl w:val="1"/>
        <w:rPr>
          <w:rFonts w:hint="eastAsia" w:ascii="Times New Roman" w:hAnsi="Times New Roman" w:eastAsia="仿宋_GB2312" w:cs="仿宋_GB2312"/>
          <w:color w:val="auto"/>
          <w:sz w:val="32"/>
          <w:szCs w:val="32"/>
          <w:highlight w:val="none"/>
          <w:lang w:eastAsia="zh-CN"/>
        </w:rPr>
      </w:pPr>
      <w:bookmarkStart w:id="69" w:name="_GoBack"/>
      <w:r>
        <w:drawing>
          <wp:anchor distT="0" distB="0" distL="114300" distR="114300" simplePos="0" relativeHeight="251661312" behindDoc="1" locked="0" layoutInCell="1" allowOverlap="1">
            <wp:simplePos x="0" y="0"/>
            <wp:positionH relativeFrom="column">
              <wp:posOffset>6350</wp:posOffset>
            </wp:positionH>
            <wp:positionV relativeFrom="paragraph">
              <wp:posOffset>-2645410</wp:posOffset>
            </wp:positionV>
            <wp:extent cx="5034280" cy="2940685"/>
            <wp:effectExtent l="6350" t="6350" r="19050" b="9525"/>
            <wp:wrapTight wrapText="bothSides">
              <wp:wrapPolygon>
                <wp:start x="-27" y="-47"/>
                <wp:lineTo x="-27" y="21502"/>
                <wp:lineTo x="21551" y="21502"/>
                <wp:lineTo x="21551" y="-47"/>
                <wp:lineTo x="-27" y="-47"/>
              </wp:wrapPolygon>
            </wp:wrapTight>
            <wp:docPr id="17501"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bookmarkEnd w:id="69"/>
    </w:p>
    <w:p w14:paraId="6C91D701">
      <w:pPr>
        <w:pStyle w:val="28"/>
        <w:keepNext w:val="0"/>
        <w:keepLines w:val="0"/>
        <w:pageBreakBefore w:val="0"/>
        <w:widowControl w:val="0"/>
        <w:kinsoku/>
        <w:wordWrap/>
        <w:overflowPunct/>
        <w:topLinePunct w:val="0"/>
        <w:autoSpaceDE/>
        <w:autoSpaceDN/>
        <w:bidi w:val="0"/>
        <w:adjustRightInd/>
        <w:snapToGrid/>
        <w:spacing w:line="600" w:lineRule="exact"/>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（图3：支出决算结构图）（饼状图）</w:t>
      </w:r>
    </w:p>
    <w:p w14:paraId="347BB976">
      <w:pPr>
        <w:spacing w:line="600" w:lineRule="exact"/>
        <w:ind w:firstLine="640" w:firstLineChars="200"/>
        <w:outlineLvl w:val="1"/>
        <w:rPr>
          <w:rFonts w:hint="eastAsia" w:ascii="Times New Roman" w:hAnsi="Times New Roman" w:eastAsia="黑体"/>
          <w:color w:val="auto"/>
          <w:sz w:val="32"/>
          <w:szCs w:val="32"/>
          <w:highlight w:val="none"/>
        </w:rPr>
      </w:pPr>
      <w:bookmarkStart w:id="25" w:name="_Toc15377208"/>
      <w:bookmarkStart w:id="26" w:name="_Toc15396606"/>
    </w:p>
    <w:p w14:paraId="3D8304A5">
      <w:pPr>
        <w:spacing w:line="600" w:lineRule="exact"/>
        <w:ind w:firstLine="640" w:firstLineChars="200"/>
        <w:outlineLvl w:val="1"/>
        <w:rPr>
          <w:rStyle w:val="21"/>
          <w:rFonts w:ascii="Times New Roman" w:hAnsi="Times New Roman" w:eastAsia="黑体"/>
          <w:b w:val="0"/>
          <w:color w:val="auto"/>
          <w:highlight w:val="none"/>
        </w:rPr>
      </w:pPr>
      <w:r>
        <w:rPr>
          <w:rFonts w:hint="eastAsia" w:ascii="Times New Roman" w:hAnsi="Times New Roman" w:eastAsia="黑体"/>
          <w:color w:val="auto"/>
          <w:sz w:val="32"/>
          <w:szCs w:val="32"/>
          <w:highlight w:val="none"/>
        </w:rPr>
        <w:t>四、财</w:t>
      </w:r>
      <w:r>
        <w:rPr>
          <w:rStyle w:val="21"/>
          <w:rFonts w:hint="eastAsia" w:ascii="Times New Roman" w:hAnsi="Times New Roman" w:eastAsia="黑体"/>
          <w:b w:val="0"/>
          <w:color w:val="auto"/>
          <w:highlight w:val="none"/>
        </w:rPr>
        <w:t>政拨款收入支出决算总体情况说明</w:t>
      </w:r>
      <w:bookmarkEnd w:id="25"/>
      <w:bookmarkEnd w:id="26"/>
    </w:p>
    <w:p w14:paraId="1EC4AD63">
      <w:pPr>
        <w:keepNext w:val="0"/>
        <w:keepLines w:val="0"/>
        <w:pageBreakBefore w:val="0"/>
        <w:widowControl w:val="0"/>
        <w:pBdr>
          <w:bottom w:val="single" w:color="FFFFFF" w:sz="4" w:space="31"/>
        </w:pBdr>
        <w:kinsoku/>
        <w:wordWrap/>
        <w:overflowPunct/>
        <w:topLinePunct w:val="0"/>
        <w:autoSpaceDE w:val="0"/>
        <w:autoSpaceDN/>
        <w:bidi w:val="0"/>
        <w:adjustRightInd/>
        <w:snapToGrid w:val="0"/>
        <w:spacing w:beforeAutospacing="0" w:afterAutospacing="0" w:line="576" w:lineRule="exact"/>
        <w:ind w:firstLine="640" w:firstLineChars="200"/>
        <w:textAlignment w:val="auto"/>
        <w:outlineLvl w:val="9"/>
        <w:rPr>
          <w:rStyle w:val="18"/>
          <w:rFonts w:hint="eastAsia" w:ascii="仿宋_GB2312" w:hAnsi="仿宋_GB2312" w:eastAsia="仿宋_GB2312" w:cs="仿宋_GB2312"/>
          <w:b w:val="0"/>
          <w:color w:val="000000"/>
          <w:spacing w:val="0"/>
          <w:sz w:val="32"/>
          <w:szCs w:val="32"/>
          <w:shd w:val="clear" w:color="auto" w:fill="FFFFFF"/>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207.75</w:t>
      </w:r>
      <w:r>
        <w:rPr>
          <w:rFonts w:hint="eastAsia" w:ascii="Times New Roman" w:hAnsi="Times New Roman" w:eastAsia="仿宋_GB2312" w:cs="仿宋_GB2312"/>
          <w:color w:val="auto"/>
          <w:kern w:val="2"/>
          <w:sz w:val="32"/>
          <w:szCs w:val="32"/>
          <w:highlight w:val="none"/>
          <w:lang w:val="en-US" w:eastAsia="zh-CN" w:bidi="ar-SA"/>
        </w:rPr>
        <w:t>万元。与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年度相比，财政拨款收入、支出总计各</w:t>
      </w:r>
      <w:r>
        <w:rPr>
          <w:rFonts w:hint="eastAsia" w:eastAsia="仿宋_GB2312" w:cs="仿宋_GB2312"/>
          <w:color w:val="auto"/>
          <w:kern w:val="2"/>
          <w:sz w:val="32"/>
          <w:szCs w:val="32"/>
          <w:highlight w:val="none"/>
          <w:lang w:val="en-US" w:eastAsia="zh-CN" w:bidi="ar-SA"/>
        </w:rPr>
        <w:t>项</w:t>
      </w:r>
      <w:r>
        <w:rPr>
          <w:rFonts w:hint="eastAsia" w:ascii="Times New Roman" w:hAnsi="Times New Roman" w:eastAsia="仿宋_GB2312" w:cs="仿宋_GB2312"/>
          <w:color w:val="auto"/>
          <w:kern w:val="2"/>
          <w:sz w:val="32"/>
          <w:szCs w:val="32"/>
          <w:highlight w:val="none"/>
          <w:lang w:val="en-US" w:eastAsia="zh-CN" w:bidi="ar-SA"/>
        </w:rPr>
        <w:t>减少</w:t>
      </w:r>
      <w:r>
        <w:rPr>
          <w:rFonts w:hint="eastAsia" w:eastAsia="仿宋_GB2312" w:cs="仿宋_GB2312"/>
          <w:color w:val="auto"/>
          <w:kern w:val="2"/>
          <w:sz w:val="32"/>
          <w:szCs w:val="32"/>
          <w:highlight w:val="none"/>
          <w:lang w:val="en-US" w:eastAsia="zh-CN" w:bidi="ar-SA"/>
        </w:rPr>
        <w:t>15.36</w:t>
      </w:r>
      <w:r>
        <w:rPr>
          <w:rFonts w:hint="eastAsia" w:ascii="Times New Roman" w:hAnsi="Times New Roman" w:eastAsia="仿宋_GB2312" w:cs="仿宋_GB2312"/>
          <w:color w:val="auto"/>
          <w:kern w:val="2"/>
          <w:sz w:val="32"/>
          <w:szCs w:val="32"/>
          <w:highlight w:val="none"/>
          <w:lang w:val="en-US" w:eastAsia="zh-CN" w:bidi="ar-SA"/>
        </w:rPr>
        <w:t>万元，下降</w:t>
      </w:r>
      <w:r>
        <w:rPr>
          <w:rFonts w:hint="eastAsia" w:eastAsia="仿宋_GB2312" w:cs="仿宋_GB2312"/>
          <w:color w:val="auto"/>
          <w:kern w:val="2"/>
          <w:sz w:val="32"/>
          <w:szCs w:val="32"/>
          <w:highlight w:val="none"/>
          <w:lang w:val="en-US" w:eastAsia="zh-CN" w:bidi="ar-SA"/>
        </w:rPr>
        <w:t>7.4</w:t>
      </w:r>
      <w:r>
        <w:rPr>
          <w:rFonts w:hint="eastAsia" w:ascii="Times New Roman" w:hAnsi="Times New Roman" w:eastAsia="仿宋_GB2312" w:cs="仿宋_GB2312"/>
          <w:color w:val="auto"/>
          <w:kern w:val="2"/>
          <w:sz w:val="32"/>
          <w:szCs w:val="32"/>
          <w:highlight w:val="none"/>
          <w:lang w:val="en-US" w:eastAsia="zh-CN" w:bidi="ar-SA"/>
        </w:rPr>
        <w:t>%。主要变动原因是</w:t>
      </w:r>
      <w:r>
        <w:rPr>
          <w:rStyle w:val="18"/>
          <w:rFonts w:hint="eastAsia" w:ascii="仿宋_GB2312" w:hAnsi="仿宋_GB2312" w:eastAsia="仿宋_GB2312" w:cs="仿宋_GB2312"/>
          <w:b w:val="0"/>
          <w:color w:val="000000"/>
          <w:spacing w:val="0"/>
          <w:sz w:val="32"/>
          <w:szCs w:val="32"/>
          <w:shd w:val="clear" w:color="auto" w:fill="FFFFFF"/>
          <w:lang w:bidi="ar-SA"/>
        </w:rPr>
        <w:t>主要原</w:t>
      </w:r>
      <w:r>
        <w:rPr>
          <w:rStyle w:val="18"/>
          <w:rFonts w:hint="eastAsia" w:ascii="仿宋_GB2312" w:hAnsi="仿宋_GB2312" w:eastAsia="仿宋_GB2312" w:cs="仿宋_GB2312"/>
          <w:b w:val="0"/>
          <w:color w:val="000000"/>
          <w:spacing w:val="0"/>
          <w:sz w:val="32"/>
          <w:szCs w:val="32"/>
          <w:shd w:val="clear" w:color="auto" w:fill="FFFFFF"/>
          <w:lang w:val="en-US" w:eastAsia="zh-CN" w:bidi="ar-SA"/>
        </w:rPr>
        <w:t>因为本年本单位在职人数有所减少。</w:t>
      </w:r>
    </w:p>
    <w:p w14:paraId="597E0ACB">
      <w:pPr>
        <w:pStyle w:val="2"/>
        <w:rPr>
          <w:rFonts w:hint="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column">
                  <wp:posOffset>320675</wp:posOffset>
                </wp:positionH>
                <wp:positionV relativeFrom="paragraph">
                  <wp:posOffset>34925</wp:posOffset>
                </wp:positionV>
                <wp:extent cx="4785360" cy="403860"/>
                <wp:effectExtent l="0" t="0" r="0" b="7620"/>
                <wp:wrapNone/>
                <wp:docPr id="2" name="文本框 2"/>
                <wp:cNvGraphicFramePr/>
                <a:graphic xmlns:a="http://schemas.openxmlformats.org/drawingml/2006/main">
                  <a:graphicData uri="http://schemas.microsoft.com/office/word/2010/wordprocessingShape">
                    <wps:wsp>
                      <wps:cNvSpPr/>
                      <wps:spPr>
                        <a:xfrm>
                          <a:off x="0" y="0"/>
                          <a:ext cx="4785360" cy="403860"/>
                        </a:xfrm>
                        <a:prstGeom prst="rect">
                          <a:avLst/>
                        </a:prstGeom>
                        <a:solidFill>
                          <a:srgbClr val="FFFFFF"/>
                        </a:solidFill>
                        <a:ln w="6350" cap="flat" cmpd="sng">
                          <a:noFill/>
                          <a:prstDash val="solid"/>
                          <a:round/>
                        </a:ln>
                      </wps:spPr>
                      <wps:txbx>
                        <w:txbxContent>
                          <w:p w14:paraId="66DE6A78">
                            <w:pPr>
                              <w:rPr>
                                <w:rFonts w:hint="eastAsia" w:eastAsia="宋体"/>
                                <w:sz w:val="28"/>
                                <w:szCs w:val="28"/>
                                <w:lang w:val="en-US" w:eastAsia="zh-CN"/>
                              </w:rPr>
                            </w:pPr>
                            <w:r>
                              <w:rPr>
                                <w:rFonts w:hint="eastAsia"/>
                                <w:sz w:val="28"/>
                                <w:szCs w:val="28"/>
                              </w:rPr>
                              <w:t>一般公共预算财政拨款收入决算变动情况（单位：万</w:t>
                            </w:r>
                            <w:r>
                              <w:rPr>
                                <w:rFonts w:hint="eastAsia"/>
                                <w:sz w:val="28"/>
                                <w:szCs w:val="28"/>
                                <w:lang w:val="en-US" w:eastAsia="zh-CN"/>
                              </w:rPr>
                              <w:t>元）</w:t>
                            </w:r>
                          </w:p>
                        </w:txbxContent>
                      </wps:txbx>
                      <wps:bodyPr vert="horz" wrap="square" lIns="91440" tIns="45720" rIns="91440" bIns="45720" anchor="t" anchorCtr="0" upright="0">
                        <a:noAutofit/>
                      </wps:bodyPr>
                    </wps:wsp>
                  </a:graphicData>
                </a:graphic>
              </wp:anchor>
            </w:drawing>
          </mc:Choice>
          <mc:Fallback>
            <w:pict>
              <v:rect id="文本框 2" o:spid="_x0000_s1026" o:spt="1" style="position:absolute;left:0pt;margin-left:25.25pt;margin-top:2.75pt;height:31.8pt;width:376.8pt;z-index:251659264;mso-width-relative:page;mso-height-relative:page;" fillcolor="#FFFFFF" filled="t" stroked="f" coordsize="21600,21600" o:gfxdata="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X7OodMAAAAHAQAA&#10;DwAAAAAAAAABACAAAAAiAAAAZHJzL2Rvd25yZXYueG1sUEsBAhQAFAAAAAgAh07iQHhXO+EeAgAA&#10;MAQAAA4AAAAAAAAAAQAgAAAAIgEAAGRycy9lMm9Eb2MueG1sUEsFBgAAAAAGAAYAWQEAALIFAAAA&#10;AA==&#10;">
                <v:fill on="t" focussize="0,0"/>
                <v:stroke on="f" weight="0.5pt" joinstyle="round"/>
                <v:imagedata o:title=""/>
                <o:lock v:ext="edit" aspectratio="f"/>
                <v:textbox>
                  <w:txbxContent>
                    <w:p w14:paraId="66DE6A78">
                      <w:pPr>
                        <w:rPr>
                          <w:rFonts w:hint="eastAsia" w:eastAsia="宋体"/>
                          <w:sz w:val="28"/>
                          <w:szCs w:val="28"/>
                          <w:lang w:val="en-US" w:eastAsia="zh-CN"/>
                        </w:rPr>
                      </w:pPr>
                      <w:r>
                        <w:rPr>
                          <w:rFonts w:hint="eastAsia"/>
                          <w:sz w:val="28"/>
                          <w:szCs w:val="28"/>
                        </w:rPr>
                        <w:t>一般公共预算财政拨款收入决算变动情况（单位：万</w:t>
                      </w:r>
                      <w:r>
                        <w:rPr>
                          <w:rFonts w:hint="eastAsia"/>
                          <w:sz w:val="28"/>
                          <w:szCs w:val="28"/>
                          <w:lang w:val="en-US" w:eastAsia="zh-CN"/>
                        </w:rPr>
                        <w:t>元）</w:t>
                      </w:r>
                    </w:p>
                  </w:txbxContent>
                </v:textbox>
              </v:rect>
            </w:pict>
          </mc:Fallback>
        </mc:AlternateContent>
      </w:r>
      <w:r>
        <w:drawing>
          <wp:inline distT="0" distB="0" distL="114300" distR="114300">
            <wp:extent cx="5224145" cy="2301875"/>
            <wp:effectExtent l="4444" t="4444" r="13335" b="10160"/>
            <wp:docPr id="17506"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EE12FC6">
      <w:pPr>
        <w:spacing w:line="600" w:lineRule="exact"/>
        <w:ind w:firstLine="320" w:firstLineChars="100"/>
        <w:rPr>
          <w:rFonts w:hint="eastAsia" w:ascii="Times New Roman" w:hAnsi="Times New Roman" w:eastAsia="黑体"/>
          <w:color w:val="auto"/>
          <w:sz w:val="32"/>
          <w:szCs w:val="32"/>
          <w:highlight w:val="none"/>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bookmarkStart w:id="27" w:name="_Toc15377209"/>
      <w:bookmarkStart w:id="28" w:name="_Toc15396607"/>
    </w:p>
    <w:p w14:paraId="392B917F">
      <w:pPr>
        <w:spacing w:line="600" w:lineRule="exact"/>
        <w:ind w:firstLine="640" w:firstLineChars="200"/>
        <w:outlineLvl w:val="1"/>
        <w:rPr>
          <w:rStyle w:val="21"/>
          <w:rFonts w:ascii="Times New Roman" w:hAnsi="Times New Roman" w:eastAsia="黑体"/>
          <w:b w:val="0"/>
          <w:color w:val="auto"/>
          <w:highlight w:val="none"/>
        </w:rPr>
      </w:pPr>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21"/>
          <w:rFonts w:hint="eastAsia" w:ascii="Times New Roman" w:hAnsi="Times New Roman" w:eastAsia="黑体"/>
          <w:b w:val="0"/>
          <w:color w:val="auto"/>
          <w:highlight w:val="none"/>
        </w:rPr>
        <w:t>般公共预算财政拨款支出决算情况说明</w:t>
      </w:r>
      <w:bookmarkEnd w:id="27"/>
      <w:bookmarkEnd w:id="28"/>
    </w:p>
    <w:p w14:paraId="15DCB95F">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9"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9"/>
    </w:p>
    <w:p w14:paraId="22B32036">
      <w:pPr>
        <w:keepNext w:val="0"/>
        <w:keepLines w:val="0"/>
        <w:pageBreakBefore w:val="0"/>
        <w:widowControl w:val="0"/>
        <w:pBdr>
          <w:bottom w:val="single" w:color="FFFFFF" w:sz="4" w:space="31"/>
        </w:pBdr>
        <w:kinsoku/>
        <w:wordWrap/>
        <w:overflowPunct/>
        <w:topLinePunct w:val="0"/>
        <w:autoSpaceDE w:val="0"/>
        <w:autoSpaceDN/>
        <w:bidi w:val="0"/>
        <w:adjustRightInd/>
        <w:snapToGrid w:val="0"/>
        <w:spacing w:beforeAutospacing="0" w:afterAutospacing="0" w:line="576" w:lineRule="exact"/>
        <w:ind w:firstLine="640" w:firstLineChars="200"/>
        <w:textAlignment w:val="auto"/>
        <w:outlineLvl w:val="9"/>
        <w:rPr>
          <w:rStyle w:val="18"/>
          <w:rFonts w:hint="eastAsia" w:ascii="仿宋_GB2312" w:hAnsi="仿宋_GB2312" w:eastAsia="仿宋_GB2312" w:cs="仿宋_GB2312"/>
          <w:b w:val="0"/>
          <w:color w:val="000000"/>
          <w:spacing w:val="0"/>
          <w:sz w:val="32"/>
          <w:szCs w:val="32"/>
          <w:shd w:val="clear" w:color="auto" w:fill="FFFFFF"/>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207.75</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100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年度相比，一般公共预算财政拨款支减少</w:t>
      </w:r>
      <w:r>
        <w:rPr>
          <w:rFonts w:hint="eastAsia" w:eastAsia="仿宋_GB2312" w:cs="仿宋_GB2312"/>
          <w:color w:val="auto"/>
          <w:kern w:val="2"/>
          <w:sz w:val="32"/>
          <w:szCs w:val="32"/>
          <w:highlight w:val="none"/>
          <w:lang w:val="en-US" w:eastAsia="zh-CN" w:bidi="ar-SA"/>
        </w:rPr>
        <w:t>15.36</w:t>
      </w:r>
      <w:r>
        <w:rPr>
          <w:rFonts w:hint="eastAsia" w:ascii="Times New Roman" w:hAnsi="Times New Roman" w:eastAsia="仿宋_GB2312" w:cs="仿宋_GB2312"/>
          <w:color w:val="auto"/>
          <w:kern w:val="2"/>
          <w:sz w:val="32"/>
          <w:szCs w:val="32"/>
          <w:highlight w:val="none"/>
          <w:lang w:val="en-US" w:eastAsia="zh-CN" w:bidi="ar-SA"/>
        </w:rPr>
        <w:t>万元，下降</w:t>
      </w:r>
      <w:r>
        <w:rPr>
          <w:rFonts w:hint="eastAsia" w:eastAsia="仿宋_GB2312" w:cs="仿宋_GB2312"/>
          <w:color w:val="auto"/>
          <w:kern w:val="2"/>
          <w:sz w:val="32"/>
          <w:szCs w:val="32"/>
          <w:highlight w:val="none"/>
          <w:lang w:val="en-US" w:eastAsia="zh-CN" w:bidi="ar-SA"/>
        </w:rPr>
        <w:t>7.4</w:t>
      </w:r>
      <w:r>
        <w:rPr>
          <w:rFonts w:hint="eastAsia" w:ascii="Times New Roman" w:hAnsi="Times New Roman" w:eastAsia="仿宋_GB2312" w:cs="仿宋_GB2312"/>
          <w:color w:val="auto"/>
          <w:kern w:val="2"/>
          <w:sz w:val="32"/>
          <w:szCs w:val="32"/>
          <w:highlight w:val="none"/>
          <w:lang w:val="en-US" w:eastAsia="zh-CN" w:bidi="ar-SA"/>
        </w:rPr>
        <w:t>%。主要变动原因是</w:t>
      </w:r>
      <w:r>
        <w:rPr>
          <w:rStyle w:val="18"/>
          <w:rFonts w:hint="eastAsia" w:ascii="仿宋_GB2312" w:hAnsi="仿宋_GB2312" w:eastAsia="仿宋_GB2312" w:cs="仿宋_GB2312"/>
          <w:b w:val="0"/>
          <w:color w:val="000000"/>
          <w:spacing w:val="0"/>
          <w:sz w:val="32"/>
          <w:szCs w:val="32"/>
          <w:shd w:val="clear" w:color="auto" w:fill="FFFFFF"/>
          <w:lang w:bidi="ar-SA"/>
        </w:rPr>
        <w:t>主要原</w:t>
      </w:r>
      <w:r>
        <w:rPr>
          <w:rStyle w:val="18"/>
          <w:rFonts w:hint="eastAsia" w:ascii="仿宋_GB2312" w:hAnsi="仿宋_GB2312" w:eastAsia="仿宋_GB2312" w:cs="仿宋_GB2312"/>
          <w:b w:val="0"/>
          <w:color w:val="000000"/>
          <w:spacing w:val="0"/>
          <w:sz w:val="32"/>
          <w:szCs w:val="32"/>
          <w:shd w:val="clear" w:color="auto" w:fill="FFFFFF"/>
          <w:lang w:val="en-US" w:eastAsia="zh-CN" w:bidi="ar-SA"/>
        </w:rPr>
        <w:t>因为本年本单位在职人数有所减少。</w:t>
      </w:r>
    </w:p>
    <w:p w14:paraId="7BAE50CD">
      <w:pPr>
        <w:pStyle w:val="2"/>
        <w:rPr>
          <w:rFonts w:hint="eastAsia" w:ascii="Times New Roman" w:hAnsi="Times New Roman" w:eastAsia="仿宋_GB2312" w:cs="仿宋_GB2312"/>
          <w:color w:val="auto"/>
          <w:kern w:val="2"/>
          <w:sz w:val="32"/>
          <w:szCs w:val="32"/>
          <w:highlight w:val="none"/>
          <w:lang w:val="en-US" w:eastAsia="zh-CN" w:bidi="ar-SA"/>
        </w:rPr>
      </w:pPr>
      <w:r>
        <w:rPr>
          <w:sz w:val="18"/>
        </w:rPr>
        <mc:AlternateContent>
          <mc:Choice Requires="wps">
            <w:drawing>
              <wp:anchor distT="0" distB="0" distL="114300" distR="114300" simplePos="0" relativeHeight="251659264" behindDoc="0" locked="0" layoutInCell="1" allowOverlap="1">
                <wp:simplePos x="0" y="0"/>
                <wp:positionH relativeFrom="column">
                  <wp:posOffset>297815</wp:posOffset>
                </wp:positionH>
                <wp:positionV relativeFrom="paragraph">
                  <wp:posOffset>44450</wp:posOffset>
                </wp:positionV>
                <wp:extent cx="4708525" cy="403860"/>
                <wp:effectExtent l="0" t="0" r="635" b="7620"/>
                <wp:wrapNone/>
                <wp:docPr id="4" name="文本框 4"/>
                <wp:cNvGraphicFramePr/>
                <a:graphic xmlns:a="http://schemas.openxmlformats.org/drawingml/2006/main">
                  <a:graphicData uri="http://schemas.microsoft.com/office/word/2010/wordprocessingShape">
                    <wps:wsp>
                      <wps:cNvSpPr/>
                      <wps:spPr>
                        <a:xfrm>
                          <a:off x="0" y="0"/>
                          <a:ext cx="4708525" cy="403860"/>
                        </a:xfrm>
                        <a:prstGeom prst="rect">
                          <a:avLst/>
                        </a:prstGeom>
                        <a:solidFill>
                          <a:srgbClr val="FFFFFF"/>
                        </a:solidFill>
                        <a:ln w="6350" cap="flat" cmpd="sng">
                          <a:noFill/>
                          <a:prstDash val="solid"/>
                          <a:round/>
                        </a:ln>
                      </wps:spPr>
                      <wps:txbx>
                        <w:txbxContent>
                          <w:p w14:paraId="57644B1A">
                            <w:pPr>
                              <w:rPr>
                                <w:rFonts w:hint="eastAsia" w:eastAsia="宋体"/>
                                <w:color w:val="auto"/>
                                <w:sz w:val="28"/>
                                <w:szCs w:val="28"/>
                                <w:lang w:val="en-US" w:eastAsia="zh-CN"/>
                              </w:rPr>
                            </w:pPr>
                            <w:r>
                              <w:rPr>
                                <w:rFonts w:hint="eastAsia"/>
                                <w:color w:val="auto"/>
                                <w:sz w:val="28"/>
                                <w:szCs w:val="28"/>
                              </w:rPr>
                              <w:t>一般公共预算财政拨款收入决算变动情况（单位：万</w:t>
                            </w:r>
                            <w:r>
                              <w:rPr>
                                <w:rFonts w:hint="eastAsia"/>
                                <w:color w:val="auto"/>
                                <w:sz w:val="28"/>
                                <w:szCs w:val="28"/>
                                <w:lang w:val="en-US" w:eastAsia="zh-CN"/>
                              </w:rPr>
                              <w:t>元）</w:t>
                            </w:r>
                          </w:p>
                          <w:p w14:paraId="66D03802">
                            <w:pPr>
                              <w:rPr>
                                <w:color w:val="auto"/>
                              </w:rPr>
                            </w:pPr>
                          </w:p>
                        </w:txbxContent>
                      </wps:txbx>
                      <wps:bodyPr vert="horz" wrap="square" lIns="91440" tIns="45720" rIns="91440" bIns="45720" anchor="t" anchorCtr="0" upright="0">
                        <a:noAutofit/>
                      </wps:bodyPr>
                    </wps:wsp>
                  </a:graphicData>
                </a:graphic>
              </wp:anchor>
            </w:drawing>
          </mc:Choice>
          <mc:Fallback>
            <w:pict>
              <v:rect id="文本框 4" o:spid="_x0000_s1026" o:spt="1" style="position:absolute;left:0pt;margin-left:23.45pt;margin-top:3.5pt;height:31.8pt;width:370.75pt;z-index:251659264;mso-width-relative:page;mso-height-relative:page;" fillcolor="#FFFFFF" filled="t" stroked="f" coordsize="21600,21600" o:gfxdata="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D4ThHUAAAA&#10;BwEAAA8AAAAAAAAAAQAgAAAAIgAAAGRycy9kb3ducmV2LnhtbFBLAQIUABQAAAAIAIdO4kAW8DwI&#10;IQIAADAEAAAOAAAAAAAAAAEAIAAAACMBAABkcnMvZTJvRG9jLnhtbFBLBQYAAAAABgAGAFkBAAC2&#10;BQAAAAA=&#10;">
                <v:fill on="t" focussize="0,0"/>
                <v:stroke on="f" weight="0.5pt" joinstyle="round"/>
                <v:imagedata o:title=""/>
                <o:lock v:ext="edit" aspectratio="f"/>
                <v:textbox>
                  <w:txbxContent>
                    <w:p w14:paraId="57644B1A">
                      <w:pPr>
                        <w:rPr>
                          <w:rFonts w:hint="eastAsia" w:eastAsia="宋体"/>
                          <w:color w:val="auto"/>
                          <w:sz w:val="28"/>
                          <w:szCs w:val="28"/>
                          <w:lang w:val="en-US" w:eastAsia="zh-CN"/>
                        </w:rPr>
                      </w:pPr>
                      <w:r>
                        <w:rPr>
                          <w:rFonts w:hint="eastAsia"/>
                          <w:color w:val="auto"/>
                          <w:sz w:val="28"/>
                          <w:szCs w:val="28"/>
                        </w:rPr>
                        <w:t>一般公共预算财政拨款收入决算变动情况（单位：万</w:t>
                      </w:r>
                      <w:r>
                        <w:rPr>
                          <w:rFonts w:hint="eastAsia"/>
                          <w:color w:val="auto"/>
                          <w:sz w:val="28"/>
                          <w:szCs w:val="28"/>
                          <w:lang w:val="en-US" w:eastAsia="zh-CN"/>
                        </w:rPr>
                        <w:t>元）</w:t>
                      </w:r>
                    </w:p>
                    <w:p w14:paraId="66D03802">
                      <w:pPr>
                        <w:rPr>
                          <w:color w:val="auto"/>
                        </w:rPr>
                      </w:pPr>
                    </w:p>
                  </w:txbxContent>
                </v:textbox>
              </v:rect>
            </w:pict>
          </mc:Fallback>
        </mc:AlternateContent>
      </w:r>
      <w:r>
        <w:drawing>
          <wp:inline distT="0" distB="0" distL="114300" distR="114300">
            <wp:extent cx="5263515" cy="2280285"/>
            <wp:effectExtent l="4444" t="4444" r="5080" b="16510"/>
            <wp:docPr id="3"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FFA7971">
      <w:pPr>
        <w:spacing w:line="600" w:lineRule="exact"/>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14:paraId="75E3F620">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0" w:name="_Toc15377211"/>
    </w:p>
    <w:p w14:paraId="07D1BA49">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（二）一般公共预算财政拨款支出决算结构情况</w:t>
      </w:r>
      <w:bookmarkEnd w:id="30"/>
    </w:p>
    <w:p w14:paraId="1F40F37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207.75</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%；教育支出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%；科学技术支出</w:t>
      </w:r>
      <w:r>
        <w:rPr>
          <w:rFonts w:hint="eastAsia" w:eastAsia="仿宋_GB2312" w:cs="仿宋_GB2312"/>
          <w:color w:val="auto"/>
          <w:kern w:val="2"/>
          <w:sz w:val="32"/>
          <w:szCs w:val="32"/>
          <w:highlight w:val="none"/>
          <w:lang w:val="en-US" w:eastAsia="zh-CN" w:bidi="ar-SA"/>
        </w:rPr>
        <w:t>158.81</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76.44</w:t>
      </w:r>
      <w:r>
        <w:rPr>
          <w:rFonts w:hint="eastAsia" w:ascii="Times New Roman" w:hAnsi="Times New Roman" w:eastAsia="仿宋_GB2312" w:cs="仿宋_GB2312"/>
          <w:color w:val="auto"/>
          <w:kern w:val="2"/>
          <w:sz w:val="32"/>
          <w:szCs w:val="32"/>
          <w:highlight w:val="none"/>
          <w:lang w:val="en-US" w:eastAsia="zh-CN" w:bidi="ar-SA"/>
        </w:rPr>
        <w:t>%；文化旅游体育与传媒支出</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%；社会保障和就业支出</w:t>
      </w:r>
      <w:r>
        <w:rPr>
          <w:rFonts w:hint="eastAsia" w:eastAsia="仿宋_GB2312" w:cs="仿宋_GB2312"/>
          <w:color w:val="auto"/>
          <w:kern w:val="2"/>
          <w:sz w:val="32"/>
          <w:szCs w:val="32"/>
          <w:highlight w:val="none"/>
          <w:lang w:val="en-US" w:eastAsia="zh-CN" w:bidi="ar-SA"/>
        </w:rPr>
        <w:t>25.58</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12.31</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9.46</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4.55</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13.96</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6.72</w:t>
      </w:r>
      <w:r>
        <w:rPr>
          <w:rFonts w:hint="eastAsia" w:ascii="Times New Roman" w:hAnsi="Times New Roman" w:eastAsia="仿宋_GB2312" w:cs="仿宋_GB2312"/>
          <w:color w:val="auto"/>
          <w:kern w:val="2"/>
          <w:sz w:val="32"/>
          <w:szCs w:val="32"/>
          <w:highlight w:val="none"/>
          <w:lang w:val="en-US" w:eastAsia="zh-CN" w:bidi="ar-SA"/>
        </w:rPr>
        <w:t>%；</w:t>
      </w:r>
    </w:p>
    <w:p w14:paraId="6F1EAA02">
      <w:pPr>
        <w:pStyle w:val="3"/>
        <w:ind w:left="0" w:leftChars="0" w:firstLine="0" w:firstLineChars="0"/>
      </w:pPr>
      <w:r>
        <w:drawing>
          <wp:inline distT="0" distB="0" distL="114300" distR="114300">
            <wp:extent cx="4722495" cy="2962910"/>
            <wp:effectExtent l="4444" t="4444" r="12064" b="19684"/>
            <wp:docPr id="17507"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2CE7E2E">
      <w:pPr>
        <w:pStyle w:val="3"/>
        <w:ind w:left="0" w:leftChars="0" w:firstLine="0" w:firstLineChars="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14:paraId="2C7067D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C19F2F6">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1"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31"/>
    </w:p>
    <w:p w14:paraId="5FAABE13">
      <w:pPr>
        <w:pStyle w:val="3"/>
        <w:ind w:left="0" w:leftChars="0"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2025年度一般公共预算支出决算数为207.75万元，完成预算100%。其中:</w:t>
      </w:r>
    </w:p>
    <w:p w14:paraId="54198171">
      <w:pPr>
        <w:pStyle w:val="3"/>
        <w:ind w:left="0" w:leftChars="0"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1.科学技术支出(类)科学技术管理事务(款)行政运行(项):支出决算84.03万元，完成预算100%。</w:t>
      </w:r>
    </w:p>
    <w:p w14:paraId="41CA9567">
      <w:pPr>
        <w:pStyle w:val="3"/>
        <w:ind w:left="0" w:leftChars="0"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2.科学技术支出(类)科学技术管理事务(款)一般行政管理事务(项):支出决算10.3万元，完成预算100%。</w:t>
      </w:r>
    </w:p>
    <w:p w14:paraId="37CD8A18">
      <w:pPr>
        <w:pStyle w:val="3"/>
        <w:ind w:left="0" w:leftChars="0"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3.科学技术支出(类)科学技术普及(款)其他科学技术普及支出(项):支出决算64.48万元，完成预算100%。</w:t>
      </w:r>
    </w:p>
    <w:p w14:paraId="4DAAEBE0">
      <w:pPr>
        <w:pStyle w:val="3"/>
        <w:ind w:left="0" w:leftChars="0"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4.社会保障和就业支出(类)行政事业单位养老支出(款)机关事业单位基本养老保险缴费支出(项):支出决算16.99万元，完成预算100%。</w:t>
      </w:r>
    </w:p>
    <w:p w14:paraId="5F03DAE8">
      <w:pPr>
        <w:pStyle w:val="3"/>
        <w:ind w:left="0" w:leftChars="0"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5.社会保障和就业支出(类)行政事业单位养老支出(款)机关事业单位职业年金缴费支出(项):支出决算8.58万元，完成预算100%。</w:t>
      </w:r>
    </w:p>
    <w:p w14:paraId="61C9F1B4">
      <w:pPr>
        <w:pStyle w:val="3"/>
        <w:ind w:left="0" w:leftChars="0"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6.卫生健康支出(类)行政事业单位医疗(款)行单位医疗(项):支出决算4.66万元，完成预算100%。</w:t>
      </w:r>
    </w:p>
    <w:p w14:paraId="5EC29750">
      <w:pPr>
        <w:pStyle w:val="3"/>
        <w:ind w:left="0" w:leftChars="0"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7.卫生健康支出(类)行政事业单位医疗(款)事业单位医疗(项):支出决算3.36万元，完成预算100%。</w:t>
      </w:r>
    </w:p>
    <w:p w14:paraId="7E0FC20E">
      <w:pPr>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8.卫生健康支出(类)行政事业单位医疗(款)公务员医疗补助(项):支出决算0.86万元，完成预算100%。</w:t>
      </w:r>
    </w:p>
    <w:p w14:paraId="4B1BD4B0">
      <w:pPr>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9.卫生健康支出(类)行政事业单位医疗(款)其他行政事业单位医疗支出(项):支出决算0.54万元，完成预算100%。</w:t>
      </w:r>
    </w:p>
    <w:p w14:paraId="3B866542">
      <w:pPr>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10.住房保障支出(类)住房改革支出(款)住房公积金(项):支出决算13.96万元，完成预算100%</w:t>
      </w:r>
    </w:p>
    <w:p w14:paraId="6C9AE228">
      <w:pPr>
        <w:tabs>
          <w:tab w:val="right" w:pos="8306"/>
        </w:tabs>
        <w:spacing w:line="600" w:lineRule="exact"/>
        <w:ind w:firstLine="640"/>
        <w:outlineLvl w:val="1"/>
        <w:rPr>
          <w:rFonts w:hint="eastAsia" w:ascii="Times New Roman" w:hAnsi="Times New Roman" w:eastAsia="黑体"/>
          <w:color w:val="auto"/>
          <w:sz w:val="32"/>
          <w:szCs w:val="32"/>
          <w:highlight w:val="none"/>
        </w:rPr>
      </w:pPr>
      <w:bookmarkStart w:id="32" w:name="_Toc15377214"/>
      <w:bookmarkStart w:id="33" w:name="_Toc15396608"/>
    </w:p>
    <w:p w14:paraId="79DAA0D3">
      <w:pPr>
        <w:tabs>
          <w:tab w:val="right" w:pos="8306"/>
        </w:tabs>
        <w:spacing w:line="600" w:lineRule="exact"/>
        <w:ind w:firstLine="640"/>
        <w:outlineLvl w:val="1"/>
        <w:rPr>
          <w:rStyle w:val="21"/>
          <w:rFonts w:ascii="Times New Roman" w:hAnsi="Times New Roman"/>
          <w:color w:val="auto"/>
          <w:highlight w:val="none"/>
        </w:rPr>
      </w:pPr>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21"/>
          <w:rFonts w:hint="eastAsia" w:ascii="Times New Roman" w:hAnsi="Times New Roman" w:eastAsia="黑体"/>
          <w:b w:val="0"/>
          <w:color w:val="auto"/>
          <w:highlight w:val="none"/>
        </w:rPr>
        <w:t>般公共预算财政拨款基本支出决算情况说明</w:t>
      </w:r>
      <w:bookmarkEnd w:id="32"/>
      <w:bookmarkEnd w:id="33"/>
      <w:r>
        <w:rPr>
          <w:rStyle w:val="21"/>
          <w:rFonts w:ascii="Times New Roman" w:hAnsi="Times New Roman" w:eastAsia="黑体"/>
          <w:b w:val="0"/>
          <w:color w:val="auto"/>
          <w:highlight w:val="none"/>
        </w:rPr>
        <w:tab/>
      </w:r>
    </w:p>
    <w:p w14:paraId="69A17C9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183.46</w:t>
      </w:r>
      <w:r>
        <w:rPr>
          <w:rFonts w:hint="eastAsia" w:ascii="Times New Roman" w:hAnsi="Times New Roman" w:eastAsia="仿宋_GB2312" w:cs="仿宋_GB2312"/>
          <w:color w:val="auto"/>
          <w:kern w:val="2"/>
          <w:sz w:val="32"/>
          <w:szCs w:val="32"/>
          <w:highlight w:val="none"/>
          <w:lang w:val="en-US" w:eastAsia="zh-CN" w:bidi="ar-SA"/>
        </w:rPr>
        <w:t>万元，其中：</w:t>
      </w:r>
    </w:p>
    <w:p w14:paraId="44FF034A">
      <w:pPr>
        <w:spacing w:line="600" w:lineRule="exact"/>
        <w:ind w:firstLine="640"/>
        <w:outlineLvl w:val="1"/>
        <w:rPr>
          <w:rFonts w:hint="eastAsia" w:eastAsia="仿宋_GB2312" w:cs="仿宋_GB2312"/>
          <w:color w:val="auto"/>
          <w:kern w:val="2"/>
          <w:sz w:val="32"/>
          <w:szCs w:val="32"/>
          <w:highlight w:val="none"/>
          <w:lang w:val="en-US" w:eastAsia="zh-CN" w:bidi="ar-SA"/>
        </w:rPr>
      </w:pPr>
      <w:bookmarkStart w:id="34" w:name="_Toc15396609"/>
      <w:bookmarkStart w:id="35" w:name="_Toc15377215"/>
      <w:r>
        <w:rPr>
          <w:rFonts w:hint="eastAsia" w:ascii="Times New Roman" w:hAnsi="Times New Roman" w:eastAsia="仿宋_GB2312" w:cs="仿宋_GB2312"/>
          <w:color w:val="auto"/>
          <w:kern w:val="2"/>
          <w:sz w:val="32"/>
          <w:szCs w:val="32"/>
          <w:highlight w:val="none"/>
          <w:lang w:val="en-US" w:eastAsia="zh-CN" w:bidi="ar-SA"/>
        </w:rPr>
        <w:t>人员经费168.03万元，主要包括:基本工资34.04万元、津贴补贴37.86万元、奖金33.37万元、绩效工资10.93万元、机关事业单位基本养老保险缴费16.99万元</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职业年金缴费8.58万元、职工基本医疗保险缴费8.01万元</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公务员医疗补助缴费1.4万元、其他社会保障缴费0.52万元、住房公积金13.96万元、医疗费1.1万元、生活补助1.1万元、医疗费补助0.16万元、奖励金0.01万元</w:t>
      </w:r>
      <w:r>
        <w:rPr>
          <w:rFonts w:hint="eastAsia" w:eastAsia="仿宋_GB2312" w:cs="仿宋_GB2312"/>
          <w:color w:val="auto"/>
          <w:kern w:val="2"/>
          <w:sz w:val="32"/>
          <w:szCs w:val="32"/>
          <w:highlight w:val="none"/>
          <w:lang w:val="en-US" w:eastAsia="zh-CN" w:bidi="ar-SA"/>
        </w:rPr>
        <w:t>。</w:t>
      </w:r>
    </w:p>
    <w:p w14:paraId="1686D405">
      <w:pPr>
        <w:spacing w:line="600" w:lineRule="exact"/>
        <w:ind w:firstLine="640"/>
        <w:outlineLvl w:val="1"/>
        <w:rPr>
          <w:rFonts w:hint="eastAsia" w:ascii="Times New Roman" w:hAnsi="Times New Roman" w:eastAsia="黑体"/>
          <w:color w:val="auto"/>
          <w:sz w:val="32"/>
          <w:szCs w:val="32"/>
          <w:highlight w:val="none"/>
        </w:rPr>
      </w:pPr>
      <w:r>
        <w:rPr>
          <w:rFonts w:hint="eastAsia" w:ascii="Times New Roman" w:hAnsi="Times New Roman" w:eastAsia="仿宋_GB2312" w:cs="仿宋_GB2312"/>
          <w:color w:val="auto"/>
          <w:kern w:val="2"/>
          <w:sz w:val="32"/>
          <w:szCs w:val="32"/>
          <w:highlight w:val="none"/>
          <w:lang w:val="en-US" w:eastAsia="zh-CN" w:bidi="ar-SA"/>
        </w:rPr>
        <w:t>公用经费15.12万元，</w:t>
      </w:r>
      <w:r>
        <w:rPr>
          <w:rFonts w:hint="eastAsia" w:eastAsia="仿宋_GB2312" w:cs="仿宋_GB2312"/>
          <w:color w:val="auto"/>
          <w:kern w:val="2"/>
          <w:sz w:val="32"/>
          <w:szCs w:val="32"/>
          <w:highlight w:val="none"/>
          <w:lang w:val="en-US" w:eastAsia="zh-CN" w:bidi="ar-SA"/>
        </w:rPr>
        <w:t>主</w:t>
      </w:r>
      <w:r>
        <w:rPr>
          <w:rFonts w:hint="eastAsia" w:ascii="Times New Roman" w:hAnsi="Times New Roman" w:eastAsia="仿宋_GB2312" w:cs="仿宋_GB2312"/>
          <w:color w:val="auto"/>
          <w:kern w:val="2"/>
          <w:sz w:val="32"/>
          <w:szCs w:val="32"/>
          <w:highlight w:val="none"/>
          <w:lang w:val="en-US" w:eastAsia="zh-CN" w:bidi="ar-SA"/>
        </w:rPr>
        <w:t>要包括:办公费1.29万元，印刷费0.27万元、手线费0.12万元、电费0.32万元，邮电费0.28万元、差旅费1.61万元、维修(护)费0.38万元、会议费0.9万元、培训费0.86万元、公务接待费0.14万元、委托业务费0.6万元、工会经费1.24万元、福利费0.04万元、公务用车运行维护费5.8万元、其他商品和服务支出1.57万元、小计1.26万元。</w:t>
      </w:r>
    </w:p>
    <w:p w14:paraId="43EFAA37">
      <w:pPr>
        <w:spacing w:line="600" w:lineRule="exact"/>
        <w:ind w:firstLine="640"/>
        <w:outlineLvl w:val="1"/>
        <w:rPr>
          <w:rFonts w:hint="eastAsia" w:ascii="Times New Roman" w:hAnsi="Times New Roman" w:eastAsia="黑体"/>
          <w:color w:val="auto"/>
          <w:sz w:val="32"/>
          <w:szCs w:val="32"/>
          <w:highlight w:val="none"/>
        </w:rPr>
      </w:pPr>
    </w:p>
    <w:p w14:paraId="5717E150">
      <w:pPr>
        <w:spacing w:line="600" w:lineRule="exact"/>
        <w:ind w:firstLine="640"/>
        <w:outlineLvl w:val="1"/>
        <w:rPr>
          <w:rStyle w:val="21"/>
          <w:rFonts w:ascii="Times New Roman" w:hAnsi="Times New Roman" w:eastAsia="黑体"/>
          <w:b w:val="0"/>
          <w:color w:val="auto"/>
          <w:highlight w:val="none"/>
        </w:rPr>
      </w:pPr>
      <w:r>
        <w:rPr>
          <w:rFonts w:hint="eastAsia" w:ascii="Times New Roman" w:hAnsi="Times New Roman" w:eastAsia="黑体"/>
          <w:color w:val="auto"/>
          <w:sz w:val="32"/>
          <w:szCs w:val="32"/>
          <w:highlight w:val="none"/>
        </w:rPr>
        <w:t>七、</w:t>
      </w:r>
      <w:r>
        <w:rPr>
          <w:rStyle w:val="21"/>
          <w:rFonts w:hint="eastAsia" w:ascii="Times New Roman" w:hAnsi="Times New Roman" w:eastAsia="黑体"/>
          <w:b w:val="0"/>
          <w:color w:val="auto"/>
          <w:highlight w:val="none"/>
        </w:rPr>
        <w:t>财政拨款</w:t>
      </w:r>
      <w:r>
        <w:rPr>
          <w:rStyle w:val="21"/>
          <w:rFonts w:hint="eastAsia" w:ascii="Times New Roman" w:hAnsi="Times New Roman" w:eastAsia="黑体"/>
          <w:color w:val="auto"/>
          <w:highlight w:val="none"/>
        </w:rPr>
        <w:t>“</w:t>
      </w:r>
      <w:r>
        <w:rPr>
          <w:rStyle w:val="21"/>
          <w:rFonts w:hint="eastAsia" w:ascii="Times New Roman" w:hAnsi="Times New Roman" w:eastAsia="黑体"/>
          <w:b w:val="0"/>
          <w:color w:val="auto"/>
          <w:highlight w:val="none"/>
        </w:rPr>
        <w:t>三公”经费支出决算情况说明</w:t>
      </w:r>
      <w:bookmarkEnd w:id="34"/>
      <w:bookmarkEnd w:id="35"/>
    </w:p>
    <w:p w14:paraId="2AB28A47">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6"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36"/>
    </w:p>
    <w:p w14:paraId="229824A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5.94</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lang w:val="en-US" w:eastAsia="zh-CN"/>
        </w:rPr>
        <w:t>80.6</w:t>
      </w:r>
      <w:r>
        <w:rPr>
          <w:rFonts w:hint="eastAsia" w:ascii="Times New Roman" w:hAnsi="Times New Roman" w:eastAsia="仿宋_GB2312" w:cs="仿宋_GB2312"/>
          <w:color w:val="auto"/>
          <w:kern w:val="2"/>
          <w:sz w:val="32"/>
          <w:szCs w:val="32"/>
          <w:highlight w:val="none"/>
          <w:lang w:val="en-US" w:eastAsia="zh-CN" w:bidi="ar-SA"/>
        </w:rPr>
        <w:t>%，较上年度减少</w:t>
      </w:r>
      <w:r>
        <w:rPr>
          <w:rFonts w:hint="eastAsia" w:eastAsia="仿宋_GB2312" w:cs="仿宋_GB2312"/>
          <w:color w:val="auto"/>
          <w:kern w:val="2"/>
          <w:sz w:val="32"/>
          <w:szCs w:val="32"/>
          <w:highlight w:val="none"/>
          <w:lang w:val="en-US" w:eastAsia="zh-CN" w:bidi="ar-SA"/>
        </w:rPr>
        <w:t>0.02</w:t>
      </w:r>
      <w:r>
        <w:rPr>
          <w:rFonts w:hint="eastAsia" w:ascii="Times New Roman" w:hAnsi="Times New Roman" w:eastAsia="仿宋_GB2312" w:cs="仿宋_GB2312"/>
          <w:color w:val="auto"/>
          <w:kern w:val="2"/>
          <w:sz w:val="32"/>
          <w:szCs w:val="32"/>
          <w:highlight w:val="none"/>
          <w:lang w:val="en-US" w:eastAsia="zh-CN" w:bidi="ar-SA"/>
        </w:rPr>
        <w:t>万元，下降</w:t>
      </w:r>
      <w:r>
        <w:rPr>
          <w:rFonts w:hint="eastAsia" w:eastAsia="仿宋_GB2312" w:cs="仿宋_GB2312"/>
          <w:color w:val="auto"/>
          <w:kern w:val="2"/>
          <w:sz w:val="32"/>
          <w:szCs w:val="32"/>
          <w:highlight w:val="none"/>
          <w:lang w:val="en-US" w:eastAsia="zh-CN" w:bidi="ar-SA"/>
        </w:rPr>
        <w:t>0.34</w:t>
      </w:r>
      <w:r>
        <w:rPr>
          <w:rFonts w:hint="eastAsia" w:ascii="Times New Roman" w:hAnsi="Times New Roman" w:eastAsia="仿宋_GB2312" w:cs="仿宋_GB2312"/>
          <w:color w:val="auto"/>
          <w:kern w:val="2"/>
          <w:sz w:val="32"/>
          <w:szCs w:val="32"/>
          <w:highlight w:val="none"/>
          <w:lang w:val="en-US" w:eastAsia="zh-CN" w:bidi="ar-SA"/>
        </w:rPr>
        <w:t>%。决算数小于预算数主要原因是本年度“三公”经费较上年减少，主要原因：一是严格落实过紧日子要求，从严控制“三公”经费支出，强化预算刚性约束，压减一般性支出；二是精简公务活动，严控公务接待规模与标准，公务用车运行维护等开支；三是优化公务出行方式，合理统筹调度公务车辆，降低车辆燃油、维修等运行成本，各项支出均严格执行审批管理制度。</w:t>
      </w:r>
    </w:p>
    <w:p w14:paraId="6327A62F">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7"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37"/>
    </w:p>
    <w:p w14:paraId="546F9A9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w:t>
      </w:r>
      <w:r>
        <w:rPr>
          <w:rFonts w:hint="eastAsia" w:ascii="仿宋_GB2312" w:hAnsi="仿宋_GB2312" w:eastAsia="仿宋_GB2312" w:cs="仿宋_GB2312"/>
          <w:sz w:val="32"/>
          <w:szCs w:val="32"/>
        </w:rPr>
        <w:t>5.8</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80.33</w:t>
      </w:r>
      <w:r>
        <w:rPr>
          <w:rFonts w:hint="eastAsia" w:ascii="Times New Roman" w:hAnsi="Times New Roman" w:eastAsia="仿宋_GB2312" w:cs="仿宋_GB2312"/>
          <w:color w:val="auto"/>
          <w:kern w:val="2"/>
          <w:sz w:val="32"/>
          <w:szCs w:val="32"/>
          <w:highlight w:val="none"/>
          <w:lang w:val="en-US" w:eastAsia="zh-CN" w:bidi="ar-SA"/>
        </w:rPr>
        <w:t>%；公务接待费支出决算</w:t>
      </w:r>
      <w:r>
        <w:rPr>
          <w:rFonts w:hint="eastAsia" w:ascii="仿宋_GB2312" w:hAnsi="仿宋_GB2312" w:eastAsia="仿宋_GB2312" w:cs="仿宋_GB2312"/>
          <w:sz w:val="32"/>
          <w:szCs w:val="32"/>
        </w:rPr>
        <w:t>0.14</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2.36</w:t>
      </w:r>
      <w:r>
        <w:rPr>
          <w:rFonts w:hint="eastAsia" w:ascii="Times New Roman" w:hAnsi="Times New Roman" w:eastAsia="仿宋_GB2312" w:cs="仿宋_GB2312"/>
          <w:color w:val="auto"/>
          <w:kern w:val="2"/>
          <w:sz w:val="32"/>
          <w:szCs w:val="32"/>
          <w:highlight w:val="none"/>
          <w:lang w:val="en-US" w:eastAsia="zh-CN" w:bidi="ar-SA"/>
        </w:rPr>
        <w:t>%。具体情况如下：</w:t>
      </w:r>
    </w:p>
    <w:p w14:paraId="32B2D64C">
      <w:pPr>
        <w:pStyle w:val="2"/>
        <w:rPr>
          <w:rFonts w:hint="eastAsia" w:ascii="Times New Roman" w:hAnsi="Times New Roman" w:eastAsia="仿宋_GB2312" w:cs="仿宋_GB2312"/>
          <w:color w:val="auto"/>
          <w:kern w:val="2"/>
          <w:sz w:val="32"/>
          <w:szCs w:val="32"/>
          <w:highlight w:val="none"/>
          <w:lang w:val="en-US" w:eastAsia="zh-CN" w:bidi="ar-SA"/>
        </w:rPr>
      </w:pPr>
    </w:p>
    <w:p w14:paraId="25D4C2F4">
      <w:pPr>
        <w:pStyle w:val="3"/>
        <w:ind w:left="0" w:leftChars="0" w:firstLine="0" w:firstLineChars="0"/>
        <w:rPr>
          <w:rFonts w:hint="eastAsia"/>
          <w:lang w:val="en-US" w:eastAsia="zh-CN"/>
        </w:rPr>
      </w:pPr>
      <w:r>
        <w:drawing>
          <wp:inline distT="0" distB="0" distL="114300" distR="114300">
            <wp:extent cx="4650105" cy="3240405"/>
            <wp:effectExtent l="4444" t="4444" r="8889" b="15875"/>
            <wp:docPr id="17508"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52362B4">
      <w:pPr>
        <w:spacing w:line="600" w:lineRule="exact"/>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14:paraId="7812157F">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p>
    <w:p w14:paraId="5D41C0E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100</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全年安排因公出国（境）团组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人。因公出国（境）支出决算比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p>
    <w:p w14:paraId="4410722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5.8</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eastAsia="仿宋_GB2312" w:cs="仿宋_GB2312"/>
          <w:b/>
          <w:bCs/>
          <w:color w:val="auto"/>
          <w:kern w:val="2"/>
          <w:sz w:val="32"/>
          <w:szCs w:val="32"/>
          <w:highlight w:val="none"/>
          <w:lang w:val="en-US" w:eastAsia="zh-CN" w:bidi="ar-SA"/>
        </w:rPr>
        <w:t>78.7</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减少</w:t>
      </w:r>
      <w:r>
        <w:rPr>
          <w:rFonts w:hint="eastAsia" w:eastAsia="仿宋_GB2312" w:cs="仿宋_GB2312"/>
          <w:color w:val="auto"/>
          <w:kern w:val="2"/>
          <w:sz w:val="32"/>
          <w:szCs w:val="32"/>
          <w:highlight w:val="none"/>
          <w:lang w:val="en-US" w:eastAsia="zh-CN" w:bidi="ar-SA"/>
        </w:rPr>
        <w:t>0.1</w:t>
      </w:r>
      <w:r>
        <w:rPr>
          <w:rFonts w:hint="eastAsia" w:ascii="Times New Roman" w:hAnsi="Times New Roman" w:eastAsia="仿宋_GB2312" w:cs="仿宋_GB2312"/>
          <w:color w:val="auto"/>
          <w:kern w:val="2"/>
          <w:sz w:val="32"/>
          <w:szCs w:val="32"/>
          <w:highlight w:val="none"/>
          <w:lang w:val="en-US" w:eastAsia="zh-CN" w:bidi="ar-SA"/>
        </w:rPr>
        <w:t>万元，下降</w:t>
      </w:r>
      <w:r>
        <w:rPr>
          <w:rFonts w:hint="eastAsia" w:eastAsia="仿宋_GB2312" w:cs="仿宋_GB2312"/>
          <w:color w:val="auto"/>
          <w:kern w:val="2"/>
          <w:sz w:val="32"/>
          <w:szCs w:val="32"/>
          <w:highlight w:val="none"/>
          <w:lang w:val="en-US" w:eastAsia="zh-CN" w:bidi="ar-SA"/>
        </w:rPr>
        <w:t>1.68</w:t>
      </w:r>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eastAsia="仿宋_GB2312" w:cs="仿宋_GB2312"/>
          <w:color w:val="auto"/>
          <w:kern w:val="2"/>
          <w:sz w:val="32"/>
          <w:szCs w:val="32"/>
          <w:highlight w:val="none"/>
          <w:lang w:val="en-US" w:eastAsia="zh-CN" w:bidi="ar-SA"/>
        </w:rPr>
        <w:t>严控</w:t>
      </w:r>
      <w:r>
        <w:rPr>
          <w:rFonts w:hint="eastAsia" w:ascii="Times New Roman" w:hAnsi="Times New Roman" w:eastAsia="仿宋_GB2312" w:cs="仿宋_GB2312"/>
          <w:color w:val="auto"/>
          <w:kern w:val="2"/>
          <w:sz w:val="32"/>
          <w:szCs w:val="32"/>
          <w:highlight w:val="none"/>
          <w:lang w:val="en-US" w:eastAsia="zh-CN" w:bidi="ar-SA"/>
        </w:rPr>
        <w:t>公务用车运行维护开支；优化公务出行方式，合理统筹调度公务车辆，降低车辆燃油、维修等运行成本其中：截至202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w:t>
      </w:r>
      <w:r>
        <w:rPr>
          <w:rFonts w:hint="eastAsia" w:eastAsia="仿宋_GB2312" w:cs="仿宋_GB2312"/>
          <w:color w:val="auto"/>
          <w:kern w:val="2"/>
          <w:sz w:val="32"/>
          <w:szCs w:val="32"/>
          <w:highlight w:val="none"/>
          <w:lang w:val="en-US" w:eastAsia="zh-CN" w:bidi="ar-SA"/>
        </w:rPr>
        <w:t>2</w:t>
      </w:r>
      <w:r>
        <w:rPr>
          <w:rFonts w:hint="eastAsia" w:ascii="Times New Roman" w:hAnsi="Times New Roman" w:eastAsia="仿宋_GB2312" w:cs="仿宋_GB2312"/>
          <w:color w:val="auto"/>
          <w:kern w:val="2"/>
          <w:sz w:val="32"/>
          <w:szCs w:val="32"/>
          <w:highlight w:val="none"/>
          <w:lang w:val="en-US" w:eastAsia="zh-CN" w:bidi="ar-SA"/>
        </w:rPr>
        <w:t>辆，其中：越野车</w:t>
      </w:r>
      <w:r>
        <w:rPr>
          <w:rFonts w:hint="eastAsia"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en-US" w:eastAsia="zh-CN" w:bidi="ar-SA"/>
        </w:rPr>
        <w:t>辆、</w:t>
      </w:r>
      <w:r>
        <w:rPr>
          <w:rFonts w:hint="eastAsia" w:eastAsia="仿宋_GB2312" w:cs="仿宋_GB2312"/>
          <w:color w:val="auto"/>
          <w:kern w:val="2"/>
          <w:sz w:val="32"/>
          <w:szCs w:val="32"/>
          <w:highlight w:val="none"/>
          <w:lang w:val="en-US" w:eastAsia="zh-CN" w:bidi="ar-SA"/>
        </w:rPr>
        <w:t>科普车1</w:t>
      </w:r>
      <w:r>
        <w:rPr>
          <w:rFonts w:hint="eastAsia" w:ascii="Times New Roman" w:hAnsi="Times New Roman" w:eastAsia="仿宋_GB2312" w:cs="仿宋_GB2312"/>
          <w:color w:val="auto"/>
          <w:kern w:val="2"/>
          <w:sz w:val="32"/>
          <w:szCs w:val="32"/>
          <w:highlight w:val="none"/>
          <w:lang w:val="en-US" w:eastAsia="zh-CN" w:bidi="ar-SA"/>
        </w:rPr>
        <w:t>辆。</w:t>
      </w:r>
    </w:p>
    <w:p w14:paraId="1865EA19">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sz w:val="32"/>
          <w:szCs w:val="32"/>
        </w:rPr>
        <w:t>5.8</w:t>
      </w:r>
      <w:r>
        <w:rPr>
          <w:rFonts w:hint="eastAsia" w:ascii="Times New Roman" w:hAnsi="Times New Roman" w:eastAsia="仿宋_GB2312" w:cs="仿宋_GB2312"/>
          <w:color w:val="auto"/>
          <w:kern w:val="2"/>
          <w:sz w:val="32"/>
          <w:szCs w:val="32"/>
          <w:highlight w:val="none"/>
          <w:lang w:val="en-US" w:eastAsia="zh-CN" w:bidi="ar-SA"/>
        </w:rPr>
        <w:t>万元。主要用于所需的公务用车燃料费、维修费、过路过桥费、保险费等支出。</w:t>
      </w:r>
    </w:p>
    <w:p w14:paraId="59A8FC3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0.14</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eastAsia="仿宋_GB2312" w:cs="仿宋_GB2312"/>
          <w:b/>
          <w:bCs/>
          <w:color w:val="auto"/>
          <w:kern w:val="2"/>
          <w:sz w:val="32"/>
          <w:szCs w:val="32"/>
          <w:highlight w:val="none"/>
          <w:lang w:val="en-US" w:eastAsia="zh-CN" w:bidi="ar-SA"/>
        </w:rPr>
        <w:t>93.33</w:t>
      </w:r>
      <w:r>
        <w:rPr>
          <w:rFonts w:hint="eastAsia" w:ascii="Times New Roman" w:hAnsi="Times New Roman"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w:t>
      </w:r>
      <w:r>
        <w:rPr>
          <w:rFonts w:hint="eastAsia" w:eastAsia="仿宋_GB2312" w:cs="仿宋_GB2312"/>
          <w:color w:val="auto"/>
          <w:kern w:val="2"/>
          <w:sz w:val="32"/>
          <w:szCs w:val="32"/>
          <w:highlight w:val="none"/>
          <w:lang w:val="en-US" w:eastAsia="zh-CN" w:bidi="ar-SA"/>
        </w:rPr>
        <w:t>0.08</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5.71</w:t>
      </w:r>
      <w:r>
        <w:rPr>
          <w:rFonts w:hint="eastAsia" w:ascii="Times New Roman" w:hAnsi="Times New Roman" w:eastAsia="仿宋_GB2312" w:cs="仿宋_GB2312"/>
          <w:color w:val="auto"/>
          <w:kern w:val="2"/>
          <w:sz w:val="32"/>
          <w:szCs w:val="32"/>
          <w:highlight w:val="none"/>
          <w:lang w:val="en-US" w:eastAsia="zh-CN" w:bidi="ar-SA"/>
        </w:rPr>
        <w:t>%。主要原因是</w:t>
      </w:r>
      <w:r>
        <w:rPr>
          <w:rFonts w:hint="eastAsia" w:eastAsia="仿宋_GB2312" w:cs="仿宋_GB2312"/>
          <w:color w:val="auto"/>
          <w:kern w:val="2"/>
          <w:sz w:val="32"/>
          <w:szCs w:val="32"/>
          <w:highlight w:val="none"/>
          <w:lang w:val="en-US" w:eastAsia="zh-CN" w:bidi="ar-SA"/>
        </w:rPr>
        <w:t>本年度开“浙阿同心~AI科普阿坝行”科普活动</w:t>
      </w:r>
      <w:r>
        <w:rPr>
          <w:rFonts w:hint="eastAsia" w:ascii="Times New Roman" w:hAnsi="Times New Roman" w:eastAsia="仿宋_GB2312" w:cs="仿宋_GB2312"/>
          <w:color w:val="auto"/>
          <w:kern w:val="2"/>
          <w:sz w:val="32"/>
          <w:szCs w:val="32"/>
          <w:highlight w:val="none"/>
          <w:lang w:val="en-US" w:eastAsia="zh-CN" w:bidi="ar-SA"/>
        </w:rPr>
        <w:t>。其中：</w:t>
      </w:r>
    </w:p>
    <w:p w14:paraId="1339B09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国内公务接待支出</w:t>
      </w:r>
      <w:r>
        <w:rPr>
          <w:rFonts w:hint="eastAsia" w:ascii="仿宋_GB2312" w:hAnsi="仿宋_GB2312" w:eastAsia="仿宋_GB2312" w:cs="仿宋_GB2312"/>
          <w:sz w:val="32"/>
          <w:szCs w:val="32"/>
        </w:rPr>
        <w:t>0.14</w:t>
      </w:r>
      <w:r>
        <w:rPr>
          <w:rFonts w:hint="eastAsia" w:ascii="Times New Roman" w:hAnsi="Times New Roman" w:eastAsia="仿宋_GB2312" w:cs="仿宋_GB2312"/>
          <w:color w:val="auto"/>
          <w:kern w:val="2"/>
          <w:sz w:val="32"/>
          <w:szCs w:val="32"/>
          <w:highlight w:val="none"/>
          <w:lang w:val="en-US" w:eastAsia="zh-CN" w:bidi="ar-SA"/>
        </w:rPr>
        <w:t>万元，主要用于开展业务活动开支的交通费、住宿费、用餐费等。国内公务接待</w:t>
      </w:r>
      <w:r>
        <w:rPr>
          <w:rFonts w:hint="eastAsia" w:ascii="仿宋_GB2312" w:hAnsi="仿宋_GB2312" w:eastAsia="仿宋_GB2312" w:cs="仿宋_GB2312"/>
          <w:sz w:val="32"/>
          <w:szCs w:val="32"/>
        </w:rPr>
        <w:t>1</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30</w:t>
      </w:r>
      <w:r>
        <w:rPr>
          <w:rFonts w:hint="eastAsia" w:ascii="Times New Roman" w:hAnsi="Times New Roman" w:eastAsia="仿宋_GB2312" w:cs="仿宋_GB2312"/>
          <w:color w:val="auto"/>
          <w:kern w:val="2"/>
          <w:sz w:val="32"/>
          <w:szCs w:val="32"/>
          <w:highlight w:val="none"/>
          <w:lang w:val="en-US" w:eastAsia="zh-CN" w:bidi="ar-SA"/>
        </w:rPr>
        <w:t>人次（不包括陪同人员），共计支出</w:t>
      </w:r>
      <w:r>
        <w:rPr>
          <w:rFonts w:hint="eastAsia" w:eastAsia="仿宋_GB2312" w:cs="仿宋_GB2312"/>
          <w:color w:val="auto"/>
          <w:kern w:val="2"/>
          <w:sz w:val="32"/>
          <w:szCs w:val="32"/>
          <w:highlight w:val="none"/>
          <w:lang w:val="en-US" w:eastAsia="zh-CN" w:bidi="ar-SA"/>
        </w:rPr>
        <w:t>0.14</w:t>
      </w:r>
      <w:r>
        <w:rPr>
          <w:rFonts w:hint="eastAsia" w:ascii="Times New Roman" w:hAnsi="Times New Roman" w:eastAsia="仿宋_GB2312" w:cs="仿宋_GB2312"/>
          <w:color w:val="auto"/>
          <w:kern w:val="2"/>
          <w:sz w:val="32"/>
          <w:szCs w:val="32"/>
          <w:highlight w:val="none"/>
          <w:lang w:val="en-US" w:eastAsia="zh-CN" w:bidi="ar-SA"/>
        </w:rPr>
        <w:t>万元，具体内容包括：</w:t>
      </w:r>
      <w:r>
        <w:rPr>
          <w:rFonts w:hint="eastAsia" w:eastAsia="仿宋_GB2312" w:cs="仿宋_GB2312"/>
          <w:color w:val="auto"/>
          <w:kern w:val="2"/>
          <w:sz w:val="32"/>
          <w:szCs w:val="32"/>
          <w:highlight w:val="none"/>
          <w:lang w:val="en-US" w:eastAsia="zh-CN" w:bidi="ar-SA"/>
        </w:rPr>
        <w:t>餐饮费0.14万元</w:t>
      </w:r>
      <w:r>
        <w:rPr>
          <w:rFonts w:hint="eastAsia" w:ascii="Times New Roman" w:hAnsi="Times New Roman" w:eastAsia="仿宋_GB2312" w:cs="仿宋_GB2312"/>
          <w:color w:val="auto"/>
          <w:kern w:val="2"/>
          <w:sz w:val="32"/>
          <w:szCs w:val="32"/>
          <w:highlight w:val="none"/>
          <w:lang w:val="en-US" w:eastAsia="zh-CN" w:bidi="ar-SA"/>
        </w:rPr>
        <w:t>。</w:t>
      </w:r>
      <w:bookmarkStart w:id="38" w:name="_Toc15396610"/>
      <w:bookmarkStart w:id="39" w:name="_Toc15377218"/>
    </w:p>
    <w:p w14:paraId="4D62D72E">
      <w:pPr>
        <w:spacing w:line="600" w:lineRule="exact"/>
        <w:ind w:firstLine="640"/>
        <w:outlineLvl w:val="1"/>
        <w:rPr>
          <w:rFonts w:hint="eastAsia" w:ascii="Times New Roman" w:hAnsi="Times New Roman" w:eastAsia="黑体"/>
          <w:color w:val="auto"/>
          <w:sz w:val="32"/>
          <w:szCs w:val="32"/>
          <w:highlight w:val="none"/>
        </w:rPr>
      </w:pPr>
    </w:p>
    <w:p w14:paraId="6FA384B0">
      <w:pPr>
        <w:spacing w:line="600" w:lineRule="exact"/>
        <w:ind w:firstLine="640"/>
        <w:outlineLvl w:val="1"/>
        <w:rPr>
          <w:rStyle w:val="21"/>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21"/>
          <w:rFonts w:hint="eastAsia" w:ascii="Times New Roman" w:hAnsi="Times New Roman" w:eastAsia="黑体"/>
          <w:b w:val="0"/>
          <w:color w:val="auto"/>
          <w:highlight w:val="none"/>
        </w:rPr>
        <w:t>政府性基金预算支出决算情况说明</w:t>
      </w:r>
      <w:bookmarkEnd w:id="38"/>
      <w:bookmarkEnd w:id="39"/>
    </w:p>
    <w:p w14:paraId="7521297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p>
    <w:p w14:paraId="1ECCF034">
      <w:pPr>
        <w:spacing w:line="600" w:lineRule="exact"/>
        <w:ind w:left="630"/>
        <w:outlineLvl w:val="1"/>
        <w:rPr>
          <w:rStyle w:val="21"/>
          <w:rFonts w:hint="eastAsia" w:ascii="Times New Roman" w:hAnsi="Times New Roman" w:eastAsia="黑体"/>
          <w:b w:val="0"/>
          <w:color w:val="auto"/>
          <w:highlight w:val="none"/>
          <w:lang w:eastAsia="zh-CN"/>
        </w:rPr>
      </w:pPr>
      <w:bookmarkStart w:id="40" w:name="_Toc15377219"/>
      <w:bookmarkStart w:id="41" w:name="_Toc15396611"/>
    </w:p>
    <w:p w14:paraId="440ECD62">
      <w:pPr>
        <w:spacing w:line="600" w:lineRule="exact"/>
        <w:ind w:left="630"/>
        <w:outlineLvl w:val="1"/>
        <w:rPr>
          <w:rStyle w:val="21"/>
          <w:rFonts w:ascii="Times New Roman" w:hAnsi="Times New Roman" w:eastAsia="黑体"/>
          <w:b w:val="0"/>
          <w:color w:val="auto"/>
          <w:highlight w:val="none"/>
        </w:rPr>
      </w:pPr>
      <w:r>
        <w:rPr>
          <w:rStyle w:val="21"/>
          <w:rFonts w:hint="eastAsia" w:ascii="Times New Roman" w:hAnsi="Times New Roman" w:eastAsia="黑体"/>
          <w:b w:val="0"/>
          <w:color w:val="auto"/>
          <w:highlight w:val="none"/>
          <w:lang w:eastAsia="zh-CN"/>
        </w:rPr>
        <w:t>九、</w:t>
      </w:r>
      <w:r>
        <w:rPr>
          <w:rStyle w:val="21"/>
          <w:rFonts w:hint="eastAsia" w:ascii="Times New Roman" w:hAnsi="Times New Roman" w:eastAsia="黑体"/>
          <w:b w:val="0"/>
          <w:color w:val="auto"/>
          <w:highlight w:val="none"/>
        </w:rPr>
        <w:t>国有资本经营预算支出决算情况说明</w:t>
      </w:r>
      <w:bookmarkEnd w:id="40"/>
      <w:bookmarkEnd w:id="41"/>
    </w:p>
    <w:p w14:paraId="559ECA7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年度相比，国有资本经营预算财政拨款支出增加/减少</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万元，增长/下降</w:t>
      </w:r>
      <w:r>
        <w:rPr>
          <w:rFonts w:hint="eastAsia" w:eastAsia="仿宋_GB2312" w:cs="仿宋_GB2312"/>
          <w:color w:val="auto"/>
          <w:kern w:val="2"/>
          <w:sz w:val="32"/>
          <w:szCs w:val="32"/>
          <w:highlight w:val="none"/>
          <w:lang w:val="en-US" w:eastAsia="zh-CN" w:bidi="ar-SA"/>
        </w:rPr>
        <w:t>0</w:t>
      </w:r>
      <w:r>
        <w:rPr>
          <w:rFonts w:hint="eastAsia" w:ascii="Times New Roman" w:hAnsi="Times New Roman" w:eastAsia="仿宋_GB2312" w:cs="仿宋_GB2312"/>
          <w:color w:val="auto"/>
          <w:kern w:val="2"/>
          <w:sz w:val="32"/>
          <w:szCs w:val="32"/>
          <w:highlight w:val="none"/>
          <w:lang w:val="en-US" w:eastAsia="zh-CN" w:bidi="ar-SA"/>
        </w:rPr>
        <w:t>%。</w:t>
      </w:r>
    </w:p>
    <w:p w14:paraId="69B6821A">
      <w:pPr>
        <w:spacing w:line="600" w:lineRule="exact"/>
        <w:ind w:firstLine="640" w:firstLineChars="200"/>
        <w:outlineLvl w:val="1"/>
        <w:rPr>
          <w:rStyle w:val="21"/>
          <w:rFonts w:hint="eastAsia" w:ascii="Times New Roman" w:hAnsi="Times New Roman" w:eastAsia="黑体"/>
          <w:b w:val="0"/>
          <w:color w:val="auto"/>
          <w:highlight w:val="none"/>
          <w:lang w:eastAsia="zh-CN"/>
        </w:rPr>
      </w:pPr>
      <w:bookmarkStart w:id="42" w:name="_Toc15396612"/>
      <w:bookmarkStart w:id="43" w:name="_Toc15377221"/>
    </w:p>
    <w:p w14:paraId="797FBDD1">
      <w:pPr>
        <w:spacing w:line="600" w:lineRule="exact"/>
        <w:ind w:firstLine="640" w:firstLineChars="200"/>
        <w:outlineLvl w:val="1"/>
        <w:rPr>
          <w:rStyle w:val="21"/>
          <w:rFonts w:hint="eastAsia" w:ascii="Times New Roman" w:hAnsi="Times New Roman" w:eastAsia="黑体"/>
          <w:b w:val="0"/>
          <w:color w:val="auto"/>
          <w:highlight w:val="none"/>
        </w:rPr>
      </w:pPr>
      <w:r>
        <w:rPr>
          <w:rStyle w:val="21"/>
          <w:rFonts w:hint="eastAsia" w:ascii="Times New Roman" w:hAnsi="Times New Roman" w:eastAsia="黑体"/>
          <w:b w:val="0"/>
          <w:color w:val="auto"/>
          <w:highlight w:val="none"/>
          <w:lang w:eastAsia="zh-CN"/>
        </w:rPr>
        <w:t>十、</w:t>
      </w:r>
      <w:r>
        <w:rPr>
          <w:rStyle w:val="21"/>
          <w:rFonts w:hint="eastAsia" w:ascii="Times New Roman" w:hAnsi="Times New Roman" w:eastAsia="黑体"/>
          <w:b w:val="0"/>
          <w:color w:val="auto"/>
          <w:highlight w:val="none"/>
        </w:rPr>
        <w:t>其他重要事项的情况说明</w:t>
      </w:r>
      <w:bookmarkEnd w:id="42"/>
      <w:bookmarkEnd w:id="43"/>
    </w:p>
    <w:p w14:paraId="444FFE9A">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4" w:name="_Toc15377222"/>
      <w:r>
        <w:rPr>
          <w:rFonts w:hint="eastAsia" w:ascii="Times New Roman" w:hAnsi="Times New Roman" w:eastAsia="楷体_GB2312" w:cs="楷体_GB2312"/>
          <w:b/>
          <w:color w:val="auto"/>
          <w:sz w:val="32"/>
          <w:szCs w:val="32"/>
          <w:highlight w:val="none"/>
        </w:rPr>
        <w:t>（一）机关运行经费支出情况</w:t>
      </w:r>
      <w:bookmarkEnd w:id="44"/>
    </w:p>
    <w:p w14:paraId="103F595C">
      <w:pPr>
        <w:spacing w:line="600" w:lineRule="exact"/>
        <w:ind w:firstLine="640" w:firstLineChars="200"/>
        <w:outlineLvl w:val="2"/>
        <w:rPr>
          <w:rFonts w:hint="eastAsia" w:ascii="Times New Roman" w:hAnsi="Times New Roman" w:eastAsia="楷体_GB2312" w:cs="楷体_GB2312"/>
          <w:b/>
          <w:color w:val="auto"/>
          <w:sz w:val="32"/>
          <w:szCs w:val="32"/>
          <w:highlight w:val="none"/>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红原县科学技术协会</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12.26</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年度减少</w:t>
      </w:r>
      <w:r>
        <w:rPr>
          <w:rFonts w:hint="eastAsia" w:eastAsia="仿宋_GB2312" w:cs="仿宋_GB2312"/>
          <w:color w:val="auto"/>
          <w:kern w:val="2"/>
          <w:sz w:val="32"/>
          <w:szCs w:val="32"/>
          <w:highlight w:val="none"/>
          <w:lang w:val="en-US" w:eastAsia="zh-CN" w:bidi="ar-SA"/>
        </w:rPr>
        <w:t>0.35</w:t>
      </w:r>
      <w:r>
        <w:rPr>
          <w:rFonts w:hint="eastAsia" w:ascii="Times New Roman" w:hAnsi="Times New Roman" w:eastAsia="仿宋_GB2312" w:cs="仿宋_GB2312"/>
          <w:color w:val="auto"/>
          <w:kern w:val="2"/>
          <w:sz w:val="32"/>
          <w:szCs w:val="32"/>
          <w:highlight w:val="none"/>
          <w:lang w:val="en-US" w:eastAsia="zh-CN" w:bidi="ar-SA"/>
        </w:rPr>
        <w:t>万元，下降</w:t>
      </w:r>
      <w:r>
        <w:rPr>
          <w:rFonts w:hint="eastAsia" w:eastAsia="仿宋_GB2312" w:cs="仿宋_GB2312"/>
          <w:color w:val="auto"/>
          <w:kern w:val="2"/>
          <w:sz w:val="32"/>
          <w:szCs w:val="32"/>
          <w:highlight w:val="none"/>
          <w:lang w:val="en-US" w:eastAsia="zh-CN" w:bidi="ar-SA"/>
        </w:rPr>
        <w:t>2.75</w:t>
      </w:r>
      <w:r>
        <w:rPr>
          <w:rFonts w:hint="eastAsia" w:ascii="Times New Roman" w:hAnsi="Times New Roman" w:eastAsia="仿宋_GB2312" w:cs="仿宋_GB2312"/>
          <w:color w:val="auto"/>
          <w:kern w:val="2"/>
          <w:sz w:val="32"/>
          <w:szCs w:val="32"/>
          <w:highlight w:val="none"/>
          <w:lang w:val="en-US" w:eastAsia="zh-CN" w:bidi="ar-SA"/>
        </w:rPr>
        <w:t>%主要原因是</w:t>
      </w:r>
      <w:bookmarkStart w:id="45" w:name="_Toc15377223"/>
      <w:r>
        <w:rPr>
          <w:rFonts w:hint="eastAsia" w:eastAsia="仿宋_GB2312" w:cs="仿宋_GB2312"/>
          <w:color w:val="auto"/>
          <w:kern w:val="2"/>
          <w:sz w:val="32"/>
          <w:szCs w:val="32"/>
          <w:highlight w:val="none"/>
          <w:lang w:val="en-US" w:eastAsia="zh-CN" w:bidi="ar-SA"/>
        </w:rPr>
        <w:t>本年度人员有所减少，相对相关费用减少。</w:t>
      </w:r>
    </w:p>
    <w:p w14:paraId="5DCA8943">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（二）政府采购支出情况</w:t>
      </w:r>
      <w:bookmarkEnd w:id="45"/>
    </w:p>
    <w:p w14:paraId="1E65978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红原县科学技术协会</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万元。授予中小企业合同金额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w:t>
      </w:r>
    </w:p>
    <w:p w14:paraId="0E9DAA93">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6" w:name="_Toc15377224"/>
      <w:r>
        <w:rPr>
          <w:rFonts w:hint="eastAsia" w:ascii="Times New Roman" w:hAnsi="Times New Roman" w:eastAsia="楷体_GB2312" w:cs="楷体_GB2312"/>
          <w:b/>
          <w:color w:val="auto"/>
          <w:sz w:val="32"/>
          <w:szCs w:val="32"/>
          <w:highlight w:val="none"/>
        </w:rPr>
        <w:t>（三）国有资产占有使用情况</w:t>
      </w:r>
      <w:bookmarkEnd w:id="46"/>
    </w:p>
    <w:p w14:paraId="1D8871E2">
      <w:pPr>
        <w:spacing w:line="600" w:lineRule="exact"/>
        <w:ind w:firstLine="640"/>
        <w:rPr>
          <w:rFonts w:hint="eastAsia" w:eastAsia="仿宋_GB2312" w:cs="仿宋_GB2312"/>
          <w:sz w:val="32"/>
          <w:szCs w:val="32"/>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红原县科学技术协会</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2</w:t>
      </w:r>
      <w:r>
        <w:rPr>
          <w:rFonts w:hint="eastAsia" w:ascii="Times New Roman" w:hAnsi="Times New Roman" w:eastAsia="仿宋_GB2312" w:cs="仿宋_GB2312"/>
          <w:color w:val="auto"/>
          <w:kern w:val="2"/>
          <w:sz w:val="32"/>
          <w:szCs w:val="32"/>
          <w:highlight w:val="none"/>
          <w:lang w:val="en-US" w:eastAsia="zh-CN" w:bidi="ar-SA"/>
        </w:rPr>
        <w:t>辆，其中：副部（省）级及以上领导用车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辆、主要</w:t>
      </w:r>
      <w:r>
        <w:rPr>
          <w:rFonts w:hint="eastAsia" w:eastAsia="仿宋_GB2312" w:cs="仿宋_GB2312"/>
          <w:color w:val="auto"/>
          <w:kern w:val="2"/>
          <w:sz w:val="32"/>
          <w:szCs w:val="32"/>
          <w:highlight w:val="none"/>
          <w:lang w:val="en-US" w:eastAsia="zh-CN" w:bidi="ar-SA"/>
        </w:rPr>
        <w:t>负责人</w:t>
      </w:r>
      <w:r>
        <w:rPr>
          <w:rFonts w:hint="eastAsia" w:ascii="Times New Roman" w:hAnsi="Times New Roman" w:eastAsia="仿宋_GB2312" w:cs="仿宋_GB2312"/>
          <w:color w:val="auto"/>
          <w:kern w:val="2"/>
          <w:sz w:val="32"/>
          <w:szCs w:val="32"/>
          <w:highlight w:val="none"/>
          <w:lang w:val="en-US" w:eastAsia="zh-CN" w:bidi="ar-SA"/>
        </w:rPr>
        <w:t>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辆、执法执勤用车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辆、特种专业技术用车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辆、离退休干部服务用车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2</w:t>
      </w:r>
      <w:r>
        <w:rPr>
          <w:rFonts w:hint="eastAsia" w:ascii="Times New Roman" w:hAnsi="Times New Roman" w:eastAsia="仿宋_GB2312" w:cs="仿宋_GB2312"/>
          <w:color w:val="auto"/>
          <w:kern w:val="2"/>
          <w:sz w:val="32"/>
          <w:szCs w:val="32"/>
          <w:highlight w:val="none"/>
          <w:lang w:val="en-US" w:eastAsia="zh-CN" w:bidi="ar-SA"/>
        </w:rPr>
        <w:t>辆，其他用车主要是用于</w:t>
      </w:r>
      <w:r>
        <w:rPr>
          <w:rFonts w:hint="eastAsia" w:eastAsia="仿宋_GB2312" w:cs="仿宋_GB2312"/>
          <w:color w:val="auto"/>
          <w:kern w:val="2"/>
          <w:sz w:val="32"/>
          <w:szCs w:val="32"/>
          <w:highlight w:val="none"/>
          <w:lang w:val="en-US" w:eastAsia="zh-CN" w:bidi="ar-SA"/>
        </w:rPr>
        <w:t>公务用车1辆，科普车1辆。</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14:paraId="0D8652BD">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14:paraId="28733F2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根据预算绩效管理要求，</w:t>
      </w:r>
      <w:r>
        <w:rPr>
          <w:rFonts w:hint="eastAsia" w:eastAsia="仿宋_GB2312" w:cs="仿宋_GB2312"/>
          <w:color w:val="auto"/>
          <w:kern w:val="2"/>
          <w:sz w:val="32"/>
          <w:szCs w:val="32"/>
          <w:highlight w:val="none"/>
          <w:lang w:val="en-US" w:eastAsia="zh-CN" w:bidi="ar-SA"/>
        </w:rPr>
        <w:t>本部门</w:t>
      </w:r>
      <w:r>
        <w:rPr>
          <w:rFonts w:hint="eastAsia" w:ascii="Times New Roman" w:hAnsi="Times New Roman" w:eastAsia="仿宋_GB2312" w:cs="仿宋_GB2312"/>
          <w:color w:val="auto"/>
          <w:kern w:val="2"/>
          <w:sz w:val="32"/>
          <w:szCs w:val="32"/>
          <w:highlight w:val="none"/>
          <w:lang w:val="en-US" w:eastAsia="zh-CN" w:bidi="ar-SA"/>
        </w:rPr>
        <w:t>在2025年度，组织对</w:t>
      </w:r>
      <w:r>
        <w:rPr>
          <w:rFonts w:hint="eastAsia" w:eastAsia="仿宋_GB2312" w:cs="仿宋_GB2312"/>
          <w:color w:val="auto"/>
          <w:kern w:val="2"/>
          <w:sz w:val="32"/>
          <w:szCs w:val="32"/>
          <w:highlight w:val="none"/>
          <w:lang w:val="en-US" w:eastAsia="zh-CN" w:bidi="ar-SA"/>
        </w:rPr>
        <w:t>“科普宣传活动经费”“农村科普热线专项经费”“科普专项经费”“院士专家工作站”</w:t>
      </w:r>
      <w:r>
        <w:rPr>
          <w:rFonts w:hint="eastAsia" w:ascii="Times New Roman" w:hAnsi="Times New Roman" w:eastAsia="仿宋_GB2312" w:cs="仿宋_GB2312"/>
          <w:color w:val="auto"/>
          <w:kern w:val="2"/>
          <w:sz w:val="32"/>
          <w:szCs w:val="32"/>
          <w:highlight w:val="none"/>
          <w:lang w:val="en-US" w:eastAsia="zh-CN" w:bidi="ar-SA"/>
        </w:rPr>
        <w:t>等</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个项目涉及金额</w:t>
      </w:r>
      <w:r>
        <w:rPr>
          <w:rFonts w:hint="eastAsia" w:eastAsia="仿宋_GB2312" w:cs="仿宋_GB2312"/>
          <w:color w:val="auto"/>
          <w:kern w:val="2"/>
          <w:sz w:val="32"/>
          <w:szCs w:val="32"/>
          <w:highlight w:val="none"/>
          <w:lang w:val="en-US" w:eastAsia="zh-CN" w:bidi="ar-SA"/>
        </w:rPr>
        <w:t>78.8</w:t>
      </w:r>
      <w:r>
        <w:rPr>
          <w:rFonts w:hint="eastAsia" w:ascii="Times New Roman" w:hAnsi="Times New Roman" w:eastAsia="仿宋_GB2312" w:cs="仿宋_GB2312"/>
          <w:color w:val="auto"/>
          <w:kern w:val="2"/>
          <w:sz w:val="32"/>
          <w:szCs w:val="32"/>
          <w:highlight w:val="none"/>
          <w:lang w:val="en-US" w:eastAsia="zh-CN" w:bidi="ar-SA"/>
        </w:rPr>
        <w:t>万元开展了事前绩效评估，对</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个项目编制了绩效目标，预算执行过程中，选取</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个项目开展绩效监控。</w:t>
      </w:r>
    </w:p>
    <w:p w14:paraId="039433E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7032CD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549C8C7F">
      <w:pPr>
        <w:pStyle w:val="2"/>
        <w:rPr>
          <w:rFonts w:hint="eastAsia" w:ascii="Times New Roman" w:hAnsi="Times New Roman" w:eastAsia="仿宋_GB2312" w:cs="仿宋_GB2312"/>
          <w:color w:val="auto"/>
          <w:kern w:val="2"/>
          <w:sz w:val="32"/>
          <w:szCs w:val="32"/>
          <w:highlight w:val="none"/>
          <w:lang w:val="en-US" w:eastAsia="zh-CN" w:bidi="ar-SA"/>
        </w:rPr>
      </w:pPr>
    </w:p>
    <w:p w14:paraId="15959C0B">
      <w:pPr>
        <w:pStyle w:val="3"/>
        <w:rPr>
          <w:rFonts w:hint="eastAsia" w:ascii="Times New Roman" w:hAnsi="Times New Roman" w:eastAsia="仿宋_GB2312" w:cs="仿宋_GB2312"/>
          <w:color w:val="auto"/>
          <w:kern w:val="2"/>
          <w:sz w:val="32"/>
          <w:szCs w:val="32"/>
          <w:highlight w:val="none"/>
          <w:lang w:val="en-US" w:eastAsia="zh-CN" w:bidi="ar-SA"/>
        </w:rPr>
      </w:pPr>
    </w:p>
    <w:p w14:paraId="254DDCA6">
      <w:pPr>
        <w:rPr>
          <w:rFonts w:hint="eastAsia" w:ascii="Times New Roman" w:hAnsi="Times New Roman" w:eastAsia="仿宋_GB2312" w:cs="仿宋_GB2312"/>
          <w:color w:val="auto"/>
          <w:kern w:val="2"/>
          <w:sz w:val="32"/>
          <w:szCs w:val="32"/>
          <w:highlight w:val="none"/>
          <w:lang w:val="en-US" w:eastAsia="zh-CN" w:bidi="ar-SA"/>
        </w:rPr>
      </w:pPr>
    </w:p>
    <w:p w14:paraId="06FAA4E6">
      <w:pPr>
        <w:pStyle w:val="2"/>
        <w:rPr>
          <w:rFonts w:hint="eastAsia" w:ascii="Times New Roman" w:hAnsi="Times New Roman" w:eastAsia="仿宋_GB2312" w:cs="仿宋_GB2312"/>
          <w:color w:val="auto"/>
          <w:kern w:val="2"/>
          <w:sz w:val="32"/>
          <w:szCs w:val="32"/>
          <w:highlight w:val="none"/>
          <w:lang w:val="en-US" w:eastAsia="zh-CN" w:bidi="ar-SA"/>
        </w:rPr>
      </w:pPr>
    </w:p>
    <w:p w14:paraId="310B69C0">
      <w:pPr>
        <w:pStyle w:val="3"/>
        <w:rPr>
          <w:rFonts w:hint="eastAsia" w:ascii="Times New Roman" w:hAnsi="Times New Roman" w:eastAsia="仿宋_GB2312" w:cs="仿宋_GB2312"/>
          <w:color w:val="auto"/>
          <w:kern w:val="2"/>
          <w:sz w:val="32"/>
          <w:szCs w:val="32"/>
          <w:highlight w:val="none"/>
          <w:lang w:val="en-US" w:eastAsia="zh-CN" w:bidi="ar-SA"/>
        </w:rPr>
      </w:pPr>
    </w:p>
    <w:p w14:paraId="5048F763">
      <w:pPr>
        <w:rPr>
          <w:rFonts w:hint="eastAsia" w:ascii="Times New Roman" w:hAnsi="Times New Roman" w:eastAsia="仿宋_GB2312" w:cs="仿宋_GB2312"/>
          <w:color w:val="auto"/>
          <w:kern w:val="2"/>
          <w:sz w:val="32"/>
          <w:szCs w:val="32"/>
          <w:highlight w:val="none"/>
          <w:lang w:val="en-US" w:eastAsia="zh-CN" w:bidi="ar-SA"/>
        </w:rPr>
      </w:pPr>
    </w:p>
    <w:p w14:paraId="3940346F">
      <w:pPr>
        <w:pStyle w:val="2"/>
        <w:rPr>
          <w:rFonts w:hint="eastAsia" w:ascii="Times New Roman" w:hAnsi="Times New Roman" w:eastAsia="仿宋_GB2312" w:cs="仿宋_GB2312"/>
          <w:color w:val="auto"/>
          <w:kern w:val="2"/>
          <w:sz w:val="32"/>
          <w:szCs w:val="32"/>
          <w:highlight w:val="none"/>
          <w:lang w:val="en-US" w:eastAsia="zh-CN" w:bidi="ar-SA"/>
        </w:rPr>
      </w:pPr>
    </w:p>
    <w:p w14:paraId="500C7A27">
      <w:pPr>
        <w:pStyle w:val="3"/>
        <w:rPr>
          <w:rFonts w:hint="eastAsia" w:ascii="Times New Roman" w:hAnsi="Times New Roman" w:eastAsia="仿宋_GB2312" w:cs="仿宋_GB2312"/>
          <w:color w:val="auto"/>
          <w:kern w:val="2"/>
          <w:sz w:val="32"/>
          <w:szCs w:val="32"/>
          <w:highlight w:val="none"/>
          <w:lang w:val="en-US" w:eastAsia="zh-CN" w:bidi="ar-SA"/>
        </w:rPr>
      </w:pPr>
    </w:p>
    <w:p w14:paraId="47CCD4AF">
      <w:pPr>
        <w:rPr>
          <w:rFonts w:hint="eastAsia" w:ascii="Times New Roman" w:hAnsi="Times New Roman" w:eastAsia="仿宋_GB2312" w:cs="仿宋_GB2312"/>
          <w:color w:val="auto"/>
          <w:kern w:val="2"/>
          <w:sz w:val="32"/>
          <w:szCs w:val="32"/>
          <w:highlight w:val="none"/>
          <w:lang w:val="en-US" w:eastAsia="zh-CN" w:bidi="ar-SA"/>
        </w:rPr>
      </w:pPr>
    </w:p>
    <w:p w14:paraId="2FE03998">
      <w:pPr>
        <w:pStyle w:val="2"/>
        <w:rPr>
          <w:rFonts w:hint="eastAsia" w:ascii="Times New Roman" w:hAnsi="Times New Roman" w:eastAsia="仿宋_GB2312" w:cs="仿宋_GB2312"/>
          <w:color w:val="auto"/>
          <w:kern w:val="2"/>
          <w:sz w:val="32"/>
          <w:szCs w:val="32"/>
          <w:highlight w:val="none"/>
          <w:lang w:val="en-US" w:eastAsia="zh-CN" w:bidi="ar-SA"/>
        </w:rPr>
      </w:pPr>
    </w:p>
    <w:p w14:paraId="6EC244C1">
      <w:pPr>
        <w:pStyle w:val="3"/>
        <w:rPr>
          <w:rFonts w:hint="eastAsia" w:ascii="Times New Roman" w:hAnsi="Times New Roman" w:eastAsia="仿宋_GB2312" w:cs="仿宋_GB2312"/>
          <w:color w:val="auto"/>
          <w:kern w:val="2"/>
          <w:sz w:val="32"/>
          <w:szCs w:val="32"/>
          <w:highlight w:val="none"/>
          <w:lang w:val="en-US" w:eastAsia="zh-CN" w:bidi="ar-SA"/>
        </w:rPr>
      </w:pPr>
    </w:p>
    <w:p w14:paraId="20656243">
      <w:pPr>
        <w:rPr>
          <w:rFonts w:hint="eastAsia" w:ascii="Times New Roman" w:hAnsi="Times New Roman" w:eastAsia="仿宋_GB2312" w:cs="仿宋_GB2312"/>
          <w:color w:val="auto"/>
          <w:kern w:val="2"/>
          <w:sz w:val="32"/>
          <w:szCs w:val="32"/>
          <w:highlight w:val="none"/>
          <w:lang w:val="en-US" w:eastAsia="zh-CN" w:bidi="ar-SA"/>
        </w:rPr>
      </w:pPr>
    </w:p>
    <w:p w14:paraId="24274EAF">
      <w:pPr>
        <w:pStyle w:val="2"/>
        <w:rPr>
          <w:rFonts w:hint="eastAsia" w:ascii="Times New Roman" w:hAnsi="Times New Roman" w:eastAsia="仿宋_GB2312" w:cs="仿宋_GB2312"/>
          <w:color w:val="auto"/>
          <w:kern w:val="2"/>
          <w:sz w:val="32"/>
          <w:szCs w:val="32"/>
          <w:highlight w:val="none"/>
          <w:lang w:val="en-US" w:eastAsia="zh-CN" w:bidi="ar-SA"/>
        </w:rPr>
      </w:pPr>
    </w:p>
    <w:p w14:paraId="3BDE5C0C">
      <w:pPr>
        <w:pStyle w:val="3"/>
        <w:rPr>
          <w:rFonts w:hint="eastAsia" w:ascii="Times New Roman" w:hAnsi="Times New Roman" w:eastAsia="仿宋_GB2312" w:cs="仿宋_GB2312"/>
          <w:color w:val="auto"/>
          <w:kern w:val="2"/>
          <w:sz w:val="32"/>
          <w:szCs w:val="32"/>
          <w:highlight w:val="none"/>
          <w:lang w:val="en-US" w:eastAsia="zh-CN" w:bidi="ar-SA"/>
        </w:rPr>
      </w:pPr>
    </w:p>
    <w:p w14:paraId="2593E58C">
      <w:pPr>
        <w:rPr>
          <w:rFonts w:hint="eastAsia" w:ascii="Times New Roman" w:hAnsi="Times New Roman" w:eastAsia="仿宋_GB2312" w:cs="仿宋_GB2312"/>
          <w:color w:val="auto"/>
          <w:kern w:val="2"/>
          <w:sz w:val="32"/>
          <w:szCs w:val="32"/>
          <w:highlight w:val="none"/>
          <w:lang w:val="en-US" w:eastAsia="zh-CN" w:bidi="ar-SA"/>
        </w:rPr>
      </w:pPr>
    </w:p>
    <w:p w14:paraId="446CEA03">
      <w:pPr>
        <w:pStyle w:val="2"/>
        <w:rPr>
          <w:rFonts w:hint="eastAsia"/>
          <w:lang w:val="en-US" w:eastAsia="zh-CN"/>
        </w:rPr>
      </w:pPr>
    </w:p>
    <w:p w14:paraId="09D613D4">
      <w:pPr>
        <w:pStyle w:val="3"/>
        <w:rPr>
          <w:rFonts w:hint="eastAsia"/>
          <w:lang w:val="en-US" w:eastAsia="zh-CN"/>
        </w:rPr>
      </w:pPr>
    </w:p>
    <w:p w14:paraId="5FFD0DD3">
      <w:pPr>
        <w:pStyle w:val="2"/>
        <w:rPr>
          <w:rFonts w:hint="eastAsia"/>
          <w:lang w:val="en-US" w:eastAsia="zh-CN"/>
        </w:rPr>
      </w:pPr>
    </w:p>
    <w:p w14:paraId="20540FDD">
      <w:pPr>
        <w:spacing w:line="600" w:lineRule="exact"/>
        <w:jc w:val="center"/>
        <w:outlineLvl w:val="0"/>
        <w:rPr>
          <w:rFonts w:hint="eastAsia" w:ascii="Times New Roman" w:hAnsi="Times New Roman" w:eastAsia="黑体"/>
          <w:color w:val="auto"/>
          <w:sz w:val="44"/>
          <w:szCs w:val="44"/>
          <w:highlight w:val="none"/>
        </w:rPr>
      </w:pPr>
      <w:bookmarkStart w:id="47" w:name="_Toc15377225"/>
      <w:bookmarkStart w:id="48" w:name="_Toc15396613"/>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7"/>
      <w:bookmarkEnd w:id="48"/>
    </w:p>
    <w:p w14:paraId="5D6DBB8D">
      <w:pPr>
        <w:pStyle w:val="32"/>
        <w:keepNext w:val="0"/>
        <w:keepLines w:val="0"/>
        <w:widowControl/>
        <w:suppressLineNumbers w:val="0"/>
        <w:spacing w:before="0" w:beforeAutospacing="0"/>
        <w:ind w:left="0"/>
        <w:jc w:val="left"/>
        <w:rPr>
          <w:rFonts w:hint="eastAsia" w:ascii="宋体" w:hAnsi="宋体" w:eastAsia="宋体" w:cs="宋体"/>
          <w:kern w:val="0"/>
          <w:sz w:val="24"/>
          <w:szCs w:val="24"/>
        </w:rPr>
      </w:pPr>
    </w:p>
    <w:p w14:paraId="4D7BF0C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14:paraId="3A7CA36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2.事业收入：指事业单位开展专业业务活动及辅助活动取得的收入。</w:t>
      </w:r>
    </w:p>
    <w:p w14:paraId="727B7CC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3.经营收入：指事业单位在专业业务活动及其辅助活动之外开展非独立核算经营活动取得的收入。</w:t>
      </w:r>
    </w:p>
    <w:p w14:paraId="7470C92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4.其他收入：指单位取得的除上述收入以外的各项收入。</w:t>
      </w:r>
    </w:p>
    <w:p w14:paraId="756EAD0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5.使用非财政拨款结余：指事业单位使用以前年度积累的非财政拨款结余弥补当年收支差额的金额。</w:t>
      </w:r>
    </w:p>
    <w:p w14:paraId="663BA8C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6.年初结转和结余：指以前年度尚未完成、结转到本年按有关规定继续使用的资金。</w:t>
      </w:r>
    </w:p>
    <w:p w14:paraId="72D7B8A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7.结余分配：指事业单位按照会计制度规定缴纳的所得税、提取的专用结余以及转入非财政拨款结余的金额等。</w:t>
      </w:r>
    </w:p>
    <w:p w14:paraId="742FEBB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8、年末结转和结余：指单位按有关规定结转到下年或以后年度继续使用的资金。</w:t>
      </w:r>
    </w:p>
    <w:p w14:paraId="21B6177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9.科学技术支出：包括科学技术管理事务、基础研究、应用研究、技术研究与开发、科技条件与服务、社会科学、科学技术普及、科技交流与合作、其他科学技术支出。</w:t>
      </w:r>
    </w:p>
    <w:p w14:paraId="74983F2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10社会保障和就业支出主要包括：社会保险基金补助支出、行政事业单位离退休支出、就业补助支出、城市居民最低生活保障支出、农村最低生活保障支出、自然灾害生活救助支出。</w:t>
      </w:r>
    </w:p>
    <w:p w14:paraId="279ED6A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住房保障支出（类）住房改革支出（款）：反映行政事业单位用财政拨款资金和其他资金等安排的住房改革支出。</w:t>
      </w:r>
    </w:p>
    <w:p w14:paraId="42CE907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12.基本支出：指为保障机构正常运转、完成日常工作任务而发生的人员支出和公用支出。</w:t>
      </w:r>
    </w:p>
    <w:p w14:paraId="00A70D2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13.医疗卫生与计划生育支出（类）医疗保障（款）：反映用于医疗保障等方面的支出。</w:t>
      </w:r>
    </w:p>
    <w:p w14:paraId="69BC64E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14.项目支出：指在基本支出之外为完成特定行政任务和事业发展目标所发生的支出。</w:t>
      </w:r>
    </w:p>
    <w:p w14:paraId="74554DC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15.经营支出：指事业单位在专业业务活动及其辅助活动之外开展非独立核算经营活动发生的支出。</w:t>
      </w:r>
    </w:p>
    <w:p w14:paraId="6412355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16.“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1372F00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17.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6C186C8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18.基本支出：指为保障机构正常运转、完成日常工作任务而发生的人员支出和公用支出。</w:t>
      </w:r>
    </w:p>
    <w:p w14:paraId="6622146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19.项目支出：指在基本支出之外为完成特定行政任务和事业发展目标所发生的支出。</w:t>
      </w:r>
    </w:p>
    <w:p w14:paraId="186459C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20.经营支出：指事业单位在专业业务活动及其辅助活动之外开展非独立核算经营活动发生的支出。</w:t>
      </w:r>
    </w:p>
    <w:p w14:paraId="2CC5B61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21.“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6FEFD45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22.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55A1EEE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26195CE">
      <w:pPr>
        <w:spacing w:line="600" w:lineRule="exact"/>
        <w:jc w:val="center"/>
        <w:rPr>
          <w:rStyle w:val="20"/>
          <w:rFonts w:hint="eastAsia" w:ascii="Times New Roman" w:hAnsi="Times New Roman" w:eastAsia="黑体"/>
          <w:b w:val="0"/>
          <w:color w:val="auto"/>
          <w:highlight w:val="none"/>
          <w:lang w:eastAsia="zh-CN"/>
        </w:rPr>
      </w:pPr>
      <w:bookmarkStart w:id="49" w:name="_Toc15396614"/>
      <w:bookmarkStart w:id="50" w:name="_Toc15377226"/>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49"/>
    </w:p>
    <w:p w14:paraId="790EE0DA">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14:paraId="59CEFF19">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14:paraId="6814A7D4">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ascii="Times New Roman" w:hAnsi="Times New Roman" w:eastAsia="方正小标宋简体" w:cs="Times New Roman"/>
          <w:b w:val="0"/>
          <w:bCs/>
          <w:sz w:val="44"/>
          <w:szCs w:val="44"/>
          <w:highlight w:val="none"/>
          <w:shd w:val="clear" w:color="auto" w:fill="FFFFFF"/>
        </w:rPr>
      </w:pPr>
    </w:p>
    <w:p w14:paraId="00C01D64">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ascii="Times New Roman" w:hAnsi="Times New Roman" w:eastAsia="方正小标宋简体" w:cs="Times New Roman"/>
          <w:b w:val="0"/>
          <w:bCs/>
          <w:sz w:val="44"/>
          <w:szCs w:val="44"/>
          <w:highlight w:val="none"/>
          <w:shd w:val="clear" w:color="auto" w:fill="FFFFFF"/>
        </w:rPr>
      </w:pPr>
      <w:r>
        <w:rPr>
          <w:rFonts w:hint="eastAsia" w:eastAsia="方正小标宋简体" w:cs="Times New Roman"/>
          <w:b w:val="0"/>
          <w:bCs/>
          <w:sz w:val="44"/>
          <w:szCs w:val="44"/>
          <w:highlight w:val="none"/>
          <w:shd w:val="clear" w:color="auto" w:fill="FFFFFF"/>
          <w:lang w:val="en-US" w:eastAsia="zh-CN"/>
        </w:rPr>
        <w:t>2025年</w:t>
      </w:r>
      <w:r>
        <w:rPr>
          <w:rFonts w:ascii="Times New Roman" w:hAnsi="Times New Roman" w:eastAsia="方正小标宋简体" w:cs="Times New Roman"/>
          <w:b w:val="0"/>
          <w:bCs/>
          <w:sz w:val="44"/>
          <w:szCs w:val="44"/>
          <w:highlight w:val="none"/>
          <w:shd w:val="clear" w:color="auto" w:fill="FFFFFF"/>
        </w:rPr>
        <w:t>部门</w:t>
      </w:r>
      <w:r>
        <w:rPr>
          <w:rFonts w:ascii="Times New Roman" w:hAnsi="Times New Roman" w:eastAsia="方正小标宋简体" w:cs="Times New Roman"/>
          <w:b w:val="0"/>
          <w:bCs/>
          <w:sz w:val="44"/>
          <w:szCs w:val="44"/>
          <w:highlight w:val="none"/>
          <w:shd w:val="clear" w:color="auto" w:fill="FFFFFF"/>
          <w:lang w:eastAsia="zh-CN"/>
        </w:rPr>
        <w:t>预算</w:t>
      </w:r>
      <w:r>
        <w:rPr>
          <w:rFonts w:ascii="Times New Roman" w:hAnsi="Times New Roman" w:eastAsia="方正小标宋简体" w:cs="Times New Roman"/>
          <w:b w:val="0"/>
          <w:bCs/>
          <w:sz w:val="44"/>
          <w:szCs w:val="44"/>
          <w:highlight w:val="none"/>
          <w:shd w:val="clear" w:color="auto" w:fill="FFFFFF"/>
        </w:rPr>
        <w:t>绩效</w:t>
      </w:r>
      <w:r>
        <w:rPr>
          <w:rFonts w:hint="eastAsia" w:ascii="Times New Roman" w:hAnsi="Times New Roman" w:eastAsia="方正小标宋简体" w:cs="Times New Roman"/>
          <w:b w:val="0"/>
          <w:bCs/>
          <w:sz w:val="44"/>
          <w:szCs w:val="44"/>
          <w:highlight w:val="none"/>
          <w:shd w:val="clear" w:color="auto" w:fill="FFFFFF"/>
          <w:lang w:eastAsia="zh-CN"/>
        </w:rPr>
        <w:t>评价</w:t>
      </w:r>
      <w:r>
        <w:rPr>
          <w:rFonts w:ascii="Times New Roman" w:hAnsi="Times New Roman" w:eastAsia="方正小标宋简体" w:cs="Times New Roman"/>
          <w:b w:val="0"/>
          <w:bCs/>
          <w:sz w:val="44"/>
          <w:szCs w:val="44"/>
          <w:highlight w:val="none"/>
          <w:shd w:val="clear" w:color="auto" w:fill="FFFFFF"/>
        </w:rPr>
        <w:t>报告</w:t>
      </w:r>
    </w:p>
    <w:p w14:paraId="6FCDFF9E">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ascii="Times New Roman" w:hAnsi="Times New Roman" w:eastAsia="仿宋_GB2312" w:cs="Times New Roman"/>
          <w:sz w:val="32"/>
          <w:szCs w:val="32"/>
          <w:highlight w:val="none"/>
          <w:shd w:val="clear" w:color="auto" w:fill="FFFFFF"/>
        </w:rPr>
      </w:pPr>
      <w:r>
        <w:rPr>
          <w:rFonts w:ascii="Times New Roman" w:hAnsi="Times New Roman" w:eastAsia="仿宋_GB2312" w:cs="Times New Roman"/>
          <w:sz w:val="32"/>
          <w:szCs w:val="32"/>
          <w:highlight w:val="none"/>
          <w:shd w:val="clear" w:color="auto" w:fill="FFFFFF"/>
        </w:rPr>
        <w:t>（报告范围包括机关和下属单位）</w:t>
      </w:r>
    </w:p>
    <w:p w14:paraId="28F0F2F9">
      <w:pPr>
        <w:keepNext w:val="0"/>
        <w:keepLines w:val="0"/>
        <w:pageBreakBefore w:val="0"/>
        <w:widowControl/>
        <w:kinsoku/>
        <w:wordWrap/>
        <w:overflowPunct/>
        <w:topLinePunct w:val="0"/>
        <w:autoSpaceDE/>
        <w:autoSpaceDN/>
        <w:bidi w:val="0"/>
        <w:adjustRightInd w:val="0"/>
        <w:snapToGrid w:val="0"/>
        <w:spacing w:line="578" w:lineRule="exact"/>
        <w:ind w:firstLine="480" w:firstLineChars="200"/>
        <w:contextualSpacing/>
        <w:jc w:val="left"/>
        <w:textAlignment w:val="auto"/>
        <w:outlineLvl w:val="9"/>
        <w:rPr>
          <w:rFonts w:ascii="Times New Roman" w:hAnsi="Times New Roman" w:eastAsia="黑体" w:cs="Times New Roman"/>
          <w:color w:val="000000"/>
          <w:kern w:val="0"/>
          <w:sz w:val="24"/>
          <w:szCs w:val="32"/>
          <w:highlight w:val="none"/>
          <w:shd w:val="clear" w:color="auto" w:fill="FFFFFF"/>
        </w:rPr>
      </w:pPr>
    </w:p>
    <w:p w14:paraId="02F21208">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一、</w:t>
      </w:r>
      <w:r>
        <w:rPr>
          <w:rFonts w:ascii="Times New Roman" w:hAnsi="Times New Roman" w:eastAsia="黑体" w:cs="Times New Roman"/>
          <w:color w:val="000000"/>
          <w:kern w:val="0"/>
          <w:sz w:val="32"/>
          <w:szCs w:val="32"/>
          <w:highlight w:val="none"/>
          <w:shd w:val="clear" w:color="auto" w:fill="FFFFFF"/>
          <w:lang w:val="zh-CN"/>
        </w:rPr>
        <w:t>部门（单位）基本情况</w:t>
      </w:r>
    </w:p>
    <w:p w14:paraId="529B1E31">
      <w:pPr>
        <w:pStyle w:val="32"/>
        <w:keepNext w:val="0"/>
        <w:keepLines w:val="0"/>
        <w:widowControl/>
        <w:suppressLineNumbers w:val="0"/>
        <w:kinsoku/>
        <w:wordWrap/>
        <w:overflowPunct/>
        <w:topLinePunct w:val="0"/>
        <w:autoSpaceDE w:val="0"/>
        <w:autoSpaceDN/>
        <w:spacing w:before="0" w:beforeAutospacing="0" w:line="560" w:lineRule="exact"/>
        <w:ind w:left="0" w:firstLine="643" w:firstLineChars="200"/>
        <w:jc w:val="left"/>
        <w:rPr>
          <w:rFonts w:hint="eastAsia" w:ascii="Times New Roman" w:hAnsi="Times New Roman" w:eastAsia="仿宋_GB2312" w:cs="Times New Roman"/>
          <w:snapToGrid/>
          <w:color w:val="auto"/>
          <w:spacing w:val="0"/>
          <w:w w:val="100"/>
          <w:kern w:val="2"/>
          <w:position w:val="0"/>
          <w:sz w:val="32"/>
          <w:szCs w:val="32"/>
          <w:u w:val="none"/>
          <w:shd w:val="clear" w:color="auto" w:fill="auto"/>
          <w:vertAlign w:val="baseline"/>
          <w:lang w:val="en-US" w:eastAsia="zh-CN" w:bidi="ar-SA"/>
        </w:rPr>
      </w:pPr>
      <w:r>
        <w:rPr>
          <w:rFonts w:hint="eastAsia" w:ascii="Times New Roman" w:hAnsi="Times New Roman" w:eastAsia="楷体_GB2312" w:cs="楷体_GB2312"/>
          <w:b/>
          <w:color w:val="auto"/>
          <w:sz w:val="32"/>
          <w:szCs w:val="32"/>
          <w:highlight w:val="none"/>
          <w:lang w:val="zh-CN"/>
        </w:rPr>
        <w:t>（一）</w:t>
      </w:r>
      <w:r>
        <w:rPr>
          <w:rFonts w:ascii="Times New Roman" w:hAnsi="Times New Roman" w:eastAsia="楷体_GB2312" w:cs="楷体_GB2312"/>
          <w:b/>
          <w:color w:val="auto"/>
          <w:sz w:val="32"/>
          <w:szCs w:val="32"/>
          <w:highlight w:val="none"/>
          <w:lang w:val="zh-CN"/>
        </w:rPr>
        <w:t>机构组成。</w:t>
      </w:r>
      <w:r>
        <w:rPr>
          <w:rFonts w:hint="eastAsia" w:ascii="Times New Roman" w:hAnsi="Times New Roman" w:eastAsia="仿宋_GB2312" w:cs="Times New Roman"/>
          <w:snapToGrid/>
          <w:color w:val="auto"/>
          <w:spacing w:val="0"/>
          <w:w w:val="100"/>
          <w:kern w:val="2"/>
          <w:position w:val="0"/>
          <w:sz w:val="32"/>
          <w:szCs w:val="32"/>
          <w:u w:val="none"/>
          <w:shd w:val="clear" w:color="auto" w:fill="auto"/>
          <w:vertAlign w:val="baseline"/>
          <w:lang w:val="en-US" w:eastAsia="zh-CN" w:bidi="ar-SA"/>
        </w:rPr>
        <w:t>行政单位1个，全称：红原县科学技术协会。下属二级预算单位1个全称：红原县民族科普中心</w:t>
      </w:r>
    </w:p>
    <w:p w14:paraId="7A8A6482">
      <w:pPr>
        <w:pStyle w:val="32"/>
        <w:keepNext w:val="0"/>
        <w:keepLines w:val="0"/>
        <w:widowControl/>
        <w:suppressLineNumbers w:val="0"/>
        <w:kinsoku/>
        <w:wordWrap/>
        <w:overflowPunct/>
        <w:topLinePunct w:val="0"/>
        <w:autoSpaceDE w:val="0"/>
        <w:autoSpaceDN/>
        <w:spacing w:before="0" w:beforeAutospacing="0" w:line="560" w:lineRule="exact"/>
        <w:ind w:right="0" w:firstLine="643" w:firstLineChars="200"/>
        <w:jc w:val="left"/>
        <w:rPr>
          <w:rFonts w:ascii="Times New Roman" w:hAnsi="Times New Roman" w:eastAsia="楷体_GB2312" w:cs="Times New Roman"/>
          <w:b/>
          <w:bCs/>
          <w:color w:val="000000"/>
          <w:kern w:val="0"/>
          <w:szCs w:val="32"/>
          <w:highlight w:val="none"/>
          <w:shd w:val="clear" w:color="auto" w:fill="FFFFFF"/>
          <w:lang w:val="zh-CN"/>
        </w:rPr>
      </w:pPr>
      <w:r>
        <w:rPr>
          <w:rFonts w:ascii="Times New Roman" w:hAnsi="Times New Roman" w:eastAsia="楷体_GB2312" w:cs="楷体_GB2312"/>
          <w:b/>
          <w:color w:val="auto"/>
          <w:sz w:val="32"/>
          <w:szCs w:val="32"/>
          <w:highlight w:val="none"/>
          <w:lang w:val="zh-CN"/>
        </w:rPr>
        <w:t>（二）机构职能</w:t>
      </w:r>
      <w:r>
        <w:rPr>
          <w:rFonts w:hint="eastAsia" w:ascii="Times New Roman" w:hAnsi="Times New Roman" w:eastAsia="楷体_GB2312" w:cs="楷体_GB2312"/>
          <w:b/>
          <w:color w:val="auto"/>
          <w:sz w:val="32"/>
          <w:szCs w:val="32"/>
          <w:highlight w:val="none"/>
          <w:lang w:val="zh-CN"/>
        </w:rPr>
        <w:t>。</w:t>
      </w:r>
      <w:r>
        <w:rPr>
          <w:rFonts w:hint="eastAsia" w:ascii="Times New Roman" w:hAnsi="Times New Roman" w:eastAsia="仿宋_GB2312" w:cs="Times New Roman"/>
          <w:snapToGrid/>
          <w:color w:val="auto"/>
          <w:spacing w:val="0"/>
          <w:w w:val="100"/>
          <w:kern w:val="2"/>
          <w:position w:val="0"/>
          <w:sz w:val="32"/>
          <w:szCs w:val="32"/>
          <w:u w:val="none"/>
          <w:shd w:val="clear" w:color="auto" w:fill="auto"/>
          <w:vertAlign w:val="baseline"/>
          <w:lang w:val="en-US" w:eastAsia="zh-CN" w:bidi="ar-SA"/>
        </w:rPr>
        <w:t>工作职能：当好党和政府发展科技事业的助手，进一步搞好科技工作者服务工作；加强科技普及工作；为提高全面科技文化素质服务，为社会主义精神文明建设服务，进一步做好基层组织、下级组织的服务工作，实行群众办公、民主办公、加强科学协会自身体制作风改革；加强农村科普网络的建立，搞好协会的协调工作管理工作。</w:t>
      </w:r>
    </w:p>
    <w:p w14:paraId="72A9B32B">
      <w:pPr>
        <w:pStyle w:val="32"/>
        <w:keepNext w:val="0"/>
        <w:keepLines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val="0"/>
        <w:autoSpaceDN/>
        <w:adjustRightInd w:val="0"/>
        <w:snapToGrid w:val="0"/>
        <w:spacing w:before="0" w:beforeAutospacing="0" w:after="0" w:afterAutospacing="0" w:line="576" w:lineRule="exact"/>
        <w:ind w:left="0" w:right="0" w:firstLine="643" w:firstLineChars="200"/>
        <w:contextualSpacing w:val="0"/>
        <w:jc w:val="both"/>
        <w:rPr>
          <w:rFonts w:hint="eastAsia" w:ascii="Times New Roman" w:hAnsi="Times New Roman" w:eastAsia="仿宋_GB2312" w:cs="Times New Roman"/>
          <w:snapToGrid/>
          <w:color w:val="auto"/>
          <w:spacing w:val="0"/>
          <w:w w:val="100"/>
          <w:kern w:val="2"/>
          <w:position w:val="0"/>
          <w:sz w:val="32"/>
          <w:szCs w:val="32"/>
          <w:u w:val="none"/>
          <w:shd w:val="clear" w:color="auto" w:fill="auto"/>
          <w:vertAlign w:val="baseline"/>
          <w:lang w:val="en-US" w:eastAsia="zh-CN" w:bidi="ar-SA"/>
        </w:rPr>
      </w:pPr>
      <w:r>
        <w:rPr>
          <w:rFonts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ascii="Times New Roman" w:hAnsi="Times New Roman" w:eastAsia="楷体_GB2312" w:cs="Times New Roman"/>
          <w:b/>
          <w:bCs/>
          <w:color w:val="000000"/>
          <w:kern w:val="0"/>
          <w:sz w:val="32"/>
          <w:szCs w:val="32"/>
          <w:highlight w:val="none"/>
          <w:shd w:val="clear" w:color="auto" w:fill="FFFFFF"/>
          <w:lang w:val="zh-CN"/>
        </w:rPr>
        <w:t>）人员概况</w:t>
      </w:r>
      <w:r>
        <w:rPr>
          <w:rFonts w:hint="eastAsia"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仿宋_GB2312" w:cs="Times New Roman"/>
          <w:snapToGrid/>
          <w:color w:val="auto"/>
          <w:spacing w:val="0"/>
          <w:w w:val="100"/>
          <w:kern w:val="2"/>
          <w:position w:val="0"/>
          <w:sz w:val="32"/>
          <w:szCs w:val="32"/>
          <w:u w:val="none"/>
          <w:shd w:val="clear" w:color="auto" w:fill="auto"/>
          <w:vertAlign w:val="baseline"/>
          <w:lang w:val="en-US" w:eastAsia="zh-CN" w:bidi="ar-SA"/>
        </w:rPr>
        <w:t>红原县科学技术协会为独立核算全额拨款行政单位，下设民族科普中心。本年度截止2025年底我单位共有编制7个，其中行政编制3个，行政工勤编制1个，事业编制3个；退休人员1人。</w:t>
      </w:r>
    </w:p>
    <w:p w14:paraId="078860EA">
      <w:pPr>
        <w:keepNext w:val="0"/>
        <w:keepLines w:val="0"/>
        <w:pageBreakBefore w:val="0"/>
        <w:widowControl w:val="0"/>
        <w:kinsoku/>
        <w:wordWrap/>
        <w:overflowPunct/>
        <w:topLinePunct w:val="0"/>
        <w:autoSpaceDE/>
        <w:autoSpaceDN/>
        <w:bidi w:val="0"/>
        <w:adjustRightInd/>
        <w:snapToGrid/>
        <w:spacing w:line="600" w:lineRule="exact"/>
        <w:ind w:firstLine="420" w:firstLineChars="200"/>
        <w:textAlignment w:val="auto"/>
        <w:rPr>
          <w:rFonts w:ascii="Times New Roman" w:hAnsi="Times New Roman" w:cs="Times New Roman"/>
          <w:szCs w:val="32"/>
        </w:rPr>
      </w:pPr>
    </w:p>
    <w:p w14:paraId="52C1B40B">
      <w:pPr>
        <w:pStyle w:val="2"/>
        <w:rPr>
          <w:rFonts w:ascii="Times New Roman" w:hAnsi="Times New Roman" w:cs="Times New Roman"/>
          <w:szCs w:val="32"/>
        </w:rPr>
      </w:pPr>
    </w:p>
    <w:p w14:paraId="3BDE0373">
      <w:pPr>
        <w:pStyle w:val="3"/>
        <w:rPr>
          <w:rFonts w:ascii="Times New Roman" w:hAnsi="Times New Roman" w:cs="Times New Roman"/>
          <w:szCs w:val="32"/>
        </w:rPr>
      </w:pPr>
    </w:p>
    <w:p w14:paraId="4D8FF467"/>
    <w:p w14:paraId="65FF5622">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ascii="Times New Roman" w:hAnsi="Times New Roman" w:eastAsia="黑体" w:cs="Times New Roman"/>
          <w:color w:val="000000"/>
          <w:kern w:val="0"/>
          <w:sz w:val="32"/>
          <w:szCs w:val="32"/>
          <w:highlight w:val="none"/>
          <w:shd w:val="clear" w:color="auto" w:fill="FFFFFF"/>
          <w:lang w:val="zh-CN" w:eastAsia="zh-CN"/>
        </w:rPr>
      </w:pPr>
      <w:r>
        <w:rPr>
          <w:rFonts w:ascii="Times New Roman" w:hAnsi="Times New Roman" w:eastAsia="黑体" w:cs="Times New Roman"/>
          <w:color w:val="000000"/>
          <w:kern w:val="0"/>
          <w:sz w:val="32"/>
          <w:szCs w:val="32"/>
          <w:highlight w:val="none"/>
          <w:shd w:val="clear" w:color="auto" w:fill="FFFFFF"/>
          <w:lang w:val="zh-CN" w:eastAsia="zh-CN"/>
        </w:rPr>
        <w:t>二、部门资金收支情况</w:t>
      </w:r>
    </w:p>
    <w:p w14:paraId="1D96CC57">
      <w:pPr>
        <w:pStyle w:val="32"/>
        <w:keepNext w:val="0"/>
        <w:keepLines w:val="0"/>
        <w:widowControl/>
        <w:suppressLineNumbers w:val="0"/>
        <w:kinsoku/>
        <w:wordWrap/>
        <w:overflowPunct/>
        <w:topLinePunct w:val="0"/>
        <w:autoSpaceDE w:val="0"/>
        <w:autoSpaceDN/>
        <w:spacing w:before="0" w:beforeAutospacing="0" w:line="560" w:lineRule="exact"/>
        <w:ind w:left="0" w:firstLine="643" w:firstLineChars="200"/>
        <w:jc w:val="left"/>
        <w:rPr>
          <w:rFonts w:hint="eastAsia" w:ascii="Times New Roman" w:hAnsi="Times New Roman" w:eastAsia="仿宋_GB2312" w:cs="Times New Roman"/>
          <w:snapToGrid/>
          <w:color w:val="auto"/>
          <w:spacing w:val="0"/>
          <w:w w:val="100"/>
          <w:kern w:val="2"/>
          <w:position w:val="0"/>
          <w:sz w:val="32"/>
          <w:szCs w:val="32"/>
          <w:u w:val="none"/>
          <w:shd w:val="clear" w:color="auto" w:fill="auto"/>
          <w:vertAlign w:val="baseline"/>
          <w:lang w:val="en-US" w:eastAsia="zh-CN" w:bidi="ar-SA"/>
        </w:rPr>
      </w:pPr>
      <w:r>
        <w:rPr>
          <w:rFonts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收入情况</w:t>
      </w:r>
      <w:r>
        <w:rPr>
          <w:rFonts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仿宋_GB2312" w:cs="Times New Roman"/>
          <w:snapToGrid/>
          <w:color w:val="auto"/>
          <w:spacing w:val="0"/>
          <w:w w:val="100"/>
          <w:kern w:val="2"/>
          <w:position w:val="0"/>
          <w:sz w:val="32"/>
          <w:szCs w:val="32"/>
          <w:u w:val="none"/>
          <w:shd w:val="clear" w:color="auto" w:fill="auto"/>
          <w:vertAlign w:val="baseline"/>
          <w:lang w:val="en-US" w:eastAsia="zh-CN" w:bidi="ar-SA"/>
        </w:rPr>
        <w:t>2025年本年收入合计207.75万元，其中：一般公共预算财政拨款收入207.75万元，占 100.00%。</w:t>
      </w:r>
    </w:p>
    <w:p w14:paraId="6461B798">
      <w:pPr>
        <w:pStyle w:val="32"/>
        <w:keepNext w:val="0"/>
        <w:keepLines w:val="0"/>
        <w:widowControl/>
        <w:suppressLineNumbers w:val="0"/>
        <w:kinsoku/>
        <w:wordWrap/>
        <w:overflowPunct/>
        <w:topLinePunct w:val="0"/>
        <w:autoSpaceDE w:val="0"/>
        <w:autoSpaceDN/>
        <w:spacing w:before="0" w:beforeAutospacing="0" w:line="560" w:lineRule="exact"/>
        <w:ind w:left="0"/>
        <w:jc w:val="both"/>
        <w:rPr>
          <w:rFonts w:hint="eastAsia" w:ascii="Times New Roman" w:hAnsi="Times New Roman" w:eastAsia="仿宋_GB2312" w:cs="Times New Roman"/>
          <w:snapToGrid/>
          <w:color w:val="auto"/>
          <w:spacing w:val="0"/>
          <w:w w:val="100"/>
          <w:kern w:val="2"/>
          <w:position w:val="0"/>
          <w:sz w:val="32"/>
          <w:szCs w:val="32"/>
          <w:u w:val="none"/>
          <w:shd w:val="clear" w:color="auto" w:fill="auto"/>
          <w:vertAlign w:val="baseline"/>
          <w:lang w:val="en-US" w:eastAsia="zh-CN" w:bidi="ar-SA"/>
        </w:rPr>
      </w:pPr>
      <w:r>
        <w:rPr>
          <w:rFonts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二</w:t>
      </w:r>
      <w:r>
        <w:rPr>
          <w:rFonts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支出情况</w:t>
      </w:r>
      <w:r>
        <w:rPr>
          <w:rFonts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仿宋_GB2312" w:cs="Times New Roman"/>
          <w:snapToGrid/>
          <w:color w:val="auto"/>
          <w:spacing w:val="0"/>
          <w:w w:val="100"/>
          <w:kern w:val="2"/>
          <w:position w:val="0"/>
          <w:sz w:val="32"/>
          <w:szCs w:val="32"/>
          <w:u w:val="none"/>
          <w:shd w:val="clear" w:color="auto" w:fill="auto"/>
          <w:vertAlign w:val="baseline"/>
          <w:lang w:val="en-US" w:eastAsia="zh-CN" w:bidi="ar-SA"/>
        </w:rPr>
        <w:t>2025年本年支出合计207.75万元，其中：科学技术（类）科学技术管理事（款）行政运行、一般行政管理事务（项）支出决算为158.81万元，76.44%；社会保障和就业（类）行政事业单位养老支出（款）机关事业单位基本养老保险缴费支出、机关事业单位职业年金缴费支出（项）支出决算为25.58万元，占12.31%；住房保障支出（类）住房改革支出（款）住房公积金（项）支出决算为13.96万元，占6.72%。卫生健康支出（类）行政事业单位医疗（款）行政单位医疗、事业单位医疗、公务员医疗补助、其他行政事业单位医疗支出（项）: 支出决算为9.41万元；占4.53%。</w:t>
      </w:r>
    </w:p>
    <w:p w14:paraId="209CE3E0">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ascii="Times New Roman" w:hAnsi="Times New Roman" w:eastAsia="仿宋_GB2312" w:cs="Times New Roman"/>
          <w:b w:val="0"/>
          <w:bCs w:val="0"/>
          <w:color w:val="000000"/>
          <w:kern w:val="0"/>
          <w:szCs w:val="32"/>
          <w:highlight w:val="none"/>
          <w:shd w:val="clear" w:color="auto" w:fill="FFFFFF"/>
          <w:lang w:val="zh-CN" w:eastAsia="zh-CN"/>
        </w:rPr>
      </w:pPr>
      <w:r>
        <w:rPr>
          <w:rFonts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ascii="Times New Roman" w:hAnsi="Times New Roman" w:eastAsia="楷体_GB2312" w:cs="Times New Roman"/>
          <w:b/>
          <w:bCs/>
          <w:color w:val="000000"/>
          <w:kern w:val="0"/>
          <w:sz w:val="32"/>
          <w:szCs w:val="32"/>
          <w:highlight w:val="none"/>
          <w:shd w:val="clear" w:color="auto" w:fill="FFFFFF"/>
          <w:lang w:val="zh-CN"/>
        </w:rPr>
        <w:t>）结余分配和结转结余情况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Times New Roman"/>
          <w:sz w:val="32"/>
          <w:szCs w:val="32"/>
          <w:lang w:val="en-US" w:eastAsia="zh-CN"/>
        </w:rPr>
        <w:t>本部门2025年</w:t>
      </w:r>
      <w:r>
        <w:rPr>
          <w:rFonts w:hint="eastAsia" w:eastAsia="仿宋_GB2312" w:cs="Times New Roman"/>
          <w:sz w:val="32"/>
          <w:szCs w:val="32"/>
          <w:lang w:val="en-US" w:eastAsia="zh-CN"/>
        </w:rPr>
        <w:t>无</w:t>
      </w:r>
      <w:r>
        <w:rPr>
          <w:rFonts w:ascii="Times New Roman" w:hAnsi="Times New Roman" w:eastAsia="仿宋_GB2312" w:cs="Times New Roman"/>
          <w:sz w:val="32"/>
          <w:szCs w:val="32"/>
          <w:lang w:val="en-US" w:eastAsia="zh-CN"/>
        </w:rPr>
        <w:t>结转结余</w:t>
      </w:r>
      <w:r>
        <w:rPr>
          <w:rFonts w:hint="eastAsia" w:ascii="Times New Roman" w:hAnsi="Times New Roman" w:eastAsia="仿宋_GB2312" w:cs="Times New Roman"/>
          <w:sz w:val="32"/>
          <w:szCs w:val="32"/>
          <w:lang w:val="en-US" w:eastAsia="zh-CN"/>
        </w:rPr>
        <w:t>情况</w:t>
      </w:r>
      <w:r>
        <w:rPr>
          <w:rFonts w:ascii="Times New Roman" w:hAnsi="Times New Roman" w:eastAsia="仿宋_GB2312" w:cs="Times New Roman"/>
          <w:sz w:val="32"/>
          <w:szCs w:val="32"/>
          <w:lang w:val="en-US" w:eastAsia="zh-CN"/>
        </w:rPr>
        <w:t>。</w:t>
      </w:r>
    </w:p>
    <w:p w14:paraId="3F082685">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ascii="Times New Roman" w:hAnsi="Times New Roman" w:eastAsia="黑体" w:cs="Times New Roman"/>
          <w:color w:val="000000"/>
          <w:kern w:val="0"/>
          <w:sz w:val="32"/>
          <w:szCs w:val="32"/>
          <w:highlight w:val="none"/>
          <w:shd w:val="clear" w:color="auto" w:fill="FFFFFF"/>
          <w:lang w:val="zh-CN" w:eastAsia="zh-CN"/>
        </w:rPr>
      </w:pPr>
      <w:r>
        <w:rPr>
          <w:rFonts w:ascii="Times New Roman" w:hAnsi="Times New Roman" w:eastAsia="黑体" w:cs="Times New Roman"/>
          <w:color w:val="000000"/>
          <w:kern w:val="0"/>
          <w:sz w:val="32"/>
          <w:szCs w:val="32"/>
          <w:highlight w:val="none"/>
          <w:shd w:val="clear" w:color="auto" w:fill="FFFFFF"/>
          <w:lang w:val="zh-CN" w:eastAsia="zh-CN"/>
        </w:rPr>
        <w:t>三、部门预算绩效分析</w:t>
      </w:r>
    </w:p>
    <w:p w14:paraId="55EE2A6E">
      <w:pPr>
        <w:keepNext w:val="0"/>
        <w:keepLines w:val="0"/>
        <w:pageBreakBefore w:val="0"/>
        <w:widowControl w:val="0"/>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ascii="Times New Roman" w:hAnsi="Times New Roman" w:eastAsia="仿宋_GB2312" w:cs="仿宋_GB2312"/>
          <w:color w:val="auto"/>
          <w:kern w:val="2"/>
          <w:sz w:val="32"/>
          <w:szCs w:val="32"/>
          <w:highlight w:val="none"/>
          <w:lang w:val="zh-CN" w:eastAsia="zh-CN" w:bidi="ar-SA"/>
        </w:rPr>
      </w:pPr>
      <w:r>
        <w:rPr>
          <w:rFonts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部门预算</w:t>
      </w:r>
      <w:r>
        <w:rPr>
          <w:rFonts w:ascii="Times New Roman" w:hAnsi="Times New Roman" w:eastAsia="楷体_GB2312" w:cs="Times New Roman"/>
          <w:b/>
          <w:bCs/>
          <w:color w:val="000000"/>
          <w:kern w:val="0"/>
          <w:sz w:val="32"/>
          <w:szCs w:val="32"/>
          <w:highlight w:val="none"/>
          <w:shd w:val="clear" w:color="auto" w:fill="FFFFFF"/>
          <w:lang w:val="zh-CN"/>
        </w:rPr>
        <w:t>总体绩效分析。</w:t>
      </w:r>
      <w:r>
        <w:rPr>
          <w:rFonts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ascii="Times New Roman" w:hAnsi="Times New Roman" w:eastAsia="仿宋_GB2312" w:cs="仿宋_GB2312"/>
          <w:color w:val="auto"/>
          <w:kern w:val="2"/>
          <w:sz w:val="32"/>
          <w:szCs w:val="32"/>
          <w:highlight w:val="none"/>
          <w:lang w:val="zh-CN" w:eastAsia="zh-CN" w:bidi="ar-SA"/>
        </w:rPr>
        <w:t>总体绩效</w:t>
      </w:r>
      <w:r>
        <w:rPr>
          <w:rFonts w:hint="eastAsia" w:ascii="Times New Roman" w:hAnsi="Times New Roman" w:eastAsia="仿宋_GB2312" w:cs="仿宋_GB2312"/>
          <w:color w:val="auto"/>
          <w:kern w:val="2"/>
          <w:sz w:val="32"/>
          <w:szCs w:val="32"/>
          <w:highlight w:val="none"/>
          <w:lang w:val="zh-CN" w:eastAsia="zh-CN" w:bidi="ar-SA"/>
        </w:rPr>
        <w:t>”</w:t>
      </w:r>
      <w:r>
        <w:rPr>
          <w:rFonts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ascii="Times New Roman" w:hAnsi="Times New Roman" w:eastAsia="仿宋_GB2312" w:cs="仿宋_GB2312"/>
          <w:color w:val="auto"/>
          <w:kern w:val="2"/>
          <w:sz w:val="32"/>
          <w:szCs w:val="32"/>
          <w:highlight w:val="none"/>
          <w:lang w:val="zh-CN" w:eastAsia="zh-CN" w:bidi="ar-SA"/>
        </w:rPr>
        <w:t>，依次包括履职效能、预算管理、财务管理、资产管理、采购管理等情况。</w:t>
      </w:r>
    </w:p>
    <w:p w14:paraId="3D0681AB">
      <w:pPr>
        <w:keepNext w:val="0"/>
        <w:keepLines w:val="0"/>
        <w:pageBreakBefore w:val="0"/>
        <w:kinsoku/>
        <w:wordWrap/>
        <w:overflowPunct/>
        <w:topLinePunct w:val="0"/>
        <w:autoSpaceDN/>
        <w:bidi w:val="0"/>
        <w:snapToGrid w:val="0"/>
        <w:spacing w:line="576" w:lineRule="exact"/>
        <w:ind w:firstLine="640" w:firstLineChars="200"/>
        <w:jc w:val="both"/>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1.履职效能</w:t>
      </w:r>
    </w:p>
    <w:p w14:paraId="1164FE18">
      <w:pPr>
        <w:keepNext w:val="0"/>
        <w:keepLines w:val="0"/>
        <w:pageBreakBefore w:val="0"/>
        <w:kinsoku/>
        <w:wordWrap/>
        <w:overflowPunct/>
        <w:topLinePunct w:val="0"/>
        <w:autoSpaceDN/>
        <w:bidi w:val="0"/>
        <w:snapToGrid w:val="0"/>
        <w:spacing w:line="576" w:lineRule="exact"/>
        <w:ind w:firstLine="640" w:firstLineChars="200"/>
        <w:jc w:val="both"/>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本年度，我单位围绕年度中心工作，选定科普宣传服务、基层科技推广、</w:t>
      </w:r>
      <w:r>
        <w:rPr>
          <w:rFonts w:hint="eastAsia" w:eastAsia="仿宋_GB2312" w:cs="仿宋_GB2312"/>
          <w:color w:val="auto"/>
          <w:kern w:val="2"/>
          <w:sz w:val="32"/>
          <w:szCs w:val="32"/>
          <w:highlight w:val="none"/>
          <w:lang w:val="en-US" w:eastAsia="zh-CN" w:bidi="ar-SA"/>
        </w:rPr>
        <w:t>科普进校园，3</w:t>
      </w:r>
      <w:r>
        <w:rPr>
          <w:rFonts w:hint="eastAsia" w:ascii="Times New Roman" w:hAnsi="Times New Roman" w:eastAsia="仿宋_GB2312" w:cs="仿宋_GB2312"/>
          <w:color w:val="auto"/>
          <w:kern w:val="2"/>
          <w:sz w:val="32"/>
          <w:szCs w:val="32"/>
          <w:highlight w:val="none"/>
          <w:lang w:val="en-US" w:eastAsia="zh-CN" w:bidi="ar-SA"/>
        </w:rPr>
        <w:t>项核心职能目标有序推进。扎实开展科普进乡村、进校园系列活动，稳步推进基层科技服务工作，做好科技工作者联络服务，规范指导所属学会协会开展业务，年度各项核心职能任务按期落地，既定绩效目标基本完成，部门履职效能持续发挥。</w:t>
      </w:r>
    </w:p>
    <w:p w14:paraId="1546D8E4">
      <w:pPr>
        <w:keepNext w:val="0"/>
        <w:keepLines w:val="0"/>
        <w:pageBreakBefore w:val="0"/>
        <w:kinsoku/>
        <w:wordWrap/>
        <w:overflowPunct/>
        <w:topLinePunct w:val="0"/>
        <w:autoSpaceDN/>
        <w:bidi w:val="0"/>
        <w:snapToGrid w:val="0"/>
        <w:spacing w:line="576" w:lineRule="exact"/>
        <w:ind w:firstLine="640" w:firstLineChars="200"/>
        <w:jc w:val="both"/>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2.预算管理</w:t>
      </w:r>
    </w:p>
    <w:p w14:paraId="10130B55">
      <w:pPr>
        <w:keepNext w:val="0"/>
        <w:keepLines w:val="0"/>
        <w:pageBreakBefore w:val="0"/>
        <w:kinsoku/>
        <w:wordWrap/>
        <w:overflowPunct/>
        <w:topLinePunct w:val="0"/>
        <w:autoSpaceDN/>
        <w:bidi w:val="0"/>
        <w:snapToGrid w:val="0"/>
        <w:spacing w:line="576" w:lineRule="exact"/>
        <w:ind w:firstLine="640" w:firstLineChars="200"/>
        <w:jc w:val="both"/>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本年度持续提高预算编制质量，做实项目前期论证，科学统筹单位各项收入，强化预算刚性约束，有序推进预算执行。严格落实党政机关过紧日子要求，从严压减一般性支出，</w:t>
      </w:r>
      <w:r>
        <w:rPr>
          <w:rFonts w:hint="eastAsia" w:eastAsia="仿宋_GB2312" w:cs="仿宋_GB2312"/>
          <w:color w:val="auto"/>
          <w:kern w:val="2"/>
          <w:sz w:val="32"/>
          <w:szCs w:val="32"/>
          <w:highlight w:val="none"/>
          <w:lang w:val="en-US" w:eastAsia="zh-CN" w:bidi="ar-SA"/>
        </w:rPr>
        <w:t>去·</w:t>
      </w:r>
      <w:r>
        <w:rPr>
          <w:rFonts w:hint="eastAsia" w:ascii="Times New Roman" w:hAnsi="Times New Roman" w:eastAsia="仿宋_GB2312" w:cs="仿宋_GB2312"/>
          <w:color w:val="auto"/>
          <w:kern w:val="2"/>
          <w:sz w:val="32"/>
          <w:szCs w:val="32"/>
          <w:highlight w:val="none"/>
          <w:lang w:val="en-US" w:eastAsia="zh-CN" w:bidi="ar-SA"/>
        </w:rPr>
        <w:t>严控“三公”经费规模，2025年度财政拨款“三公”经费支出决算为5.94万元，完成预算80.6%，较上年度减少0.02万元，下降0.34%。规范预算年终结转结余管理，统筹盘活财政资金，不断提升资金使用效益。</w:t>
      </w:r>
    </w:p>
    <w:p w14:paraId="7CA97305">
      <w:pPr>
        <w:keepNext w:val="0"/>
        <w:keepLines w:val="0"/>
        <w:pageBreakBefore w:val="0"/>
        <w:kinsoku/>
        <w:wordWrap/>
        <w:overflowPunct/>
        <w:topLinePunct w:val="0"/>
        <w:autoSpaceDN/>
        <w:bidi w:val="0"/>
        <w:snapToGrid w:val="0"/>
        <w:spacing w:line="576" w:lineRule="exact"/>
        <w:ind w:firstLine="640" w:firstLineChars="200"/>
        <w:jc w:val="both"/>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3.财务管理</w:t>
      </w:r>
    </w:p>
    <w:p w14:paraId="7C760DBF">
      <w:pPr>
        <w:keepNext w:val="0"/>
        <w:keepLines w:val="0"/>
        <w:pageBreakBefore w:val="0"/>
        <w:kinsoku/>
        <w:wordWrap/>
        <w:overflowPunct/>
        <w:topLinePunct w:val="0"/>
        <w:autoSpaceDN/>
        <w:bidi w:val="0"/>
        <w:snapToGrid w:val="0"/>
        <w:spacing w:line="576" w:lineRule="exact"/>
        <w:ind w:firstLine="640" w:firstLineChars="200"/>
        <w:jc w:val="both"/>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严格执行财经法律法规及单位内部财务管理制度，合理设置财务岗位，落实不相容岗位分离要求。资金拨付、费用报销严格履行审核审批流程，原始凭证审核严谨，专项资金专款专用，不存在挤占、挪用专项资金等问题，财务管理规范有序。</w:t>
      </w:r>
    </w:p>
    <w:p w14:paraId="4179EE51">
      <w:pPr>
        <w:keepNext w:val="0"/>
        <w:keepLines w:val="0"/>
        <w:pageBreakBefore w:val="0"/>
        <w:kinsoku/>
        <w:wordWrap/>
        <w:overflowPunct/>
        <w:topLinePunct w:val="0"/>
        <w:autoSpaceDN/>
        <w:bidi w:val="0"/>
        <w:snapToGrid w:val="0"/>
        <w:spacing w:line="576" w:lineRule="exact"/>
        <w:ind w:firstLine="640" w:firstLineChars="200"/>
        <w:jc w:val="both"/>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4.资产管理</w:t>
      </w:r>
    </w:p>
    <w:p w14:paraId="59C34BF4">
      <w:pPr>
        <w:keepNext w:val="0"/>
        <w:keepLines w:val="0"/>
        <w:pageBreakBefore w:val="0"/>
        <w:kinsoku/>
        <w:wordWrap/>
        <w:overflowPunct/>
        <w:topLinePunct w:val="0"/>
        <w:autoSpaceDN/>
        <w:bidi w:val="0"/>
        <w:snapToGrid w:val="0"/>
        <w:spacing w:line="576" w:lineRule="exact"/>
        <w:ind w:firstLine="640" w:firstLineChars="200"/>
        <w:jc w:val="both"/>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健全固定资产台账，定期开展资产清查盘点，做到账账相符、账实相符。规范资产购置、领用、报废处置全流程管理，盘活存量资产，提高资产利用效率，保障国有资产安全完整。</w:t>
      </w:r>
    </w:p>
    <w:p w14:paraId="38A2D532">
      <w:pPr>
        <w:keepNext w:val="0"/>
        <w:keepLines w:val="0"/>
        <w:pageBreakBefore w:val="0"/>
        <w:kinsoku/>
        <w:wordWrap/>
        <w:overflowPunct/>
        <w:topLinePunct w:val="0"/>
        <w:autoSpaceDN/>
        <w:bidi w:val="0"/>
        <w:snapToGrid w:val="0"/>
        <w:spacing w:line="576" w:lineRule="exact"/>
        <w:ind w:firstLine="640" w:firstLineChars="200"/>
        <w:jc w:val="both"/>
        <w:rPr>
          <w:rFonts w:hint="eastAsia" w:ascii="Times New Roman" w:hAnsi="Times New Roman" w:eastAsia="仿宋_GB2312" w:cs="仿宋_GB2312"/>
          <w:color w:val="auto"/>
          <w:kern w:val="2"/>
          <w:sz w:val="32"/>
          <w:szCs w:val="32"/>
          <w:highlight w:val="none"/>
          <w:lang w:val="en-US" w:eastAsia="zh-CN" w:bidi="ar-SA"/>
        </w:rPr>
      </w:pPr>
    </w:p>
    <w:p w14:paraId="675F9AE2">
      <w:pPr>
        <w:keepNext w:val="0"/>
        <w:keepLines w:val="0"/>
        <w:pageBreakBefore w:val="0"/>
        <w:kinsoku/>
        <w:wordWrap/>
        <w:overflowPunct/>
        <w:topLinePunct w:val="0"/>
        <w:autoSpaceDN/>
        <w:bidi w:val="0"/>
        <w:snapToGrid w:val="0"/>
        <w:spacing w:line="576" w:lineRule="exact"/>
        <w:ind w:firstLine="640" w:firstLineChars="200"/>
        <w:jc w:val="both"/>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5.采购管理</w:t>
      </w:r>
    </w:p>
    <w:p w14:paraId="21FC8E62">
      <w:pPr>
        <w:keepNext w:val="0"/>
        <w:keepLines w:val="0"/>
        <w:pageBreakBefore w:val="0"/>
        <w:kinsoku/>
        <w:wordWrap/>
        <w:overflowPunct/>
        <w:topLinePunct w:val="0"/>
        <w:autoSpaceDN/>
        <w:bidi w:val="0"/>
        <w:snapToGrid w:val="0"/>
        <w:spacing w:line="576" w:lineRule="exact"/>
        <w:ind w:firstLine="640" w:firstLineChars="200"/>
        <w:jc w:val="both"/>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严格遵照政府采购相关制度规定编制采购计划，依法依规履行采购程序，做到应采尽采。规范合同签订、履约验收等关键环节，全过程留痕，政府采购工作合规有序。</w:t>
      </w:r>
    </w:p>
    <w:p w14:paraId="57861A2C">
      <w:pPr>
        <w:keepNext w:val="0"/>
        <w:keepLines w:val="0"/>
        <w:pageBreakBefore w:val="0"/>
        <w:kinsoku/>
        <w:wordWrap/>
        <w:overflowPunct/>
        <w:topLinePunct w:val="0"/>
        <w:autoSpaceDN/>
        <w:bidi w:val="0"/>
        <w:snapToGrid w:val="0"/>
        <w:spacing w:line="576" w:lineRule="exact"/>
        <w:ind w:firstLine="643" w:firstLineChars="200"/>
        <w:jc w:val="both"/>
        <w:rPr>
          <w:rFonts w:ascii="Times New Roman" w:hAnsi="Times New Roman" w:eastAsia="楷体_GB2312" w:cs="Times New Roman"/>
          <w:b/>
          <w:bCs/>
          <w:color w:val="000000"/>
          <w:kern w:val="0"/>
          <w:sz w:val="32"/>
          <w:szCs w:val="32"/>
          <w:highlight w:val="none"/>
          <w:shd w:val="clear" w:color="auto" w:fill="FFFFFF"/>
          <w:lang w:val="zh-CN"/>
        </w:rPr>
      </w:pPr>
      <w:r>
        <w:rPr>
          <w:rFonts w:ascii="Times New Roman" w:hAnsi="Times New Roman" w:eastAsia="楷体_GB2312" w:cs="Times New Roman"/>
          <w:b/>
          <w:bCs/>
          <w:color w:val="000000"/>
          <w:kern w:val="0"/>
          <w:sz w:val="32"/>
          <w:szCs w:val="32"/>
          <w:highlight w:val="none"/>
          <w:shd w:val="clear" w:color="auto" w:fill="FFFFFF"/>
          <w:lang w:val="zh-CN"/>
        </w:rPr>
        <w:t>（二）部门预算项目绩效分析。</w:t>
      </w:r>
    </w:p>
    <w:p w14:paraId="1F7353AB">
      <w:pPr>
        <w:keepNext w:val="0"/>
        <w:keepLines w:val="0"/>
        <w:pageBreakBefore w:val="0"/>
        <w:kinsoku/>
        <w:wordWrap/>
        <w:overflowPunct/>
        <w:topLinePunct w:val="0"/>
        <w:autoSpaceDN/>
        <w:bidi w:val="0"/>
        <w:snapToGrid w:val="0"/>
        <w:spacing w:line="576" w:lineRule="exact"/>
        <w:ind w:firstLine="640" w:firstLineChars="200"/>
        <w:jc w:val="both"/>
        <w:rPr>
          <w:rFonts w:hint="eastAsia" w:ascii="仿宋_GB2312" w:hAnsi="仿宋" w:eastAsia="仿宋_GB2312"/>
          <w:sz w:val="32"/>
          <w:szCs w:val="32"/>
        </w:rPr>
      </w:pPr>
      <w:r>
        <w:rPr>
          <w:rFonts w:hint="eastAsia" w:ascii="仿宋_GB2312" w:hAnsi="仿宋" w:eastAsia="仿宋_GB2312"/>
          <w:sz w:val="32"/>
          <w:szCs w:val="32"/>
        </w:rPr>
        <w:t>1.概述项目绩效目标完成情况。</w:t>
      </w:r>
    </w:p>
    <w:p w14:paraId="15CB2857">
      <w:pPr>
        <w:keepNext w:val="0"/>
        <w:keepLines w:val="0"/>
        <w:pageBreakBefore w:val="0"/>
        <w:kinsoku/>
        <w:wordWrap/>
        <w:overflowPunct/>
        <w:topLinePunct w:val="0"/>
        <w:autoSpaceDN/>
        <w:bidi w:val="0"/>
        <w:snapToGrid w:val="0"/>
        <w:spacing w:line="576" w:lineRule="exact"/>
        <w:ind w:firstLine="640" w:firstLineChars="200"/>
        <w:jc w:val="both"/>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项目名称1：科普宣传活动经费</w:t>
      </w:r>
    </w:p>
    <w:p w14:paraId="4A06236F">
      <w:pPr>
        <w:keepNext w:val="0"/>
        <w:keepLines w:val="0"/>
        <w:pageBreakBefore w:val="0"/>
        <w:kinsoku/>
        <w:wordWrap/>
        <w:overflowPunct/>
        <w:topLinePunct w:val="0"/>
        <w:autoSpaceDN/>
        <w:bidi w:val="0"/>
        <w:snapToGrid w:val="0"/>
        <w:spacing w:line="576" w:lineRule="exact"/>
        <w:ind w:firstLine="640" w:firstLineChars="200"/>
        <w:jc w:val="both"/>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数量指标：每年在县城及乡镇村宣传次数不小于等于20次，已完成18次，完成率达90%。</w:t>
      </w:r>
    </w:p>
    <w:p w14:paraId="7D3D4C5A">
      <w:pPr>
        <w:keepNext w:val="0"/>
        <w:keepLines w:val="0"/>
        <w:pageBreakBefore w:val="0"/>
        <w:kinsoku/>
        <w:wordWrap/>
        <w:overflowPunct/>
        <w:topLinePunct w:val="0"/>
        <w:autoSpaceDN/>
        <w:bidi w:val="0"/>
        <w:snapToGrid w:val="0"/>
        <w:spacing w:line="576" w:lineRule="exact"/>
        <w:ind w:firstLine="640" w:firstLineChars="200"/>
        <w:jc w:val="both"/>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效益指标：进一步提高科技认识，提高群众科技文化水平，部分实现目标。</w:t>
      </w:r>
    </w:p>
    <w:p w14:paraId="1C0BAD2C">
      <w:pPr>
        <w:keepNext w:val="0"/>
        <w:keepLines w:val="0"/>
        <w:pageBreakBefore w:val="0"/>
        <w:kinsoku/>
        <w:wordWrap/>
        <w:overflowPunct/>
        <w:topLinePunct w:val="0"/>
        <w:autoSpaceDN/>
        <w:bidi w:val="0"/>
        <w:snapToGrid w:val="0"/>
        <w:spacing w:line="576" w:lineRule="exact"/>
        <w:ind w:firstLine="640" w:firstLineChars="200"/>
        <w:jc w:val="both"/>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满意度：每年对科学技术及科普宣传，群众满意度预设达到100%。对科学技术及科普宣传，群众满意度达90%。</w:t>
      </w:r>
    </w:p>
    <w:p w14:paraId="690C163D">
      <w:pPr>
        <w:keepNext w:val="0"/>
        <w:keepLines w:val="0"/>
        <w:pageBreakBefore w:val="0"/>
        <w:kinsoku/>
        <w:wordWrap/>
        <w:overflowPunct/>
        <w:topLinePunct w:val="0"/>
        <w:autoSpaceDN/>
        <w:bidi w:val="0"/>
        <w:snapToGrid w:val="0"/>
        <w:spacing w:line="576" w:lineRule="exact"/>
        <w:ind w:firstLine="640" w:firstLineChars="200"/>
        <w:jc w:val="both"/>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项目名称2：农村科普热线专项经费</w:t>
      </w:r>
    </w:p>
    <w:p w14:paraId="6AE0C470">
      <w:pPr>
        <w:keepNext w:val="0"/>
        <w:keepLines w:val="0"/>
        <w:pageBreakBefore w:val="0"/>
        <w:kinsoku/>
        <w:wordWrap/>
        <w:overflowPunct/>
        <w:topLinePunct w:val="0"/>
        <w:autoSpaceDN/>
        <w:bidi w:val="0"/>
        <w:snapToGrid w:val="0"/>
        <w:spacing w:line="576" w:lineRule="exact"/>
        <w:ind w:firstLine="640" w:firstLineChars="200"/>
        <w:jc w:val="both"/>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数量指标：每年接打科普咨询电话数量不小于等于2000人次，已完成2000人次，完成率达100%。</w:t>
      </w:r>
    </w:p>
    <w:p w14:paraId="3720FD6C">
      <w:pPr>
        <w:keepNext w:val="0"/>
        <w:keepLines w:val="0"/>
        <w:pageBreakBefore w:val="0"/>
        <w:kinsoku/>
        <w:wordWrap/>
        <w:overflowPunct/>
        <w:topLinePunct w:val="0"/>
        <w:autoSpaceDN/>
        <w:bidi w:val="0"/>
        <w:snapToGrid w:val="0"/>
        <w:spacing w:line="576" w:lineRule="exact"/>
        <w:ind w:firstLine="640" w:firstLineChars="200"/>
        <w:jc w:val="both"/>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效益指标：提高农民群众科技知识，增加人均经济收入。部分实现目标。</w:t>
      </w:r>
    </w:p>
    <w:p w14:paraId="32514DA3">
      <w:pPr>
        <w:keepNext w:val="0"/>
        <w:keepLines w:val="0"/>
        <w:pageBreakBefore w:val="0"/>
        <w:kinsoku/>
        <w:wordWrap/>
        <w:overflowPunct/>
        <w:topLinePunct w:val="0"/>
        <w:autoSpaceDN/>
        <w:bidi w:val="0"/>
        <w:snapToGrid w:val="0"/>
        <w:spacing w:line="576" w:lineRule="exact"/>
        <w:ind w:firstLine="640" w:firstLineChars="200"/>
        <w:jc w:val="both"/>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满意度：每年对科学技术及科普宣传，群众满意度预设达到100%。对科学技术及科普宣传，群众满意度达90%。</w:t>
      </w:r>
    </w:p>
    <w:p w14:paraId="18A4D518">
      <w:pPr>
        <w:keepNext w:val="0"/>
        <w:keepLines w:val="0"/>
        <w:pageBreakBefore w:val="0"/>
        <w:kinsoku/>
        <w:wordWrap/>
        <w:overflowPunct/>
        <w:topLinePunct w:val="0"/>
        <w:autoSpaceDN/>
        <w:bidi w:val="0"/>
        <w:snapToGrid w:val="0"/>
        <w:spacing w:line="576" w:lineRule="exact"/>
        <w:ind w:firstLine="640" w:firstLineChars="200"/>
        <w:jc w:val="both"/>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项目名称1：科普专项资金</w:t>
      </w:r>
    </w:p>
    <w:p w14:paraId="4184F2DB">
      <w:pPr>
        <w:keepNext w:val="0"/>
        <w:keepLines w:val="0"/>
        <w:pageBreakBefore w:val="0"/>
        <w:kinsoku/>
        <w:wordWrap/>
        <w:overflowPunct/>
        <w:topLinePunct w:val="0"/>
        <w:autoSpaceDN/>
        <w:bidi w:val="0"/>
        <w:snapToGrid w:val="0"/>
        <w:spacing w:line="576" w:lineRule="exact"/>
        <w:ind w:firstLine="640" w:firstLineChars="200"/>
        <w:jc w:val="both"/>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产出指标：所能所需每年不小于等于50条。所能所需完成率为20条,完成率40%。</w:t>
      </w:r>
    </w:p>
    <w:p w14:paraId="781CCDD9">
      <w:pPr>
        <w:keepNext w:val="0"/>
        <w:keepLines w:val="0"/>
        <w:pageBreakBefore w:val="0"/>
        <w:kinsoku/>
        <w:wordWrap/>
        <w:overflowPunct/>
        <w:topLinePunct w:val="0"/>
        <w:autoSpaceDN/>
        <w:bidi w:val="0"/>
        <w:snapToGrid w:val="0"/>
        <w:spacing w:line="576" w:lineRule="exact"/>
        <w:ind w:firstLine="640" w:firstLineChars="200"/>
        <w:jc w:val="both"/>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效益指标：有效的促进科技成果转化，完成值为63%。基本达成目标。</w:t>
      </w:r>
    </w:p>
    <w:p w14:paraId="394D23FE">
      <w:pPr>
        <w:keepNext w:val="0"/>
        <w:keepLines w:val="0"/>
        <w:pageBreakBefore w:val="0"/>
        <w:kinsoku/>
        <w:wordWrap/>
        <w:overflowPunct/>
        <w:topLinePunct w:val="0"/>
        <w:autoSpaceDN/>
        <w:bidi w:val="0"/>
        <w:snapToGrid w:val="0"/>
        <w:spacing w:line="576" w:lineRule="exact"/>
        <w:ind w:firstLine="640" w:firstLineChars="200"/>
        <w:jc w:val="both"/>
        <w:rPr>
          <w:rFonts w:hint="eastAsia" w:eastAsia="仿宋_GB2312" w:cs="仿宋_GB2312"/>
          <w:color w:val="auto"/>
          <w:kern w:val="2"/>
          <w:sz w:val="32"/>
          <w:szCs w:val="32"/>
          <w:highlight w:val="none"/>
          <w:lang w:val="en-US" w:eastAsia="zh-CN" w:bidi="ar-SA"/>
        </w:rPr>
      </w:pPr>
      <w:r>
        <w:rPr>
          <w:rFonts w:hint="eastAsia" w:ascii="仿宋_GB2312" w:hAnsi="仿宋" w:eastAsia="仿宋_GB2312"/>
          <w:sz w:val="32"/>
          <w:szCs w:val="32"/>
          <w:lang w:val="en-US" w:eastAsia="zh-CN"/>
        </w:rPr>
        <w:t>满意度指标：“科技云”用户满意度每年不小于等不90%。对“科技云”用户满意度为90%。</w:t>
      </w:r>
    </w:p>
    <w:p w14:paraId="31E51CD9">
      <w:pPr>
        <w:keepNext w:val="0"/>
        <w:keepLines w:val="0"/>
        <w:pageBreakBefore w:val="0"/>
        <w:widowControl w:val="0"/>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楷体_GB2312" w:cs="Times New Roman"/>
          <w:b/>
          <w:bCs/>
          <w:color w:val="000000"/>
          <w:kern w:val="0"/>
          <w:sz w:val="32"/>
          <w:szCs w:val="32"/>
          <w:highlight w:val="none"/>
          <w:shd w:val="clear" w:color="auto" w:fill="FFFFFF"/>
          <w:lang w:val="en-US" w:eastAsia="zh-CN"/>
        </w:rPr>
        <w:t>三</w:t>
      </w:r>
      <w:r>
        <w:rPr>
          <w:rFonts w:ascii="Times New Roman" w:hAnsi="Times New Roman" w:eastAsia="楷体_GB2312" w:cs="Times New Roman"/>
          <w:b/>
          <w:bCs/>
          <w:color w:val="000000"/>
          <w:kern w:val="0"/>
          <w:sz w:val="32"/>
          <w:szCs w:val="32"/>
          <w:highlight w:val="none"/>
          <w:shd w:val="clear" w:color="auto" w:fill="FFFFFF"/>
          <w:lang w:val="zh-CN" w:eastAsia="zh-CN"/>
        </w:rPr>
        <w:t>）绩效结果应用情况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仿宋_GB2312" w:hAnsi="仿宋" w:eastAsia="仿宋_GB2312"/>
          <w:sz w:val="32"/>
          <w:szCs w:val="32"/>
          <w:lang w:val="zh-CN" w:eastAsia="zh-CN"/>
        </w:rPr>
        <w:t>本年度部门决算完成后，将预算绩效自评结果与决算数据联动运用。一是内部应用方面，对照年度决算实际支出、资金结余结转情况，分析预算执行偏差，把绩效自评结果作为下年度预算申报、项目资金统筹、内部业务考核的重要依据，结合决算执行情况优化项目排布，强化资金使用约束。二是信息公开方面，严格按照决算公开相关规定，将本部门绩效自评报告、绩效自评表随部门决算一并在政府门户网站依规公开，完整披露绩效目标完成、资金使用成效，主动接受社会监督。三是整改反馈方面，对照决算执行和绩效评价发现的问题，建立整改台账，明确整改责任股室与时限，逐项推进整改销号，整改落实情况及时报送财政部门，形成决算、绩效评价、整改提升的闭环管理。</w:t>
      </w:r>
    </w:p>
    <w:p w14:paraId="0F94E878">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ascii="Times New Roman" w:hAnsi="Times New Roman" w:eastAsia="黑体" w:cs="Times New Roman"/>
          <w:color w:val="000000"/>
          <w:kern w:val="0"/>
          <w:sz w:val="32"/>
          <w:szCs w:val="32"/>
          <w:highlight w:val="none"/>
          <w:shd w:val="clear" w:color="auto" w:fill="FFFFFF"/>
          <w:lang w:val="zh-CN"/>
        </w:rPr>
      </w:pPr>
      <w:r>
        <w:rPr>
          <w:rFonts w:ascii="Times New Roman" w:hAnsi="Times New Roman" w:eastAsia="黑体" w:cs="Times New Roman"/>
          <w:color w:val="000000"/>
          <w:kern w:val="0"/>
          <w:sz w:val="32"/>
          <w:szCs w:val="32"/>
          <w:highlight w:val="none"/>
          <w:shd w:val="clear" w:color="auto" w:fill="FFFFFF"/>
          <w:lang w:val="zh-CN" w:eastAsia="zh-CN"/>
        </w:rPr>
        <w:t>四、</w:t>
      </w:r>
      <w:r>
        <w:rPr>
          <w:rFonts w:ascii="Times New Roman" w:hAnsi="Times New Roman" w:eastAsia="黑体" w:cs="Times New Roman"/>
          <w:color w:val="000000"/>
          <w:kern w:val="0"/>
          <w:sz w:val="32"/>
          <w:szCs w:val="32"/>
          <w:highlight w:val="none"/>
          <w:shd w:val="clear" w:color="auto" w:fill="FFFFFF"/>
          <w:lang w:val="zh-CN"/>
        </w:rPr>
        <w:t>评价结论及建议</w:t>
      </w:r>
    </w:p>
    <w:p w14:paraId="089326F8">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u w:val="none"/>
          <w:lang w:val="en-US" w:eastAsia="zh-CN"/>
        </w:rPr>
      </w:pPr>
      <w:r>
        <w:rPr>
          <w:rFonts w:ascii="Times New Roman" w:hAnsi="Times New Roman" w:eastAsia="楷体_GB2312" w:cs="Times New Roman"/>
          <w:b/>
          <w:bCs/>
          <w:color w:val="000000"/>
          <w:kern w:val="0"/>
          <w:sz w:val="32"/>
          <w:szCs w:val="32"/>
          <w:highlight w:val="none"/>
          <w:shd w:val="clear" w:color="auto" w:fill="FFFFFF"/>
          <w:lang w:val="zh-CN"/>
        </w:rPr>
        <w:t>（一）评价结论。</w:t>
      </w:r>
      <w:r>
        <w:rPr>
          <w:rFonts w:hint="eastAsia" w:ascii="Times New Roman" w:hAnsi="Times New Roman" w:eastAsia="仿宋_GB2312" w:cs="Times New Roman"/>
          <w:sz w:val="32"/>
          <w:szCs w:val="32"/>
          <w:u w:val="none"/>
          <w:lang w:val="en-US" w:eastAsia="zh-CN"/>
        </w:rPr>
        <w:t>本年度部门预算绩效自评得分</w:t>
      </w:r>
      <w:r>
        <w:rPr>
          <w:rFonts w:hint="eastAsia" w:eastAsia="仿宋_GB2312" w:cs="Times New Roman"/>
          <w:sz w:val="32"/>
          <w:szCs w:val="32"/>
          <w:u w:val="none"/>
          <w:lang w:val="en-US" w:eastAsia="zh-CN"/>
        </w:rPr>
        <w:t>93</w:t>
      </w:r>
      <w:r>
        <w:rPr>
          <w:rFonts w:hint="eastAsia" w:ascii="Times New Roman" w:hAnsi="Times New Roman" w:eastAsia="仿宋_GB2312" w:cs="Times New Roman"/>
          <w:sz w:val="32"/>
          <w:szCs w:val="32"/>
          <w:u w:val="none"/>
          <w:lang w:val="en-US" w:eastAsia="zh-CN"/>
        </w:rPr>
        <w:t>分（满分100分），绩效等级为</w:t>
      </w:r>
      <w:r>
        <w:rPr>
          <w:rFonts w:hint="eastAsia" w:eastAsia="仿宋_GB2312" w:cs="Times New Roman"/>
          <w:sz w:val="32"/>
          <w:szCs w:val="32"/>
          <w:u w:val="none"/>
          <w:lang w:val="en-US" w:eastAsia="zh-CN"/>
        </w:rPr>
        <w:t>良</w:t>
      </w:r>
      <w:r>
        <w:rPr>
          <w:rFonts w:hint="eastAsia" w:ascii="Times New Roman" w:hAnsi="Times New Roman" w:eastAsia="仿宋_GB2312" w:cs="Times New Roman"/>
          <w:sz w:val="32"/>
          <w:szCs w:val="32"/>
          <w:u w:val="none"/>
          <w:lang w:val="en-US" w:eastAsia="zh-CN"/>
        </w:rPr>
        <w:t>。结合年度决算数据来看，本年度预算资金总体执行规范，决算收支真实完整，各项既定绩效目标基本达成，重点工作任务有序落地，财政资金使用合规，整体绩效达到预期；同时对照决算执行细节，在预算编制精准度、绩效过程管控、绩效成果转化等方面仍存在短板，有待后续持续改进。</w:t>
      </w:r>
    </w:p>
    <w:p w14:paraId="149FF0A3">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u w:val="none"/>
          <w:lang w:val="en-US" w:eastAsia="zh-CN"/>
        </w:rPr>
      </w:pPr>
      <w:r>
        <w:rPr>
          <w:rFonts w:ascii="Times New Roman" w:hAnsi="Times New Roman" w:eastAsia="楷体_GB2312" w:cs="Times New Roman"/>
          <w:b/>
          <w:bCs/>
          <w:color w:val="000000"/>
          <w:kern w:val="0"/>
          <w:sz w:val="32"/>
          <w:szCs w:val="32"/>
          <w:highlight w:val="none"/>
          <w:shd w:val="clear" w:color="auto" w:fill="FFFFFF"/>
          <w:lang w:val="zh-CN"/>
        </w:rPr>
        <w:t>（二）存在问题。</w:t>
      </w:r>
      <w:r>
        <w:rPr>
          <w:rFonts w:hint="eastAsia" w:ascii="Times New Roman" w:hAnsi="Times New Roman" w:eastAsia="仿宋_GB2312" w:cs="Times New Roman"/>
          <w:sz w:val="32"/>
          <w:szCs w:val="32"/>
          <w:u w:val="none"/>
          <w:lang w:val="en-US" w:eastAsia="zh-CN"/>
        </w:rPr>
        <w:t>预算编制与决算实际执行存在一定偏差。部分项目前期测算不够精准，结合决算数据看，个别项目支出进度不均衡，存在资金执行节奏偏慢、少量资金结转结余情况，预算前瞻性、精细化水平有待提升。</w:t>
      </w:r>
    </w:p>
    <w:p w14:paraId="04DBEE89">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Times New Roman"/>
          <w:sz w:val="32"/>
          <w:szCs w:val="32"/>
          <w:u w:val="none"/>
          <w:lang w:val="en-US" w:eastAsia="zh-CN"/>
        </w:rPr>
      </w:pPr>
      <w:r>
        <w:rPr>
          <w:rFonts w:hint="eastAsia" w:ascii="Times New Roman" w:hAnsi="Times New Roman" w:eastAsia="仿宋_GB2312" w:cs="Times New Roman"/>
          <w:sz w:val="32"/>
          <w:szCs w:val="32"/>
          <w:u w:val="none"/>
          <w:lang w:val="en-US" w:eastAsia="zh-CN"/>
        </w:rPr>
        <w:t>绩效指标量化程度不足，决算绩效对照不够细致。部分绩效指标偏定性描述，可量化、可核验指标偏少，决算环节对绩效目标完成情况的对照分析不够深入，过程绩效动态监控不够常态化。</w:t>
      </w:r>
    </w:p>
    <w:p w14:paraId="4654866E">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Times New Roman"/>
          <w:sz w:val="32"/>
          <w:szCs w:val="32"/>
          <w:u w:val="none"/>
          <w:lang w:val="en-US" w:eastAsia="zh-CN"/>
        </w:rPr>
      </w:pPr>
      <w:r>
        <w:rPr>
          <w:rFonts w:hint="eastAsia" w:ascii="Times New Roman" w:hAnsi="Times New Roman" w:eastAsia="仿宋_GB2312" w:cs="Times New Roman"/>
          <w:sz w:val="32"/>
          <w:szCs w:val="32"/>
          <w:u w:val="none"/>
          <w:lang w:val="en-US" w:eastAsia="zh-CN"/>
        </w:rPr>
        <w:t>绩效结果和决算管理融合深度不足。绩效评价结果运用偏浅，绩效结论对后续预算安排、项目管理的支撑作用发挥不充分，全员全过程绩效管理意识仍需加强。</w:t>
      </w:r>
    </w:p>
    <w:p w14:paraId="7C38FCCE">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eastAsia" w:ascii="Times New Roman" w:hAnsi="Times New Roman" w:eastAsia="仿宋_GB2312" w:cs="Times New Roman"/>
          <w:sz w:val="32"/>
          <w:szCs w:val="32"/>
          <w:u w:val="none"/>
          <w:lang w:val="en-US" w:eastAsia="zh-CN"/>
        </w:rPr>
      </w:pPr>
      <w:r>
        <w:rPr>
          <w:rFonts w:ascii="Times New Roman" w:hAnsi="Times New Roman" w:eastAsia="楷体_GB2312" w:cs="Times New Roman"/>
          <w:b/>
          <w:bCs/>
          <w:color w:val="000000"/>
          <w:kern w:val="0"/>
          <w:sz w:val="32"/>
          <w:szCs w:val="32"/>
          <w:highlight w:val="none"/>
          <w:shd w:val="clear" w:color="auto" w:fill="FFFFFF"/>
          <w:lang w:val="zh-CN" w:eastAsia="zh-CN"/>
        </w:rPr>
        <w:t>（三）改进建议。</w:t>
      </w:r>
      <w:bookmarkStart w:id="51" w:name="_Hlk110546638"/>
      <w:r>
        <w:rPr>
          <w:rFonts w:hint="eastAsia" w:ascii="Times New Roman" w:hAnsi="Times New Roman" w:eastAsia="仿宋_GB2312" w:cs="Times New Roman"/>
          <w:sz w:val="32"/>
          <w:szCs w:val="32"/>
          <w:u w:val="none"/>
          <w:lang w:val="en-US" w:eastAsia="zh-CN"/>
        </w:rPr>
        <w:t>针对预算编制与决算执行存在偏差问题。下一步做实项目前期调研论证，结合往年决算执行数据科学测算资金需求，提升预算编制精准度；强化预算执行动态调度，按月跟踪支出进度，加快项目落地和资金拨付，合理控制结转结余规模，缩小预算与决算偏差。</w:t>
      </w:r>
    </w:p>
    <w:p w14:paraId="2EB71AC0">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Times New Roman"/>
          <w:sz w:val="32"/>
          <w:szCs w:val="32"/>
          <w:u w:val="none"/>
          <w:lang w:val="en-US" w:eastAsia="zh-CN"/>
        </w:rPr>
      </w:pPr>
      <w:r>
        <w:rPr>
          <w:rFonts w:hint="eastAsia" w:ascii="Times New Roman" w:hAnsi="Times New Roman" w:eastAsia="仿宋_GB2312" w:cs="Times New Roman"/>
          <w:sz w:val="32"/>
          <w:szCs w:val="32"/>
          <w:u w:val="none"/>
          <w:lang w:val="en-US" w:eastAsia="zh-CN"/>
        </w:rPr>
        <w:t>针对绩效指标量化不足、决算绩效对照不细问题。在下年度预算编制时，优化绩效目标设置，增加可量化、可考核指标；在决算编制阶段，逐项对照绩效目标开展绩效复盘，常态化开展绩效运行监控，做实绩效数据和决算数据的联动分析。</w:t>
      </w:r>
    </w:p>
    <w:p w14:paraId="08D896CD">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Times New Roman"/>
          <w:sz w:val="32"/>
          <w:szCs w:val="32"/>
          <w:u w:val="none"/>
          <w:lang w:val="en-US" w:eastAsia="zh-CN"/>
        </w:rPr>
      </w:pPr>
      <w:r>
        <w:rPr>
          <w:rFonts w:hint="eastAsia" w:ascii="Times New Roman" w:hAnsi="Times New Roman" w:eastAsia="仿宋_GB2312" w:cs="Times New Roman"/>
          <w:sz w:val="32"/>
          <w:szCs w:val="32"/>
          <w:u w:val="none"/>
          <w:lang w:val="en-US" w:eastAsia="zh-CN"/>
        </w:rPr>
        <w:t>针对绩效结果融合运用不足问题。持续开展绩效管理业务培训，压实各业务股室绩效管理责任，将绩效自评、决算分析结果直接挂钩下一年度预算安排，深化绩效结果应用，构建预算编制、执行、决算、绩效评价、整改提升全过程闭环管理体系。</w:t>
      </w:r>
    </w:p>
    <w:bookmarkEnd w:id="51"/>
    <w:p w14:paraId="5C3F1D3E">
      <w:pPr>
        <w:pStyle w:val="3"/>
        <w:keepNext w:val="0"/>
        <w:keepLines w:val="0"/>
        <w:pageBreakBefore w:val="0"/>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kern w:val="2"/>
          <w:sz w:val="32"/>
          <w:szCs w:val="32"/>
          <w:u w:val="none"/>
          <w:lang w:val="zh-CN" w:eastAsia="zh-CN"/>
        </w:rPr>
      </w:pPr>
    </w:p>
    <w:p w14:paraId="6BF755DA">
      <w:pPr>
        <w:pStyle w:val="3"/>
        <w:keepNext w:val="0"/>
        <w:keepLines w:val="0"/>
        <w:pageBreakBefore w:val="0"/>
        <w:kinsoku/>
        <w:wordWrap/>
        <w:overflowPunct/>
        <w:topLinePunct w:val="0"/>
        <w:autoSpaceDE/>
        <w:autoSpaceDN/>
        <w:bidi w:val="0"/>
        <w:spacing w:line="560" w:lineRule="exact"/>
        <w:textAlignment w:val="auto"/>
        <w:rPr>
          <w:rFonts w:hint="eastAsia" w:ascii="Times New Roman" w:hAnsi="Times New Roman" w:cs="Times New Roman"/>
          <w:sz w:val="32"/>
          <w:szCs w:val="32"/>
          <w:highlight w:val="yellow"/>
          <w:lang w:val="zh-CN" w:eastAsia="zh-CN"/>
        </w:rPr>
      </w:pPr>
    </w:p>
    <w:p w14:paraId="37ADB3C9">
      <w:pPr>
        <w:pStyle w:val="8"/>
        <w:rPr>
          <w:rFonts w:hint="eastAsia" w:ascii="Times New Roman" w:hAnsi="Times New Roman" w:cs="宋体"/>
          <w:color w:val="FF0000"/>
          <w:kern w:val="0"/>
          <w:sz w:val="32"/>
          <w:szCs w:val="32"/>
          <w:highlight w:val="yellow"/>
          <w:shd w:val="clear" w:color="auto" w:fill="FFFFFF"/>
          <w:lang w:val="zh-CN"/>
        </w:rPr>
      </w:pPr>
    </w:p>
    <w:p w14:paraId="101D2670">
      <w:pPr>
        <w:rPr>
          <w:rFonts w:hint="eastAsia" w:ascii="Times New Roman" w:hAnsi="Times New Roman" w:eastAsia="黑体" w:cs="黑体"/>
          <w:color w:val="auto"/>
          <w:kern w:val="0"/>
          <w:sz w:val="32"/>
          <w:szCs w:val="32"/>
          <w:highlight w:val="none"/>
          <w:shd w:val="clear" w:color="auto" w:fill="FFFFFF"/>
          <w:lang w:val="zh-CN"/>
        </w:rPr>
      </w:pPr>
      <w:r>
        <w:rPr>
          <w:rFonts w:hint="eastAsia" w:ascii="Times New Roman" w:hAnsi="Times New Roman" w:eastAsia="黑体" w:cs="黑体"/>
          <w:color w:val="auto"/>
          <w:kern w:val="0"/>
          <w:sz w:val="32"/>
          <w:szCs w:val="32"/>
          <w:highlight w:val="none"/>
          <w:shd w:val="clear" w:color="auto" w:fill="FFFFFF"/>
          <w:lang w:val="zh-CN"/>
        </w:rPr>
        <w:br w:type="page"/>
      </w:r>
    </w:p>
    <w:p w14:paraId="542BF514">
      <w:pPr>
        <w:pStyle w:val="8"/>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p w14:paraId="018D3413">
      <w:pPr>
        <w:pStyle w:val="31"/>
        <w:keepNext w:val="0"/>
        <w:keepLines w:val="0"/>
        <w:pageBreakBefore w:val="0"/>
        <w:widowControl w:val="0"/>
        <w:kinsoku/>
        <w:wordWrap/>
        <w:overflowPunct/>
        <w:topLinePunct w:val="0"/>
        <w:autoSpaceDE/>
        <w:autoSpaceDN/>
        <w:bidi w:val="0"/>
        <w:spacing w:line="578" w:lineRule="exact"/>
        <w:ind w:left="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p w14:paraId="3BD36715">
      <w:pPr>
        <w:pStyle w:val="31"/>
        <w:keepNext w:val="0"/>
        <w:keepLines w:val="0"/>
        <w:pageBreakBefore w:val="0"/>
        <w:widowControl w:val="0"/>
        <w:kinsoku/>
        <w:wordWrap/>
        <w:overflowPunct/>
        <w:topLinePunct w:val="0"/>
        <w:autoSpaceDE/>
        <w:autoSpaceDN/>
        <w:bidi w:val="0"/>
        <w:spacing w:line="578" w:lineRule="exact"/>
        <w:ind w:left="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r>
        <w:rPr>
          <w:rFonts w:hint="eastAsia" w:ascii="Times New Roman" w:hAnsi="Times New Roman" w:eastAsia="方正小标宋简体" w:cs="方正小标宋简体"/>
          <w:color w:val="auto"/>
          <w:kern w:val="2"/>
          <w:sz w:val="44"/>
          <w:szCs w:val="44"/>
          <w:highlight w:val="none"/>
          <w:lang w:val="en-US" w:eastAsia="zh-CN"/>
        </w:rPr>
        <w:t>2026年专项预算项目绩效评价报告</w:t>
      </w:r>
    </w:p>
    <w:p w14:paraId="50825898">
      <w:pPr>
        <w:pStyle w:val="31"/>
        <w:keepNext w:val="0"/>
        <w:keepLines w:val="0"/>
        <w:pageBreakBefore w:val="0"/>
        <w:widowControl w:val="0"/>
        <w:kinsoku/>
        <w:wordWrap/>
        <w:overflowPunct/>
        <w:topLinePunct w:val="0"/>
        <w:autoSpaceDE/>
        <w:autoSpaceDN/>
        <w:bidi w:val="0"/>
        <w:spacing w:line="578" w:lineRule="exact"/>
        <w:ind w:left="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p w14:paraId="687B9189">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rPr>
          <w:rFonts w:ascii="Times New Roman" w:hAnsi="Times New Roman" w:eastAsia="黑体"/>
          <w:sz w:val="32"/>
          <w:szCs w:val="32"/>
          <w:highlight w:val="none"/>
          <w:lang w:val="zh-CN"/>
        </w:rPr>
      </w:pPr>
      <w:r>
        <w:rPr>
          <w:rFonts w:hint="eastAsia" w:ascii="Times New Roman" w:hAnsi="Times New Roman" w:eastAsia="黑体"/>
          <w:sz w:val="32"/>
          <w:szCs w:val="32"/>
          <w:highlight w:val="none"/>
        </w:rPr>
        <w:t>一、</w:t>
      </w:r>
      <w:r>
        <w:rPr>
          <w:rFonts w:hint="eastAsia" w:ascii="Times New Roman" w:hAnsi="Times New Roman" w:eastAsia="黑体"/>
          <w:sz w:val="32"/>
          <w:szCs w:val="32"/>
          <w:highlight w:val="none"/>
          <w:lang w:val="zh-CN"/>
        </w:rPr>
        <w:t>项目概况</w:t>
      </w:r>
    </w:p>
    <w:p w14:paraId="4C89E1CD">
      <w:pPr>
        <w:keepNext w:val="0"/>
        <w:keepLines w:val="0"/>
        <w:pageBreakBefore w:val="0"/>
        <w:widowControl/>
        <w:kinsoku/>
        <w:wordWrap/>
        <w:overflowPunct/>
        <w:topLinePunct w:val="0"/>
        <w:autoSpaceDE/>
        <w:autoSpaceDN/>
        <w:bidi w:val="0"/>
        <w:adjustRightInd w:val="0"/>
        <w:snapToGrid w:val="0"/>
        <w:spacing w:line="578" w:lineRule="exact"/>
        <w:ind w:left="0" w:firstLine="643" w:firstLineChars="200"/>
        <w:contextualSpacing/>
        <w:jc w:val="left"/>
        <w:textAlignment w:val="auto"/>
        <w:rPr>
          <w:rFonts w:hint="eastAsia" w:ascii="Times New Roman" w:hAnsi="Times New Roman" w:eastAsia="仿宋_GB2312" w:cs="仿宋_GB2312"/>
          <w:b w:val="0"/>
          <w:bCs w:val="0"/>
          <w:color w:val="auto"/>
          <w:kern w:val="0"/>
          <w:position w:val="0"/>
          <w:sz w:val="32"/>
          <w:szCs w:val="32"/>
          <w:highlight w:val="none"/>
          <w:u w:val="none"/>
          <w:shd w:val="clear" w:color="auto" w:fill="FFFFFF"/>
          <w:lang w:val="en-US" w:eastAsia="zh-CN" w:bidi="ar-SA"/>
        </w:rPr>
      </w:pPr>
      <w:r>
        <w:rPr>
          <w:rFonts w:hint="eastAsia" w:ascii="Times New Roman" w:hAnsi="Times New Roman" w:eastAsia="楷体_GB2312"/>
          <w:b/>
          <w:color w:val="auto"/>
          <w:sz w:val="32"/>
          <w:szCs w:val="32"/>
          <w:highlight w:val="none"/>
          <w:u w:val="none"/>
          <w:lang w:val="zh-CN"/>
        </w:rPr>
        <w:t>（一）设立背景及基本情况。</w:t>
      </w:r>
      <w:r>
        <w:rPr>
          <w:rFonts w:hint="eastAsia" w:ascii="Times New Roman" w:hAnsi="Times New Roman" w:eastAsia="仿宋_GB2312" w:cs="仿宋_GB2312"/>
          <w:b w:val="0"/>
          <w:bCs w:val="0"/>
          <w:kern w:val="0"/>
          <w:position w:val="0"/>
          <w:sz w:val="32"/>
          <w:szCs w:val="32"/>
          <w:highlight w:val="none"/>
          <w:lang w:val="en-US" w:eastAsia="zh-CN" w:bidi="ar-SA"/>
        </w:rPr>
        <w:t>为深入推进全民科学素质提升行动，扎实开展基层科普宣传、科普服务、科普阵地建设等各项工作，充分发挥科协组织桥梁纽带作用，红原县科学技术协会依据上级财政、科技（科协）部门专项资金文件要求，申报实施2025年度专项预算项目，本年度共计实施专项预算项目</w:t>
      </w:r>
      <w:r>
        <w:rPr>
          <w:rFonts w:hint="eastAsia" w:eastAsia="仿宋_GB2312" w:cs="仿宋_GB2312"/>
          <w:b w:val="0"/>
          <w:bCs w:val="0"/>
          <w:kern w:val="0"/>
          <w:position w:val="0"/>
          <w:sz w:val="32"/>
          <w:szCs w:val="32"/>
          <w:highlight w:val="none"/>
          <w:lang w:val="en-US" w:eastAsia="zh-CN" w:bidi="ar-SA"/>
        </w:rPr>
        <w:t>7</w:t>
      </w:r>
      <w:r>
        <w:rPr>
          <w:rFonts w:hint="eastAsia" w:ascii="Times New Roman" w:hAnsi="Times New Roman" w:eastAsia="仿宋_GB2312" w:cs="仿宋_GB2312"/>
          <w:b w:val="0"/>
          <w:bCs w:val="0"/>
          <w:kern w:val="0"/>
          <w:position w:val="0"/>
          <w:sz w:val="32"/>
          <w:szCs w:val="32"/>
          <w:highlight w:val="none"/>
          <w:lang w:val="en-US" w:eastAsia="zh-CN" w:bidi="ar-SA"/>
        </w:rPr>
        <w:t>个。项目资金申报依据主要为</w:t>
      </w:r>
      <w:bookmarkStart w:id="52" w:name="OLE_LINK1"/>
      <w:r>
        <w:rPr>
          <w:rFonts w:hint="eastAsia" w:eastAsia="仿宋_GB2312" w:cs="仿宋_GB2312"/>
          <w:b w:val="0"/>
          <w:bCs w:val="0"/>
          <w:kern w:val="0"/>
          <w:position w:val="0"/>
          <w:sz w:val="32"/>
          <w:szCs w:val="32"/>
          <w:highlight w:val="none"/>
          <w:lang w:val="en-US" w:eastAsia="zh-CN" w:bidi="ar-SA"/>
        </w:rPr>
        <w:t>阿</w:t>
      </w:r>
      <w:r>
        <w:rPr>
          <w:rFonts w:hint="eastAsia" w:ascii="Times New Roman" w:hAnsi="Times New Roman" w:eastAsia="仿宋_GB2312" w:cs="仿宋_GB2312"/>
          <w:b w:val="0"/>
          <w:bCs w:val="0"/>
          <w:kern w:val="0"/>
          <w:position w:val="0"/>
          <w:sz w:val="32"/>
          <w:szCs w:val="32"/>
          <w:highlight w:val="none"/>
          <w:lang w:val="en-US" w:eastAsia="zh-CN" w:bidi="ar-SA"/>
        </w:rPr>
        <w:t>州财教</w:t>
      </w:r>
      <w:bookmarkEnd w:id="52"/>
      <w:r>
        <w:rPr>
          <w:rFonts w:hint="eastAsia" w:ascii="Times New Roman" w:hAnsi="Times New Roman" w:eastAsia="仿宋_GB2312" w:cs="仿宋_GB2312"/>
          <w:b w:val="0"/>
          <w:bCs w:val="0"/>
          <w:kern w:val="0"/>
          <w:position w:val="0"/>
          <w:sz w:val="32"/>
          <w:szCs w:val="32"/>
          <w:highlight w:val="none"/>
          <w:lang w:val="en-US" w:eastAsia="zh-CN" w:bidi="ar-SA"/>
        </w:rPr>
        <w:t>〔2024〕95号、</w:t>
      </w:r>
      <w:r>
        <w:rPr>
          <w:rFonts w:hint="eastAsia" w:eastAsia="仿宋_GB2312" w:cs="仿宋_GB2312"/>
          <w:b w:val="0"/>
          <w:bCs w:val="0"/>
          <w:kern w:val="0"/>
          <w:position w:val="0"/>
          <w:sz w:val="32"/>
          <w:szCs w:val="32"/>
          <w:highlight w:val="none"/>
          <w:lang w:val="en-US" w:eastAsia="zh-CN" w:bidi="ar-SA"/>
        </w:rPr>
        <w:t>阿</w:t>
      </w:r>
      <w:r>
        <w:rPr>
          <w:rFonts w:hint="eastAsia" w:ascii="Times New Roman" w:hAnsi="Times New Roman" w:eastAsia="仿宋_GB2312" w:cs="仿宋_GB2312"/>
          <w:b w:val="0"/>
          <w:bCs w:val="0"/>
          <w:kern w:val="0"/>
          <w:position w:val="0"/>
          <w:sz w:val="32"/>
          <w:szCs w:val="32"/>
          <w:highlight w:val="none"/>
          <w:lang w:val="en-US" w:eastAsia="zh-CN" w:bidi="ar-SA"/>
        </w:rPr>
        <w:t>州财教〔2025〕4号、</w:t>
      </w:r>
      <w:r>
        <w:rPr>
          <w:rFonts w:hint="eastAsia" w:eastAsia="仿宋_GB2312" w:cs="仿宋_GB2312"/>
          <w:b w:val="0"/>
          <w:bCs w:val="0"/>
          <w:kern w:val="0"/>
          <w:position w:val="0"/>
          <w:sz w:val="32"/>
          <w:szCs w:val="32"/>
          <w:highlight w:val="none"/>
          <w:lang w:val="en-US" w:eastAsia="zh-CN" w:bidi="ar-SA"/>
        </w:rPr>
        <w:t>阿</w:t>
      </w:r>
      <w:r>
        <w:rPr>
          <w:rFonts w:hint="eastAsia" w:ascii="Times New Roman" w:hAnsi="Times New Roman" w:eastAsia="仿宋_GB2312" w:cs="仿宋_GB2312"/>
          <w:b w:val="0"/>
          <w:bCs w:val="0"/>
          <w:kern w:val="0"/>
          <w:position w:val="0"/>
          <w:sz w:val="32"/>
          <w:szCs w:val="32"/>
          <w:highlight w:val="none"/>
          <w:lang w:val="en-US" w:eastAsia="zh-CN" w:bidi="ar-SA"/>
        </w:rPr>
        <w:t>州财教〔2025〕75号、</w:t>
      </w:r>
      <w:r>
        <w:rPr>
          <w:rFonts w:hint="eastAsia" w:eastAsia="仿宋_GB2312" w:cs="仿宋_GB2312"/>
          <w:b w:val="0"/>
          <w:bCs w:val="0"/>
          <w:kern w:val="0"/>
          <w:position w:val="0"/>
          <w:sz w:val="32"/>
          <w:szCs w:val="32"/>
          <w:highlight w:val="none"/>
          <w:lang w:val="en-US" w:eastAsia="zh-CN" w:bidi="ar-SA"/>
        </w:rPr>
        <w:t>阿</w:t>
      </w:r>
      <w:r>
        <w:rPr>
          <w:rFonts w:hint="eastAsia" w:ascii="Times New Roman" w:hAnsi="Times New Roman" w:eastAsia="仿宋_GB2312" w:cs="仿宋_GB2312"/>
          <w:b w:val="0"/>
          <w:bCs w:val="0"/>
          <w:kern w:val="0"/>
          <w:position w:val="0"/>
          <w:sz w:val="32"/>
          <w:szCs w:val="32"/>
          <w:highlight w:val="none"/>
          <w:lang w:val="en-US" w:eastAsia="zh-CN" w:bidi="ar-SA"/>
        </w:rPr>
        <w:t>州财教〔2025〕88号等正式批复文件。项目主要内容涵盖科普宣传活动、科普热线运行、专项科普活动、科普工作站建设等科普业务工作。主管部门红原县科学技术协会主要承担县域科普推广、科技服务、学术交流、基层科协组织建设等职能，负责本批次专项项目组织实施、资金管理、绩效管控等工作。</w:t>
      </w:r>
    </w:p>
    <w:p w14:paraId="5461F81A">
      <w:pPr>
        <w:keepNext w:val="0"/>
        <w:keepLines w:val="0"/>
        <w:pageBreakBefore w:val="0"/>
        <w:kinsoku/>
        <w:wordWrap/>
        <w:overflowPunct/>
        <w:topLinePunct w:val="0"/>
        <w:autoSpaceDE/>
        <w:autoSpaceDN/>
        <w:bidi w:val="0"/>
        <w:adjustRightInd w:val="0"/>
        <w:snapToGrid w:val="0"/>
        <w:spacing w:line="578" w:lineRule="exact"/>
        <w:ind w:left="0" w:firstLine="643" w:firstLineChars="200"/>
        <w:textAlignment w:val="auto"/>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楷体_GB2312"/>
          <w:b/>
          <w:color w:val="auto"/>
          <w:sz w:val="32"/>
          <w:szCs w:val="32"/>
          <w:highlight w:val="none"/>
          <w:u w:val="none"/>
          <w:lang w:val="zh-CN"/>
        </w:rPr>
        <w:t>（</w:t>
      </w:r>
      <w:r>
        <w:rPr>
          <w:rFonts w:hint="eastAsia" w:ascii="Times New Roman" w:hAnsi="Times New Roman" w:eastAsia="楷体_GB2312" w:cs="Times New Roman"/>
          <w:b/>
          <w:color w:val="auto"/>
          <w:sz w:val="32"/>
          <w:szCs w:val="32"/>
          <w:highlight w:val="none"/>
          <w:u w:val="none"/>
          <w:lang w:val="zh-CN"/>
        </w:rPr>
        <w:t>二）</w:t>
      </w:r>
      <w:r>
        <w:rPr>
          <w:rFonts w:ascii="Times New Roman" w:hAnsi="Times New Roman" w:eastAsia="楷体_GB2312" w:cs="Times New Roman"/>
          <w:b/>
          <w:color w:val="auto"/>
          <w:sz w:val="32"/>
          <w:szCs w:val="32"/>
          <w:highlight w:val="none"/>
          <w:u w:val="none"/>
          <w:lang w:val="en-US" w:eastAsia="zh-CN"/>
        </w:rPr>
        <w:t>实施目的及支持方向</w:t>
      </w:r>
      <w:r>
        <w:rPr>
          <w:rFonts w:hint="eastAsia" w:ascii="Times New Roman" w:hAnsi="Times New Roman" w:eastAsia="楷体_GB2312" w:cs="Times New Roman"/>
          <w:b/>
          <w:color w:val="auto"/>
          <w:sz w:val="32"/>
          <w:szCs w:val="32"/>
          <w:highlight w:val="none"/>
          <w:u w:val="none"/>
          <w:lang w:val="en-US" w:eastAsia="zh-CN"/>
        </w:rPr>
        <w:t>。</w:t>
      </w:r>
      <w:r>
        <w:rPr>
          <w:rFonts w:hint="eastAsia" w:ascii="Times New Roman" w:hAnsi="Times New Roman" w:eastAsia="仿宋_GB2312" w:cs="仿宋_GB2312"/>
          <w:b w:val="0"/>
          <w:bCs w:val="0"/>
          <w:kern w:val="0"/>
          <w:position w:val="0"/>
          <w:sz w:val="32"/>
          <w:szCs w:val="32"/>
          <w:highlight w:val="none"/>
          <w:lang w:val="en-US" w:eastAsia="zh-CN" w:bidi="ar-SA"/>
        </w:rPr>
        <w:t>本批次专项项目严格遵照上级专项资金管理相关规定开展资金管理，专款专用、单独核算，规范资金拨付与使用流程。项目总体实施目的：持续夯实红原县基层科普工作基础，丰富科普宣传载体，畅通科普服务渠道，完善基层科普阵地，不断提升全县各族群众科学文化素养。主要工作任务包含保障科协代表大会顺利召开、组织开展线下科普宣传活动、维持科普热线咨询服务运转、落实专项科普主题活动、推进科普工作站建设。项目资金支持方向聚焦基层科普公共服务供给，重点向县域科普宣传、科普服务、科普阵地建设倾斜，保障县域科普工作有序落地。</w:t>
      </w:r>
    </w:p>
    <w:p w14:paraId="2FAF0E69">
      <w:pPr>
        <w:keepNext w:val="0"/>
        <w:keepLines w:val="0"/>
        <w:pageBreakBefore w:val="0"/>
        <w:widowControl/>
        <w:kinsoku/>
        <w:wordWrap/>
        <w:overflowPunct/>
        <w:topLinePunct w:val="0"/>
        <w:autoSpaceDE/>
        <w:autoSpaceDN/>
        <w:bidi w:val="0"/>
        <w:adjustRightInd w:val="0"/>
        <w:snapToGrid w:val="0"/>
        <w:spacing w:line="578" w:lineRule="exact"/>
        <w:ind w:left="0" w:firstLine="643" w:firstLineChars="200"/>
        <w:contextualSpacing/>
        <w:jc w:val="left"/>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eastAsia="zh-CN"/>
        </w:rPr>
        <w:t>（三）</w:t>
      </w:r>
      <w:r>
        <w:rPr>
          <w:rFonts w:ascii="Times New Roman" w:hAnsi="Times New Roman" w:eastAsia="楷体_GB2312" w:cs="Times New Roman"/>
          <w:b/>
          <w:color w:val="auto"/>
          <w:sz w:val="32"/>
          <w:szCs w:val="32"/>
          <w:highlight w:val="none"/>
          <w:u w:val="none"/>
          <w:lang w:val="en-US" w:eastAsia="zh-CN"/>
        </w:rPr>
        <w:t>预算安排及分配管理</w:t>
      </w:r>
      <w:r>
        <w:rPr>
          <w:rFonts w:hint="eastAsia" w:ascii="Times New Roman" w:hAnsi="Times New Roman" w:eastAsia="楷体_GB2312" w:cs="Times New Roman"/>
          <w:b/>
          <w:color w:val="auto"/>
          <w:sz w:val="32"/>
          <w:szCs w:val="32"/>
          <w:highlight w:val="none"/>
          <w:u w:val="none"/>
          <w:lang w:val="zh-CN" w:eastAsia="zh-CN"/>
        </w:rPr>
        <w:t>。</w:t>
      </w:r>
      <w:r>
        <w:rPr>
          <w:rFonts w:hint="eastAsia" w:ascii="Times New Roman" w:hAnsi="Times New Roman" w:eastAsia="仿宋_GB2312" w:cs="仿宋_GB2312"/>
          <w:b w:val="0"/>
          <w:bCs w:val="0"/>
          <w:kern w:val="0"/>
          <w:position w:val="0"/>
          <w:sz w:val="32"/>
          <w:szCs w:val="32"/>
          <w:highlight w:val="none"/>
          <w:lang w:val="zh-CN" w:eastAsia="zh-CN" w:bidi="ar-SA"/>
        </w:rPr>
        <w:t>2025年度共计安排</w:t>
      </w:r>
      <w:r>
        <w:rPr>
          <w:rFonts w:hint="eastAsia" w:eastAsia="仿宋_GB2312" w:cs="仿宋_GB2312"/>
          <w:b w:val="0"/>
          <w:bCs w:val="0"/>
          <w:kern w:val="0"/>
          <w:position w:val="0"/>
          <w:sz w:val="32"/>
          <w:szCs w:val="32"/>
          <w:highlight w:val="none"/>
          <w:lang w:val="en-US" w:eastAsia="zh-CN" w:bidi="ar-SA"/>
        </w:rPr>
        <w:t>7</w:t>
      </w:r>
      <w:r>
        <w:rPr>
          <w:rFonts w:hint="eastAsia" w:ascii="Times New Roman" w:hAnsi="Times New Roman" w:eastAsia="仿宋_GB2312" w:cs="仿宋_GB2312"/>
          <w:b w:val="0"/>
          <w:bCs w:val="0"/>
          <w:kern w:val="0"/>
          <w:position w:val="0"/>
          <w:sz w:val="32"/>
          <w:szCs w:val="32"/>
          <w:highlight w:val="none"/>
          <w:lang w:val="zh-CN" w:eastAsia="zh-CN" w:bidi="ar-SA"/>
        </w:rPr>
        <w:t>个专项预算项目，预算资金严格按照上级文件批复下达，资金分配坚持专款专用、据实安排、贴合科普业务实际的原则，结合年度科普工作任务轻重缓急统筹分配。</w:t>
      </w:r>
    </w:p>
    <w:p w14:paraId="244004EB">
      <w:pPr>
        <w:keepNext w:val="0"/>
        <w:keepLines w:val="0"/>
        <w:pageBreakBefore w:val="0"/>
        <w:widowControl/>
        <w:kinsoku/>
        <w:wordWrap/>
        <w:overflowPunct/>
        <w:topLinePunct w:val="0"/>
        <w:autoSpaceDE/>
        <w:autoSpaceDN/>
        <w:bidi w:val="0"/>
        <w:adjustRightInd w:val="0"/>
        <w:snapToGrid w:val="0"/>
        <w:spacing w:line="578" w:lineRule="exact"/>
        <w:ind w:left="0" w:firstLine="640" w:firstLineChars="200"/>
        <w:contextualSpacing/>
        <w:jc w:val="left"/>
        <w:textAlignment w:val="auto"/>
        <w:rPr>
          <w:rFonts w:hint="eastAsia" w:ascii="Times New Roman" w:hAnsi="Times New Roman" w:eastAsia="仿宋_GB2312" w:cs="仿宋_GB2312"/>
          <w:b w:val="0"/>
          <w:bCs w:val="0"/>
          <w:kern w:val="0"/>
          <w:position w:val="0"/>
          <w:sz w:val="32"/>
          <w:szCs w:val="32"/>
          <w:highlight w:val="none"/>
          <w:lang w:val="zh-CN" w:eastAsia="zh-CN" w:bidi="ar-SA"/>
        </w:rPr>
      </w:pPr>
      <w:bookmarkStart w:id="53" w:name="OLE_LINK3"/>
      <w:r>
        <w:rPr>
          <w:rFonts w:hint="eastAsia" w:ascii="Times New Roman" w:hAnsi="Times New Roman" w:eastAsia="仿宋_GB2312" w:cs="仿宋_GB2312"/>
          <w:b w:val="0"/>
          <w:bCs w:val="0"/>
          <w:kern w:val="0"/>
          <w:position w:val="0"/>
          <w:sz w:val="32"/>
          <w:szCs w:val="32"/>
          <w:highlight w:val="none"/>
          <w:lang w:val="zh-CN" w:eastAsia="zh-CN" w:bidi="ar-SA"/>
        </w:rPr>
        <w:t>科学技术协会第七次代表大会项目，安排经费</w:t>
      </w:r>
      <w:r>
        <w:rPr>
          <w:rFonts w:hint="eastAsia" w:eastAsia="仿宋_GB2312" w:cs="仿宋_GB2312"/>
          <w:b w:val="0"/>
          <w:bCs w:val="0"/>
          <w:kern w:val="0"/>
          <w:position w:val="0"/>
          <w:sz w:val="32"/>
          <w:szCs w:val="32"/>
          <w:highlight w:val="none"/>
          <w:lang w:val="en-US" w:eastAsia="zh-CN" w:bidi="ar-SA"/>
        </w:rPr>
        <w:t>0.96</w:t>
      </w:r>
      <w:r>
        <w:rPr>
          <w:rFonts w:hint="eastAsia" w:ascii="Times New Roman" w:hAnsi="Times New Roman" w:eastAsia="仿宋_GB2312" w:cs="仿宋_GB2312"/>
          <w:b w:val="0"/>
          <w:bCs w:val="0"/>
          <w:kern w:val="0"/>
          <w:position w:val="0"/>
          <w:sz w:val="32"/>
          <w:szCs w:val="32"/>
          <w:highlight w:val="none"/>
          <w:lang w:val="zh-CN" w:eastAsia="zh-CN" w:bidi="ar-SA"/>
        </w:rPr>
        <w:t>万元</w:t>
      </w:r>
      <w:r>
        <w:rPr>
          <w:rFonts w:hint="eastAsia"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zh-CN" w:eastAsia="zh-CN" w:bidi="ar-SA"/>
        </w:rPr>
        <w:t>年度实际支出</w:t>
      </w:r>
      <w:r>
        <w:rPr>
          <w:rFonts w:hint="eastAsia" w:eastAsia="仿宋_GB2312" w:cs="仿宋_GB2312"/>
          <w:b w:val="0"/>
          <w:bCs w:val="0"/>
          <w:kern w:val="0"/>
          <w:position w:val="0"/>
          <w:sz w:val="32"/>
          <w:szCs w:val="32"/>
          <w:highlight w:val="none"/>
          <w:lang w:val="en-US" w:eastAsia="zh-CN" w:bidi="ar-SA"/>
        </w:rPr>
        <w:t>0.91</w:t>
      </w:r>
      <w:r>
        <w:rPr>
          <w:rFonts w:hint="eastAsia" w:ascii="Times New Roman" w:hAnsi="Times New Roman" w:eastAsia="仿宋_GB2312" w:cs="仿宋_GB2312"/>
          <w:b w:val="0"/>
          <w:bCs w:val="0"/>
          <w:kern w:val="0"/>
          <w:position w:val="0"/>
          <w:sz w:val="32"/>
          <w:szCs w:val="32"/>
          <w:highlight w:val="none"/>
          <w:lang w:val="zh-CN" w:eastAsia="zh-CN" w:bidi="ar-SA"/>
        </w:rPr>
        <w:t>万元；</w:t>
      </w:r>
    </w:p>
    <w:p w14:paraId="34868C3A">
      <w:pPr>
        <w:keepNext w:val="0"/>
        <w:keepLines w:val="0"/>
        <w:pageBreakBefore w:val="0"/>
        <w:widowControl/>
        <w:kinsoku/>
        <w:wordWrap/>
        <w:overflowPunct/>
        <w:topLinePunct w:val="0"/>
        <w:autoSpaceDE/>
        <w:autoSpaceDN/>
        <w:bidi w:val="0"/>
        <w:adjustRightInd w:val="0"/>
        <w:snapToGrid w:val="0"/>
        <w:spacing w:line="578" w:lineRule="exact"/>
        <w:ind w:left="0" w:firstLine="640" w:firstLineChars="200"/>
        <w:contextualSpacing/>
        <w:jc w:val="left"/>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科普宣传活动经费，批复预算5万元，年度实际支出2.34万元；</w:t>
      </w:r>
    </w:p>
    <w:p w14:paraId="609A6DAB">
      <w:pPr>
        <w:keepNext w:val="0"/>
        <w:keepLines w:val="0"/>
        <w:pageBreakBefore w:val="0"/>
        <w:widowControl/>
        <w:kinsoku/>
        <w:wordWrap/>
        <w:overflowPunct/>
        <w:topLinePunct w:val="0"/>
        <w:autoSpaceDE/>
        <w:autoSpaceDN/>
        <w:bidi w:val="0"/>
        <w:adjustRightInd w:val="0"/>
        <w:snapToGrid w:val="0"/>
        <w:spacing w:line="578" w:lineRule="exact"/>
        <w:ind w:left="0" w:firstLine="640" w:firstLineChars="200"/>
        <w:contextualSpacing/>
        <w:jc w:val="left"/>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eastAsia="仿宋_GB2312" w:cs="仿宋_GB2312"/>
          <w:b w:val="0"/>
          <w:bCs w:val="0"/>
          <w:kern w:val="0"/>
          <w:position w:val="0"/>
          <w:sz w:val="32"/>
          <w:szCs w:val="32"/>
          <w:highlight w:val="none"/>
          <w:lang w:val="en-US" w:eastAsia="zh-CN" w:bidi="ar-SA"/>
        </w:rPr>
        <w:t>农村科普热线专项经费</w:t>
      </w:r>
      <w:r>
        <w:rPr>
          <w:rFonts w:hint="eastAsia" w:ascii="Times New Roman" w:hAnsi="Times New Roman" w:eastAsia="仿宋_GB2312" w:cs="仿宋_GB2312"/>
          <w:b w:val="0"/>
          <w:bCs w:val="0"/>
          <w:kern w:val="0"/>
          <w:position w:val="0"/>
          <w:sz w:val="32"/>
          <w:szCs w:val="32"/>
          <w:highlight w:val="none"/>
          <w:lang w:val="zh-CN" w:eastAsia="zh-CN" w:bidi="ar-SA"/>
        </w:rPr>
        <w:t>，批复预算3万元，年度实际支出2万元；</w:t>
      </w:r>
    </w:p>
    <w:p w14:paraId="7EA32691">
      <w:pPr>
        <w:keepNext w:val="0"/>
        <w:keepLines w:val="0"/>
        <w:pageBreakBefore w:val="0"/>
        <w:widowControl/>
        <w:kinsoku/>
        <w:wordWrap/>
        <w:overflowPunct/>
        <w:topLinePunct w:val="0"/>
        <w:autoSpaceDE/>
        <w:autoSpaceDN/>
        <w:bidi w:val="0"/>
        <w:adjustRightInd w:val="0"/>
        <w:snapToGrid w:val="0"/>
        <w:spacing w:line="578" w:lineRule="exact"/>
        <w:ind w:left="0" w:firstLine="640" w:firstLineChars="200"/>
        <w:contextualSpacing/>
        <w:jc w:val="left"/>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科普专项资金，依据</w:t>
      </w:r>
      <w:r>
        <w:rPr>
          <w:rFonts w:hint="eastAsia" w:eastAsia="仿宋_GB2312" w:cs="仿宋_GB2312"/>
          <w:b w:val="0"/>
          <w:bCs w:val="0"/>
          <w:kern w:val="0"/>
          <w:position w:val="0"/>
          <w:sz w:val="32"/>
          <w:szCs w:val="32"/>
          <w:highlight w:val="none"/>
          <w:lang w:val="en-US" w:eastAsia="zh-CN" w:bidi="ar-SA"/>
        </w:rPr>
        <w:t>阿州财教</w:t>
      </w:r>
      <w:r>
        <w:rPr>
          <w:rFonts w:hint="eastAsia" w:ascii="Times New Roman" w:hAnsi="Times New Roman" w:eastAsia="仿宋_GB2312" w:cs="仿宋_GB2312"/>
          <w:b w:val="0"/>
          <w:bCs w:val="0"/>
          <w:kern w:val="0"/>
          <w:position w:val="0"/>
          <w:sz w:val="32"/>
          <w:szCs w:val="32"/>
          <w:highlight w:val="none"/>
          <w:lang w:val="zh-CN" w:eastAsia="zh-CN" w:bidi="ar-SA"/>
        </w:rPr>
        <w:t>〔2024〕95号文件，上年结转资金14万元，本年度全部使用完毕；</w:t>
      </w:r>
    </w:p>
    <w:p w14:paraId="2A59CC4B">
      <w:pPr>
        <w:keepNext w:val="0"/>
        <w:keepLines w:val="0"/>
        <w:pageBreakBefore w:val="0"/>
        <w:widowControl/>
        <w:kinsoku/>
        <w:wordWrap/>
        <w:overflowPunct/>
        <w:topLinePunct w:val="0"/>
        <w:autoSpaceDE/>
        <w:autoSpaceDN/>
        <w:bidi w:val="0"/>
        <w:adjustRightInd w:val="0"/>
        <w:snapToGrid w:val="0"/>
        <w:spacing w:line="578" w:lineRule="exact"/>
        <w:ind w:left="0" w:firstLine="640" w:firstLineChars="200"/>
        <w:contextualSpacing/>
        <w:jc w:val="left"/>
        <w:textAlignment w:val="auto"/>
        <w:rPr>
          <w:rFonts w:hint="eastAsia"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科普</w:t>
      </w:r>
      <w:r>
        <w:rPr>
          <w:rFonts w:hint="eastAsia" w:eastAsia="仿宋_GB2312" w:cs="仿宋_GB2312"/>
          <w:b w:val="0"/>
          <w:bCs w:val="0"/>
          <w:kern w:val="0"/>
          <w:position w:val="0"/>
          <w:sz w:val="32"/>
          <w:szCs w:val="32"/>
          <w:highlight w:val="none"/>
          <w:lang w:val="en-US" w:eastAsia="zh-CN" w:bidi="ar-SA"/>
        </w:rPr>
        <w:t>专项</w:t>
      </w:r>
      <w:r>
        <w:rPr>
          <w:rFonts w:hint="eastAsia" w:ascii="Times New Roman" w:hAnsi="Times New Roman" w:eastAsia="仿宋_GB2312" w:cs="仿宋_GB2312"/>
          <w:b w:val="0"/>
          <w:bCs w:val="0"/>
          <w:kern w:val="0"/>
          <w:position w:val="0"/>
          <w:sz w:val="32"/>
          <w:szCs w:val="32"/>
          <w:highlight w:val="none"/>
          <w:lang w:val="zh-CN" w:eastAsia="zh-CN" w:bidi="ar-SA"/>
        </w:rPr>
        <w:t>资金</w:t>
      </w:r>
      <w:r>
        <w:rPr>
          <w:rFonts w:hint="eastAsia"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zh-CN" w:eastAsia="zh-CN" w:bidi="ar-SA"/>
        </w:rPr>
        <w:t>依据</w:t>
      </w:r>
      <w:r>
        <w:rPr>
          <w:rFonts w:hint="eastAsia" w:eastAsia="仿宋_GB2312" w:cs="仿宋_GB2312"/>
          <w:b w:val="0"/>
          <w:bCs w:val="0"/>
          <w:kern w:val="0"/>
          <w:position w:val="0"/>
          <w:sz w:val="32"/>
          <w:szCs w:val="32"/>
          <w:highlight w:val="none"/>
          <w:lang w:val="en-US" w:eastAsia="zh-CN" w:bidi="ar-SA"/>
        </w:rPr>
        <w:t>阿州财教</w:t>
      </w:r>
      <w:r>
        <w:rPr>
          <w:rFonts w:hint="eastAsia" w:eastAsia="仿宋_GB2312" w:cs="仿宋_GB2312"/>
          <w:b w:val="0"/>
          <w:bCs w:val="0"/>
          <w:kern w:val="0"/>
          <w:position w:val="0"/>
          <w:sz w:val="32"/>
          <w:szCs w:val="32"/>
          <w:highlight w:val="none"/>
          <w:lang w:val="zh-CN" w:eastAsia="zh-CN" w:bidi="ar-SA"/>
        </w:rPr>
        <w:t>〔2025〕4号文件批复10万元，该</w:t>
      </w:r>
      <w:r>
        <w:rPr>
          <w:rFonts w:hint="eastAsia" w:eastAsia="仿宋_GB2312" w:cs="仿宋_GB2312"/>
          <w:b w:val="0"/>
          <w:bCs w:val="0"/>
          <w:kern w:val="0"/>
          <w:position w:val="0"/>
          <w:sz w:val="32"/>
          <w:szCs w:val="32"/>
          <w:highlight w:val="none"/>
          <w:lang w:val="en-US" w:eastAsia="zh-CN" w:bidi="ar-SA"/>
        </w:rPr>
        <w:t>10</w:t>
      </w:r>
      <w:r>
        <w:rPr>
          <w:rFonts w:hint="eastAsia" w:eastAsia="仿宋_GB2312" w:cs="仿宋_GB2312"/>
          <w:b w:val="0"/>
          <w:bCs w:val="0"/>
          <w:kern w:val="0"/>
          <w:position w:val="0"/>
          <w:sz w:val="32"/>
          <w:szCs w:val="32"/>
          <w:highlight w:val="none"/>
          <w:lang w:val="zh-CN" w:eastAsia="zh-CN" w:bidi="ar-SA"/>
        </w:rPr>
        <w:t>万元本年度未使用；</w:t>
      </w:r>
    </w:p>
    <w:p w14:paraId="7A7ED57E">
      <w:pPr>
        <w:keepNext w:val="0"/>
        <w:keepLines w:val="0"/>
        <w:pageBreakBefore w:val="0"/>
        <w:widowControl/>
        <w:kinsoku/>
        <w:wordWrap/>
        <w:overflowPunct/>
        <w:topLinePunct w:val="0"/>
        <w:autoSpaceDE/>
        <w:autoSpaceDN/>
        <w:bidi w:val="0"/>
        <w:adjustRightInd w:val="0"/>
        <w:snapToGrid w:val="0"/>
        <w:spacing w:line="578" w:lineRule="exact"/>
        <w:ind w:left="0" w:firstLine="640" w:firstLineChars="200"/>
        <w:contextualSpacing/>
        <w:jc w:val="left"/>
        <w:textAlignment w:val="auto"/>
        <w:rPr>
          <w:rFonts w:hint="eastAsia" w:eastAsia="仿宋_GB2312" w:cs="仿宋_GB2312"/>
          <w:b w:val="0"/>
          <w:bCs w:val="0"/>
          <w:kern w:val="0"/>
          <w:position w:val="0"/>
          <w:sz w:val="32"/>
          <w:szCs w:val="32"/>
          <w:highlight w:val="none"/>
          <w:lang w:val="zh-CN" w:eastAsia="zh-CN" w:bidi="ar-SA"/>
        </w:rPr>
      </w:pPr>
      <w:r>
        <w:rPr>
          <w:rFonts w:hint="eastAsia" w:eastAsia="仿宋_GB2312" w:cs="仿宋_GB2312"/>
          <w:b w:val="0"/>
          <w:bCs w:val="0"/>
          <w:kern w:val="0"/>
          <w:position w:val="0"/>
          <w:sz w:val="32"/>
          <w:szCs w:val="32"/>
          <w:highlight w:val="none"/>
          <w:lang w:val="en-US" w:eastAsia="zh-CN" w:bidi="ar-SA"/>
        </w:rPr>
        <w:t>科普专项资金，</w:t>
      </w:r>
      <w:r>
        <w:rPr>
          <w:rFonts w:hint="eastAsia" w:eastAsia="仿宋_GB2312" w:cs="仿宋_GB2312"/>
          <w:b w:val="0"/>
          <w:bCs w:val="0"/>
          <w:kern w:val="0"/>
          <w:position w:val="0"/>
          <w:sz w:val="32"/>
          <w:szCs w:val="32"/>
          <w:highlight w:val="none"/>
          <w:lang w:val="zh-CN" w:eastAsia="zh-CN" w:bidi="ar-SA"/>
        </w:rPr>
        <w:t>依据阿财教〔2025〕75号文件批复8万元，</w:t>
      </w:r>
      <w:bookmarkStart w:id="54" w:name="OLE_LINK2"/>
      <w:r>
        <w:rPr>
          <w:rFonts w:hint="eastAsia" w:eastAsia="仿宋_GB2312" w:cs="仿宋_GB2312"/>
          <w:b w:val="0"/>
          <w:bCs w:val="0"/>
          <w:kern w:val="0"/>
          <w:position w:val="0"/>
          <w:sz w:val="32"/>
          <w:szCs w:val="32"/>
          <w:highlight w:val="none"/>
          <w:lang w:val="zh-CN" w:eastAsia="zh-CN" w:bidi="ar-SA"/>
        </w:rPr>
        <w:t>该8万元本年度未使用</w:t>
      </w:r>
      <w:bookmarkEnd w:id="54"/>
      <w:r>
        <w:rPr>
          <w:rFonts w:hint="eastAsia" w:eastAsia="仿宋_GB2312" w:cs="仿宋_GB2312"/>
          <w:b w:val="0"/>
          <w:bCs w:val="0"/>
          <w:kern w:val="0"/>
          <w:position w:val="0"/>
          <w:sz w:val="32"/>
          <w:szCs w:val="32"/>
          <w:highlight w:val="none"/>
          <w:lang w:val="zh-CN" w:eastAsia="zh-CN" w:bidi="ar-SA"/>
        </w:rPr>
        <w:t>；</w:t>
      </w:r>
    </w:p>
    <w:p w14:paraId="170DFFBC">
      <w:pPr>
        <w:keepNext w:val="0"/>
        <w:keepLines w:val="0"/>
        <w:pageBreakBefore w:val="0"/>
        <w:widowControl/>
        <w:kinsoku/>
        <w:wordWrap/>
        <w:overflowPunct/>
        <w:topLinePunct w:val="0"/>
        <w:autoSpaceDE/>
        <w:autoSpaceDN/>
        <w:bidi w:val="0"/>
        <w:adjustRightInd w:val="0"/>
        <w:snapToGrid w:val="0"/>
        <w:spacing w:line="578" w:lineRule="exact"/>
        <w:ind w:left="0" w:firstLine="640" w:firstLineChars="200"/>
        <w:contextualSpacing/>
        <w:jc w:val="left"/>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eastAsia="仿宋_GB2312" w:cs="仿宋_GB2312"/>
          <w:b w:val="0"/>
          <w:bCs w:val="0"/>
          <w:kern w:val="0"/>
          <w:position w:val="0"/>
          <w:sz w:val="32"/>
          <w:szCs w:val="32"/>
          <w:highlight w:val="none"/>
          <w:lang w:val="en-US" w:eastAsia="zh-CN" w:bidi="ar-SA"/>
        </w:rPr>
        <w:t>院士专家工作站</w:t>
      </w:r>
      <w:r>
        <w:rPr>
          <w:rFonts w:hint="eastAsia" w:eastAsia="仿宋_GB2312" w:cs="仿宋_GB2312"/>
          <w:b w:val="0"/>
          <w:bCs w:val="0"/>
          <w:kern w:val="0"/>
          <w:position w:val="0"/>
          <w:sz w:val="32"/>
          <w:szCs w:val="32"/>
          <w:highlight w:val="none"/>
          <w:lang w:val="zh-CN" w:eastAsia="zh-CN" w:bidi="ar-SA"/>
        </w:rPr>
        <w:t>目资金，依据阿</w:t>
      </w:r>
      <w:r>
        <w:rPr>
          <w:rFonts w:hint="eastAsia" w:eastAsia="仿宋_GB2312" w:cs="仿宋_GB2312"/>
          <w:b w:val="0"/>
          <w:bCs w:val="0"/>
          <w:kern w:val="0"/>
          <w:position w:val="0"/>
          <w:sz w:val="32"/>
          <w:szCs w:val="32"/>
          <w:highlight w:val="none"/>
          <w:lang w:val="en-US" w:eastAsia="zh-CN" w:bidi="ar-SA"/>
        </w:rPr>
        <w:t>州</w:t>
      </w:r>
      <w:r>
        <w:rPr>
          <w:rFonts w:hint="eastAsia" w:eastAsia="仿宋_GB2312" w:cs="仿宋_GB2312"/>
          <w:b w:val="0"/>
          <w:bCs w:val="0"/>
          <w:kern w:val="0"/>
          <w:position w:val="0"/>
          <w:sz w:val="32"/>
          <w:szCs w:val="32"/>
          <w:highlight w:val="none"/>
          <w:lang w:val="zh-CN" w:eastAsia="zh-CN" w:bidi="ar-SA"/>
        </w:rPr>
        <w:t>财教〔2025〕88号</w:t>
      </w:r>
      <w:r>
        <w:rPr>
          <w:rFonts w:hint="eastAsia" w:ascii="Times New Roman" w:hAnsi="Times New Roman" w:eastAsia="仿宋_GB2312" w:cs="仿宋_GB2312"/>
          <w:b w:val="0"/>
          <w:bCs w:val="0"/>
          <w:kern w:val="0"/>
          <w:position w:val="0"/>
          <w:sz w:val="32"/>
          <w:szCs w:val="32"/>
          <w:highlight w:val="none"/>
          <w:lang w:val="zh-CN" w:eastAsia="zh-CN" w:bidi="ar-SA"/>
        </w:rPr>
        <w:t>文件批复30万元，本年度未使用。</w:t>
      </w:r>
    </w:p>
    <w:bookmarkEnd w:id="53"/>
    <w:p w14:paraId="00F3E580">
      <w:pPr>
        <w:keepNext w:val="0"/>
        <w:keepLines w:val="0"/>
        <w:pageBreakBefore w:val="0"/>
        <w:widowControl/>
        <w:kinsoku/>
        <w:wordWrap/>
        <w:overflowPunct/>
        <w:topLinePunct w:val="0"/>
        <w:autoSpaceDE/>
        <w:autoSpaceDN/>
        <w:bidi w:val="0"/>
        <w:adjustRightInd w:val="0"/>
        <w:snapToGrid w:val="0"/>
        <w:spacing w:line="578" w:lineRule="exact"/>
        <w:ind w:left="0" w:firstLine="640" w:firstLineChars="200"/>
        <w:contextualSpacing/>
        <w:jc w:val="left"/>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zh-CN" w:eastAsia="zh-CN" w:bidi="ar-SA"/>
        </w:rPr>
        <w:t>项目资金实行专账管理，严格履行审批、报账程序，按项目进度拨付资金。</w:t>
      </w:r>
    </w:p>
    <w:p w14:paraId="09D3DC26">
      <w:pPr>
        <w:keepNext w:val="0"/>
        <w:keepLines w:val="0"/>
        <w:pageBreakBefore w:val="0"/>
        <w:kinsoku/>
        <w:wordWrap/>
        <w:overflowPunct/>
        <w:topLinePunct w:val="0"/>
        <w:autoSpaceDE/>
        <w:autoSpaceDN/>
        <w:bidi w:val="0"/>
        <w:adjustRightInd w:val="0"/>
        <w:snapToGrid w:val="0"/>
        <w:spacing w:line="578" w:lineRule="exact"/>
        <w:ind w:left="0" w:firstLine="643" w:firstLineChars="200"/>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cs="Times New Roman"/>
          <w:b/>
          <w:color w:val="auto"/>
          <w:sz w:val="32"/>
          <w:szCs w:val="32"/>
          <w:highlight w:val="none"/>
          <w:u w:val="none"/>
          <w:lang w:val="zh-CN" w:eastAsia="zh-CN"/>
        </w:rPr>
        <w:t>（四）项目绩效目标设置。</w:t>
      </w:r>
      <w:r>
        <w:rPr>
          <w:rFonts w:hint="eastAsia" w:ascii="Times New Roman" w:hAnsi="Times New Roman" w:eastAsia="仿宋_GB2312" w:cs="仿宋_GB2312"/>
          <w:b w:val="0"/>
          <w:bCs w:val="0"/>
          <w:kern w:val="0"/>
          <w:position w:val="0"/>
          <w:sz w:val="32"/>
          <w:szCs w:val="32"/>
          <w:highlight w:val="none"/>
          <w:lang w:val="zh-CN" w:eastAsia="zh-CN" w:bidi="ar-SA"/>
        </w:rPr>
        <w:t>本批次专项项目围绕科普工作整体任务，设置总体绩效目标：保障科协换届会议顺利完成，有序开展科普宣传、科普热线服务等科普活动，完成年度科普服务任务，提升群众科学素养，规范专项资金使用，确保资金安全合规。分项绩效目标对应</w:t>
      </w:r>
      <w:r>
        <w:rPr>
          <w:rFonts w:hint="eastAsia" w:eastAsia="仿宋_GB2312" w:cs="仿宋_GB2312"/>
          <w:b w:val="0"/>
          <w:bCs w:val="0"/>
          <w:kern w:val="0"/>
          <w:position w:val="0"/>
          <w:sz w:val="32"/>
          <w:szCs w:val="32"/>
          <w:highlight w:val="none"/>
          <w:lang w:val="en-US" w:eastAsia="zh-CN" w:bidi="ar-SA"/>
        </w:rPr>
        <w:t>7</w:t>
      </w:r>
      <w:r>
        <w:rPr>
          <w:rFonts w:hint="eastAsia" w:ascii="Times New Roman" w:hAnsi="Times New Roman" w:eastAsia="仿宋_GB2312" w:cs="仿宋_GB2312"/>
          <w:b w:val="0"/>
          <w:bCs w:val="0"/>
          <w:kern w:val="0"/>
          <w:position w:val="0"/>
          <w:sz w:val="32"/>
          <w:szCs w:val="32"/>
          <w:highlight w:val="none"/>
          <w:lang w:val="zh-CN" w:eastAsia="zh-CN" w:bidi="ar-SA"/>
        </w:rPr>
        <w:t>个项目分别设置，涵盖产出指标、效益指标、满意度指标，从活动开展场次、服务覆盖人数、资金执行率、群众满意度等维度进行细化。本次绩效自评工作由红原县科学技术协会牵头组织，对照绩效目标、资金决算执行情况，逐项核查项目实施情况、资金支出情况，全面开展专项预算绩效自评，梳理项目实施成效、存在短板，形成本次绩效评价报告。</w:t>
      </w:r>
    </w:p>
    <w:p w14:paraId="3156FAD2">
      <w:pPr>
        <w:keepNext w:val="0"/>
        <w:keepLines w:val="0"/>
        <w:pageBreakBefore w:val="0"/>
        <w:widowControl w:val="0"/>
        <w:kinsoku/>
        <w:wordWrap/>
        <w:overflowPunct/>
        <w:topLinePunct w:val="0"/>
        <w:autoSpaceDE/>
        <w:autoSpaceDN/>
        <w:bidi w:val="0"/>
        <w:adjustRightInd w:val="0"/>
        <w:snapToGrid w:val="0"/>
        <w:spacing w:line="578" w:lineRule="exact"/>
        <w:ind w:firstLine="640" w:firstLineChars="200"/>
        <w:textAlignment w:val="auto"/>
        <w:outlineLvl w:val="9"/>
        <w:rPr>
          <w:rFonts w:hint="eastAsia" w:ascii="Times New Roman" w:hAnsi="Times New Roman" w:eastAsia="黑体"/>
          <w:sz w:val="32"/>
          <w:szCs w:val="32"/>
          <w:highlight w:val="none"/>
          <w:lang w:eastAsia="zh-CN"/>
        </w:rPr>
      </w:pPr>
      <w:r>
        <w:rPr>
          <w:rFonts w:hint="eastAsia" w:ascii="Times New Roman" w:hAnsi="Times New Roman" w:eastAsia="黑体"/>
          <w:sz w:val="32"/>
          <w:szCs w:val="32"/>
          <w:highlight w:val="none"/>
        </w:rPr>
        <w:t>二、</w:t>
      </w:r>
      <w:r>
        <w:rPr>
          <w:rFonts w:hint="eastAsia" w:ascii="Times New Roman" w:hAnsi="Times New Roman" w:eastAsia="黑体"/>
          <w:sz w:val="32"/>
          <w:szCs w:val="32"/>
          <w:highlight w:val="none"/>
          <w:lang w:eastAsia="zh-CN"/>
        </w:rPr>
        <w:t>评价实施</w:t>
      </w:r>
    </w:p>
    <w:p w14:paraId="2D93D159">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（一）评价目的。</w:t>
      </w:r>
      <w:r>
        <w:rPr>
          <w:rFonts w:hint="eastAsia" w:ascii="Times New Roman" w:hAnsi="Times New Roman" w:eastAsia="仿宋_GB2312" w:cs="仿宋_GB2312"/>
          <w:b w:val="0"/>
          <w:bCs w:val="0"/>
          <w:kern w:val="0"/>
          <w:position w:val="0"/>
          <w:sz w:val="32"/>
          <w:szCs w:val="32"/>
          <w:highlight w:val="none"/>
          <w:lang w:val="zh-CN" w:eastAsia="zh-CN" w:bidi="ar-SA"/>
        </w:rPr>
        <w:t>本次专项预算绩效自评，旨在全面核查2025年度</w:t>
      </w:r>
      <w:r>
        <w:rPr>
          <w:rFonts w:hint="eastAsia" w:eastAsia="仿宋_GB2312" w:cs="仿宋_GB2312"/>
          <w:b w:val="0"/>
          <w:bCs w:val="0"/>
          <w:kern w:val="0"/>
          <w:position w:val="0"/>
          <w:sz w:val="32"/>
          <w:szCs w:val="32"/>
          <w:highlight w:val="none"/>
          <w:lang w:val="en-US" w:eastAsia="zh-CN" w:bidi="ar-SA"/>
        </w:rPr>
        <w:t>7</w:t>
      </w:r>
      <w:r>
        <w:rPr>
          <w:rFonts w:hint="eastAsia" w:ascii="Times New Roman" w:hAnsi="Times New Roman" w:eastAsia="仿宋_GB2312" w:cs="仿宋_GB2312"/>
          <w:b w:val="0"/>
          <w:bCs w:val="0"/>
          <w:kern w:val="0"/>
          <w:position w:val="0"/>
          <w:sz w:val="32"/>
          <w:szCs w:val="32"/>
          <w:highlight w:val="none"/>
          <w:lang w:val="zh-CN" w:eastAsia="zh-CN" w:bidi="ar-SA"/>
        </w:rPr>
        <w:t>个专项预算项目资金拨付、支出使用、任务完成、绩效目标达成情况，客观评价专项资金使用效益，排查项目实施、预算执行、资金管理、绩效管理中存在的问题，分析预算执行偏差原因；进一步规范专项资金管理，压实项目主体责任，提升财政资金使用效率，为下一年度项目立项、预算申报、资金统筹安排提供客观依据，健全预算绩效管理闭环。</w:t>
      </w:r>
    </w:p>
    <w:p w14:paraId="4A0D3864">
      <w:pPr>
        <w:keepNext w:val="0"/>
        <w:keepLines w:val="0"/>
        <w:pageBreakBefore w:val="0"/>
        <w:widowControl w:val="0"/>
        <w:kinsoku/>
        <w:wordWrap/>
        <w:overflowPunct/>
        <w:topLinePunct w:val="0"/>
        <w:autoSpaceDE/>
        <w:autoSpaceDN/>
        <w:bidi w:val="0"/>
        <w:adjustRightInd w:val="0"/>
        <w:snapToGrid w:val="0"/>
        <w:spacing w:line="578" w:lineRule="exact"/>
        <w:ind w:left="0" w:firstLine="643" w:firstLineChars="20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（二）预设问题及评价重点。</w:t>
      </w:r>
      <w:r>
        <w:rPr>
          <w:rFonts w:hint="eastAsia" w:ascii="Times New Roman" w:hAnsi="Times New Roman" w:eastAsia="仿宋_GB2312" w:cs="仿宋_GB2312"/>
          <w:b w:val="0"/>
          <w:bCs w:val="0"/>
          <w:kern w:val="0"/>
          <w:position w:val="0"/>
          <w:sz w:val="32"/>
          <w:szCs w:val="32"/>
          <w:highlight w:val="none"/>
          <w:lang w:val="zh-CN" w:eastAsia="zh-CN" w:bidi="ar-SA"/>
        </w:rPr>
        <w:t>本次评价严格对照专项资金绩效评价指标体系，围绕资金支出使用全过程以及项目实施成效开展综合评价和判断。评价重点：一是核查专项资金批复、下达、拨付、支出全流程合规性，核验票据、报账资料是否完整规范；二是核查各项目预算执行率，重点排查资金闲置、结转结余、支出进度滞后等问题；三是对照项目绩效目标，核查各项工作任务是否按期完成，产出成果是否达到预期；四是评价项目社会效益，评估科普活动覆盖范围、群众科普获得感；五是检查项目资金分配管理、绩效目标编制、绩效监控、绩效结果应用等管理环节存在的薄弱环节。</w:t>
      </w:r>
    </w:p>
    <w:p w14:paraId="594CE9A1">
      <w:pPr>
        <w:keepNext w:val="0"/>
        <w:keepLines w:val="0"/>
        <w:pageBreakBefore w:val="0"/>
        <w:widowControl w:val="0"/>
        <w:kinsoku/>
        <w:wordWrap/>
        <w:overflowPunct/>
        <w:topLinePunct w:val="0"/>
        <w:autoSpaceDE/>
        <w:autoSpaceDN/>
        <w:bidi w:val="0"/>
        <w:adjustRightInd w:val="0"/>
        <w:snapToGrid w:val="0"/>
        <w:spacing w:line="578" w:lineRule="exact"/>
        <w:ind w:left="0" w:firstLine="643" w:firstLineChars="20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eastAsia="zh-CN"/>
        </w:rPr>
        <w:t>（三）评价选点。</w:t>
      </w:r>
      <w:r>
        <w:rPr>
          <w:rFonts w:hint="eastAsia" w:ascii="Times New Roman" w:hAnsi="Times New Roman" w:eastAsia="仿宋_GB2312" w:cs="仿宋_GB2312"/>
          <w:b w:val="0"/>
          <w:bCs w:val="0"/>
          <w:kern w:val="0"/>
          <w:position w:val="0"/>
          <w:sz w:val="32"/>
          <w:szCs w:val="32"/>
          <w:highlight w:val="none"/>
          <w:lang w:val="zh-CN" w:eastAsia="zh-CN" w:bidi="ar-SA"/>
        </w:rPr>
        <w:t>本次绩效自评按照专项预算项目评价抽样要求开展，结合本县项目实际，对本年度</w:t>
      </w:r>
      <w:r>
        <w:rPr>
          <w:rFonts w:hint="eastAsia" w:eastAsia="仿宋_GB2312" w:cs="仿宋_GB2312"/>
          <w:b w:val="0"/>
          <w:bCs w:val="0"/>
          <w:kern w:val="0"/>
          <w:position w:val="0"/>
          <w:sz w:val="32"/>
          <w:szCs w:val="32"/>
          <w:highlight w:val="none"/>
          <w:lang w:val="en-US" w:eastAsia="zh-CN" w:bidi="ar-SA"/>
        </w:rPr>
        <w:t>7</w:t>
      </w:r>
      <w:r>
        <w:rPr>
          <w:rFonts w:hint="eastAsia" w:ascii="Times New Roman" w:hAnsi="Times New Roman" w:eastAsia="仿宋_GB2312" w:cs="仿宋_GB2312"/>
          <w:b w:val="0"/>
          <w:bCs w:val="0"/>
          <w:kern w:val="0"/>
          <w:position w:val="0"/>
          <w:sz w:val="32"/>
          <w:szCs w:val="32"/>
          <w:highlight w:val="none"/>
          <w:lang w:val="zh-CN" w:eastAsia="zh-CN" w:bidi="ar-SA"/>
        </w:rPr>
        <w:t>个专项预算项目全部纳入自评核查范围，逐一核对资金台账、决算数据、项目佐证资料，全面核查项目实施、资金使用情况，全面掌握各项目绩效完成情况。</w:t>
      </w:r>
    </w:p>
    <w:p w14:paraId="5C5B9FB3">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楷体_GB2312"/>
          <w:b/>
          <w:color w:val="auto"/>
          <w:sz w:val="32"/>
          <w:szCs w:val="32"/>
          <w:highlight w:val="none"/>
          <w:u w:val="none"/>
          <w:lang w:val="zh-CN"/>
        </w:rPr>
        <w:t>（四）评价方法。</w:t>
      </w:r>
      <w:r>
        <w:rPr>
          <w:rFonts w:hint="eastAsia" w:ascii="Times New Roman" w:hAnsi="Times New Roman" w:eastAsia="仿宋_GB2312" w:cs="仿宋_GB2312"/>
          <w:b w:val="0"/>
          <w:bCs w:val="0"/>
          <w:kern w:val="0"/>
          <w:position w:val="0"/>
          <w:sz w:val="32"/>
          <w:szCs w:val="32"/>
          <w:highlight w:val="none"/>
          <w:lang w:val="zh-CN" w:eastAsia="zh-CN" w:bidi="ar-SA"/>
        </w:rPr>
        <w:t>根据项目情况和评价重点，</w:t>
      </w:r>
      <w:r>
        <w:rPr>
          <w:rFonts w:hint="eastAsia" w:eastAsia="仿宋_GB2312" w:cs="仿宋_GB2312"/>
          <w:b w:val="0"/>
          <w:bCs w:val="0"/>
          <w:kern w:val="0"/>
          <w:position w:val="0"/>
          <w:sz w:val="32"/>
          <w:szCs w:val="32"/>
          <w:highlight w:val="none"/>
          <w:lang w:val="en-US" w:eastAsia="zh-CN" w:bidi="ar-SA"/>
        </w:rPr>
        <w:t>我部门开展单位自评的方法。</w:t>
      </w:r>
    </w:p>
    <w:p w14:paraId="69CD0F1B">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楷体_GB2312"/>
          <w:b/>
          <w:color w:val="auto"/>
          <w:sz w:val="32"/>
          <w:szCs w:val="32"/>
          <w:highlight w:val="none"/>
          <w:u w:val="none"/>
          <w:lang w:val="zh-CN"/>
        </w:rPr>
        <w:t>（五）评价组织。</w:t>
      </w:r>
      <w:r>
        <w:rPr>
          <w:rFonts w:hint="eastAsia" w:ascii="Times New Roman" w:hAnsi="Times New Roman" w:eastAsia="仿宋_GB2312" w:cs="仿宋_GB2312"/>
          <w:b w:val="0"/>
          <w:bCs w:val="0"/>
          <w:kern w:val="0"/>
          <w:position w:val="0"/>
          <w:sz w:val="32"/>
          <w:szCs w:val="32"/>
          <w:highlight w:val="none"/>
          <w:lang w:val="zh-CN" w:eastAsia="zh-CN" w:bidi="ar-SA"/>
        </w:rPr>
        <w:t>由单位主要负责人牵头，分管领导、财务及业务人员共同参与。工作组分工负责资料归集、资金核查、绩效目标核验等工作，客观开展指标打分，形成本次绩效评价结论。</w:t>
      </w:r>
    </w:p>
    <w:p w14:paraId="52B9C30F">
      <w:pPr>
        <w:keepNext w:val="0"/>
        <w:keepLines w:val="0"/>
        <w:pageBreakBefore w:val="0"/>
        <w:kinsoku/>
        <w:wordWrap/>
        <w:overflowPunct/>
        <w:topLinePunct w:val="0"/>
        <w:autoSpaceDE/>
        <w:autoSpaceDN/>
        <w:bidi w:val="0"/>
        <w:adjustRightInd w:val="0"/>
        <w:snapToGrid w:val="0"/>
        <w:spacing w:line="578" w:lineRule="exact"/>
        <w:ind w:firstLine="640" w:firstLineChars="200"/>
        <w:textAlignment w:val="auto"/>
        <w:rPr>
          <w:rFonts w:ascii="Times New Roman" w:hAnsi="Times New Roman"/>
          <w:color w:val="auto"/>
          <w:sz w:val="32"/>
          <w:szCs w:val="32"/>
          <w:highlight w:val="none"/>
          <w:u w:val="none"/>
          <w:lang w:val="zh-CN"/>
        </w:rPr>
      </w:pPr>
      <w:r>
        <w:rPr>
          <w:rFonts w:hint="eastAsia" w:ascii="Times New Roman" w:hAnsi="Times New Roman" w:eastAsia="黑体"/>
          <w:color w:val="auto"/>
          <w:sz w:val="32"/>
          <w:szCs w:val="32"/>
          <w:highlight w:val="none"/>
          <w:u w:val="none"/>
        </w:rPr>
        <w:t>三、</w:t>
      </w:r>
      <w:r>
        <w:rPr>
          <w:rFonts w:hint="eastAsia" w:ascii="Times New Roman" w:hAnsi="Times New Roman" w:eastAsia="黑体"/>
          <w:color w:val="auto"/>
          <w:sz w:val="32"/>
          <w:szCs w:val="32"/>
          <w:highlight w:val="none"/>
          <w:u w:val="none"/>
          <w:lang w:eastAsia="zh-CN"/>
        </w:rPr>
        <w:t>绩效分析</w:t>
      </w:r>
      <w:r>
        <w:rPr>
          <w:rFonts w:hint="eastAsia" w:ascii="Times New Roman" w:hAnsi="Times New Roman"/>
          <w:color w:val="auto"/>
          <w:sz w:val="32"/>
          <w:szCs w:val="32"/>
          <w:highlight w:val="none"/>
          <w:u w:val="none"/>
          <w:lang w:val="zh-CN"/>
        </w:rPr>
        <w:tab/>
      </w:r>
    </w:p>
    <w:p w14:paraId="4D13E4FB">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ascii="Times New Roman" w:hAnsi="Times New Roman" w:eastAsia="仿宋_GB2312" w:cs="仿宋_GB2312"/>
          <w:b w:val="0"/>
          <w:bCs w:val="0"/>
          <w:kern w:val="0"/>
          <w:position w:val="0"/>
          <w:sz w:val="32"/>
          <w:szCs w:val="32"/>
          <w:highlight w:val="none"/>
          <w:lang w:val="zh-CN" w:eastAsia="zh-CN" w:bidi="ar-SA"/>
        </w:rPr>
        <w:t>根据</w:t>
      </w:r>
      <w:r>
        <w:rPr>
          <w:rFonts w:hint="eastAsia" w:ascii="Times New Roman" w:hAnsi="Times New Roman" w:eastAsia="仿宋_GB2312" w:cs="仿宋_GB2312"/>
          <w:b w:val="0"/>
          <w:bCs w:val="0"/>
          <w:kern w:val="0"/>
          <w:position w:val="0"/>
          <w:sz w:val="32"/>
          <w:szCs w:val="32"/>
          <w:highlight w:val="none"/>
          <w:lang w:val="zh-CN" w:eastAsia="zh-CN" w:bidi="ar-SA"/>
        </w:rPr>
        <w:t>项目</w:t>
      </w:r>
      <w:r>
        <w:rPr>
          <w:rFonts w:ascii="Times New Roman" w:hAnsi="Times New Roman" w:eastAsia="仿宋_GB2312" w:cs="仿宋_GB2312"/>
          <w:b w:val="0"/>
          <w:bCs w:val="0"/>
          <w:kern w:val="0"/>
          <w:position w:val="0"/>
          <w:sz w:val="32"/>
          <w:szCs w:val="32"/>
          <w:highlight w:val="none"/>
          <w:lang w:val="zh-CN" w:eastAsia="zh-CN" w:bidi="ar-SA"/>
        </w:rPr>
        <w:t>预算绩效评价指标体系</w:t>
      </w:r>
      <w:r>
        <w:rPr>
          <w:rFonts w:hint="eastAsia" w:ascii="Times New Roman" w:hAnsi="Times New Roman" w:eastAsia="仿宋_GB2312" w:cs="仿宋_GB2312"/>
          <w:b w:val="0"/>
          <w:bCs w:val="0"/>
          <w:kern w:val="0"/>
          <w:position w:val="0"/>
          <w:sz w:val="32"/>
          <w:szCs w:val="32"/>
          <w:highlight w:val="none"/>
          <w:lang w:val="zh-CN" w:eastAsia="zh-CN" w:bidi="ar-SA"/>
        </w:rPr>
        <w:t>通用指标、专用指标、个性指标</w:t>
      </w:r>
      <w:r>
        <w:rPr>
          <w:rFonts w:ascii="Times New Roman" w:hAnsi="Times New Roman" w:eastAsia="仿宋_GB2312" w:cs="仿宋_GB2312"/>
          <w:b w:val="0"/>
          <w:bCs w:val="0"/>
          <w:kern w:val="0"/>
          <w:position w:val="0"/>
          <w:sz w:val="32"/>
          <w:szCs w:val="32"/>
          <w:highlight w:val="none"/>
          <w:lang w:val="zh-CN" w:eastAsia="zh-CN" w:bidi="ar-SA"/>
        </w:rPr>
        <w:t>涉及</w:t>
      </w:r>
      <w:r>
        <w:rPr>
          <w:rFonts w:hint="eastAsia" w:ascii="Times New Roman" w:hAnsi="Times New Roman" w:eastAsia="仿宋_GB2312" w:cs="仿宋_GB2312"/>
          <w:b w:val="0"/>
          <w:bCs w:val="0"/>
          <w:kern w:val="0"/>
          <w:position w:val="0"/>
          <w:sz w:val="32"/>
          <w:szCs w:val="32"/>
          <w:highlight w:val="none"/>
          <w:lang w:val="zh-CN" w:eastAsia="zh-CN" w:bidi="ar-SA"/>
        </w:rPr>
        <w:t>二、三级</w:t>
      </w:r>
      <w:r>
        <w:rPr>
          <w:rFonts w:ascii="Times New Roman" w:hAnsi="Times New Roman" w:eastAsia="仿宋_GB2312" w:cs="仿宋_GB2312"/>
          <w:b w:val="0"/>
          <w:bCs w:val="0"/>
          <w:kern w:val="0"/>
          <w:position w:val="0"/>
          <w:sz w:val="32"/>
          <w:szCs w:val="32"/>
          <w:highlight w:val="none"/>
          <w:lang w:val="zh-CN" w:eastAsia="zh-CN" w:bidi="ar-SA"/>
        </w:rPr>
        <w:t>指标进行</w:t>
      </w:r>
      <w:r>
        <w:rPr>
          <w:rFonts w:hint="eastAsia" w:ascii="Times New Roman" w:hAnsi="Times New Roman" w:eastAsia="仿宋_GB2312" w:cs="仿宋_GB2312"/>
          <w:b w:val="0"/>
          <w:bCs w:val="0"/>
          <w:kern w:val="0"/>
          <w:position w:val="0"/>
          <w:sz w:val="32"/>
          <w:szCs w:val="32"/>
          <w:highlight w:val="none"/>
          <w:lang w:val="zh-CN" w:eastAsia="zh-CN" w:bidi="ar-SA"/>
        </w:rPr>
        <w:t>逐项</w:t>
      </w:r>
      <w:r>
        <w:rPr>
          <w:rFonts w:ascii="Times New Roman" w:hAnsi="Times New Roman" w:eastAsia="仿宋_GB2312" w:cs="仿宋_GB2312"/>
          <w:b w:val="0"/>
          <w:bCs w:val="0"/>
          <w:kern w:val="0"/>
          <w:position w:val="0"/>
          <w:sz w:val="32"/>
          <w:szCs w:val="32"/>
          <w:highlight w:val="none"/>
          <w:lang w:val="zh-CN" w:eastAsia="zh-CN" w:bidi="ar-SA"/>
        </w:rPr>
        <w:t>绩效分析</w:t>
      </w:r>
      <w:r>
        <w:rPr>
          <w:rFonts w:hint="eastAsia" w:ascii="Times New Roman" w:hAnsi="Times New Roman" w:eastAsia="仿宋_GB2312" w:cs="仿宋_GB2312"/>
          <w:b w:val="0"/>
          <w:bCs w:val="0"/>
          <w:kern w:val="0"/>
          <w:position w:val="0"/>
          <w:sz w:val="32"/>
          <w:szCs w:val="32"/>
          <w:highlight w:val="none"/>
          <w:lang w:val="zh-CN" w:eastAsia="zh-CN" w:bidi="ar-SA"/>
        </w:rPr>
        <w:t>并评分</w:t>
      </w:r>
      <w:r>
        <w:rPr>
          <w:rFonts w:hint="eastAsia" w:ascii="Times New Roman" w:hAnsi="Times New Roman" w:eastAsia="仿宋_GB2312" w:cs="仿宋_GB2312"/>
          <w:b w:val="0"/>
          <w:bCs w:val="0"/>
          <w:kern w:val="0"/>
          <w:position w:val="0"/>
          <w:sz w:val="32"/>
          <w:szCs w:val="32"/>
          <w:highlight w:val="none"/>
          <w:lang w:val="en-US" w:eastAsia="zh-CN" w:bidi="ar-SA"/>
        </w:rPr>
        <w:t>。</w:t>
      </w:r>
    </w:p>
    <w:p w14:paraId="3D29D7E1">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楷体_GB2312" w:cs="Times New Roman"/>
          <w:b/>
          <w:color w:val="auto"/>
          <w:sz w:val="32"/>
          <w:szCs w:val="32"/>
          <w:highlight w:val="none"/>
          <w:u w:val="none"/>
          <w:lang w:val="en-US" w:eastAsia="zh-CN"/>
        </w:rPr>
      </w:pPr>
      <w:r>
        <w:rPr>
          <w:rFonts w:hint="eastAsia" w:ascii="Times New Roman" w:hAnsi="Times New Roman" w:eastAsia="楷体_GB2312" w:cs="Times New Roman"/>
          <w:b/>
          <w:color w:val="auto"/>
          <w:sz w:val="32"/>
          <w:szCs w:val="32"/>
          <w:highlight w:val="none"/>
          <w:u w:val="none"/>
          <w:lang w:val="zh-CN"/>
        </w:rPr>
        <w:t>（一）</w:t>
      </w:r>
      <w:r>
        <w:rPr>
          <w:rFonts w:hint="eastAsia" w:ascii="Times New Roman" w:hAnsi="Times New Roman" w:eastAsia="楷体_GB2312" w:cs="Times New Roman"/>
          <w:b/>
          <w:color w:val="auto"/>
          <w:sz w:val="32"/>
          <w:szCs w:val="32"/>
          <w:highlight w:val="none"/>
          <w:u w:val="none"/>
          <w:lang w:val="en-US" w:eastAsia="zh-CN"/>
        </w:rPr>
        <w:t>通用指标</w:t>
      </w:r>
      <w:r>
        <w:rPr>
          <w:rFonts w:ascii="Times New Roman" w:hAnsi="Times New Roman" w:eastAsia="楷体_GB2312" w:cs="Times New Roman"/>
          <w:b/>
          <w:bCs/>
          <w:color w:val="000000"/>
          <w:kern w:val="0"/>
          <w:sz w:val="32"/>
          <w:szCs w:val="32"/>
          <w:highlight w:val="none"/>
          <w:shd w:val="clear" w:color="auto" w:fill="FFFFFF"/>
          <w:lang w:val="zh-CN"/>
        </w:rPr>
        <w:t>绩效分析。</w:t>
      </w:r>
    </w:p>
    <w:p w14:paraId="4F7DE389">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1.</w:t>
      </w:r>
      <w:r>
        <w:rPr>
          <w:rFonts w:hint="eastAsia" w:ascii="Times New Roman" w:hAnsi="Times New Roman" w:eastAsia="仿宋_GB2312" w:cs="仿宋_GB2312"/>
          <w:b w:val="0"/>
          <w:bCs w:val="0"/>
          <w:kern w:val="0"/>
          <w:position w:val="0"/>
          <w:sz w:val="32"/>
          <w:szCs w:val="32"/>
          <w:highlight w:val="none"/>
          <w:lang w:val="zh-CN" w:eastAsia="zh-CN" w:bidi="ar-SA"/>
        </w:rPr>
        <w:t>项目决策。各项目均依据上级正式文件立项，决策程序合规，资金投向基层科普领域，方向符合要求；部分项目前期论证不够充分。</w:t>
      </w:r>
    </w:p>
    <w:p w14:paraId="71460F46">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2.</w:t>
      </w:r>
      <w:r>
        <w:rPr>
          <w:rFonts w:hint="eastAsia" w:ascii="Times New Roman" w:hAnsi="Times New Roman" w:eastAsia="仿宋_GB2312" w:cs="仿宋_GB2312"/>
          <w:b w:val="0"/>
          <w:bCs w:val="0"/>
          <w:kern w:val="0"/>
          <w:position w:val="0"/>
          <w:sz w:val="32"/>
          <w:szCs w:val="32"/>
          <w:highlight w:val="none"/>
          <w:lang w:val="zh-CN" w:eastAsia="zh-CN" w:bidi="ar-SA"/>
        </w:rPr>
        <w:t>项目管理。专项资金实行专款专用、专账核算，资金分配规范；全过程绩效动态监控不足，对支出滞后预警不够及时。</w:t>
      </w:r>
    </w:p>
    <w:p w14:paraId="008D62B9">
      <w:pPr>
        <w:keepNext w:val="0"/>
        <w:keepLines w:val="0"/>
        <w:pageBreakBefore w:val="0"/>
        <w:widowControl/>
        <w:kinsoku/>
        <w:wordWrap/>
        <w:overflowPunct/>
        <w:topLinePunct w:val="0"/>
        <w:autoSpaceDE/>
        <w:autoSpaceDN/>
        <w:bidi w:val="0"/>
        <w:adjustRightInd w:val="0"/>
        <w:snapToGrid w:val="0"/>
        <w:spacing w:line="578" w:lineRule="exact"/>
        <w:ind w:left="0" w:firstLine="640" w:firstLineChars="200"/>
        <w:contextualSpacing/>
        <w:jc w:val="left"/>
        <w:textAlignment w:val="auto"/>
        <w:rPr>
          <w:rFonts w:hint="eastAsia" w:eastAsia="仿宋_GB2312" w:cs="仿宋_GB2312"/>
          <w:b w:val="0"/>
          <w:bCs w:val="0"/>
          <w:kern w:val="0"/>
          <w:position w:val="0"/>
          <w:sz w:val="32"/>
          <w:szCs w:val="32"/>
          <w:highlight w:val="none"/>
          <w:lang w:val="zh-CN"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3.项目实施。</w:t>
      </w:r>
      <w:r>
        <w:rPr>
          <w:rFonts w:hint="eastAsia" w:ascii="Times New Roman" w:hAnsi="Times New Roman" w:eastAsia="仿宋_GB2312" w:cs="仿宋_GB2312"/>
          <w:b w:val="0"/>
          <w:bCs w:val="0"/>
          <w:kern w:val="0"/>
          <w:position w:val="0"/>
          <w:sz w:val="32"/>
          <w:szCs w:val="32"/>
          <w:highlight w:val="none"/>
          <w:lang w:val="zh-CN" w:eastAsia="zh-CN" w:bidi="ar-SA"/>
        </w:rPr>
        <w:t>科学技术协会第七次代表大会项目，安排经费</w:t>
      </w:r>
      <w:r>
        <w:rPr>
          <w:rFonts w:hint="eastAsia" w:eastAsia="仿宋_GB2312" w:cs="仿宋_GB2312"/>
          <w:b w:val="0"/>
          <w:bCs w:val="0"/>
          <w:kern w:val="0"/>
          <w:position w:val="0"/>
          <w:sz w:val="32"/>
          <w:szCs w:val="32"/>
          <w:highlight w:val="none"/>
          <w:lang w:val="en-US" w:eastAsia="zh-CN" w:bidi="ar-SA"/>
        </w:rPr>
        <w:t>0.96</w:t>
      </w:r>
      <w:r>
        <w:rPr>
          <w:rFonts w:hint="eastAsia" w:ascii="Times New Roman" w:hAnsi="Times New Roman" w:eastAsia="仿宋_GB2312" w:cs="仿宋_GB2312"/>
          <w:b w:val="0"/>
          <w:bCs w:val="0"/>
          <w:kern w:val="0"/>
          <w:position w:val="0"/>
          <w:sz w:val="32"/>
          <w:szCs w:val="32"/>
          <w:highlight w:val="none"/>
          <w:lang w:val="zh-CN" w:eastAsia="zh-CN" w:bidi="ar-SA"/>
        </w:rPr>
        <w:t>万元</w:t>
      </w:r>
      <w:r>
        <w:rPr>
          <w:rFonts w:hint="eastAsia"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zh-CN" w:eastAsia="zh-CN" w:bidi="ar-SA"/>
        </w:rPr>
        <w:t>年度实际支出</w:t>
      </w:r>
      <w:r>
        <w:rPr>
          <w:rFonts w:hint="eastAsia" w:eastAsia="仿宋_GB2312" w:cs="仿宋_GB2312"/>
          <w:b w:val="0"/>
          <w:bCs w:val="0"/>
          <w:kern w:val="0"/>
          <w:position w:val="0"/>
          <w:sz w:val="32"/>
          <w:szCs w:val="32"/>
          <w:highlight w:val="none"/>
          <w:lang w:val="en-US" w:eastAsia="zh-CN" w:bidi="ar-SA"/>
        </w:rPr>
        <w:t>0.91</w:t>
      </w:r>
      <w:r>
        <w:rPr>
          <w:rFonts w:hint="eastAsia" w:ascii="Times New Roman" w:hAnsi="Times New Roman" w:eastAsia="仿宋_GB2312" w:cs="仿宋_GB2312"/>
          <w:b w:val="0"/>
          <w:bCs w:val="0"/>
          <w:kern w:val="0"/>
          <w:position w:val="0"/>
          <w:sz w:val="32"/>
          <w:szCs w:val="32"/>
          <w:highlight w:val="none"/>
          <w:lang w:val="zh-CN" w:eastAsia="zh-CN" w:bidi="ar-SA"/>
        </w:rPr>
        <w:t>万元；科普宣传活动经费，批复预算5万元，年度实际支出2.34万元；</w:t>
      </w:r>
      <w:r>
        <w:rPr>
          <w:rFonts w:hint="eastAsia" w:eastAsia="仿宋_GB2312" w:cs="仿宋_GB2312"/>
          <w:b w:val="0"/>
          <w:bCs w:val="0"/>
          <w:kern w:val="0"/>
          <w:position w:val="0"/>
          <w:sz w:val="32"/>
          <w:szCs w:val="32"/>
          <w:highlight w:val="none"/>
          <w:lang w:val="en-US" w:eastAsia="zh-CN" w:bidi="ar-SA"/>
        </w:rPr>
        <w:t>农村科普热线专项经费</w:t>
      </w:r>
      <w:r>
        <w:rPr>
          <w:rFonts w:hint="eastAsia" w:ascii="Times New Roman" w:hAnsi="Times New Roman" w:eastAsia="仿宋_GB2312" w:cs="仿宋_GB2312"/>
          <w:b w:val="0"/>
          <w:bCs w:val="0"/>
          <w:kern w:val="0"/>
          <w:position w:val="0"/>
          <w:sz w:val="32"/>
          <w:szCs w:val="32"/>
          <w:highlight w:val="none"/>
          <w:lang w:val="zh-CN" w:eastAsia="zh-CN" w:bidi="ar-SA"/>
        </w:rPr>
        <w:t>，批复预算3万元，年度实际支出2万元；科普专项资金，依据</w:t>
      </w:r>
      <w:r>
        <w:rPr>
          <w:rFonts w:hint="eastAsia" w:eastAsia="仿宋_GB2312" w:cs="仿宋_GB2312"/>
          <w:b w:val="0"/>
          <w:bCs w:val="0"/>
          <w:kern w:val="0"/>
          <w:position w:val="0"/>
          <w:sz w:val="32"/>
          <w:szCs w:val="32"/>
          <w:highlight w:val="none"/>
          <w:lang w:val="en-US" w:eastAsia="zh-CN" w:bidi="ar-SA"/>
        </w:rPr>
        <w:t>阿州财教</w:t>
      </w:r>
      <w:r>
        <w:rPr>
          <w:rFonts w:hint="eastAsia" w:ascii="Times New Roman" w:hAnsi="Times New Roman" w:eastAsia="仿宋_GB2312" w:cs="仿宋_GB2312"/>
          <w:b w:val="0"/>
          <w:bCs w:val="0"/>
          <w:kern w:val="0"/>
          <w:position w:val="0"/>
          <w:sz w:val="32"/>
          <w:szCs w:val="32"/>
          <w:highlight w:val="none"/>
          <w:lang w:val="zh-CN" w:eastAsia="zh-CN" w:bidi="ar-SA"/>
        </w:rPr>
        <w:t>〔2024〕95号文件，上年结转资金14万元，本年度全部使用完毕；科普</w:t>
      </w:r>
      <w:r>
        <w:rPr>
          <w:rFonts w:hint="eastAsia" w:eastAsia="仿宋_GB2312" w:cs="仿宋_GB2312"/>
          <w:b w:val="0"/>
          <w:bCs w:val="0"/>
          <w:kern w:val="0"/>
          <w:position w:val="0"/>
          <w:sz w:val="32"/>
          <w:szCs w:val="32"/>
          <w:highlight w:val="none"/>
          <w:lang w:val="en-US" w:eastAsia="zh-CN" w:bidi="ar-SA"/>
        </w:rPr>
        <w:t>专项</w:t>
      </w:r>
      <w:r>
        <w:rPr>
          <w:rFonts w:hint="eastAsia" w:ascii="Times New Roman" w:hAnsi="Times New Roman" w:eastAsia="仿宋_GB2312" w:cs="仿宋_GB2312"/>
          <w:b w:val="0"/>
          <w:bCs w:val="0"/>
          <w:kern w:val="0"/>
          <w:position w:val="0"/>
          <w:sz w:val="32"/>
          <w:szCs w:val="32"/>
          <w:highlight w:val="none"/>
          <w:lang w:val="zh-CN" w:eastAsia="zh-CN" w:bidi="ar-SA"/>
        </w:rPr>
        <w:t>资金</w:t>
      </w:r>
      <w:r>
        <w:rPr>
          <w:rFonts w:hint="eastAsia" w:eastAsia="仿宋_GB2312" w:cs="仿宋_GB2312"/>
          <w:b w:val="0"/>
          <w:bCs w:val="0"/>
          <w:kern w:val="0"/>
          <w:position w:val="0"/>
          <w:sz w:val="32"/>
          <w:szCs w:val="32"/>
          <w:highlight w:val="none"/>
          <w:lang w:val="zh-CN" w:eastAsia="zh-CN" w:bidi="ar-SA"/>
        </w:rPr>
        <w:t>，</w:t>
      </w:r>
      <w:r>
        <w:rPr>
          <w:rFonts w:hint="eastAsia" w:ascii="Times New Roman" w:hAnsi="Times New Roman" w:eastAsia="仿宋_GB2312" w:cs="仿宋_GB2312"/>
          <w:b w:val="0"/>
          <w:bCs w:val="0"/>
          <w:kern w:val="0"/>
          <w:position w:val="0"/>
          <w:sz w:val="32"/>
          <w:szCs w:val="32"/>
          <w:highlight w:val="none"/>
          <w:lang w:val="zh-CN" w:eastAsia="zh-CN" w:bidi="ar-SA"/>
        </w:rPr>
        <w:t>依据</w:t>
      </w:r>
      <w:r>
        <w:rPr>
          <w:rFonts w:hint="eastAsia" w:eastAsia="仿宋_GB2312" w:cs="仿宋_GB2312"/>
          <w:b w:val="0"/>
          <w:bCs w:val="0"/>
          <w:kern w:val="0"/>
          <w:position w:val="0"/>
          <w:sz w:val="32"/>
          <w:szCs w:val="32"/>
          <w:highlight w:val="none"/>
          <w:lang w:val="en-US" w:eastAsia="zh-CN" w:bidi="ar-SA"/>
        </w:rPr>
        <w:t>阿州财教</w:t>
      </w:r>
      <w:r>
        <w:rPr>
          <w:rFonts w:hint="eastAsia" w:eastAsia="仿宋_GB2312" w:cs="仿宋_GB2312"/>
          <w:b w:val="0"/>
          <w:bCs w:val="0"/>
          <w:kern w:val="0"/>
          <w:position w:val="0"/>
          <w:sz w:val="32"/>
          <w:szCs w:val="32"/>
          <w:highlight w:val="none"/>
          <w:lang w:val="zh-CN" w:eastAsia="zh-CN" w:bidi="ar-SA"/>
        </w:rPr>
        <w:t>〔2025〕4号文件批复10万元，该</w:t>
      </w:r>
      <w:r>
        <w:rPr>
          <w:rFonts w:hint="eastAsia" w:eastAsia="仿宋_GB2312" w:cs="仿宋_GB2312"/>
          <w:b w:val="0"/>
          <w:bCs w:val="0"/>
          <w:kern w:val="0"/>
          <w:position w:val="0"/>
          <w:sz w:val="32"/>
          <w:szCs w:val="32"/>
          <w:highlight w:val="none"/>
          <w:lang w:val="en-US" w:eastAsia="zh-CN" w:bidi="ar-SA"/>
        </w:rPr>
        <w:t>10</w:t>
      </w:r>
      <w:r>
        <w:rPr>
          <w:rFonts w:hint="eastAsia" w:eastAsia="仿宋_GB2312" w:cs="仿宋_GB2312"/>
          <w:b w:val="0"/>
          <w:bCs w:val="0"/>
          <w:kern w:val="0"/>
          <w:position w:val="0"/>
          <w:sz w:val="32"/>
          <w:szCs w:val="32"/>
          <w:highlight w:val="none"/>
          <w:lang w:val="zh-CN" w:eastAsia="zh-CN" w:bidi="ar-SA"/>
        </w:rPr>
        <w:t>万元本年度未使用；</w:t>
      </w:r>
    </w:p>
    <w:p w14:paraId="2E554881">
      <w:pPr>
        <w:keepNext w:val="0"/>
        <w:keepLines w:val="0"/>
        <w:pageBreakBefore w:val="0"/>
        <w:widowControl/>
        <w:kinsoku/>
        <w:wordWrap/>
        <w:overflowPunct/>
        <w:topLinePunct w:val="0"/>
        <w:autoSpaceDE/>
        <w:autoSpaceDN/>
        <w:bidi w:val="0"/>
        <w:adjustRightInd w:val="0"/>
        <w:snapToGrid w:val="0"/>
        <w:spacing w:line="578" w:lineRule="exact"/>
        <w:contextualSpacing/>
        <w:jc w:val="left"/>
        <w:textAlignment w:val="auto"/>
        <w:rPr>
          <w:rFonts w:hint="eastAsia" w:ascii="Times New Roman" w:hAnsi="Times New Roman" w:eastAsia="仿宋_GB2312" w:cs="仿宋_GB2312"/>
          <w:b w:val="0"/>
          <w:bCs w:val="0"/>
          <w:kern w:val="0"/>
          <w:position w:val="0"/>
          <w:sz w:val="32"/>
          <w:szCs w:val="32"/>
          <w:highlight w:val="none"/>
          <w:lang w:val="zh-CN" w:eastAsia="zh-CN" w:bidi="ar-SA"/>
        </w:rPr>
      </w:pPr>
      <w:r>
        <w:rPr>
          <w:rFonts w:hint="eastAsia" w:eastAsia="仿宋_GB2312" w:cs="仿宋_GB2312"/>
          <w:b w:val="0"/>
          <w:bCs w:val="0"/>
          <w:kern w:val="0"/>
          <w:position w:val="0"/>
          <w:sz w:val="32"/>
          <w:szCs w:val="32"/>
          <w:highlight w:val="none"/>
          <w:lang w:val="en-US" w:eastAsia="zh-CN" w:bidi="ar-SA"/>
        </w:rPr>
        <w:t>科普专项资金，</w:t>
      </w:r>
      <w:r>
        <w:rPr>
          <w:rFonts w:hint="eastAsia" w:eastAsia="仿宋_GB2312" w:cs="仿宋_GB2312"/>
          <w:b w:val="0"/>
          <w:bCs w:val="0"/>
          <w:kern w:val="0"/>
          <w:position w:val="0"/>
          <w:sz w:val="32"/>
          <w:szCs w:val="32"/>
          <w:highlight w:val="none"/>
          <w:lang w:val="zh-CN" w:eastAsia="zh-CN" w:bidi="ar-SA"/>
        </w:rPr>
        <w:t>依据阿财教〔2025〕75号文件批复8万元，该8万元本年度未使用；</w:t>
      </w:r>
      <w:r>
        <w:rPr>
          <w:rFonts w:hint="eastAsia" w:eastAsia="仿宋_GB2312" w:cs="仿宋_GB2312"/>
          <w:b w:val="0"/>
          <w:bCs w:val="0"/>
          <w:kern w:val="0"/>
          <w:position w:val="0"/>
          <w:sz w:val="32"/>
          <w:szCs w:val="32"/>
          <w:highlight w:val="none"/>
          <w:lang w:val="en-US" w:eastAsia="zh-CN" w:bidi="ar-SA"/>
        </w:rPr>
        <w:t>院士专家工作站</w:t>
      </w:r>
      <w:r>
        <w:rPr>
          <w:rFonts w:hint="eastAsia" w:eastAsia="仿宋_GB2312" w:cs="仿宋_GB2312"/>
          <w:b w:val="0"/>
          <w:bCs w:val="0"/>
          <w:kern w:val="0"/>
          <w:position w:val="0"/>
          <w:sz w:val="32"/>
          <w:szCs w:val="32"/>
          <w:highlight w:val="none"/>
          <w:lang w:val="zh-CN" w:eastAsia="zh-CN" w:bidi="ar-SA"/>
        </w:rPr>
        <w:t>目资金，依据阿</w:t>
      </w:r>
      <w:r>
        <w:rPr>
          <w:rFonts w:hint="eastAsia" w:eastAsia="仿宋_GB2312" w:cs="仿宋_GB2312"/>
          <w:b w:val="0"/>
          <w:bCs w:val="0"/>
          <w:kern w:val="0"/>
          <w:position w:val="0"/>
          <w:sz w:val="32"/>
          <w:szCs w:val="32"/>
          <w:highlight w:val="none"/>
          <w:lang w:val="en-US" w:eastAsia="zh-CN" w:bidi="ar-SA"/>
        </w:rPr>
        <w:t>州</w:t>
      </w:r>
      <w:r>
        <w:rPr>
          <w:rFonts w:hint="eastAsia" w:eastAsia="仿宋_GB2312" w:cs="仿宋_GB2312"/>
          <w:b w:val="0"/>
          <w:bCs w:val="0"/>
          <w:kern w:val="0"/>
          <w:position w:val="0"/>
          <w:sz w:val="32"/>
          <w:szCs w:val="32"/>
          <w:highlight w:val="none"/>
          <w:lang w:val="zh-CN" w:eastAsia="zh-CN" w:bidi="ar-SA"/>
        </w:rPr>
        <w:t>财教〔2025〕88号</w:t>
      </w:r>
      <w:r>
        <w:rPr>
          <w:rFonts w:hint="eastAsia" w:ascii="Times New Roman" w:hAnsi="Times New Roman" w:eastAsia="仿宋_GB2312" w:cs="仿宋_GB2312"/>
          <w:b w:val="0"/>
          <w:bCs w:val="0"/>
          <w:kern w:val="0"/>
          <w:position w:val="0"/>
          <w:sz w:val="32"/>
          <w:szCs w:val="32"/>
          <w:highlight w:val="none"/>
          <w:lang w:val="zh-CN" w:eastAsia="zh-CN" w:bidi="ar-SA"/>
        </w:rPr>
        <w:t>文件批复30万元，本年度未使用。整体执行不均衡，部分资金闲置。</w:t>
      </w:r>
    </w:p>
    <w:p w14:paraId="558108BF">
      <w:pPr>
        <w:keepNext w:val="0"/>
        <w:keepLines w:val="0"/>
        <w:pageBreakBefore w:val="0"/>
        <w:widowControl w:val="0"/>
        <w:kinsoku/>
        <w:wordWrap/>
        <w:overflowPunct/>
        <w:topLinePunct w:val="0"/>
        <w:autoSpaceDE/>
        <w:autoSpaceDN/>
        <w:bidi w:val="0"/>
        <w:adjustRightInd/>
        <w:snapToGrid/>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4.项目结果。已实施项目任务基本完成，社会效益达标；未启动项目绩效目标未按期落地，整体完成时效存在短板。</w:t>
      </w:r>
    </w:p>
    <w:p w14:paraId="584FD1EA">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en-US" w:eastAsia="zh-CN" w:bidi="ar-SA"/>
        </w:rPr>
      </w:pPr>
      <w:r>
        <w:rPr>
          <w:rFonts w:hint="eastAsia" w:ascii="黑体" w:hAnsi="黑体" w:eastAsia="黑体" w:cs="黑体"/>
          <w:b w:val="0"/>
          <w:bCs w:val="0"/>
          <w:kern w:val="0"/>
          <w:position w:val="0"/>
          <w:sz w:val="32"/>
          <w:szCs w:val="32"/>
          <w:highlight w:val="none"/>
          <w:lang w:val="en-US" w:eastAsia="zh-CN" w:bidi="ar-SA"/>
        </w:rPr>
        <w:t>四、评价结论</w:t>
      </w:r>
    </w:p>
    <w:p w14:paraId="35317228">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本次</w:t>
      </w:r>
      <w:r>
        <w:rPr>
          <w:rFonts w:hint="eastAsia" w:eastAsia="仿宋_GB2312" w:cs="仿宋_GB2312"/>
          <w:b w:val="0"/>
          <w:bCs w:val="0"/>
          <w:kern w:val="0"/>
          <w:position w:val="0"/>
          <w:sz w:val="32"/>
          <w:szCs w:val="32"/>
          <w:highlight w:val="none"/>
          <w:lang w:val="en-US" w:eastAsia="zh-CN" w:bidi="ar-SA"/>
        </w:rPr>
        <w:t>7</w:t>
      </w:r>
      <w:r>
        <w:rPr>
          <w:rFonts w:hint="eastAsia" w:ascii="Times New Roman" w:hAnsi="Times New Roman" w:eastAsia="仿宋_GB2312" w:cs="仿宋_GB2312"/>
          <w:b w:val="0"/>
          <w:bCs w:val="0"/>
          <w:kern w:val="0"/>
          <w:position w:val="0"/>
          <w:sz w:val="32"/>
          <w:szCs w:val="32"/>
          <w:highlight w:val="none"/>
          <w:lang w:val="en-US" w:eastAsia="zh-CN" w:bidi="ar-SA"/>
        </w:rPr>
        <w:t>个专项预算项目自评总分</w:t>
      </w:r>
      <w:r>
        <w:rPr>
          <w:rFonts w:hint="eastAsia" w:eastAsia="仿宋_GB2312" w:cs="仿宋_GB2312"/>
          <w:b w:val="0"/>
          <w:bCs w:val="0"/>
          <w:kern w:val="0"/>
          <w:position w:val="0"/>
          <w:sz w:val="32"/>
          <w:szCs w:val="32"/>
          <w:highlight w:val="none"/>
          <w:lang w:val="en-US" w:eastAsia="zh-CN" w:bidi="ar-SA"/>
        </w:rPr>
        <w:t>93</w:t>
      </w:r>
      <w:r>
        <w:rPr>
          <w:rFonts w:hint="eastAsia" w:ascii="Times New Roman" w:hAnsi="Times New Roman" w:eastAsia="仿宋_GB2312" w:cs="仿宋_GB2312"/>
          <w:b w:val="0"/>
          <w:bCs w:val="0"/>
          <w:kern w:val="0"/>
          <w:position w:val="0"/>
          <w:sz w:val="32"/>
          <w:szCs w:val="32"/>
          <w:highlight w:val="none"/>
          <w:lang w:val="en-US" w:eastAsia="zh-CN" w:bidi="ar-SA"/>
        </w:rPr>
        <w:t>分。已实施项目立项合规、资金使用规范，科协换届、科普宣传、科普热线等任务基本完成，发挥了相应科普效益；但部分项目未启动、资金未支出，预算执行不均衡，整体绩效目标未全部达成。</w:t>
      </w:r>
    </w:p>
    <w:p w14:paraId="1BA01C22">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黑体" w:hAnsi="黑体" w:eastAsia="黑体" w:cs="黑体"/>
          <w:b w:val="0"/>
          <w:bCs w:val="0"/>
          <w:kern w:val="0"/>
          <w:position w:val="0"/>
          <w:sz w:val="32"/>
          <w:szCs w:val="32"/>
          <w:highlight w:val="none"/>
          <w:lang w:val="en-US" w:eastAsia="zh-CN" w:bidi="ar-SA"/>
        </w:rPr>
      </w:pPr>
      <w:r>
        <w:rPr>
          <w:rFonts w:hint="eastAsia" w:ascii="黑体" w:hAnsi="黑体" w:eastAsia="黑体" w:cs="黑体"/>
          <w:b w:val="0"/>
          <w:bCs w:val="0"/>
          <w:kern w:val="0"/>
          <w:position w:val="0"/>
          <w:sz w:val="32"/>
          <w:szCs w:val="32"/>
          <w:highlight w:val="none"/>
          <w:lang w:val="en-US" w:eastAsia="zh-CN" w:bidi="ar-SA"/>
        </w:rPr>
        <w:t>五、存在主要问题</w:t>
      </w:r>
    </w:p>
    <w:p w14:paraId="377CD7A3">
      <w:pPr>
        <w:keepNext w:val="0"/>
        <w:keepLines w:val="0"/>
        <w:pageBreakBefore w:val="0"/>
        <w:widowControl w:val="0"/>
        <w:kinsoku/>
        <w:wordWrap/>
        <w:overflowPunct/>
        <w:topLinePunct w:val="0"/>
        <w:autoSpaceDE/>
        <w:autoSpaceDN/>
        <w:bidi w:val="0"/>
        <w:spacing w:line="578" w:lineRule="exact"/>
        <w:ind w:firstLine="640" w:firstLineChars="200"/>
        <w:textAlignment w:val="auto"/>
        <w:outlineLvl w:val="9"/>
        <w:rPr>
          <w:rFonts w:hint="eastAsia" w:ascii="黑体" w:hAnsi="黑体" w:eastAsia="黑体" w:cs="黑体"/>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预算执行不均衡，部分项目推进滞后，阿</w:t>
      </w:r>
      <w:r>
        <w:rPr>
          <w:rFonts w:hint="eastAsia" w:eastAsia="仿宋_GB2312" w:cs="仿宋_GB2312"/>
          <w:b w:val="0"/>
          <w:bCs w:val="0"/>
          <w:kern w:val="0"/>
          <w:position w:val="0"/>
          <w:sz w:val="32"/>
          <w:szCs w:val="32"/>
          <w:highlight w:val="none"/>
          <w:lang w:val="en-US" w:eastAsia="zh-CN" w:bidi="ar-SA"/>
        </w:rPr>
        <w:t>州</w:t>
      </w:r>
      <w:r>
        <w:rPr>
          <w:rFonts w:hint="eastAsia" w:ascii="Times New Roman" w:hAnsi="Times New Roman" w:eastAsia="仿宋_GB2312" w:cs="仿宋_GB2312"/>
          <w:b w:val="0"/>
          <w:bCs w:val="0"/>
          <w:kern w:val="0"/>
          <w:position w:val="0"/>
          <w:sz w:val="32"/>
          <w:szCs w:val="32"/>
          <w:highlight w:val="none"/>
          <w:lang w:val="en-US" w:eastAsia="zh-CN" w:bidi="ar-SA"/>
        </w:rPr>
        <w:t>财教〔2025〕75号8万元、科普工作站30万元资金全年未支出，资金闲置，执行率偏低。项目前期谋划不足，对项目实施时序预判不够，部分项目未能按年度计划启动落地。全过程绩效监控不到位，对资金支出滞后、项目停滞情况跟踪预警不及时。</w:t>
      </w:r>
      <w:r>
        <w:rPr>
          <w:rFonts w:hint="eastAsia" w:eastAsia="仿宋_GB2312" w:cs="仿宋_GB2312"/>
          <w:b w:val="0"/>
          <w:bCs w:val="0"/>
          <w:kern w:val="0"/>
          <w:position w:val="0"/>
          <w:sz w:val="32"/>
          <w:szCs w:val="32"/>
          <w:highlight w:val="none"/>
          <w:lang w:val="en-US" w:eastAsia="zh-CN" w:bidi="ar-SA"/>
        </w:rPr>
        <w:t xml:space="preserve">  </w:t>
      </w:r>
      <w:r>
        <w:rPr>
          <w:rFonts w:hint="eastAsia" w:ascii="黑体" w:hAnsi="黑体" w:eastAsia="黑体" w:cs="黑体"/>
          <w:b w:val="0"/>
          <w:bCs w:val="0"/>
          <w:kern w:val="0"/>
          <w:position w:val="0"/>
          <w:sz w:val="32"/>
          <w:szCs w:val="32"/>
          <w:highlight w:val="none"/>
          <w:lang w:val="en-US" w:eastAsia="zh-CN" w:bidi="ar-SA"/>
        </w:rPr>
        <w:t xml:space="preserve"> </w:t>
      </w:r>
    </w:p>
    <w:p w14:paraId="18F190EE">
      <w:pPr>
        <w:keepNext w:val="0"/>
        <w:keepLines w:val="0"/>
        <w:pageBreakBefore w:val="0"/>
        <w:widowControl w:val="0"/>
        <w:kinsoku/>
        <w:wordWrap/>
        <w:overflowPunct/>
        <w:topLinePunct w:val="0"/>
        <w:autoSpaceDE/>
        <w:autoSpaceDN/>
        <w:bidi w:val="0"/>
        <w:spacing w:line="578" w:lineRule="exact"/>
        <w:ind w:firstLine="640" w:firstLineChars="200"/>
        <w:textAlignment w:val="auto"/>
        <w:outlineLvl w:val="9"/>
        <w:rPr>
          <w:rFonts w:hint="eastAsia" w:ascii="黑体" w:hAnsi="黑体" w:eastAsia="黑体" w:cs="黑体"/>
          <w:b w:val="0"/>
          <w:bCs w:val="0"/>
          <w:kern w:val="0"/>
          <w:position w:val="0"/>
          <w:sz w:val="32"/>
          <w:szCs w:val="32"/>
          <w:highlight w:val="none"/>
          <w:lang w:val="zh-CN" w:eastAsia="zh-CN" w:bidi="ar-SA"/>
        </w:rPr>
      </w:pPr>
      <w:r>
        <w:rPr>
          <w:rFonts w:hint="eastAsia" w:ascii="黑体" w:hAnsi="黑体" w:eastAsia="黑体" w:cs="黑体"/>
          <w:b w:val="0"/>
          <w:bCs w:val="0"/>
          <w:kern w:val="0"/>
          <w:position w:val="0"/>
          <w:sz w:val="32"/>
          <w:szCs w:val="32"/>
          <w:highlight w:val="none"/>
          <w:lang w:val="en-US" w:eastAsia="zh-CN" w:bidi="ar-SA"/>
        </w:rPr>
        <w:t>六</w:t>
      </w:r>
      <w:r>
        <w:rPr>
          <w:rFonts w:hint="eastAsia" w:ascii="黑体" w:hAnsi="黑体" w:eastAsia="黑体" w:cs="黑体"/>
          <w:b w:val="0"/>
          <w:bCs w:val="0"/>
          <w:kern w:val="0"/>
          <w:position w:val="0"/>
          <w:sz w:val="32"/>
          <w:szCs w:val="32"/>
          <w:highlight w:val="none"/>
          <w:lang w:val="zh-CN" w:eastAsia="zh-CN" w:bidi="ar-SA"/>
        </w:rPr>
        <w:t>、改进建议</w:t>
      </w:r>
    </w:p>
    <w:p w14:paraId="5A3BE34C">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针对预算执行不均衡、资金闲置问题：加快项目落地实施，细化时间节点，加快资金拨付使用，盘活闲置专项资金，提升预算执行率。针对前期谋划不足问题：做实项目前期论证，结合工作实际科学安排年度实施计划，提高项目可行性。</w:t>
      </w:r>
    </w:p>
    <w:p w14:paraId="6B0D502F">
      <w:pPr>
        <w:keepNext w:val="0"/>
        <w:keepLines w:val="0"/>
        <w:pageBreakBefore w:val="0"/>
        <w:widowControl w:val="0"/>
        <w:kinsoku/>
        <w:wordWrap/>
        <w:overflowPunct/>
        <w:topLinePunct w:val="0"/>
        <w:autoSpaceDE/>
        <w:autoSpaceDN/>
        <w:bidi w:val="0"/>
        <w:spacing w:line="578" w:lineRule="exact"/>
        <w:textAlignment w:val="auto"/>
        <w:outlineLvl w:val="9"/>
        <w:rPr>
          <w:rFonts w:hint="eastAsia" w:ascii="Times New Roman" w:hAnsi="Times New Roman" w:eastAsia="仿宋_GB2312" w:cs="仿宋_GB2312"/>
          <w:b/>
          <w:bCs/>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针对绩效监控不到位问题：健全全过程绩效监控机制，定期跟踪项目进度与资金支出，及时预警、督促推进。</w:t>
      </w:r>
    </w:p>
    <w:p w14:paraId="6E2E8392">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14:paraId="31E747D7">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14:paraId="50A4039C">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bookmarkStart w:id="55" w:name="_Toc15396618"/>
      <w:r>
        <w:rPr>
          <w:rFonts w:hint="eastAsia" w:ascii="Times New Roman" w:hAnsi="Times New Roman" w:eastAsia="仿宋_GB2312" w:cs="仿宋_GB2312"/>
          <w:b w:val="0"/>
          <w:bCs w:val="0"/>
          <w:kern w:val="0"/>
          <w:position w:val="0"/>
          <w:sz w:val="32"/>
          <w:szCs w:val="32"/>
          <w:highlight w:val="none"/>
          <w:lang w:val="en-US" w:eastAsia="zh-CN" w:bidi="ar-SA"/>
        </w:rPr>
        <w:br w:type="page"/>
      </w:r>
    </w:p>
    <w:p w14:paraId="366FC204">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20"/>
          <w:rFonts w:hint="eastAsia" w:ascii="Times New Roman" w:hAnsi="Times New Roman" w:eastAsia="黑体"/>
          <w:b w:val="0"/>
          <w:color w:val="auto"/>
          <w:highlight w:val="none"/>
        </w:rPr>
        <w:t>五部分 附表</w:t>
      </w:r>
      <w:bookmarkEnd w:id="50"/>
      <w:bookmarkEnd w:id="55"/>
      <w:bookmarkStart w:id="56" w:name="_Toc15396619"/>
    </w:p>
    <w:p w14:paraId="62192504">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5F1D25A3">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56"/>
    </w:p>
    <w:p w14:paraId="4BB3593F">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0"/>
      <w:r>
        <w:rPr>
          <w:rFonts w:hint="eastAsia" w:ascii="Times New Roman" w:hAnsi="Times New Roman" w:eastAsia="仿宋_GB2312" w:cs="仿宋_GB2312"/>
          <w:color w:val="auto"/>
          <w:sz w:val="32"/>
          <w:szCs w:val="32"/>
          <w:highlight w:val="none"/>
        </w:rPr>
        <w:t>二、收入决算表</w:t>
      </w:r>
      <w:bookmarkEnd w:id="57"/>
    </w:p>
    <w:p w14:paraId="5B338B29">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1"/>
      <w:r>
        <w:rPr>
          <w:rFonts w:hint="eastAsia" w:ascii="Times New Roman" w:hAnsi="Times New Roman" w:eastAsia="仿宋_GB2312" w:cs="仿宋_GB2312"/>
          <w:color w:val="auto"/>
          <w:sz w:val="32"/>
          <w:szCs w:val="32"/>
          <w:highlight w:val="none"/>
        </w:rPr>
        <w:t>三、支出决算表</w:t>
      </w:r>
      <w:bookmarkEnd w:id="58"/>
    </w:p>
    <w:p w14:paraId="57C6A056">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22"/>
      <w:r>
        <w:rPr>
          <w:rFonts w:hint="eastAsia" w:ascii="Times New Roman" w:hAnsi="Times New Roman" w:eastAsia="仿宋_GB2312" w:cs="仿宋_GB2312"/>
          <w:color w:val="auto"/>
          <w:sz w:val="32"/>
          <w:szCs w:val="32"/>
          <w:highlight w:val="none"/>
        </w:rPr>
        <w:t>四、财政拨款收入支出决算总表</w:t>
      </w:r>
      <w:bookmarkEnd w:id="59"/>
    </w:p>
    <w:p w14:paraId="0B6553DF">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0" w:name="_Toc15396623"/>
      <w:r>
        <w:rPr>
          <w:rFonts w:hint="eastAsia" w:ascii="Times New Roman" w:hAnsi="Times New Roman" w:eastAsia="仿宋_GB2312" w:cs="仿宋_GB2312"/>
          <w:color w:val="auto"/>
          <w:sz w:val="32"/>
          <w:szCs w:val="32"/>
          <w:highlight w:val="none"/>
        </w:rPr>
        <w:t>五、财政拨款支出决算明细表</w:t>
      </w:r>
      <w:bookmarkEnd w:id="60"/>
      <w:bookmarkStart w:id="61" w:name="_Toc15396624"/>
    </w:p>
    <w:p w14:paraId="08B3E9FA">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61"/>
    </w:p>
    <w:p w14:paraId="09AFD18B">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2" w:name="_Toc15396625"/>
      <w:r>
        <w:rPr>
          <w:rFonts w:hint="eastAsia" w:ascii="Times New Roman" w:hAnsi="Times New Roman" w:eastAsia="仿宋_GB2312" w:cs="仿宋_GB2312"/>
          <w:color w:val="auto"/>
          <w:sz w:val="32"/>
          <w:szCs w:val="32"/>
          <w:highlight w:val="none"/>
        </w:rPr>
        <w:t>七、一般公共预算财政拨款支出决算明细表</w:t>
      </w:r>
      <w:bookmarkEnd w:id="62"/>
    </w:p>
    <w:p w14:paraId="0A090320">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3" w:name="_Toc15396626"/>
      <w:r>
        <w:rPr>
          <w:rFonts w:hint="eastAsia" w:ascii="Times New Roman" w:hAnsi="Times New Roman" w:eastAsia="仿宋_GB2312" w:cs="仿宋_GB2312"/>
          <w:color w:val="auto"/>
          <w:sz w:val="32"/>
          <w:szCs w:val="32"/>
          <w:highlight w:val="none"/>
        </w:rPr>
        <w:t>八、一般公共预算财政拨款基本支出决算表</w:t>
      </w:r>
      <w:bookmarkEnd w:id="63"/>
    </w:p>
    <w:p w14:paraId="252E9329">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4" w:name="_Toc15396627"/>
      <w:r>
        <w:rPr>
          <w:rFonts w:hint="eastAsia" w:ascii="Times New Roman" w:hAnsi="Times New Roman" w:eastAsia="仿宋_GB2312" w:cs="仿宋_GB2312"/>
          <w:color w:val="auto"/>
          <w:sz w:val="32"/>
          <w:szCs w:val="32"/>
          <w:highlight w:val="none"/>
        </w:rPr>
        <w:t>九、一般公共预算财政拨款项目支出决算表</w:t>
      </w:r>
      <w:bookmarkEnd w:id="64"/>
    </w:p>
    <w:p w14:paraId="658CD56D">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5" w:name="_Toc15396628"/>
      <w:r>
        <w:rPr>
          <w:rFonts w:hint="eastAsia" w:ascii="Times New Roman" w:hAnsi="Times New Roman" w:eastAsia="仿宋_GB2312" w:cs="仿宋_GB2312"/>
          <w:color w:val="auto"/>
          <w:sz w:val="32"/>
          <w:szCs w:val="32"/>
          <w:highlight w:val="none"/>
        </w:rPr>
        <w:t>十、</w:t>
      </w:r>
      <w:bookmarkEnd w:id="65"/>
      <w:r>
        <w:rPr>
          <w:rFonts w:hint="eastAsia" w:ascii="Times New Roman" w:hAnsi="Times New Roman" w:eastAsia="仿宋_GB2312" w:cs="仿宋_GB2312"/>
          <w:color w:val="auto"/>
          <w:sz w:val="32"/>
          <w:szCs w:val="32"/>
          <w:highlight w:val="none"/>
        </w:rPr>
        <w:t>政府性基金预算财政拨款收入支出决算表</w:t>
      </w:r>
    </w:p>
    <w:p w14:paraId="273B0E90">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6" w:name="_Toc15396629"/>
      <w:r>
        <w:rPr>
          <w:rFonts w:hint="eastAsia" w:ascii="Times New Roman" w:hAnsi="Times New Roman" w:eastAsia="仿宋_GB2312" w:cs="仿宋_GB2312"/>
          <w:color w:val="auto"/>
          <w:sz w:val="32"/>
          <w:szCs w:val="32"/>
          <w:highlight w:val="none"/>
        </w:rPr>
        <w:t>十一、</w:t>
      </w:r>
      <w:bookmarkEnd w:id="66"/>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042D6FB5">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7" w:name="_Toc15396630"/>
      <w:r>
        <w:rPr>
          <w:rFonts w:hint="eastAsia" w:ascii="Times New Roman" w:hAnsi="Times New Roman" w:eastAsia="仿宋_GB2312" w:cs="仿宋_GB2312"/>
          <w:color w:val="auto"/>
          <w:sz w:val="32"/>
          <w:szCs w:val="32"/>
          <w:highlight w:val="none"/>
        </w:rPr>
        <w:t>十二、</w:t>
      </w:r>
      <w:bookmarkEnd w:id="67"/>
      <w:r>
        <w:rPr>
          <w:rFonts w:hint="eastAsia" w:ascii="Times New Roman" w:hAnsi="Times New Roman" w:eastAsia="仿宋_GB2312" w:cs="仿宋_GB2312"/>
          <w:color w:val="auto"/>
          <w:sz w:val="32"/>
          <w:szCs w:val="32"/>
          <w:highlight w:val="none"/>
          <w:lang w:eastAsia="zh-CN"/>
        </w:rPr>
        <w:t>国有资本经营预算财政拨款支出决算表</w:t>
      </w:r>
    </w:p>
    <w:p w14:paraId="614F4832">
      <w:pPr>
        <w:pStyle w:val="14"/>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8" w:name="_Toc15396631"/>
      <w:r>
        <w:rPr>
          <w:rFonts w:hint="eastAsia" w:ascii="Times New Roman" w:hAnsi="Times New Roman" w:eastAsia="仿宋_GB2312" w:cs="仿宋_GB2312"/>
          <w:color w:val="auto"/>
          <w:sz w:val="32"/>
          <w:szCs w:val="32"/>
          <w:highlight w:val="none"/>
        </w:rPr>
        <w:t>十三、</w:t>
      </w:r>
      <w:bookmarkEnd w:id="68"/>
      <w:r>
        <w:rPr>
          <w:rFonts w:hint="eastAsia" w:ascii="Times New Roman" w:hAnsi="Times New Roman" w:eastAsia="仿宋_GB2312" w:cs="仿宋_GB2312"/>
          <w:color w:val="auto"/>
          <w:sz w:val="32"/>
          <w:szCs w:val="32"/>
          <w:highlight w:val="none"/>
          <w:lang w:eastAsia="zh-CN"/>
        </w:rPr>
        <w:t>财政拨款“三公”经费支出决算表</w:t>
      </w:r>
    </w:p>
    <w:p w14:paraId="5301BBB3">
      <w:pPr>
        <w:rPr>
          <w:rFonts w:hint="eastAsia" w:ascii="Times New Roman" w:hAnsi="Times New Roman"/>
          <w:lang w:eastAsia="zh-CN"/>
        </w:rPr>
      </w:pPr>
    </w:p>
    <w:sectPr>
      <w:footerReference r:id="rId5" w:type="first"/>
      <w:headerReference r:id="rId3" w:type="default"/>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Lucida Sans">
    <w:altName w:val="Lucida Sans Unicode"/>
    <w:panose1 w:val="020B0602030504020204"/>
    <w:charset w:val="00"/>
    <w:family w:val="auto"/>
    <w:pitch w:val="default"/>
    <w:sig w:usb0="00000000" w:usb1="00000000" w:usb2="00000000" w:usb3="00000000" w:csb0="20000001" w:csb1="00000000"/>
  </w:font>
  <w:font w:name="Lucida Sans Unicode">
    <w:panose1 w:val="020B0602030504020204"/>
    <w:charset w:val="00"/>
    <w:family w:val="auto"/>
    <w:pitch w:val="default"/>
    <w:sig w:usb0="80001AFF" w:usb1="0000396B" w:usb2="00000000" w:usb3="00000000" w:csb0="200000BF" w:csb1="D7F70000"/>
  </w:font>
  <w:font w:name="Cambria">
    <w:panose1 w:val="02040503050406030204"/>
    <w:charset w:val="00"/>
    <w:family w:val="roman"/>
    <w:pitch w:val="default"/>
    <w:sig w:usb0="E00002FF" w:usb1="400004F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panose1 w:val="03000509000000000000"/>
    <w:charset w:val="86"/>
    <w:family w:val="script"/>
    <w:pitch w:val="default"/>
    <w:sig w:usb0="00000001" w:usb1="080E0000" w:usb2="00000000" w:usb3="00000000" w:csb0="00040000" w:csb1="00000000"/>
  </w:font>
  <w:font w:name="Lucida Sans">
    <w:altName w:val="Lucida Sans Unicode"/>
    <w:panose1 w:val="00000000000000000000"/>
    <w:charset w:val="01"/>
    <w:family w:val="auto"/>
    <w:pitch w:val="default"/>
    <w:sig w:usb0="00000000" w:usb1="00000000" w:usb2="00000000" w:usb3="00000000" w:csb0="0000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008BF">
    <w:pPr>
      <w:pStyle w:val="1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15570" cy="139700"/>
              <wp:effectExtent l="0" t="0" r="0" b="0"/>
              <wp:wrapNone/>
              <wp:docPr id="1" name="文本框 1"/>
              <wp:cNvGraphicFramePr/>
              <a:graphic xmlns:a="http://schemas.openxmlformats.org/drawingml/2006/main">
                <a:graphicData uri="http://schemas.microsoft.com/office/word/2010/wordprocessingShape">
                  <wps:wsp>
                    <wps:cNvSpPr/>
                    <wps:spPr>
                      <a:xfrm>
                        <a:off x="0" y="0"/>
                        <a:ext cx="115862" cy="139526"/>
                      </a:xfrm>
                      <a:prstGeom prst="rect">
                        <a:avLst/>
                      </a:prstGeom>
                      <a:noFill/>
                      <a:ln w="6350" cap="flat" cmpd="sng">
                        <a:noFill/>
                        <a:prstDash val="solid"/>
                        <a:round/>
                      </a:ln>
                    </wps:spPr>
                    <wps:txbx>
                      <w:txbxContent>
                        <w:p w14:paraId="75C209B7">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rect id="文本框 1" o:spid="_x0000_s1026" o:spt="1" style="position:absolute;left:0pt;margin-top:0pt;height:11pt;width:9.1pt;mso-position-horizontal:right;mso-position-horizontal-relative:margin;mso-wrap-style:none;z-index:251659264;mso-width-relative:page;mso-height-relative:page;" filled="f" stroked="f" coordsize="21600,21600" o:gfxdata="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FKOzZTWAAAAAwEAAA8AAAAAAAAAAQAgAAAAIgAAAGRycy9k&#10;b3ducmV2LnhtbFBLAQIUABQAAAAIAIdO4kA0oCPNBAIAAPQDAAAOAAAAAAAAAAEAIAAAACUBAABk&#10;cnMvZTJvRG9jLnhtbFBLBQYAAAAABgAGAFkBAACbBQAAAAA=&#10;">
              <v:fill on="f" focussize="0,0"/>
              <v:stroke on="f" weight="0.5pt" joinstyle="round"/>
              <v:imagedata o:title=""/>
              <o:lock v:ext="edit" aspectratio="f"/>
              <v:textbox inset="0mm,0mm,0mm,0mm" style="mso-fit-shape-to-text:t;">
                <w:txbxContent>
                  <w:p w14:paraId="75C209B7">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rect>
          </w:pict>
        </mc:Fallback>
      </mc:AlternateContent>
    </w:r>
  </w:p>
  <w:p w14:paraId="75FDD6E9">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EB26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noFill/>
                      <a:ln w="6350" cap="flat" cmpd="sng">
                        <a:noFill/>
                        <a:prstDash val="solid"/>
                        <a:round/>
                      </a:ln>
                    </wps:spPr>
                    <wps:txbx>
                      <w:txbxContent>
                        <w:p w14:paraId="0CFBEBF3">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Jy3/S1AAAAAUBAAAPAAAAAAAAAAEAIAAAACIAAABkcnMvZG93bnJldi54&#10;bWxQSwECFAAUAAAACACHTuJA1SxqVv4BAAD2AwAADgAAAAAAAAABACAAAAAjAQAAZHJzL2Uyb0Rv&#10;Yy54bWxQSwUGAAAAAAYABgBZAQAAkwUAAAAA&#10;">
              <v:fill on="f" focussize="0,0"/>
              <v:stroke on="f" weight="0.5pt" joinstyle="round"/>
              <v:imagedata o:title=""/>
              <o:lock v:ext="edit" aspectratio="f"/>
              <v:textbox inset="0mm,0mm,0mm,0mm" style="mso-fit-shape-to-text:t;">
                <w:txbxContent>
                  <w:p w14:paraId="0CFBEBF3">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51A8A">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E9381D"/>
    <w:multiLevelType w:val="multilevel"/>
    <w:tmpl w:val="D8E9381D"/>
    <w:lvl w:ilvl="0" w:tentative="0">
      <w:start w:val="1"/>
      <w:numFmt w:val="chineseCountingThousand"/>
      <w:suff w:val="nothing"/>
      <w:lvlText w:val="%1、"/>
      <w:lvlJc w:val="left"/>
      <w:pPr>
        <w:ind w:left="0" w:firstLine="0"/>
      </w:pPr>
      <w:rPr>
        <w:rFonts w:hint="eastAsia" w:eastAsia="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E54555D"/>
    <w:multiLevelType w:val="singleLevel"/>
    <w:tmpl w:val="4E54555D"/>
    <w:lvl w:ilvl="0" w:tentative="0">
      <w:start w:val="2"/>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8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4"/>
  </w:compat>
  <w:rsids>
    <w:rsidRoot w:val="00000000"/>
    <w:rsid w:val="12CD10D5"/>
    <w:rsid w:val="38D03108"/>
    <w:rsid w:val="3E426A13"/>
    <w:rsid w:val="48612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Lucida Sans"/>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0"/>
    <w:qFormat/>
    <w:uiPriority w:val="0"/>
    <w:pPr>
      <w:keepNext/>
      <w:keepLines/>
      <w:spacing w:before="340" w:after="330" w:line="578" w:lineRule="auto"/>
      <w:outlineLvl w:val="0"/>
    </w:pPr>
    <w:rPr>
      <w:b/>
      <w:bCs/>
      <w:kern w:val="44"/>
      <w:sz w:val="44"/>
      <w:szCs w:val="44"/>
    </w:rPr>
  </w:style>
  <w:style w:type="paragraph" w:styleId="6">
    <w:name w:val="heading 2"/>
    <w:basedOn w:val="1"/>
    <w:next w:val="1"/>
    <w:link w:val="21"/>
    <w:qFormat/>
    <w:uiPriority w:val="0"/>
    <w:pPr>
      <w:keepNext/>
      <w:keepLines/>
      <w:spacing w:before="260" w:after="260" w:line="415" w:lineRule="auto"/>
      <w:outlineLvl w:val="1"/>
    </w:pPr>
    <w:rPr>
      <w:rFonts w:ascii="Cambria" w:hAnsi="Cambria" w:eastAsia="宋体" w:cs="Times New Roman"/>
      <w:b/>
      <w:bCs/>
      <w:sz w:val="32"/>
      <w:szCs w:val="32"/>
    </w:rPr>
  </w:style>
  <w:style w:type="paragraph" w:styleId="7">
    <w:name w:val="heading 3"/>
    <w:basedOn w:val="1"/>
    <w:next w:val="1"/>
    <w:link w:val="22"/>
    <w:qFormat/>
    <w:uiPriority w:val="0"/>
    <w:pPr>
      <w:keepNext/>
      <w:keepLines/>
      <w:spacing w:before="260" w:after="260" w:line="415" w:lineRule="auto"/>
      <w:outlineLvl w:val="2"/>
    </w:pPr>
    <w:rPr>
      <w:b/>
      <w:bCs/>
      <w:sz w:val="32"/>
      <w:szCs w:val="32"/>
    </w:rPr>
  </w:style>
  <w:style w:type="character" w:default="1" w:styleId="17">
    <w:name w:val="Default Paragraph Font"/>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footnote text"/>
    <w:basedOn w:val="1"/>
    <w:next w:val="3"/>
    <w:qFormat/>
    <w:uiPriority w:val="0"/>
    <w:pPr>
      <w:snapToGrid w:val="0"/>
      <w:jc w:val="left"/>
    </w:pPr>
    <w:rPr>
      <w:sz w:val="18"/>
      <w:szCs w:val="18"/>
    </w:rPr>
  </w:style>
  <w:style w:type="paragraph" w:styleId="3">
    <w:name w:val="Body Text First Indent 2"/>
    <w:basedOn w:val="4"/>
    <w:next w:val="1"/>
    <w:qFormat/>
    <w:uiPriority w:val="0"/>
    <w:pPr>
      <w:ind w:firstLine="200" w:firstLineChars="200"/>
    </w:pPr>
  </w:style>
  <w:style w:type="paragraph" w:styleId="4">
    <w:name w:val="Body Text Indent"/>
    <w:basedOn w:val="1"/>
    <w:next w:val="3"/>
    <w:qFormat/>
    <w:uiPriority w:val="0"/>
    <w:pPr>
      <w:spacing w:after="120"/>
      <w:ind w:left="200" w:leftChars="200"/>
    </w:pPr>
    <w:rPr>
      <w:rFonts w:ascii="仿宋_GB2312" w:hAnsi="仿宋_GB2312"/>
      <w:szCs w:val="32"/>
    </w:rPr>
  </w:style>
  <w:style w:type="paragraph" w:styleId="8">
    <w:name w:val="Body Text"/>
    <w:basedOn w:val="1"/>
    <w:qFormat/>
    <w:uiPriority w:val="0"/>
    <w:pPr>
      <w:spacing w:before="30" w:beforeLines="30"/>
    </w:pPr>
    <w:rPr>
      <w:rFonts w:ascii="仿宋_GB2312" w:eastAsia="仿宋_GB2312"/>
      <w:kern w:val="0"/>
      <w:sz w:val="30"/>
    </w:rPr>
  </w:style>
  <w:style w:type="paragraph" w:styleId="9">
    <w:name w:val="toc 3"/>
    <w:basedOn w:val="1"/>
    <w:next w:val="1"/>
    <w:qFormat/>
    <w:uiPriority w:val="0"/>
    <w:pPr>
      <w:tabs>
        <w:tab w:val="right" w:leader="dot" w:pos="8296"/>
      </w:tabs>
      <w:ind w:left="400" w:leftChars="400"/>
    </w:pPr>
  </w:style>
  <w:style w:type="paragraph" w:styleId="10">
    <w:name w:val="Balloon Text"/>
    <w:basedOn w:val="1"/>
    <w:qFormat/>
    <w:uiPriority w:val="0"/>
    <w:rPr>
      <w:sz w:val="18"/>
      <w:szCs w:val="18"/>
    </w:rPr>
  </w:style>
  <w:style w:type="paragraph" w:styleId="11">
    <w:name w:val="footer"/>
    <w:basedOn w:val="1"/>
    <w:qFormat/>
    <w:uiPriority w:val="0"/>
    <w:pPr>
      <w:tabs>
        <w:tab w:val="center" w:pos="4153"/>
        <w:tab w:val="right" w:pos="8306"/>
      </w:tabs>
      <w:snapToGrid w:val="0"/>
      <w:jc w:val="left"/>
    </w:pPr>
    <w:rPr>
      <w:rFonts w:ascii="Calibri" w:hAnsi="Calibri"/>
      <w:kern w:val="0"/>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qFormat/>
    <w:uiPriority w:val="0"/>
    <w:pPr>
      <w:tabs>
        <w:tab w:val="right" w:leader="dot" w:pos="8296"/>
      </w:tabs>
      <w:spacing w:before="93"/>
      <w:jc w:val="center"/>
    </w:pPr>
    <w:rPr>
      <w:rFonts w:ascii="仿宋" w:hAnsi="仿宋" w:eastAsia="仿宋"/>
      <w:sz w:val="28"/>
      <w:szCs w:val="28"/>
    </w:rPr>
  </w:style>
  <w:style w:type="paragraph" w:styleId="14">
    <w:name w:val="toc 2"/>
    <w:basedOn w:val="1"/>
    <w:next w:val="1"/>
    <w:qFormat/>
    <w:uiPriority w:val="0"/>
    <w:pPr>
      <w:tabs>
        <w:tab w:val="right" w:leader="dot" w:pos="8296"/>
      </w:tabs>
      <w:ind w:left="200" w:leftChars="200"/>
    </w:pPr>
  </w:style>
  <w:style w:type="paragraph" w:styleId="15">
    <w:name w:val="Normal (Web)"/>
    <w:basedOn w:val="1"/>
    <w:qFormat/>
    <w:uiPriority w:val="0"/>
    <w:pPr>
      <w:spacing w:before="100" w:beforeAutospacing="1" w:after="100" w:afterAutospacing="1"/>
      <w:ind w:left="0" w:right="0"/>
      <w:jc w:val="left"/>
    </w:pPr>
    <w:rPr>
      <w:kern w:val="0"/>
      <w:sz w:val="24"/>
      <w:lang w:val="en-US" w:eastAsia="zh-CN"/>
    </w:rPr>
  </w:style>
  <w:style w:type="character" w:styleId="18">
    <w:name w:val="Strong"/>
    <w:basedOn w:val="17"/>
    <w:qFormat/>
    <w:uiPriority w:val="0"/>
    <w:rPr>
      <w:b/>
    </w:rPr>
  </w:style>
  <w:style w:type="character" w:styleId="19">
    <w:name w:val="Hyperlink"/>
    <w:basedOn w:val="17"/>
    <w:qFormat/>
    <w:uiPriority w:val="0"/>
    <w:rPr>
      <w:color w:val="0000FF"/>
      <w:u w:val="single"/>
    </w:rPr>
  </w:style>
  <w:style w:type="character" w:customStyle="1" w:styleId="20">
    <w:name w:val="heading 1 Char"/>
    <w:basedOn w:val="17"/>
    <w:link w:val="5"/>
    <w:qFormat/>
    <w:uiPriority w:val="0"/>
    <w:rPr>
      <w:rFonts w:ascii="Times New Roman" w:hAnsi="Times New Roman" w:eastAsia="宋体" w:cs="Times New Roman"/>
      <w:b/>
      <w:bCs/>
      <w:kern w:val="44"/>
      <w:sz w:val="44"/>
      <w:szCs w:val="44"/>
      <w:lang w:val="en-US" w:eastAsia="zh-CN" w:bidi="ar-SA"/>
    </w:rPr>
  </w:style>
  <w:style w:type="character" w:customStyle="1" w:styleId="21">
    <w:name w:val="heading 2 Char"/>
    <w:basedOn w:val="17"/>
    <w:link w:val="6"/>
    <w:qFormat/>
    <w:uiPriority w:val="0"/>
    <w:rPr>
      <w:rFonts w:ascii="Cambria" w:hAnsi="Cambria" w:eastAsia="宋体" w:cs="Times New Roman"/>
      <w:b/>
      <w:bCs/>
      <w:kern w:val="2"/>
      <w:sz w:val="32"/>
      <w:szCs w:val="32"/>
      <w:lang w:val="en-US" w:eastAsia="zh-CN" w:bidi="ar-SA"/>
    </w:rPr>
  </w:style>
  <w:style w:type="character" w:customStyle="1" w:styleId="22">
    <w:name w:val="heading 3 Char"/>
    <w:basedOn w:val="17"/>
    <w:link w:val="7"/>
    <w:qFormat/>
    <w:uiPriority w:val="0"/>
    <w:rPr>
      <w:rFonts w:ascii="Times New Roman" w:hAnsi="Times New Roman" w:eastAsia="宋体" w:cs="Times New Roman"/>
      <w:b/>
      <w:bCs/>
      <w:kern w:val="2"/>
      <w:sz w:val="32"/>
      <w:szCs w:val="32"/>
      <w:lang w:val="en-US" w:eastAsia="zh-CN" w:bidi="ar-SA"/>
    </w:rPr>
  </w:style>
  <w:style w:type="paragraph" w:customStyle="1" w:styleId="23">
    <w:name w:val="标题 5（有编号）（绿盟科技）"/>
    <w:next w:val="1"/>
    <w:qFormat/>
    <w:uiPriority w:val="0"/>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4">
    <w:name w:val="Header Char"/>
    <w:basedOn w:val="17"/>
    <w:qFormat/>
    <w:uiPriority w:val="0"/>
    <w:rPr>
      <w:rFonts w:ascii="Times New Roman" w:hAnsi="Times New Roman"/>
      <w:sz w:val="18"/>
      <w:szCs w:val="18"/>
    </w:rPr>
  </w:style>
  <w:style w:type="character" w:customStyle="1" w:styleId="25">
    <w:name w:val="Footer Char"/>
    <w:basedOn w:val="17"/>
    <w:qFormat/>
    <w:uiPriority w:val="0"/>
    <w:rPr>
      <w:rFonts w:ascii="Times New Roman" w:hAnsi="Times New Roman"/>
      <w:sz w:val="18"/>
      <w:szCs w:val="18"/>
    </w:rPr>
  </w:style>
  <w:style w:type="character" w:customStyle="1" w:styleId="26">
    <w:name w:val="Body Text Char"/>
    <w:basedOn w:val="17"/>
    <w:qFormat/>
    <w:uiPriority w:val="0"/>
    <w:rPr>
      <w:rFonts w:ascii="Times New Roman" w:hAnsi="Times New Roman"/>
      <w:szCs w:val="24"/>
    </w:rPr>
  </w:style>
  <w:style w:type="paragraph" w:customStyle="1" w:styleId="27">
    <w:name w:val="Default"/>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8">
    <w:name w:val="List Paragraph"/>
    <w:basedOn w:val="1"/>
    <w:qFormat/>
    <w:uiPriority w:val="0"/>
    <w:pPr>
      <w:ind w:firstLine="200" w:firstLineChars="200"/>
    </w:pPr>
  </w:style>
  <w:style w:type="paragraph" w:customStyle="1" w:styleId="29">
    <w:name w:val="TOC 标题1"/>
    <w:basedOn w:val="5"/>
    <w:next w:val="1"/>
    <w:qFormat/>
    <w:uiPriority w:val="0"/>
    <w:pPr>
      <w:keepNext/>
      <w:keepLines/>
      <w:widowControl/>
      <w:spacing w:before="480" w:after="0" w:line="276" w:lineRule="auto"/>
      <w:jc w:val="left"/>
      <w:outlineLvl w:val="9"/>
    </w:pPr>
    <w:rPr>
      <w:rFonts w:ascii="Cambria" w:hAnsi="Cambria" w:eastAsia="宋体" w:cs="Times New Roman"/>
      <w:color w:val="376092"/>
      <w:kern w:val="0"/>
      <w:sz w:val="28"/>
      <w:szCs w:val="28"/>
    </w:rPr>
  </w:style>
  <w:style w:type="paragraph" w:customStyle="1" w:styleId="30">
    <w:name w:val="TOC Heading"/>
    <w:basedOn w:val="5"/>
    <w:next w:val="1"/>
    <w:qFormat/>
    <w:uiPriority w:val="0"/>
    <w:pPr>
      <w:keepNext/>
      <w:keepLines/>
      <w:widowControl/>
      <w:spacing w:before="480" w:after="0" w:line="276" w:lineRule="auto"/>
      <w:jc w:val="left"/>
      <w:outlineLvl w:val="9"/>
    </w:pPr>
    <w:rPr>
      <w:rFonts w:ascii="Cambria" w:hAnsi="Cambria" w:eastAsia="宋体" w:cs="Times New Roman"/>
      <w:color w:val="376092"/>
      <w:kern w:val="0"/>
      <w:sz w:val="28"/>
      <w:szCs w:val="28"/>
    </w:rPr>
  </w:style>
  <w:style w:type="paragraph" w:customStyle="1" w:styleId="31">
    <w:name w:val="四号正文"/>
    <w:basedOn w:val="1"/>
    <w:qFormat/>
    <w:uiPriority w:val="0"/>
    <w:pPr>
      <w:spacing w:line="360" w:lineRule="auto"/>
    </w:pPr>
    <w:rPr>
      <w:rFonts w:ascii="??" w:hAnsi="??" w:eastAsia="宋体"/>
      <w:color w:val="000000"/>
      <w:kern w:val="0"/>
      <w:sz w:val="28"/>
      <w:szCs w:val="21"/>
      <w:lang w:val="zh-CN" w:eastAsia="zh-CN"/>
    </w:rPr>
  </w:style>
  <w:style w:type="paragraph" w:customStyle="1" w:styleId="32">
    <w:name w:val="普通(网站) Char"/>
    <w:basedOn w:val="1"/>
    <w:qFormat/>
    <w:uiPriority w:val="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suppressAutoHyphens w:val="0"/>
      <w:kinsoku/>
      <w:wordWrap/>
      <w:overflowPunct/>
      <w:topLinePunct w:val="0"/>
      <w:autoSpaceDE/>
      <w:autoSpaceDN/>
      <w:bidi w:val="0"/>
      <w:adjustRightInd/>
      <w:snapToGrid/>
      <w:spacing w:before="100" w:beforeAutospacing="1" w:after="100" w:afterAutospacing="1" w:line="240" w:lineRule="auto"/>
      <w:ind w:left="0" w:right="0" w:firstLine="0"/>
      <w:contextualSpacing w:val="0"/>
      <w:jc w:val="left"/>
      <w:textAlignment w:val="auto"/>
      <w:outlineLvl w:val="9"/>
    </w:pPr>
    <w:rPr>
      <w:rFonts w:ascii="宋体" w:hAnsi="宋体" w:eastAsia="宋体"/>
      <w:snapToGrid/>
      <w:color w:val="auto"/>
      <w:spacing w:val="0"/>
      <w:w w:val="100"/>
      <w:kern w:val="0"/>
      <w:position w:val="0"/>
      <w:sz w:val="24"/>
      <w:szCs w:val="24"/>
      <w:u w:val="none" w:color="auto"/>
      <w:shd w:val="clear" w:color="auto" w:fill="auto"/>
      <w:vertAlign w:val="baseline"/>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3.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chart" Target="charts/chart7.xml"/><Relationship Id="rId12" Type="http://schemas.openxmlformats.org/officeDocument/2006/relationships/chart" Target="charts/chart6.xml"/><Relationship Id="rId11" Type="http://schemas.openxmlformats.org/officeDocument/2006/relationships/chart" Target="charts/chart5.xml"/><Relationship Id="rId10" Type="http://schemas.openxmlformats.org/officeDocument/2006/relationships/chart" Target="charts/chart4.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Externa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External"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External"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External"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External"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External"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External"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rotWithShape="1">
              <a:gsLst>
                <a:gs pos="0">
                  <a:srgbClr val="4F81BD">
                    <a:alpha val="100000"/>
                  </a:srgbClr>
                </a:gs>
                <a:gs pos="75000">
                  <a:srgbClr val="95B3D7">
                    <a:alpha val="100000"/>
                  </a:srgbClr>
                </a:gs>
                <a:gs pos="51000">
                  <a:srgbClr val="4F81BD">
                    <a:alpha val="74901"/>
                  </a:srgbClr>
                </a:gs>
                <a:gs pos="100000">
                  <a:srgbClr val="DCE6F2">
                    <a:alpha val="14901"/>
                  </a:srgbClr>
                </a:gs>
              </a:gsLst>
              <a:lin ang="5400000" scaled="1"/>
            </a:gra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={"2024年一般公共预算财政拨款收入","2024年一般公共预算财政拨款收入","2025年一般公共预算财政拨款支出","2025年一般公共预算财政拨款支出"}</c:f>
              <c:strCache>
                <c:ptCount val="4"/>
                <c:pt idx="0">
                  <c:v>2024年一般公共预算财政拨款收入</c:v>
                </c:pt>
                <c:pt idx="1">
                  <c:v>2024年一般公共预算财政拨款收入</c:v>
                </c:pt>
                <c:pt idx="2">
                  <c:v>2025年一般公共预算财政拨款支出</c:v>
                </c:pt>
                <c:pt idx="3">
                  <c:v>2025年一般公共预算财政拨款支出</c:v>
                </c:pt>
              </c:strCache>
            </c:strRef>
          </c:cat>
          <c:val>
            <c:numRef>
              <c:f>{223.11,223.11,207.75,207.75}</c:f>
              <c:numCache>
                <c:formatCode>#,##0.00</c:formatCode>
                <c:ptCount val="4"/>
                <c:pt idx="0">
                  <c:v>223.11</c:v>
                </c:pt>
                <c:pt idx="1">
                  <c:v>223.11</c:v>
                </c:pt>
                <c:pt idx="2">
                  <c:v>207.75</c:v>
                </c:pt>
                <c:pt idx="3">
                  <c:v>207.75</c:v>
                </c:pt>
              </c:numCache>
            </c:numRef>
          </c:val>
        </c:ser>
        <c:dLbls>
          <c:showLegendKey val="0"/>
          <c:showVal val="1"/>
          <c:showCatName val="0"/>
          <c:showSerName val="0"/>
          <c:showPercent val="0"/>
          <c:showBubbleSize val="0"/>
        </c:dLbls>
        <c:gapWidth val="355"/>
        <c:overlap val="-70"/>
        <c:axId val="0"/>
        <c:axId val="1"/>
      </c:barChart>
      <c:catAx>
        <c:axId val="0"/>
        <c:scaling>
          <c:orientation val="minMax"/>
        </c:scaling>
        <c:delete val="0"/>
        <c:axPos val="b"/>
        <c:numFmt formatCode="General" sourceLinked="1"/>
        <c:majorTickMark val="none"/>
        <c:minorTickMark val="none"/>
        <c:tickLblPos val="nextTo"/>
        <c:spPr>
          <a:ln w="12700" cap="flat" cmpd="sng">
            <a:solidFill>
              <a:srgbClr val="D9D9D9"/>
            </a:solid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Lucida Sans"/>
              </a:defRPr>
            </a:pPr>
          </a:p>
        </c:txPr>
        <c:crossAx val="1"/>
        <c:crosses val="autoZero"/>
        <c:auto val="1"/>
        <c:lblAlgn val="ctr"/>
        <c:lblOffset val="100"/>
        <c:noMultiLvlLbl val="0"/>
      </c:catAx>
      <c:valAx>
        <c:axId val="1"/>
        <c:scaling>
          <c:orientation val="minMax"/>
        </c:scaling>
        <c:delete val="0"/>
        <c:axPos val="l"/>
        <c:majorGridlines>
          <c:spPr>
            <a:ln w="12700" cap="flat" cmpd="sng">
              <a:solidFill>
                <a:srgbClr val="868686"/>
              </a:solidFill>
              <a:prstDash val="solid"/>
              <a:round/>
            </a:ln>
          </c:spPr>
        </c:majorGridlines>
        <c:numFmt formatCode="#,##0.00" sourceLinked="1"/>
        <c:majorTickMark val="none"/>
        <c:minorTickMark val="none"/>
        <c:tickLblPos val="nextTo"/>
        <c:spPr>
          <a:ln w="9525" cap="flat" cmpd="sng">
            <a:no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Lucida Sans"/>
              </a:defRPr>
            </a:pPr>
          </a:p>
        </c:txPr>
        <c:crossAx val="0"/>
        <c:crosses val="autoZero"/>
        <c:crossBetween val="between"/>
      </c:valAx>
      <c:dTable>
        <c:showHorzBorder val="1"/>
        <c:showVertBorder val="1"/>
        <c:showOutline val="1"/>
        <c:showKeys val="1"/>
        <c:spPr>
          <a:ln w="12700" cap="flat" cmpd="sng">
            <a:solidFill>
              <a:srgbClr val="D9D9D9"/>
            </a:solidFill>
            <a:prstDash val="solid"/>
            <a:round/>
          </a:ln>
        </c:spPr>
        <c:txPr>
          <a:bodyPr rot="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Lucida Sans"/>
              </a:defRPr>
            </a:pPr>
          </a:p>
        </c:txPr>
      </c:dTable>
      <c:spPr>
        <a:noFill/>
        <a:ln>
          <a:noFill/>
        </a:ln>
      </c:spPr>
    </c:plotArea>
    <c:plotVisOnly val="1"/>
    <c:dispBlanksAs val="gap"/>
    <c:showDLblsOverMax val="0"/>
    <c:extLst>
      <c:ext uri="{0b15fc19-7d7d-44ad-8c2d-2c3a37ce22c3}">
        <chartProps xmlns="https://web.wps.cn/et/2018/main" chartId="{6cfe1797-c0d1-4a3d-928e-03255bb928f8}"/>
      </c:ext>
    </c:extLst>
  </c:chart>
  <c:spPr>
    <a:solidFill>
      <a:srgbClr val="FFFFFF"/>
    </a:solidFill>
    <a:ln w="12700" cap="flat" cmpd="sng">
      <a:solidFill>
        <a:srgbClr val="D9D9D9"/>
      </a:solidFill>
      <a:prstDash val="solid"/>
      <a:round/>
    </a:ln>
  </c:spPr>
  <c:txPr>
    <a:bodyPr/>
    <a:lstStyle/>
    <a:p>
      <a:pPr>
        <a:defRPr lang="zh-CN" sz="1000" b="0" i="0" u="none" strike="noStrike" baseline="0">
          <a:solidFill>
            <a:srgbClr val="000000"/>
          </a:solidFill>
          <a:latin typeface="Times New Roman" panose="02020603050405020304"/>
          <a:ea typeface="宋体" panose="02010600030101010101" charset="-122"/>
          <a:cs typeface="Lucida Sans"/>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lgn="ctr">
              <a:defRPr lang="zh-CN" sz="1800" b="1" i="0" u="none" strike="noStrike" kern="1200" baseline="0">
                <a:solidFill>
                  <a:srgbClr val="000000"/>
                </a:solidFill>
                <a:latin typeface="Times New Roman" panose="02020603050405020304"/>
                <a:ea typeface="宋体" panose="02010600030101010101" charset="-122"/>
                <a:cs typeface="Lucida Sans"/>
              </a:defRPr>
            </a:pPr>
            <a:r>
              <a:rPr lang="zh-CN" sz="1400" b="0" i="0" u="none" strike="noStrike" baseline="0">
                <a:solidFill>
                  <a:srgbClr val="595959"/>
                </a:solidFill>
                <a:latin typeface="Times New Roman" panose="02020603050405020304"/>
                <a:ea typeface="宋体" panose="02010600030101010101" charset="-122"/>
                <a:cs typeface="Lucida Sans"/>
              </a:rPr>
              <a:t>收入决算结构图（单位：万元）</a:t>
            </a:r>
            <a:r>
              <a:rPr lang="zh-CN" sz="1800" b="1" i="0" u="none" strike="noStrike" baseline="0">
                <a:solidFill>
                  <a:srgbClr val="000000"/>
                </a:solidFill>
                <a:latin typeface="Times New Roman" panose="02020603050405020304"/>
                <a:ea typeface="宋体" panose="02010600030101010101" charset="-122"/>
                <a:cs typeface="Lucida Sans"/>
              </a:rPr>
              <a:t>
</a:t>
            </a:r>
            <a:endParaRPr lang="zh-CN" sz="1800" b="1" i="0" u="none" strike="noStrike" baseline="0">
              <a:solidFill>
                <a:srgbClr val="000000"/>
              </a:solidFill>
              <a:latin typeface="Times New Roman" panose="02020603050405020304"/>
              <a:ea typeface="宋体" panose="02010600030101010101" charset="-122"/>
              <a:cs typeface="Lucida Sans"/>
            </a:endParaRPr>
          </a:p>
        </c:rich>
      </c:tx>
      <c:layout>
        <c:manualLayout>
          <c:xMode val="edge"/>
          <c:yMode val="edge"/>
          <c:x val="0.15718877"/>
          <c:y val="0.0071907956"/>
        </c:manualLayout>
      </c:layout>
      <c:overlay val="0"/>
      <c:spPr>
        <a:noFill/>
        <a:ln>
          <a:noFill/>
        </a:ln>
      </c:spPr>
    </c:title>
    <c:autoTitleDeleted val="0"/>
    <c:plotArea>
      <c:layout/>
      <c:pieChart>
        <c:varyColors val="1"/>
        <c:ser>
          <c:idx val="0"/>
          <c:order val="0"/>
          <c:spPr>
            <a:solidFill>
              <a:srgbClr val="4472C4"/>
            </a:solidFill>
          </c:spPr>
          <c:explosion val="0"/>
          <c:dPt>
            <c:idx val="0"/>
            <c:bubble3D val="0"/>
            <c:explosion val="0"/>
            <c:spPr>
              <a:solidFill>
                <a:srgbClr val="4572A8"/>
              </a:solidFill>
              <a:ln w="19050">
                <a:solidFill>
                  <a:srgbClr val="FFFFFF"/>
                </a:solidFill>
                <a:prstDash val="solid"/>
              </a:ln>
            </c:spPr>
          </c:dPt>
          <c:dPt>
            <c:idx val="1"/>
            <c:bubble3D val="0"/>
            <c:explosion val="0"/>
            <c:spPr>
              <a:solidFill>
                <a:srgbClr val="AA4643"/>
              </a:solidFill>
              <a:ln w="19050">
                <a:solidFill>
                  <a:srgbClr val="FFFFFF"/>
                </a:solidFill>
                <a:prstDash val="solid"/>
              </a:ln>
            </c:spPr>
          </c:dPt>
          <c:dPt>
            <c:idx val="2"/>
            <c:bubble3D val="0"/>
            <c:explosion val="0"/>
            <c:spPr>
              <a:solidFill>
                <a:srgbClr val="89A64E"/>
              </a:solidFill>
              <a:ln w="19050">
                <a:solidFill>
                  <a:srgbClr val="FFFFFF"/>
                </a:solidFill>
                <a:prstDash val="solid"/>
              </a:ln>
            </c:spPr>
          </c:dPt>
          <c:dPt>
            <c:idx val="3"/>
            <c:bubble3D val="0"/>
            <c:explosion val="0"/>
            <c:spPr>
              <a:solidFill>
                <a:srgbClr val="715890"/>
              </a:solidFill>
              <a:ln w="19050">
                <a:solidFill>
                  <a:srgbClr val="FFFFFF"/>
                </a:solidFill>
                <a:prstDash val="solid"/>
              </a:ln>
            </c:spPr>
          </c:dPt>
          <c:dPt>
            <c:idx val="4"/>
            <c:bubble3D val="0"/>
            <c:explosion val="0"/>
            <c:spPr>
              <a:solidFill>
                <a:srgbClr val="4299B0"/>
              </a:solidFill>
              <a:ln w="19050">
                <a:solidFill>
                  <a:srgbClr val="FFFFFF"/>
                </a:solidFill>
                <a:prstDash val="solid"/>
              </a:ln>
            </c:spPr>
          </c:dPt>
          <c:dPt>
            <c:idx val="5"/>
            <c:bubble3D val="0"/>
            <c:explosion val="0"/>
            <c:spPr>
              <a:solidFill>
                <a:srgbClr val="DC853D"/>
              </a:solidFill>
              <a:ln w="19050">
                <a:solidFill>
                  <a:srgbClr val="FFFFFF"/>
                </a:solidFill>
                <a:prstDash val="solid"/>
              </a:ln>
            </c:spPr>
          </c:dPt>
          <c:dPt>
            <c:idx val="6"/>
            <c:bubble3D val="0"/>
            <c:explosion val="4"/>
            <c:spPr>
              <a:solidFill>
                <a:srgbClr val="93AACF"/>
              </a:solidFill>
              <a:ln w="19050">
                <a:solidFill>
                  <a:srgbClr val="FFFFFF"/>
                </a:solidFill>
                <a:prstDash val="solid"/>
              </a:ln>
            </c:spPr>
          </c:dPt>
          <c:dLbls>
            <c:dLbl>
              <c:idx val="1"/>
              <c:layout>
                <c:manualLayout>
                  <c:x val="-0.013458234"/>
                  <c:y val="-0.03758289"/>
                </c:manualLayout>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2"/>
              <c:delete val="1"/>
            </c:dLbl>
            <c:dLbl>
              <c:idx val="3"/>
              <c:layout>
                <c:manualLayout>
                  <c:x val="0.088562064"/>
                  <c:y val="-0.046450816"/>
                </c:manualLayout>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0.18024312"/>
                  <c:y val="-0.057526365"/>
                </c:manualLayout>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0.23263937"/>
                  <c:y val="0.010786193"/>
                </c:manualLayout>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0.16613092"/>
                  <c:y val="-0.0065674977"/>
                </c:manualLayout>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={"一般公共预算财政拨款收入","政府性基金预算财政拨款收入","国有资本经营预算财政拨款收入","事业收入","经营收入","附属单位上缴收入","其他收入"}</c:f>
              <c:strCache>
                <c:ptCount val="7"/>
                <c:pt idx="0">
                  <c:v>一般公共预算财政拨款收入</c:v>
                </c:pt>
                <c:pt idx="1">
                  <c:v>政府性基金预算财政拨款收入</c:v>
                </c:pt>
                <c:pt idx="2">
                  <c:v>国有资本经营预算财政拨款收入</c:v>
                </c:pt>
                <c:pt idx="3">
                  <c:v>事业收入</c:v>
                </c:pt>
                <c:pt idx="4">
                  <c:v>经营收入</c:v>
                </c:pt>
                <c:pt idx="5">
                  <c:v>附属单位上缴收入</c:v>
                </c:pt>
                <c:pt idx="6">
                  <c:v>其他收入</c:v>
                </c:pt>
              </c:strCache>
            </c:strRef>
          </c:cat>
          <c:val>
            <c:numRef>
              <c:f>{207.75,0,0,0,0,0,0}</c:f>
              <c:numCache>
                <c:formatCode>General</c:formatCode>
                <c:ptCount val="7"/>
                <c:pt idx="0">
                  <c:v>207.75</c:v>
                </c:pt>
                <c:pt idx="1">
                  <c:v>0</c:v>
                </c:pt>
                <c:pt idx="2">
                  <c:v>0</c:v>
                </c:pt>
                <c:pt idx="3">
                  <c:v>0</c:v>
                </c:pt>
                <c:pt idx="4">
                  <c:v>0</c:v>
                </c:pt>
                <c:pt idx="5">
                  <c:v>0</c:v>
                </c:pt>
                <c:pt idx="6">
                  <c:v>0</c:v>
                </c:pt>
              </c:numCache>
            </c:numRef>
          </c:val>
        </c:ser>
        <c:dLbls>
          <c:showLegendKey val="0"/>
          <c:showVal val="1"/>
          <c:showCatName val="0"/>
          <c:showSerName val="0"/>
          <c:showPercent val="0"/>
          <c:showBubbleSize val="0"/>
          <c:showLeaderLines val="1"/>
        </c:dLbls>
        <c:firstSliceAng val="0"/>
      </c:pieChart>
      <c:spPr>
        <a:noFill/>
        <a:ln>
          <a:noFill/>
        </a:ln>
      </c:spPr>
    </c:plotArea>
    <c:legend>
      <c:legendPos val="b"/>
      <c:layout>
        <c:manualLayout>
          <c:xMode val="edge"/>
          <c:yMode val="edge"/>
          <c:x val="0.081725755995829"/>
          <c:y val="0.730506430868167"/>
          <c:w val="0.844629822732012"/>
          <c:h val="0.250200964630225"/>
        </c:manualLayout>
      </c:layout>
      <c:overlay val="0"/>
      <c:spPr>
        <a:noFill/>
        <a:ln>
          <a:noFill/>
        </a:ln>
      </c:spPr>
      <c:txPr>
        <a:bodyPr rot="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Lucida Sans"/>
            </a:defRPr>
          </a:pPr>
        </a:p>
      </c:txPr>
    </c:legend>
    <c:plotVisOnly val="1"/>
    <c:dispBlanksAs val="gap"/>
    <c:showDLblsOverMax val="0"/>
    <c:extLst>
      <c:ext uri="{0b15fc19-7d7d-44ad-8c2d-2c3a37ce22c3}">
        <chartProps xmlns="https://web.wps.cn/et/2018/main" chartId="{c24e1e4b-a832-49cd-b612-a1f1b1c68735}"/>
      </c:ext>
    </c:extLst>
  </c:chart>
  <c:spPr>
    <a:solidFill>
      <a:srgbClr val="FFFFFF"/>
    </a:solidFill>
    <a:ln w="12700" cap="flat" cmpd="sng">
      <a:solidFill>
        <a:srgbClr val="D9D9D9"/>
      </a:solidFill>
      <a:prstDash val="solid"/>
      <a:round/>
    </a:ln>
  </c:spPr>
  <c:txPr>
    <a:bodyPr/>
    <a:lstStyle/>
    <a:p>
      <a:pPr>
        <a:defRPr lang="zh-CN" sz="1000" b="0" i="0" u="none" strike="noStrike" baseline="0">
          <a:solidFill>
            <a:srgbClr val="000000"/>
          </a:solidFill>
          <a:latin typeface="Times New Roman" panose="02020603050405020304"/>
          <a:ea typeface="宋体" panose="02010600030101010101" charset="-122"/>
          <a:cs typeface="Lucida Sans"/>
        </a:defRPr>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lgn="ctr">
              <a:defRPr lang="zh-CN" sz="1800" b="1" i="0" u="none" strike="noStrike" kern="1200" baseline="0">
                <a:solidFill>
                  <a:srgbClr val="000000"/>
                </a:solidFill>
                <a:latin typeface="Times New Roman" panose="02020603050405020304"/>
                <a:ea typeface="宋体" panose="02010600030101010101" charset="-122"/>
                <a:cs typeface="Lucida Sans"/>
              </a:defRPr>
            </a:pPr>
            <a:r>
              <a:rPr lang="zh-CN" sz="1400" b="0" i="0" u="none" strike="noStrike" baseline="0">
                <a:solidFill>
                  <a:srgbClr val="595959"/>
                </a:solidFill>
                <a:latin typeface="Times New Roman" panose="02020603050405020304"/>
                <a:ea typeface="宋体" panose="02010600030101010101" charset="-122"/>
                <a:cs typeface="Lucida Sans"/>
              </a:rPr>
              <a:t>支出决算结构图（单位：万元）</a:t>
            </a:r>
            <a:r>
              <a:rPr lang="zh-CN" sz="1800" b="1" i="0" u="none" strike="noStrike" baseline="0">
                <a:solidFill>
                  <a:srgbClr val="000000"/>
                </a:solidFill>
                <a:latin typeface="Times New Roman" panose="02020603050405020304"/>
                <a:ea typeface="宋体" panose="02010600030101010101" charset="-122"/>
                <a:cs typeface="Lucida Sans"/>
              </a:rPr>
              <a:t>
</a:t>
            </a:r>
            <a:endParaRPr lang="zh-CN" sz="1800" b="1" i="0" u="none" strike="noStrike" baseline="0">
              <a:solidFill>
                <a:srgbClr val="000000"/>
              </a:solidFill>
              <a:latin typeface="Times New Roman" panose="02020603050405020304"/>
              <a:ea typeface="宋体" panose="02010600030101010101" charset="-122"/>
              <a:cs typeface="Lucida Sans"/>
            </a:endParaRPr>
          </a:p>
        </c:rich>
      </c:tx>
      <c:layout>
        <c:manualLayout>
          <c:xMode val="edge"/>
          <c:yMode val="edge"/>
          <c:x val="0.29043892"/>
          <c:y val="0.013584313"/>
        </c:manualLayout>
      </c:layout>
      <c:overlay val="0"/>
      <c:spPr>
        <a:noFill/>
        <a:ln>
          <a:noFill/>
        </a:ln>
      </c:spPr>
    </c:title>
    <c:autoTitleDeleted val="0"/>
    <c:plotArea>
      <c:layout/>
      <c:pieChart>
        <c:varyColors val="1"/>
        <c:ser>
          <c:idx val="0"/>
          <c:order val="0"/>
          <c:spPr>
            <a:solidFill>
              <a:srgbClr val="4472C4"/>
            </a:solidFill>
          </c:spPr>
          <c:explosion val="0"/>
          <c:dPt>
            <c:idx val="0"/>
            <c:bubble3D val="0"/>
            <c:explosion val="0"/>
            <c:spPr>
              <a:solidFill>
                <a:srgbClr val="4572A8"/>
              </a:solidFill>
              <a:ln w="19050">
                <a:solidFill>
                  <a:srgbClr val="FFFFFF"/>
                </a:solidFill>
                <a:prstDash val="solid"/>
              </a:ln>
            </c:spPr>
          </c:dPt>
          <c:dPt>
            <c:idx val="1"/>
            <c:bubble3D val="0"/>
            <c:explosion val="0"/>
            <c:spPr>
              <a:solidFill>
                <a:srgbClr val="AA4643"/>
              </a:solidFill>
              <a:ln w="19050">
                <a:solidFill>
                  <a:srgbClr val="FFFFFF"/>
                </a:solidFill>
                <a:prstDash val="solid"/>
              </a:ln>
            </c:spPr>
          </c:dPt>
          <c:dPt>
            <c:idx val="2"/>
            <c:bubble3D val="0"/>
            <c:explosion val="0"/>
            <c:spPr>
              <a:solidFill>
                <a:srgbClr val="89A64E"/>
              </a:solidFill>
              <a:ln w="19050">
                <a:solidFill>
                  <a:srgbClr val="FFFFFF"/>
                </a:solidFill>
                <a:prstDash val="solid"/>
              </a:ln>
            </c:spPr>
          </c:dPt>
          <c:dPt>
            <c:idx val="3"/>
            <c:bubble3D val="0"/>
            <c:explosion val="0"/>
            <c:spPr>
              <a:solidFill>
                <a:srgbClr val="715890"/>
              </a:solidFill>
              <a:ln w="19050">
                <a:solidFill>
                  <a:srgbClr val="FFFFFF"/>
                </a:solidFill>
                <a:prstDash val="solid"/>
              </a:ln>
            </c:spPr>
          </c:dPt>
          <c:dPt>
            <c:idx val="4"/>
            <c:bubble3D val="0"/>
            <c:explosion val="0"/>
            <c:spPr>
              <a:solidFill>
                <a:srgbClr val="4299B0"/>
              </a:solidFill>
              <a:ln w="19050">
                <a:solidFill>
                  <a:srgbClr val="FFFFFF"/>
                </a:solidFill>
                <a:prstDash val="solid"/>
              </a:ln>
            </c:spPr>
          </c:dPt>
          <c:dPt>
            <c:idx val="5"/>
            <c:bubble3D val="0"/>
            <c:explosion val="0"/>
            <c:spPr>
              <a:solidFill>
                <a:srgbClr val="DC853D"/>
              </a:solidFill>
              <a:ln w="19050">
                <a:solidFill>
                  <a:srgbClr val="FFFFFF"/>
                </a:solidFill>
                <a:prstDash val="solid"/>
              </a:ln>
            </c:spPr>
          </c:dPt>
          <c:dPt>
            <c:idx val="6"/>
            <c:bubble3D val="0"/>
            <c:explosion val="4"/>
            <c:spPr>
              <a:solidFill>
                <a:srgbClr val="93AACF"/>
              </a:solidFill>
              <a:ln w="19050">
                <a:solidFill>
                  <a:srgbClr val="FFFFFF"/>
                </a:solidFill>
                <a:prstDash val="solid"/>
              </a:ln>
            </c:spPr>
          </c:dPt>
          <c:dLbls>
            <c:dLbl>
              <c:idx val="1"/>
              <c:layout>
                <c:manualLayout>
                  <c:x val="-0.08649407"/>
                  <c:y val="-0.14360148"/>
                </c:manualLayout>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bestFit"/>
              <c:showLegendKey val="0"/>
              <c:showVal val="1"/>
              <c:showCatName val="0"/>
              <c:showSerName val="0"/>
              <c:showPercent val="1"/>
              <c:showBubbleSize val="0"/>
              <c:extLst>
                <c:ext xmlns:c15="http://schemas.microsoft.com/office/drawing/2012/chart" uri="{CE6537A1-D6FC-4f65-9D91-7224C49458BB}">
                  <c15:layout/>
                </c:ext>
              </c:extLst>
            </c:dLbl>
            <c:dLbl>
              <c:idx val="2"/>
              <c:layout>
                <c:manualLayout>
                  <c:x val="-0.008436496"/>
                  <c:y val="0.029038206"/>
                </c:manualLayout>
              </c:layout>
              <c:tx>
                <c:rich>
                  <a:bodyPr rot="0" spcFirstLastPara="0" vertOverflow="ellipsis" vert="horz" wrap="square" lIns="38100" tIns="19050" rIns="38100" bIns="19050" anchor="ctr" anchorCtr="1"/>
                  <a:lstStyle/>
                  <a:p>
                    <a:pPr>
                      <a:defRPr lang="zh-CN" sz="900" b="0" i="0" u="none" strike="noStrike" kern="1200" baseline="0">
                        <a:solidFill>
                          <a:srgbClr val="404040"/>
                        </a:solidFill>
                        <a:latin typeface="Times New Roman" panose="02020603050405020304"/>
                        <a:ea typeface="宋体" panose="02010600030101010101" charset="-122"/>
                        <a:cs typeface="Lucida Sans"/>
                      </a:defRPr>
                    </a:pPr>
                    <a:r>
                      <a:rPr lang="zh-CN"/>
                      <a:t>24.3, 12%</a:t>
                    </a:r>
                    <a:endParaRPr lang="zh-CN"/>
                  </a:p>
                </c:rich>
              </c:tx>
              <c:numFmt formatCode="General" sourceLinked="1"/>
              <c:spPr>
                <a:solidFill>
                  <a:srgbClr val="FFFFFF"/>
                </a:solidFill>
                <a:ln w="3175">
                  <a:solidFill>
                    <a:srgbClr val="BFBFBF"/>
                  </a:solidFill>
                  <a:prstDash val="solid"/>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bestFit"/>
              <c:showLegendKey val="1"/>
              <c:showVal val="1"/>
              <c:showCatName val="1"/>
              <c:showSerName val="1"/>
              <c:showPercent val="1"/>
              <c:showBubbleSize val="1"/>
              <c:extLst>
                <c:ext xmlns:c15="http://schemas.microsoft.com/office/drawing/2012/chart" uri="{CE6537A1-D6FC-4f65-9D91-7224C49458BB}">
                  <c15:layout/>
                </c:ext>
              </c:extLst>
            </c:dLbl>
            <c:dLbl>
              <c:idx val="3"/>
              <c:delete val="1"/>
            </c:dLbl>
            <c:dLbl>
              <c:idx val="4"/>
              <c:delete val="1"/>
            </c:dLbl>
            <c:dLbl>
              <c:idx val="5"/>
              <c:delete val="1"/>
            </c:dLbl>
            <c:dLbl>
              <c:idx val="6"/>
              <c:delete val="1"/>
            </c:dLbl>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ctr"/>
            <c:showLegendKey val="0"/>
            <c:showVal val="1"/>
            <c:showCatName val="0"/>
            <c:showSerName val="0"/>
            <c:showPercent val="1"/>
            <c:showBubbleSize val="0"/>
            <c:showLeaderLines val="0"/>
            <c:extLst>
              <c:ext xmlns:c15="http://schemas.microsoft.com/office/drawing/2012/chart" uri="{CE6537A1-D6FC-4f65-9D91-7224C49458BB}">
                <c15:layout/>
                <c15:showLeaderLines val="0"/>
                <c15:leaderLines/>
              </c:ext>
            </c:extLst>
          </c:dLbls>
          <c:cat>
            <c:strRef>
              <c:f>={"","基本支出","项目支出","上缴上级支出","对附属单位补助支出","经营支出",""}</c:f>
              <c:strCache>
                <c:ptCount val="7"/>
                <c:pt idx="1">
                  <c:v>基本支出</c:v>
                </c:pt>
                <c:pt idx="2">
                  <c:v>项目支出</c:v>
                </c:pt>
                <c:pt idx="3">
                  <c:v>上缴上级支出</c:v>
                </c:pt>
                <c:pt idx="4">
                  <c:v>对附属单位补助支出</c:v>
                </c:pt>
                <c:pt idx="5">
                  <c:v>经营支出</c:v>
                </c:pt>
              </c:strCache>
            </c:strRef>
          </c:cat>
          <c:val>
            <c:numRef>
              <c:f>{#N/A,183.46,24.3,0,0,0,0}</c:f>
              <c:numCache>
                <c:formatCode>General</c:formatCode>
                <c:ptCount val="7"/>
                <c:pt idx="1">
                  <c:v>183.46</c:v>
                </c:pt>
                <c:pt idx="2">
                  <c:v>24.3</c:v>
                </c:pt>
                <c:pt idx="3">
                  <c:v>0</c:v>
                </c:pt>
                <c:pt idx="4">
                  <c:v>0</c:v>
                </c:pt>
                <c:pt idx="5">
                  <c:v>0</c:v>
                </c:pt>
                <c:pt idx="6">
                  <c:v>0</c:v>
                </c:pt>
              </c:numCache>
            </c:numRef>
          </c:val>
        </c:ser>
        <c:dLbls>
          <c:showLegendKey val="0"/>
          <c:showVal val="1"/>
          <c:showCatName val="0"/>
          <c:showSerName val="0"/>
          <c:showPercent val="1"/>
          <c:showBubbleSize val="0"/>
          <c:showLeaderLines val="1"/>
        </c:dLbls>
        <c:firstSliceAng val="0"/>
      </c:pieChart>
      <c:spPr>
        <a:noFill/>
        <a:ln>
          <a:noFill/>
        </a:ln>
      </c:spPr>
    </c:plotArea>
    <c:legend>
      <c:legendPos val="b"/>
      <c:legendEntry>
        <c:idx val="6"/>
        <c:delete val="1"/>
      </c:legendEntry>
      <c:layout>
        <c:manualLayout>
          <c:xMode val="edge"/>
          <c:yMode val="edge"/>
          <c:x val="0.026697699890471"/>
          <c:y val="0.89190996211277"/>
          <c:w val="0.936473165388828"/>
          <c:h val="0.0753287274348117"/>
        </c:manualLayout>
      </c:layout>
      <c:overlay val="0"/>
      <c:spPr>
        <a:noFill/>
        <a:ln>
          <a:noFill/>
        </a:ln>
      </c:spPr>
      <c:txPr>
        <a:bodyPr rot="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Lucida Sans"/>
            </a:defRPr>
          </a:pPr>
        </a:p>
      </c:txPr>
    </c:legend>
    <c:plotVisOnly val="1"/>
    <c:dispBlanksAs val="gap"/>
    <c:showDLblsOverMax val="0"/>
    <c:extLst>
      <c:ext uri="{0b15fc19-7d7d-44ad-8c2d-2c3a37ce22c3}">
        <chartProps xmlns="https://web.wps.cn/et/2018/main" chartId="{9dccbe0e-ead0-4a43-b023-71da3d7a7da7}"/>
      </c:ext>
    </c:extLst>
  </c:chart>
  <c:spPr>
    <a:solidFill>
      <a:srgbClr val="FFFFFF"/>
    </a:solidFill>
    <a:ln w="12700" cap="flat" cmpd="sng">
      <a:solidFill>
        <a:srgbClr val="D9D9D9"/>
      </a:solidFill>
      <a:prstDash val="solid"/>
      <a:round/>
    </a:ln>
  </c:spPr>
  <c:txPr>
    <a:bodyPr/>
    <a:lstStyle/>
    <a:p>
      <a:pPr>
        <a:defRPr lang="zh-CN" sz="1000" b="0" i="0" u="none" strike="noStrike" baseline="0">
          <a:solidFill>
            <a:srgbClr val="000000"/>
          </a:solidFill>
          <a:latin typeface="Times New Roman" panose="02020603050405020304"/>
          <a:ea typeface="宋体" panose="02010600030101010101" charset="-122"/>
          <a:cs typeface="Lucida Sans"/>
        </a:defRPr>
      </a:pPr>
    </a:p>
  </c:txPr>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lgn="ctr">
              <a:defRPr lang="zh-CN" sz="1800" b="1" i="0" u="none" strike="noStrike" kern="1200" baseline="0">
                <a:solidFill>
                  <a:srgbClr val="000000"/>
                </a:solidFill>
                <a:latin typeface="Times New Roman" panose="02020603050405020304"/>
                <a:ea typeface="宋体" panose="02010600030101010101" charset="-122"/>
                <a:cs typeface="Lucida Sans"/>
              </a:defRPr>
            </a:pPr>
            <a:r>
              <a:rPr lang="zh-CN"/>
              <a:t> </a:t>
            </a:r>
            <a:endParaRPr lang="zh-CN"/>
          </a:p>
        </c:rich>
      </c:tx>
      <c:layout>
        <c:manualLayout>
          <c:xMode val="edge"/>
          <c:yMode val="edge"/>
          <c:x val="0.07490063"/>
          <c:y val="0.06144777"/>
        </c:manualLayout>
      </c:layout>
      <c:overlay val="0"/>
      <c:spPr>
        <a:noFill/>
        <a:ln>
          <a:noFill/>
        </a:ln>
      </c:spPr>
    </c:title>
    <c:autoTitleDeleted val="0"/>
    <c:plotArea>
      <c:layout>
        <c:manualLayout>
          <c:layoutTarget val="inner"/>
          <c:xMode val="edge"/>
          <c:yMode val="edge"/>
          <c:x val="0.09163856"/>
          <c:y val="0.38980618"/>
          <c:w val="0.8818554"/>
          <c:h val="0.4592247"/>
        </c:manualLayout>
      </c:layout>
      <c:barChart>
        <c:barDir val="col"/>
        <c:grouping val="clustered"/>
        <c:varyColors val="0"/>
        <c:ser>
          <c:idx val="0"/>
          <c:order val="0"/>
          <c:spPr>
            <a:solidFill>
              <a:srgbClr val="4F81BD"/>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={"2024年","2025年"}</c:f>
              <c:strCache>
                <c:ptCount val="2"/>
                <c:pt idx="0">
                  <c:v>2024年</c:v>
                </c:pt>
                <c:pt idx="1">
                  <c:v>2025年</c:v>
                </c:pt>
              </c:strCache>
            </c:strRef>
          </c:cat>
          <c:val>
            <c:numRef>
              <c:f>{223.11,207.75}</c:f>
              <c:numCache>
                <c:formatCode>#,##0.00</c:formatCode>
                <c:ptCount val="2"/>
                <c:pt idx="0">
                  <c:v>223.11</c:v>
                </c:pt>
                <c:pt idx="1">
                  <c:v>207.75</c:v>
                </c:pt>
              </c:numCache>
            </c:numRef>
          </c:val>
        </c:ser>
        <c:dLbls>
          <c:showLegendKey val="0"/>
          <c:showVal val="1"/>
          <c:showCatName val="0"/>
          <c:showSerName val="0"/>
          <c:showPercent val="0"/>
          <c:showBubbleSize val="0"/>
        </c:dLbls>
        <c:gapWidth val="219"/>
        <c:overlap val="-27"/>
        <c:axId val="0"/>
        <c:axId val="1"/>
      </c:barChart>
      <c:catAx>
        <c:axId val="0"/>
        <c:scaling>
          <c:orientation val="minMax"/>
        </c:scaling>
        <c:delete val="0"/>
        <c:axPos val="b"/>
        <c:numFmt formatCode="General" sourceLinked="1"/>
        <c:majorTickMark val="none"/>
        <c:minorTickMark val="none"/>
        <c:tickLblPos val="nextTo"/>
        <c:spPr>
          <a:ln w="12700" cap="flat" cmpd="sng">
            <a:solidFill>
              <a:srgbClr val="D9D9D9"/>
            </a:solid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Lucida Sans"/>
              </a:defRPr>
            </a:pPr>
          </a:p>
        </c:txPr>
        <c:crossAx val="1"/>
        <c:crosses val="autoZero"/>
        <c:auto val="1"/>
        <c:lblAlgn val="ctr"/>
        <c:lblOffset val="100"/>
        <c:noMultiLvlLbl val="0"/>
      </c:catAx>
      <c:valAx>
        <c:axId val="1"/>
        <c:scaling>
          <c:orientation val="minMax"/>
        </c:scaling>
        <c:delete val="0"/>
        <c:axPos val="l"/>
        <c:majorGridlines>
          <c:spPr>
            <a:ln w="12700" cap="flat" cmpd="sng">
              <a:solidFill>
                <a:srgbClr val="D9D9D9"/>
              </a:solidFill>
              <a:prstDash val="solid"/>
              <a:round/>
            </a:ln>
          </c:spPr>
        </c:majorGridlines>
        <c:numFmt formatCode="#,##0.00" sourceLinked="1"/>
        <c:majorTickMark val="none"/>
        <c:minorTickMark val="none"/>
        <c:tickLblPos val="nextTo"/>
        <c:spPr>
          <a:ln w="9525" cap="flat" cmpd="sng">
            <a:no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Lucida Sans"/>
              </a:defRPr>
            </a:pPr>
          </a:p>
        </c:txPr>
        <c:crossAx val="0"/>
        <c:crosses val="autoZero"/>
        <c:crossBetween val="between"/>
      </c:valAx>
      <c:spPr>
        <a:noFill/>
        <a:ln>
          <a:noFill/>
        </a:ln>
      </c:spPr>
    </c:plotArea>
    <c:plotVisOnly val="1"/>
    <c:dispBlanksAs val="gap"/>
    <c:showDLblsOverMax val="0"/>
    <c:extLst>
      <c:ext uri="{0b15fc19-7d7d-44ad-8c2d-2c3a37ce22c3}">
        <chartProps xmlns="https://web.wps.cn/et/2018/main" chartId="{efcf1351-b94c-40a4-a82c-616f9e9f949d}"/>
      </c:ext>
    </c:extLst>
  </c:chart>
  <c:spPr>
    <a:solidFill>
      <a:srgbClr val="FFFFFF"/>
    </a:solidFill>
    <a:ln w="12700" cap="flat" cmpd="sng">
      <a:solidFill>
        <a:srgbClr val="D9D9D9"/>
      </a:solidFill>
      <a:prstDash val="solid"/>
      <a:round/>
    </a:ln>
  </c:spPr>
  <c:txPr>
    <a:bodyPr/>
    <a:lstStyle/>
    <a:p>
      <a:pPr>
        <a:defRPr lang="zh-CN" sz="1000" b="0" i="0" u="none" strike="noStrike" baseline="0">
          <a:solidFill>
            <a:srgbClr val="000000"/>
          </a:solidFill>
          <a:latin typeface="Times New Roman" panose="02020603050405020304"/>
          <a:ea typeface="宋体" panose="02010600030101010101" charset="-122"/>
          <a:cs typeface="Lucida Sans"/>
        </a:defRPr>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09453012"/>
          <c:y val="0.32199413"/>
          <c:w val="0.8818554"/>
          <c:h val="0.5367742"/>
        </c:manualLayout>
      </c:layout>
      <c:barChart>
        <c:barDir val="col"/>
        <c:grouping val="clustered"/>
        <c:varyColors val="0"/>
        <c:ser>
          <c:idx val="0"/>
          <c:order val="0"/>
          <c:spPr>
            <a:solidFill>
              <a:srgbClr val="4F81BD"/>
            </a:solidFill>
            <a:ln>
              <a:noFill/>
            </a:ln>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={"2024年","2025年"}</c:f>
              <c:strCache>
                <c:ptCount val="2"/>
                <c:pt idx="0">
                  <c:v>2024年</c:v>
                </c:pt>
                <c:pt idx="1">
                  <c:v>2025年</c:v>
                </c:pt>
              </c:strCache>
            </c:strRef>
          </c:cat>
          <c:val>
            <c:numRef>
              <c:f>{223.11,207.75}</c:f>
              <c:numCache>
                <c:formatCode>#,##0.00</c:formatCode>
                <c:ptCount val="2"/>
                <c:pt idx="0">
                  <c:v>223.11</c:v>
                </c:pt>
                <c:pt idx="1">
                  <c:v>207.75</c:v>
                </c:pt>
              </c:numCache>
            </c:numRef>
          </c:val>
        </c:ser>
        <c:dLbls>
          <c:showLegendKey val="0"/>
          <c:showVal val="1"/>
          <c:showCatName val="0"/>
          <c:showSerName val="0"/>
          <c:showPercent val="0"/>
          <c:showBubbleSize val="0"/>
        </c:dLbls>
        <c:gapWidth val="219"/>
        <c:overlap val="-27"/>
        <c:axId val="0"/>
        <c:axId val="1"/>
      </c:barChart>
      <c:catAx>
        <c:axId val="0"/>
        <c:scaling>
          <c:orientation val="minMax"/>
        </c:scaling>
        <c:delete val="0"/>
        <c:axPos val="b"/>
        <c:numFmt formatCode="General" sourceLinked="1"/>
        <c:majorTickMark val="none"/>
        <c:minorTickMark val="none"/>
        <c:tickLblPos val="nextTo"/>
        <c:spPr>
          <a:ln w="12700" cap="flat" cmpd="sng">
            <a:solidFill>
              <a:srgbClr val="D9D9D9"/>
            </a:solid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Lucida Sans"/>
              </a:defRPr>
            </a:pPr>
          </a:p>
        </c:txPr>
        <c:crossAx val="1"/>
        <c:crosses val="autoZero"/>
        <c:auto val="1"/>
        <c:lblAlgn val="ctr"/>
        <c:lblOffset val="100"/>
        <c:noMultiLvlLbl val="0"/>
      </c:catAx>
      <c:valAx>
        <c:axId val="1"/>
        <c:scaling>
          <c:orientation val="minMax"/>
        </c:scaling>
        <c:delete val="0"/>
        <c:axPos val="l"/>
        <c:majorGridlines>
          <c:spPr>
            <a:ln w="12700" cap="flat" cmpd="sng">
              <a:solidFill>
                <a:srgbClr val="D9D9D9"/>
              </a:solidFill>
              <a:prstDash val="solid"/>
              <a:round/>
            </a:ln>
          </c:spPr>
        </c:majorGridlines>
        <c:numFmt formatCode="#,##0.00" sourceLinked="1"/>
        <c:majorTickMark val="none"/>
        <c:minorTickMark val="none"/>
        <c:tickLblPos val="nextTo"/>
        <c:spPr>
          <a:ln w="9525" cap="flat" cmpd="sng">
            <a:noFill/>
            <a:prstDash val="solid"/>
            <a:round/>
          </a:ln>
        </c:spPr>
        <c:txPr>
          <a:bodyPr rot="-6000000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Lucida Sans"/>
              </a:defRPr>
            </a:pPr>
          </a:p>
        </c:txPr>
        <c:crossAx val="0"/>
        <c:crosses val="autoZero"/>
        <c:crossBetween val="between"/>
      </c:valAx>
      <c:spPr>
        <a:noFill/>
        <a:ln>
          <a:noFill/>
        </a:ln>
      </c:spPr>
    </c:plotArea>
    <c:plotVisOnly val="1"/>
    <c:dispBlanksAs val="gap"/>
    <c:showDLblsOverMax val="0"/>
    <c:extLst>
      <c:ext uri="{0b15fc19-7d7d-44ad-8c2d-2c3a37ce22c3}">
        <chartProps xmlns="https://web.wps.cn/et/2018/main" chartId="{9b637351-d6f7-47b6-baee-2f8dae4ea88f}"/>
      </c:ext>
    </c:extLst>
  </c:chart>
  <c:spPr>
    <a:solidFill>
      <a:srgbClr val="FFFFFF"/>
    </a:solidFill>
    <a:ln w="12700" cap="flat" cmpd="sng">
      <a:solidFill>
        <a:srgbClr val="D9D9D9"/>
      </a:solidFill>
      <a:prstDash val="solid"/>
      <a:round/>
    </a:ln>
  </c:spPr>
  <c:txPr>
    <a:bodyPr/>
    <a:lstStyle/>
    <a:p>
      <a:pPr>
        <a:defRPr lang="zh-CN" sz="1000" b="0" i="0" u="none" strike="noStrike" baseline="0">
          <a:solidFill>
            <a:srgbClr val="000000"/>
          </a:solidFill>
          <a:latin typeface="Times New Roman" panose="02020603050405020304"/>
          <a:ea typeface="宋体" panose="02010600030101010101" charset="-122"/>
          <a:cs typeface="Lucida Sans"/>
        </a:defRPr>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lgn="ctr">
              <a:defRPr lang="zh-CN" sz="1400" b="0" i="0" u="none" strike="noStrike" kern="1200" baseline="0">
                <a:solidFill>
                  <a:srgbClr val="595959"/>
                </a:solidFill>
                <a:latin typeface="Times New Roman" panose="02020603050405020304"/>
                <a:ea typeface="宋体" panose="02010600030101010101" charset="-122"/>
                <a:cs typeface="Lucida Sans"/>
              </a:defRPr>
            </a:pPr>
            <a:r>
              <a:rPr lang="zh-CN"/>
              <a:t>一般公共预算财政拨款支出决算结构</a:t>
            </a:r>
            <a:endParaRPr lang="zh-CN"/>
          </a:p>
        </c:rich>
      </c:tx>
      <c:layout>
        <c:manualLayout>
          <c:xMode val="edge"/>
          <c:yMode val="edge"/>
          <c:x val="0.12666667"/>
          <c:y val="0.02723029"/>
        </c:manualLayout>
      </c:layout>
      <c:overlay val="0"/>
      <c:spPr>
        <a:noFill/>
        <a:ln>
          <a:noFill/>
        </a:ln>
      </c:spPr>
    </c:title>
    <c:autoTitleDeleted val="0"/>
    <c:plotArea>
      <c:layout>
        <c:manualLayout>
          <c:layoutTarget val="inner"/>
          <c:xMode val="edge"/>
          <c:yMode val="edge"/>
          <c:x val="0.10271578"/>
          <c:y val="0.20402914"/>
          <c:w val="0.49529442"/>
          <c:h val="0.78954136"/>
        </c:manualLayout>
      </c:layout>
      <c:pieChart>
        <c:varyColors val="1"/>
        <c:ser>
          <c:idx val="0"/>
          <c:order val="0"/>
          <c:spPr>
            <a:ln>
              <a:noFill/>
            </a:ln>
          </c:spPr>
          <c:explosion val="0"/>
          <c:dPt>
            <c:idx val="0"/>
            <c:bubble3D val="0"/>
            <c:explosion val="0"/>
            <c:spPr>
              <a:solidFill>
                <a:srgbClr val="4F81BD"/>
              </a:solidFill>
              <a:ln w="19050">
                <a:solidFill>
                  <a:srgbClr val="FFFFFF"/>
                </a:solidFill>
                <a:prstDash val="solid"/>
              </a:ln>
            </c:spPr>
          </c:dPt>
          <c:dPt>
            <c:idx val="1"/>
            <c:bubble3D val="0"/>
            <c:explosion val="0"/>
            <c:spPr>
              <a:solidFill>
                <a:srgbClr val="C0504D"/>
              </a:solidFill>
              <a:ln w="19050">
                <a:solidFill>
                  <a:srgbClr val="FFFFFF"/>
                </a:solidFill>
                <a:prstDash val="solid"/>
              </a:ln>
            </c:spPr>
          </c:dPt>
          <c:dPt>
            <c:idx val="2"/>
            <c:bubble3D val="0"/>
            <c:explosion val="0"/>
            <c:spPr>
              <a:solidFill>
                <a:srgbClr val="9BBB59"/>
              </a:solidFill>
              <a:ln w="19050">
                <a:solidFill>
                  <a:srgbClr val="FFFFFF"/>
                </a:solidFill>
                <a:prstDash val="solid"/>
              </a:ln>
            </c:spPr>
          </c:dPt>
          <c:dPt>
            <c:idx val="3"/>
            <c:bubble3D val="0"/>
            <c:explosion val="0"/>
            <c:spPr>
              <a:solidFill>
                <a:srgbClr val="8064A2"/>
              </a:solidFill>
              <a:ln w="19050">
                <a:solidFill>
                  <a:srgbClr val="FFFFFF"/>
                </a:solidFill>
                <a:prstDash val="solid"/>
              </a:ln>
            </c:spPr>
          </c:dPt>
          <c:dPt>
            <c:idx val="4"/>
            <c:bubble3D val="0"/>
            <c:explosion val="0"/>
            <c:spPr>
              <a:solidFill>
                <a:srgbClr val="4BACC6"/>
              </a:solidFill>
              <a:ln w="19050">
                <a:solidFill>
                  <a:srgbClr val="FFFFFF"/>
                </a:solidFill>
                <a:prstDash val="solid"/>
              </a:ln>
            </c:spPr>
          </c:dPt>
          <c:dPt>
            <c:idx val="5"/>
            <c:bubble3D val="0"/>
            <c:explosion val="0"/>
            <c:spPr>
              <a:solidFill>
                <a:srgbClr val="F79646"/>
              </a:solidFill>
              <a:ln w="19050">
                <a:solidFill>
                  <a:srgbClr val="FFFFFF"/>
                </a:solidFill>
                <a:prstDash val="solid"/>
              </a:ln>
            </c:spPr>
          </c:dPt>
          <c:dPt>
            <c:idx val="6"/>
            <c:bubble3D val="0"/>
            <c:explosion val="0"/>
            <c:spPr>
              <a:solidFill>
                <a:srgbClr val="2C4D75"/>
              </a:solidFill>
              <a:ln w="19050">
                <a:solidFill>
                  <a:srgbClr val="FFFFFF"/>
                </a:solidFill>
                <a:prstDash val="solid"/>
              </a:ln>
            </c:spPr>
          </c:dPt>
          <c:dPt>
            <c:idx val="7"/>
            <c:bubble3D val="0"/>
            <c:explosion val="0"/>
            <c:spPr>
              <a:solidFill>
                <a:srgbClr val="C0504D"/>
              </a:solidFill>
            </c:spPr>
          </c:dPt>
          <c:dLbls>
            <c:dLbl>
              <c:idx val="1"/>
              <c:layout>
                <c:manualLayout>
                  <c:x val="-0.014188783"/>
                  <c:y val="-0.009985648"/>
                </c:manualLayout>
              </c:layout>
              <c:numFmt formatCode="0.00%" sourceLinked="0"/>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bestFit"/>
              <c:showLegendKey val="0"/>
              <c:showVal val="0"/>
              <c:showCatName val="0"/>
              <c:showSerName val="0"/>
              <c:showPercent val="1"/>
              <c:showBubbleSize val="0"/>
              <c:extLst>
                <c:ext xmlns:c15="http://schemas.microsoft.com/office/drawing/2012/chart" uri="{CE6537A1-D6FC-4f65-9D91-7224C49458BB}">
                  <c15:layout/>
                </c:ext>
              </c:extLst>
            </c:dLbl>
            <c:dLbl>
              <c:idx val="2"/>
              <c:layout>
                <c:manualLayout>
                  <c:x val="0.0041444176"/>
                  <c:y val="-0.29133835"/>
                </c:manualLayout>
              </c:layout>
              <c:numFmt formatCode="0.00%" sourceLinked="0"/>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bestFit"/>
              <c:showLegendKey val="0"/>
              <c:showVal val="0"/>
              <c:showCatName val="0"/>
              <c:showSerName val="0"/>
              <c:showPercent val="1"/>
              <c:showBubbleSize val="0"/>
              <c:extLst>
                <c:ext xmlns:c15="http://schemas.microsoft.com/office/drawing/2012/chart" uri="{CE6537A1-D6FC-4f65-9D91-7224C49458BB}">
                  <c15:layout/>
                </c:ext>
              </c:extLst>
            </c:dLbl>
            <c:dLbl>
              <c:idx val="3"/>
              <c:layout>
                <c:manualLayout>
                  <c:x val="0.014634146"/>
                  <c:y val="-0.14052144"/>
                </c:manualLayout>
              </c:layout>
              <c:numFmt formatCode="0.00%" sourceLinked="0"/>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bestFit"/>
              <c:showLegendKey val="0"/>
              <c:showVal val="0"/>
              <c:showCatName val="0"/>
              <c:showSerName val="0"/>
              <c:showPercent val="1"/>
              <c:showBubbleSize val="0"/>
              <c:extLst>
                <c:ext xmlns:c15="http://schemas.microsoft.com/office/drawing/2012/chart" uri="{CE6537A1-D6FC-4f65-9D91-7224C49458BB}">
                  <c15:layout/>
                </c:ext>
              </c:extLst>
            </c:dLbl>
            <c:dLbl>
              <c:idx val="4"/>
              <c:layout>
                <c:manualLayout>
                  <c:x val="0.008513787"/>
                  <c:y val="-0.24119124"/>
                </c:manualLayout>
              </c:layout>
              <c:numFmt formatCode="0.00%" sourceLinked="0"/>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bestFit"/>
              <c:showLegendKey val="0"/>
              <c:showVal val="0"/>
              <c:showCatName val="0"/>
              <c:showSerName val="0"/>
              <c:showPercent val="1"/>
              <c:showBubbleSize val="0"/>
              <c:extLst>
                <c:ext xmlns:c15="http://schemas.microsoft.com/office/drawing/2012/chart" uri="{CE6537A1-D6FC-4f65-9D91-7224C49458BB}">
                  <c15:layout/>
                </c:ext>
              </c:extLst>
            </c:dLbl>
            <c:dLbl>
              <c:idx val="5"/>
              <c:layout>
                <c:manualLayout>
                  <c:x val="-0.00045789042"/>
                  <c:y val="-0.0086827455"/>
                </c:manualLayout>
              </c:layout>
              <c:numFmt formatCode="0.00%" sourceLinked="0"/>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bestFit"/>
              <c:showLegendKey val="0"/>
              <c:showVal val="0"/>
              <c:showCatName val="0"/>
              <c:showSerName val="0"/>
              <c:showPercent val="1"/>
              <c:showBubbleSize val="0"/>
              <c:extLst>
                <c:ext xmlns:c15="http://schemas.microsoft.com/office/drawing/2012/chart" uri="{CE6537A1-D6FC-4f65-9D91-7224C49458BB}">
                  <c15:layout/>
                </c:ext>
              </c:extLst>
            </c:dLbl>
            <c:dLbl>
              <c:idx val="6"/>
              <c:layout>
                <c:manualLayout>
                  <c:x val="-0.028565837"/>
                  <c:y val="-0.01302505"/>
                </c:manualLayout>
              </c:layout>
              <c:numFmt formatCode="0.00%" sourceLinked="0"/>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bestFit"/>
              <c:showLegendKey val="0"/>
              <c:showVal val="0"/>
              <c:showCatName val="0"/>
              <c:showSerName val="0"/>
              <c:showPercent val="1"/>
              <c:showBubbleSize val="0"/>
              <c:extLst>
                <c:ext xmlns:c15="http://schemas.microsoft.com/office/drawing/2012/chart" uri="{CE6537A1-D6FC-4f65-9D91-7224C49458BB}">
                  <c15:layout/>
                </c:ext>
              </c:extLst>
            </c:dLbl>
            <c:dLbl>
              <c:idx val="7"/>
              <c:layout>
                <c:manualLayout>
                  <c:x val="0.047123197"/>
                  <c:y val="-0.0147509035"/>
                </c:manualLayout>
              </c:layout>
              <c:numFmt formatCode="0.00%" sourceLinked="0"/>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bestFit"/>
              <c:showLegendKey val="0"/>
              <c:showVal val="0"/>
              <c:showCatName val="0"/>
              <c:showSerName val="0"/>
              <c:showPercent val="1"/>
              <c:showBubbleSize val="0"/>
              <c:extLst>
                <c:ext xmlns:c15="http://schemas.microsoft.com/office/drawing/2012/chart" uri="{CE6537A1-D6FC-4f65-9D91-7224C49458BB}">
                  <c15:layout/>
                </c:ext>
              </c:extLst>
            </c:dLbl>
            <c:numFmt formatCode="0.00%" sourceLinked="0"/>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404040"/>
                    </a:solidFill>
                    <a:latin typeface="Times New Roman" panose="02020603050405020304"/>
                    <a:ea typeface="宋体" panose="02010600030101010101" charset="-122"/>
                    <a:cs typeface="Lucida San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={"一般公共服务支出","教育支出","科学技术支出","文化旅游体育与传媒支出","社会保障和就业支出","卫生健康支出","住房保障支出","其他支出"}</c:f>
              <c:strCache>
                <c:ptCount val="8"/>
                <c:pt idx="0">
                  <c:v>一般公共服务支出</c:v>
                </c:pt>
                <c:pt idx="1">
                  <c:v>教育支出</c:v>
                </c:pt>
                <c:pt idx="2">
                  <c:v>科学技术支出</c:v>
                </c:pt>
                <c:pt idx="3">
                  <c:v>文化旅游体育与传媒支出</c:v>
                </c:pt>
                <c:pt idx="4">
                  <c:v>社会保障和就业支出</c:v>
                </c:pt>
                <c:pt idx="5">
                  <c:v>卫生健康支出</c:v>
                </c:pt>
                <c:pt idx="6">
                  <c:v>住房保障支出</c:v>
                </c:pt>
                <c:pt idx="7">
                  <c:v>其他支出</c:v>
                </c:pt>
              </c:strCache>
            </c:strRef>
          </c:cat>
          <c:val>
            <c:numRef>
              <c:f>{#N/A,#N/A,158.81,0,25.58,9.41,13.96,0}</c:f>
              <c:numCache>
                <c:formatCode>General</c:formatCode>
                <c:ptCount val="8"/>
                <c:pt idx="2">
                  <c:v>158.81</c:v>
                </c:pt>
                <c:pt idx="3">
                  <c:v>0</c:v>
                </c:pt>
                <c:pt idx="4">
                  <c:v>25.58</c:v>
                </c:pt>
                <c:pt idx="5">
                  <c:v>9.41</c:v>
                </c:pt>
                <c:pt idx="6">
                  <c:v>13.96</c:v>
                </c:pt>
                <c:pt idx="7">
                  <c:v>0</c:v>
                </c:pt>
              </c:numCache>
            </c:numRef>
          </c:val>
        </c:ser>
        <c:dLbls>
          <c:showLegendKey val="0"/>
          <c:showVal val="0"/>
          <c:showCatName val="0"/>
          <c:showSerName val="0"/>
          <c:showPercent val="1"/>
          <c:showBubbleSize val="0"/>
          <c:showLeaderLines val="1"/>
        </c:dLbls>
        <c:firstSliceAng val="0"/>
      </c:pieChart>
      <c:spPr>
        <a:noFill/>
        <a:ln>
          <a:noFill/>
        </a:ln>
      </c:spPr>
    </c:plotArea>
    <c:legend>
      <c:legendPos val="r"/>
      <c:layout>
        <c:manualLayout>
          <c:xMode val="edge"/>
          <c:yMode val="edge"/>
          <c:x val="0.647"/>
          <c:y val="0.1255"/>
          <c:w val="0.33325"/>
          <c:h val="0.83"/>
        </c:manualLayout>
      </c:layout>
      <c:overlay val="0"/>
      <c:spPr>
        <a:noFill/>
        <a:ln>
          <a:noFill/>
        </a:ln>
      </c:spPr>
      <c:txPr>
        <a:bodyPr rot="0" spcFirstLastPara="0" vertOverflow="ellipsis" vert="horz" wrap="square" anchor="ctr" anchorCtr="1"/>
        <a:lstStyle/>
        <a:p>
          <a:pPr>
            <a:defRPr lang="zh-CN" sz="900" b="0" i="0" u="none" strike="noStrike" kern="1200" baseline="0">
              <a:solidFill>
                <a:srgbClr val="595959"/>
              </a:solidFill>
              <a:latin typeface="Times New Roman" panose="02020603050405020304"/>
              <a:ea typeface="宋体" panose="02010600030101010101" charset="-122"/>
              <a:cs typeface="Lucida Sans"/>
            </a:defRPr>
          </a:pPr>
        </a:p>
      </c:txPr>
    </c:legend>
    <c:plotVisOnly val="1"/>
    <c:dispBlanksAs val="gap"/>
    <c:showDLblsOverMax val="0"/>
    <c:extLst>
      <c:ext uri="{0b15fc19-7d7d-44ad-8c2d-2c3a37ce22c3}">
        <chartProps xmlns="https://web.wps.cn/et/2018/main" chartId="{18bf5be2-476d-4d20-b489-b5bed30d1ea4}"/>
      </c:ext>
    </c:extLst>
  </c:chart>
  <c:spPr>
    <a:solidFill>
      <a:srgbClr val="FFFFFF"/>
    </a:solidFill>
    <a:ln w="12700" cap="flat" cmpd="sng">
      <a:solidFill>
        <a:srgbClr val="D9D9D9"/>
      </a:solidFill>
      <a:prstDash val="solid"/>
      <a:round/>
    </a:ln>
  </c:spPr>
  <c:txPr>
    <a:bodyPr/>
    <a:lstStyle/>
    <a:p>
      <a:pPr>
        <a:defRPr lang="zh-CN" sz="1000" b="0" i="0" u="none" strike="noStrike" baseline="0">
          <a:solidFill>
            <a:srgbClr val="000000"/>
          </a:solidFill>
          <a:latin typeface="Times New Roman" panose="02020603050405020304"/>
          <a:ea typeface="宋体" panose="02010600030101010101" charset="-122"/>
          <a:cs typeface="Lucida Sans"/>
        </a:defRPr>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lgn="ctr">
              <a:defRPr lang="zh-CN" sz="1400" b="0" i="0" u="none" strike="noStrike" kern="1200" baseline="0">
                <a:solidFill>
                  <a:srgbClr val="7F7F7F"/>
                </a:solidFill>
                <a:latin typeface="Times New Roman" panose="02020603050405020304"/>
                <a:ea typeface="宋体" panose="02010600030101010101" charset="-122"/>
                <a:cs typeface="Lucida Sans"/>
              </a:defRPr>
            </a:pPr>
            <a:r>
              <a:rPr lang="zh-CN"/>
              <a:t>“三公”经费财政拨款支出结构</a:t>
            </a:r>
            <a:endParaRPr lang="zh-CN"/>
          </a:p>
        </c:rich>
      </c:tx>
      <c:layout/>
      <c:overlay val="0"/>
      <c:spPr>
        <a:noFill/>
        <a:ln>
          <a:noFill/>
        </a:ln>
      </c:spPr>
    </c:title>
    <c:autoTitleDeleted val="0"/>
    <c:plotArea>
      <c:layout/>
      <c:pieChart>
        <c:varyColors val="1"/>
        <c:ser>
          <c:idx val="0"/>
          <c:order val="0"/>
          <c:spPr>
            <a:ln>
              <a:noFill/>
            </a:ln>
          </c:spPr>
          <c:explosion val="0"/>
          <c:dPt>
            <c:idx val="0"/>
            <c:bubble3D val="0"/>
            <c:explosion val="0"/>
            <c:spPr>
              <a:gradFill rotWithShape="1">
                <a:gsLst>
                  <a:gs pos="0">
                    <a:srgbClr val="A3C4FF">
                      <a:alpha val="100000"/>
                    </a:srgbClr>
                  </a:gs>
                  <a:gs pos="35000">
                    <a:srgbClr val="BFD5FF">
                      <a:alpha val="100000"/>
                    </a:srgbClr>
                  </a:gs>
                  <a:gs pos="100000">
                    <a:srgbClr val="E5EEFF">
                      <a:alpha val="100000"/>
                    </a:srgbClr>
                  </a:gs>
                </a:gsLst>
                <a:lin ang="16200000" scaled="1"/>
              </a:gradFill>
              <a:ln w="12700">
                <a:solidFill>
                  <a:srgbClr val="4D7EB9"/>
                </a:solidFill>
                <a:prstDash val="solid"/>
              </a:ln>
              <a:effectLst>
                <a:outerShdw dist="35921" dir="2700000" algn="br">
                  <a:srgbClr val="000000"/>
                </a:outerShdw>
              </a:effectLst>
            </c:spPr>
          </c:dPt>
          <c:dPt>
            <c:idx val="1"/>
            <c:bubble3D val="0"/>
            <c:explosion val="0"/>
            <c:spPr>
              <a:gradFill rotWithShape="1">
                <a:gsLst>
                  <a:gs pos="0">
                    <a:srgbClr val="FFA2A1">
                      <a:alpha val="100000"/>
                    </a:srgbClr>
                  </a:gs>
                  <a:gs pos="35000">
                    <a:srgbClr val="FFBEBD">
                      <a:alpha val="100000"/>
                    </a:srgbClr>
                  </a:gs>
                  <a:gs pos="100000">
                    <a:srgbClr val="FFE5E5">
                      <a:alpha val="100000"/>
                    </a:srgbClr>
                  </a:gs>
                </a:gsLst>
                <a:lin ang="16200000" scaled="1"/>
              </a:gradFill>
              <a:ln w="12700">
                <a:solidFill>
                  <a:srgbClr val="BC4E4B"/>
                </a:solidFill>
                <a:prstDash val="solid"/>
              </a:ln>
              <a:effectLst>
                <a:outerShdw dist="35921" dir="2700000" algn="br">
                  <a:srgbClr val="000000"/>
                </a:outerShdw>
              </a:effectLst>
            </c:spPr>
          </c:dPt>
          <c:dPt>
            <c:idx val="2"/>
            <c:bubble3D val="0"/>
            <c:explosion val="0"/>
            <c:spPr>
              <a:gradFill rotWithShape="1">
                <a:gsLst>
                  <a:gs pos="0">
                    <a:srgbClr val="DAFDA7">
                      <a:alpha val="100000"/>
                    </a:srgbClr>
                  </a:gs>
                  <a:gs pos="35000">
                    <a:srgbClr val="E4FDC2">
                      <a:alpha val="100000"/>
                    </a:srgbClr>
                  </a:gs>
                  <a:gs pos="100000">
                    <a:srgbClr val="F5FFE6">
                      <a:alpha val="100000"/>
                    </a:srgbClr>
                  </a:gs>
                </a:gsLst>
                <a:lin ang="16200000" scaled="1"/>
              </a:gradFill>
              <a:ln w="12700">
                <a:solidFill>
                  <a:srgbClr val="97B757"/>
                </a:solidFill>
                <a:prstDash val="solid"/>
              </a:ln>
              <a:effectLst>
                <a:outerShdw dist="35921" dir="2700000" algn="br">
                  <a:srgbClr val="000000"/>
                </a:outerShdw>
              </a:effectLst>
            </c:spPr>
          </c:dPt>
          <c:dLbls>
            <c:dLbl>
              <c:idx val="0"/>
              <c:delete val="1"/>
            </c:dLbl>
            <c:dLbl>
              <c:idx val="2"/>
              <c:layout>
                <c:manualLayout>
                  <c:x val="-0.002046692"/>
                  <c:y val="0.020536678"/>
                </c:manualLayout>
              </c:layout>
              <c:numFmt formatCode="General" sourceLinked="1"/>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595959"/>
                      </a:solidFill>
                      <a:latin typeface="Times New Roman" panose="02020603050405020304"/>
                      <a:ea typeface="宋体" panose="02010600030101010101" charset="-122"/>
                      <a:cs typeface="Lucida Sans"/>
                    </a:defRPr>
                  </a:pPr>
                </a:p>
              </c:txPr>
              <c:dLblPos val="bestFit"/>
              <c:showLegendKey val="0"/>
              <c:showVal val="0"/>
              <c:showCatName val="0"/>
              <c:showSerName val="0"/>
              <c:showPercent val="1"/>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lgn="ctr">
                  <a:defRPr lang="zh-CN" sz="900" b="0" i="0" u="none" strike="noStrike" kern="1200" baseline="0">
                    <a:solidFill>
                      <a:srgbClr val="595959"/>
                    </a:solidFill>
                    <a:latin typeface="Times New Roman" panose="02020603050405020304"/>
                    <a:ea typeface="宋体" panose="02010600030101010101" charset="-122"/>
                    <a:cs typeface="Lucida San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={"因公出国（境）经费支出","公务用车购置及运行维护费支出","公务接待费支出"}</c:f>
              <c:strCache>
                <c:ptCount val="3"/>
                <c:pt idx="0">
                  <c:v>因公出国（境）经费支出</c:v>
                </c:pt>
                <c:pt idx="1">
                  <c:v>公务用车购置及运行维护费支出</c:v>
                </c:pt>
                <c:pt idx="2">
                  <c:v>公务接待费支出</c:v>
                </c:pt>
              </c:strCache>
            </c:strRef>
          </c:cat>
          <c:val>
            <c:numRef>
              <c:f>{0,5.8,0.14}</c:f>
              <c:numCache>
                <c:formatCode>General</c:formatCode>
                <c:ptCount val="3"/>
                <c:pt idx="0">
                  <c:v>0</c:v>
                </c:pt>
                <c:pt idx="1">
                  <c:v>5.8</c:v>
                </c:pt>
                <c:pt idx="2">
                  <c:v>0.14</c:v>
                </c:pt>
              </c:numCache>
            </c:numRef>
          </c:val>
        </c:ser>
        <c:dLbls>
          <c:showLegendKey val="0"/>
          <c:showVal val="0"/>
          <c:showCatName val="0"/>
          <c:showSerName val="0"/>
          <c:showPercent val="1"/>
          <c:showBubbleSize val="0"/>
          <c:showLeaderLines val="1"/>
        </c:dLbls>
        <c:firstSliceAng val="0"/>
      </c:pieChart>
      <c:spPr>
        <a:noFill/>
        <a:ln>
          <a:noFill/>
        </a:ln>
      </c:spPr>
    </c:plotArea>
    <c:legend>
      <c:legendPos val="b"/>
      <c:layout/>
      <c:overlay val="0"/>
      <c:spPr>
        <a:noFill/>
        <a:ln>
          <a:noFill/>
        </a:ln>
      </c:spPr>
      <c:txPr>
        <a:bodyPr rot="0" spcFirstLastPara="0" vertOverflow="ellipsis" vert="horz" wrap="square" anchor="ctr" anchorCtr="1"/>
        <a:lstStyle/>
        <a:p>
          <a:pPr>
            <a:defRPr lang="zh-CN" sz="900" b="0" i="0" u="none" strike="noStrike" kern="1200" baseline="0">
              <a:solidFill>
                <a:srgbClr val="7F7F7F"/>
              </a:solidFill>
              <a:latin typeface="Times New Roman" panose="02020603050405020304"/>
              <a:ea typeface="宋体" panose="02010600030101010101" charset="-122"/>
              <a:cs typeface="Lucida Sans"/>
            </a:defRPr>
          </a:pPr>
        </a:p>
      </c:txPr>
    </c:legend>
    <c:plotVisOnly val="1"/>
    <c:dispBlanksAs val="gap"/>
    <c:showDLblsOverMax val="0"/>
    <c:extLst>
      <c:ext uri="{0b15fc19-7d7d-44ad-8c2d-2c3a37ce22c3}">
        <chartProps xmlns="https://web.wps.cn/et/2018/main" chartId="{a2f6094b-1365-4945-accb-8047145b484b}"/>
      </c:ext>
    </c:extLst>
  </c:chart>
  <c:spPr>
    <a:solidFill>
      <a:srgbClr val="FFFFFF"/>
    </a:solidFill>
    <a:ln w="12700" cap="flat" cmpd="sng">
      <a:solidFill>
        <a:srgbClr val="D9D9D9"/>
      </a:solidFill>
      <a:prstDash val="solid"/>
      <a:round/>
    </a:ln>
  </c:spPr>
  <c:txPr>
    <a:bodyPr/>
    <a:lstStyle/>
    <a:p>
      <a:pPr>
        <a:defRPr lang="zh-CN" sz="1000" b="0" i="0" u="none" strike="noStrike" baseline="0">
          <a:solidFill>
            <a:srgbClr val="000000"/>
          </a:solidFill>
          <a:latin typeface="Times New Roman" panose="02020603050405020304"/>
          <a:ea typeface="宋体" panose="02010600030101010101" charset="-122"/>
          <a:cs typeface="Lucida Sans"/>
        </a:defRPr>
      </a:pPr>
    </a:p>
  </c:txPr>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0.45865038</cdr:x>
      <cdr:y>0.19818893</cdr:y>
    </cdr:from>
    <cdr:to>
      <cdr:x>0.51253587</cdr:x>
      <cdr:y>0.26610413</cdr:y>
    </cdr:to>
    <cdr:sp>
      <cdr:nvSpPr>
        <cdr:cNvPr id="2" name="矩形 1"/>
        <cdr:cNvSpPr/>
      </cdr:nvSpPr>
      <cdr:spPr xmlns:a="http://schemas.openxmlformats.org/drawingml/2006/main">
        <a:xfrm xmlns:a="http://schemas.openxmlformats.org/drawingml/2006/main">
          <a:off x="2127238" y="532974"/>
          <a:ext cx="249922" cy="182639"/>
        </a:xfrm>
        <a:prstGeom xmlns:a="http://schemas.openxmlformats.org/drawingml/2006/main" prst="rect">
          <a:avLst/>
        </a:prstGeom>
        <a:noFill/>
        <a:ln w="9525" cap="flat" cmpd="sng">
          <a:noFill/>
          <a:prstDash val="solid"/>
          <a:miter/>
        </a:ln>
      </cdr:spPr>
      <cdr:txBody xmlns:a="http://schemas.openxmlformats.org/drawingml/2006/main">
        <a:bodyPr vert="horz" wrap="square" lIns="45720" tIns="45720" rIns="45720" bIns="45720" anchor="t" anchorCtr="0">
          <a:normAutofit/>
        </a:bodyPr>
        <a:lstStyle/>
        <a:p>
          <a:pPr defTabSz="266700"/>
          <a:endParaRPr lang="zh-CN" altLang="en-US" sz="1050">
            <a:latin typeface="Times New Roman" panose="02020603050405020304"/>
            <a:ea typeface="宋体" panose="02010600030101010101" charset="-122"/>
          </a:endParaRPr>
        </a:p>
      </cdr:txBody>
    </cdr:sp>
  </cdr:relSizeAnchor>
  <cdr:relSizeAnchor xmlns:cdr="http://schemas.openxmlformats.org/drawingml/2006/chartDrawing">
    <cdr:from>
      <cdr:x>0.41673943</cdr:x>
      <cdr:y>0.1512657</cdr:y>
    </cdr:from>
    <cdr:to>
      <cdr:x>0.527504</cdr:x>
      <cdr:y>0.2191809</cdr:y>
    </cdr:to>
    <cdr:sp>
      <cdr:nvSpPr>
        <cdr:cNvPr id="3" name="矩形 2"/>
        <cdr:cNvSpPr/>
      </cdr:nvSpPr>
      <cdr:spPr xmlns:a="http://schemas.openxmlformats.org/drawingml/2006/main">
        <a:xfrm xmlns:a="http://schemas.openxmlformats.org/drawingml/2006/main">
          <a:off x="1932854" y="406787"/>
          <a:ext cx="513730" cy="182639"/>
        </a:xfrm>
        <a:prstGeom xmlns:a="http://schemas.openxmlformats.org/drawingml/2006/main" prst="rect">
          <a:avLst/>
        </a:prstGeom>
        <a:noFill/>
        <a:ln w="9525" cap="flat" cmpd="sng">
          <a:noFill/>
          <a:prstDash val="solid"/>
          <a:miter/>
        </a:ln>
      </cdr:spPr>
      <cdr:txBody xmlns:a="http://schemas.openxmlformats.org/drawingml/2006/main">
        <a:bodyPr vert="horz" wrap="square" lIns="45720" tIns="45720" rIns="45720" bIns="45720" anchor="t" anchorCtr="0">
          <a:normAutofit/>
        </a:bodyPr>
        <a:lstStyle/>
        <a:p>
          <a:pPr defTabSz="266700"/>
          <a:endParaRPr lang="zh-CN" altLang="en-US" sz="1050">
            <a:latin typeface="Times New Roman" panose="02020603050405020304"/>
            <a:ea typeface="宋体" panose="02010600030101010101" charset="-122"/>
          </a:endParaRPr>
        </a:p>
      </cdr:txBody>
    </cdr:sp>
  </cdr:relSizeAnchor>
</c:userShapes>
</file>

<file path=word/theme/theme1.xml><?xml version="1.0" encoding="utf-8"?>
<a:theme xmlns:a="http://schemas.openxmlformats.org/drawingml/2006/main" name="Office Theme">
  <a:themeElements>
    <a:clrScheme name="Office The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Theme">
      <a:majorFont>
        <a:latin typeface=""/>
        <a:ea typeface=""/>
        <a:cs typeface=""/>
      </a:majorFont>
      <a:minorFont>
        <a:latin typeface=""/>
        <a:ea typeface=""/>
        <a:cs typefac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7647"/>
              </a:srgbClr>
            </a:outerShdw>
          </a:effectLst>
        </a:effectStyle>
        <a:effectStyle>
          <a:effectLst>
            <a:outerShdw blurRad="40000" dist="23000" dir="5400000" rotWithShape="0">
              <a:srgbClr val="000000">
                <a:alpha val="34509"/>
              </a:srgbClr>
            </a:outerShdw>
          </a:effectLst>
        </a:effectStyle>
        <a:effectStyle>
          <a:effectLst>
            <a:outerShdw blurRad="40000" dist="23000" dir="5400000" rotWithShape="0">
              <a:srgbClr val="000000">
                <a:alpha val="34509"/>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50000" r="50000" b="5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ustomData xmlns="http://www.yozosoft.com.cn/officeDocument/2016/customData">
  <customProps>
    <docPr revisions="3 0 5 0 0 0 1 0 0 0 26650 1 1 1 1 1"/>
    <sectPr/>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267843-8A4E-46AB-8850-2DECAFDB2CD9}">
  <ds:schemaRefs/>
</ds:datastoreItem>
</file>

<file path=docProps/app.xml><?xml version="1.0" encoding="utf-8"?>
<Properties xmlns="http://schemas.openxmlformats.org/officeDocument/2006/extended-properties" xmlns:vt="http://schemas.openxmlformats.org/officeDocument/2006/docPropsVTypes">
  <Template>Normal.eit</Template>
  <Company>四川省财政厅</Company>
  <Pages>36</Pages>
  <Words>13322</Words>
  <Characters>14142</Characters>
  <Lines>0</Lines>
  <Paragraphs>330</Paragraphs>
  <TotalTime>1</TotalTime>
  <ScaleCrop>false</ScaleCrop>
  <LinksUpToDate>false</LinksUpToDate>
  <CharactersWithSpaces>14189</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王洁</cp:lastModifiedBy>
  <cp:lastPrinted>2026-10-13T08:13:00Z</cp:lastPrinted>
  <dcterms:modified xsi:type="dcterms:W3CDTF">2026-10-16T03:59:35Z</dcterms:modified>
  <dc:title>四川省***</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400D301575C74348A5277D00A7902E06</vt:lpwstr>
  </property>
  <property fmtid="{D5CDD505-2E9C-101B-9397-08002B2CF9AE}" pid="4" name="KSOTemplateDocerSaveRecord">
    <vt:lpwstr>eyJoZGlkIjoiYTc4NjliNzk4YjA3NTFlODc1MjVmYmI5ZTI2ZTM4YmUiLCJ1c2VySWQiOiIyMjg1NTQ2ODYifQ==</vt:lpwstr>
  </property>
</Properties>
</file>