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72"/>
          <w:szCs w:val="72"/>
        </w:rPr>
      </w:pPr>
      <w:bookmarkStart w:id="0" w:name="_Toc15306267"/>
      <w:bookmarkStart w:id="1" w:name="_Toc15377193"/>
      <w:bookmarkStart w:id="2" w:name="_Toc15396597"/>
      <w:bookmarkStart w:id="3" w:name="_Toc15378441"/>
      <w:bookmarkStart w:id="4" w:name="_Toc15396475"/>
      <w:bookmarkStart w:id="5" w:name="_Toc15377425"/>
    </w:p>
    <w:p>
      <w:pPr>
        <w:pageBreakBefore w:val="0"/>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72"/>
          <w:szCs w:val="72"/>
        </w:rPr>
      </w:pPr>
    </w:p>
    <w:p>
      <w:pPr>
        <w:pageBreakBefore w:val="0"/>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72"/>
          <w:szCs w:val="72"/>
        </w:rPr>
      </w:pPr>
    </w:p>
    <w:bookmarkEnd w:id="0"/>
    <w:bookmarkEnd w:id="1"/>
    <w:bookmarkEnd w:id="2"/>
    <w:bookmarkEnd w:id="3"/>
    <w:bookmarkEnd w:id="4"/>
    <w:bookmarkEnd w:id="5"/>
    <w:p>
      <w:pPr>
        <w:pStyle w:val="15"/>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p>
    <w:p>
      <w:pPr>
        <w:pStyle w:val="15"/>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中共红原县纪律检查委员会</w:t>
      </w:r>
    </w:p>
    <w:p>
      <w:pPr>
        <w:pStyle w:val="15"/>
        <w:pageBreakBefore w:val="0"/>
        <w:shd w:val="clear" w:color="auto" w:fill="FFFFFF"/>
        <w:kinsoku/>
        <w:wordWrap/>
        <w:overflowPunct/>
        <w:topLinePunct w:val="0"/>
        <w:bidi w:val="0"/>
        <w:spacing w:before="0" w:beforeAutospacing="0" w:after="0" w:afterAutospacing="0" w:line="576" w:lineRule="exact"/>
        <w:ind w:left="0" w:leftChars="0" w:right="0"/>
        <w:jc w:val="center"/>
        <w:rPr>
          <w:rFonts w:hint="default" w:ascii="仿宋_GB2312" w:hAnsi="仿宋_GB2312" w:eastAsia="方正小标宋简体" w:cs="仿宋_GB2312"/>
          <w:sz w:val="36"/>
          <w:szCs w:val="36"/>
          <w:lang w:val="en-US" w:eastAsia="zh-CN"/>
        </w:rPr>
      </w:pPr>
      <w:r>
        <w:rPr>
          <w:rFonts w:hint="eastAsia" w:ascii="方正小标宋简体" w:hAnsi="方正小标宋简体" w:eastAsia="方正小标宋简体" w:cs="方正小标宋简体"/>
          <w:sz w:val="44"/>
          <w:szCs w:val="44"/>
        </w:rPr>
        <w:t>部门决算</w:t>
      </w:r>
      <w:r>
        <w:rPr>
          <w:rFonts w:hint="eastAsia" w:ascii="方正小标宋简体" w:hAnsi="方正小标宋简体" w:eastAsia="方正小标宋简体" w:cs="方正小标宋简体"/>
          <w:sz w:val="44"/>
          <w:szCs w:val="44"/>
          <w:lang w:val="en-US" w:eastAsia="zh-CN"/>
        </w:rPr>
        <w:t>公开编制说明</w:t>
      </w: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36"/>
          <w:szCs w:val="36"/>
        </w:rPr>
      </w:pPr>
    </w:p>
    <w:p>
      <w:pPr>
        <w:pStyle w:val="7"/>
        <w:pageBreakBefore w:val="0"/>
        <w:kinsoku/>
        <w:wordWrap/>
        <w:overflowPunct/>
        <w:topLinePunct w:val="0"/>
        <w:bidi w:val="0"/>
        <w:spacing w:beforeAutospacing="0" w:after="0" w:afterAutospacing="0" w:line="576" w:lineRule="exact"/>
        <w:ind w:left="0" w:leftChars="0" w:right="0" w:firstLine="720"/>
        <w:rPr>
          <w:rFonts w:hint="eastAsia" w:ascii="仿宋_GB2312" w:hAnsi="仿宋_GB2312" w:eastAsia="仿宋_GB2312" w:cs="仿宋_GB2312"/>
          <w:sz w:val="36"/>
          <w:szCs w:val="36"/>
        </w:rPr>
      </w:pPr>
    </w:p>
    <w:p>
      <w:pPr>
        <w:pStyle w:val="8"/>
        <w:rPr>
          <w:rFonts w:hint="eastAsia" w:ascii="仿宋_GB2312" w:hAnsi="仿宋_GB2312" w:eastAsia="仿宋_GB2312" w:cs="仿宋_GB2312"/>
          <w:sz w:val="36"/>
          <w:szCs w:val="36"/>
        </w:rPr>
      </w:pPr>
    </w:p>
    <w:p>
      <w:pPr>
        <w:pStyle w:val="8"/>
        <w:rPr>
          <w:rFonts w:hint="eastAsia" w:ascii="仿宋_GB2312" w:hAnsi="仿宋_GB2312" w:eastAsia="仿宋_GB2312" w:cs="仿宋_GB2312"/>
          <w:sz w:val="36"/>
          <w:szCs w:val="36"/>
        </w:rPr>
      </w:pPr>
    </w:p>
    <w:p>
      <w:pPr>
        <w:pStyle w:val="8"/>
        <w:rPr>
          <w:rFonts w:hint="eastAsia" w:ascii="仿宋_GB2312" w:hAnsi="仿宋_GB2312" w:eastAsia="仿宋_GB2312" w:cs="仿宋_GB2312"/>
          <w:sz w:val="36"/>
          <w:szCs w:val="36"/>
        </w:rPr>
      </w:pPr>
    </w:p>
    <w:p>
      <w:pPr>
        <w:pStyle w:val="8"/>
        <w:rPr>
          <w:rFonts w:hint="eastAsia" w:ascii="仿宋_GB2312" w:hAnsi="仿宋_GB2312" w:eastAsia="仿宋_GB2312" w:cs="仿宋_GB2312"/>
          <w:sz w:val="36"/>
          <w:szCs w:val="36"/>
        </w:rPr>
      </w:pPr>
    </w:p>
    <w:p>
      <w:pPr>
        <w:pStyle w:val="8"/>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6"/>
          <w:szCs w:val="36"/>
        </w:rPr>
      </w:pPr>
    </w:p>
    <w:p>
      <w:pPr>
        <w:pStyle w:val="8"/>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6"/>
          <w:szCs w:val="36"/>
        </w:rPr>
      </w:pPr>
    </w:p>
    <w:p>
      <w:pPr>
        <w:pStyle w:val="15"/>
        <w:pageBreakBefore w:val="0"/>
        <w:widowControl/>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rPr>
      </w:pPr>
      <w:r>
        <w:rPr>
          <w:rFonts w:hint="eastAsia" w:ascii="仿宋_GB2312" w:hAnsi="仿宋_GB2312" w:eastAsia="仿宋_GB2312" w:cs="仿宋_GB2312"/>
          <w:shd w:val="clear" w:color="auto" w:fill="FFFFFF"/>
        </w:rPr>
        <w:t>保密审查情况：已审查，内容审定</w:t>
      </w:r>
    </w:p>
    <w:p>
      <w:pPr>
        <w:pStyle w:val="15"/>
        <w:pageBreakBefore w:val="0"/>
        <w:widowControl/>
        <w:kinsoku/>
        <w:wordWrap/>
        <w:overflowPunct/>
        <w:topLinePunct w:val="0"/>
        <w:bidi w:val="0"/>
        <w:spacing w:before="0" w:beforeAutospacing="0" w:after="0" w:afterAutospacing="0" w:line="576" w:lineRule="exact"/>
        <w:ind w:left="0" w:leftChars="0" w:right="0"/>
        <w:rPr>
          <w:rStyle w:val="18"/>
          <w:rFonts w:hint="eastAsia" w:ascii="仿宋_GB2312" w:hAnsi="仿宋_GB2312" w:eastAsia="仿宋_GB2312" w:cs="仿宋_GB2312"/>
          <w:sz w:val="30"/>
          <w:szCs w:val="30"/>
          <w:shd w:val="clear" w:color="auto" w:fill="FFFFFF"/>
        </w:rPr>
        <w:sectPr>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shd w:val="clear" w:color="auto" w:fill="FFFFFF"/>
        </w:rPr>
        <w:t>部门主要负责人审签情况：已审签，同意对外公开</w:t>
      </w: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48"/>
          <w:szCs w:val="48"/>
        </w:rPr>
      </w:pPr>
      <w:r>
        <w:rPr>
          <w:rFonts w:hint="eastAsia" w:ascii="仿宋_GB2312" w:hAnsi="仿宋_GB2312" w:eastAsia="仿宋_GB2312" w:cs="仿宋_GB2312"/>
          <w:sz w:val="48"/>
          <w:szCs w:val="48"/>
        </w:rPr>
        <w:t>目录</w:t>
      </w:r>
    </w:p>
    <w:p>
      <w:pPr>
        <w:pageBreakBefore w:val="0"/>
        <w:widowControl/>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sz w:val="28"/>
          <w:szCs w:val="28"/>
        </w:rPr>
      </w:pPr>
    </w:p>
    <w:p>
      <w:pPr>
        <w:pStyle w:val="13"/>
        <w:pageBreakBefore w:val="0"/>
        <w:kinsoku/>
        <w:wordWrap/>
        <w:overflowPunct/>
        <w:topLinePunct w:val="0"/>
        <w:bidi w:val="0"/>
        <w:spacing w:before="0" w:beforeAutospacing="0" w:afterAutospacing="0" w:line="576" w:lineRule="exact"/>
        <w:ind w:left="0" w:leftChars="0" w:right="0"/>
        <w:rPr>
          <w:rFonts w:hint="eastAsia" w:ascii="仿宋_GB2312" w:hAnsi="仿宋_GB2312" w:eastAsia="仿宋_GB2312" w:cs="仿宋_GB2312"/>
        </w:rPr>
      </w:pPr>
      <w:r>
        <w:rPr>
          <w:rFonts w:hint="eastAsia" w:ascii="仿宋_GB2312" w:hAnsi="仿宋_GB2312" w:eastAsia="仿宋_GB2312" w:cs="仿宋_GB2312"/>
        </w:rPr>
        <w:t>公开时间：202</w:t>
      </w:r>
      <w:r>
        <w:rPr>
          <w:rFonts w:hint="eastAsia" w:ascii="仿宋_GB2312" w:hAnsi="仿宋_GB2312" w:eastAsia="仿宋_GB2312" w:cs="仿宋_GB2312"/>
          <w:lang w:val="en-US" w:eastAsia="zh-CN"/>
        </w:rPr>
        <w:t>6</w:t>
      </w:r>
      <w:r>
        <w:rPr>
          <w:rFonts w:hint="eastAsia" w:ascii="仿宋_GB2312" w:hAnsi="仿宋_GB2312" w:eastAsia="仿宋_GB2312" w:cs="仿宋_GB2312"/>
        </w:rPr>
        <w:t>年</w:t>
      </w:r>
      <w:r>
        <w:rPr>
          <w:rFonts w:hint="eastAsia" w:ascii="仿宋_GB2312" w:hAnsi="仿宋_GB2312" w:eastAsia="仿宋_GB2312" w:cs="仿宋_GB2312"/>
          <w:lang w:val="en-US" w:eastAsia="zh-CN"/>
        </w:rPr>
        <w:t>10</w:t>
      </w:r>
      <w:r>
        <w:rPr>
          <w:rFonts w:hint="eastAsia" w:ascii="仿宋_GB2312" w:hAnsi="仿宋_GB2312" w:eastAsia="仿宋_GB2312" w:cs="仿宋_GB2312"/>
        </w:rPr>
        <w:t>月</w:t>
      </w:r>
      <w:r>
        <w:rPr>
          <w:rFonts w:hint="eastAsia" w:ascii="仿宋_GB2312" w:hAnsi="仿宋_GB2312" w:eastAsia="仿宋_GB2312" w:cs="仿宋_GB2312"/>
          <w:lang w:val="en-US" w:eastAsia="zh-CN"/>
        </w:rPr>
        <w:t>14</w:t>
      </w:r>
      <w:r>
        <w:rPr>
          <w:rFonts w:hint="eastAsia" w:ascii="仿宋_GB2312" w:hAnsi="仿宋_GB2312" w:eastAsia="仿宋_GB2312" w:cs="仿宋_GB2312"/>
        </w:rPr>
        <w:t>日</w:t>
      </w:r>
    </w:p>
    <w:p>
      <w:pPr>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rPr>
      </w:pPr>
    </w:p>
    <w:sdt>
      <w:sdtPr>
        <w:rPr>
          <w:rFonts w:hint="eastAsia" w:ascii="仿宋_GB2312" w:hAnsi="仿宋_GB2312" w:eastAsia="仿宋_GB2312" w:cs="仿宋_GB2312"/>
        </w:rPr>
        <w:id w:val="147451071"/>
        <w:docPartObj>
          <w:docPartGallery w:val="Table of Contents"/>
          <w:docPartUnique/>
        </w:docPartObj>
      </w:sdtPr>
      <w:sdtEndPr>
        <w:rPr>
          <w:rFonts w:hint="eastAsia" w:ascii="仿宋_GB2312" w:hAnsi="仿宋_GB2312" w:eastAsia="仿宋_GB2312" w:cs="仿宋_GB2312"/>
          <w:b/>
        </w:rPr>
      </w:sdtEndPr>
      <w:sdtContent>
        <w:p>
          <w:pPr>
            <w:pageBreakBefore w:val="0"/>
            <w:kinsoku/>
            <w:wordWrap/>
            <w:overflowPunct/>
            <w:topLinePunct w:val="0"/>
            <w:bidi w:val="0"/>
            <w:spacing w:beforeAutospacing="0" w:afterAutospacing="0" w:line="576" w:lineRule="exact"/>
            <w:ind w:left="0" w:leftChars="0" w:right="0"/>
            <w:jc w:val="center"/>
            <w:rPr>
              <w:rFonts w:hint="eastAsia" w:ascii="仿宋_GB2312" w:hAnsi="仿宋_GB2312" w:eastAsia="仿宋_GB2312" w:cs="仿宋_GB2312"/>
            </w:rPr>
          </w:pPr>
          <w:bookmarkStart w:id="6" w:name="_Toc15377196"/>
          <w:bookmarkStart w:id="7" w:name="_Toc15396599"/>
        </w:p>
        <w:p>
          <w:pPr>
            <w:pStyle w:val="13"/>
            <w:pageBreakBefore w:val="0"/>
            <w:tabs>
              <w:tab w:val="right" w:leader="dot" w:pos="8306"/>
              <w:tab w:val="clear" w:pos="8296"/>
            </w:tabs>
            <w:kinsoku/>
            <w:wordWrap/>
            <w:overflowPunct/>
            <w:topLinePunct w:val="0"/>
            <w:bidi w:val="0"/>
            <w:spacing w:before="0"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TOC \o "1-2" \h \u </w:instrText>
          </w:r>
          <w:r>
            <w:rPr>
              <w:rFonts w:hint="eastAsia" w:ascii="仿宋_GB2312" w:hAnsi="仿宋_GB2312" w:eastAsia="仿宋_GB2312" w:cs="仿宋_GB231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"_Toc10305"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第一部分 部门概况</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_Toc10305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"_Toc5949"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一、 部门职责</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_Toc5949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"_Toc6464"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二、机构设置</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7</w:t>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"_Toc4287"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第二部分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w:t>
          </w:r>
          <w:r>
            <w:rPr>
              <w:rFonts w:hint="eastAsia" w:ascii="仿宋_GB2312" w:hAnsi="仿宋_GB2312" w:eastAsia="仿宋_GB2312" w:cs="仿宋_GB2312"/>
              <w:bCs/>
              <w:sz w:val="32"/>
              <w:szCs w:val="32"/>
            </w:rPr>
            <w:t>部门决算情况说明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_Toc4287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"_Toc12888"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一、 收入支出决算总体情况说明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_Toc12888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"_Toc29497"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二、 收入决算情况说明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_Toc29497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"_Toc17859"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三、 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"_Toc18206"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四、财政拨款收入支出决算总体情况说明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_Toc18206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"_Toc29964"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五、一般公共预算财政拨款支出决算情况说明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_Toc29964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10</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"_Toc29471"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六、一般公共预算财政拨款基本支出决算情况说明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_Toc29471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2</w:t>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"_Toc16831"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七、财政拨款“三公”经费支出决算情况说明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_Toc16831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"_Toc6663"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八、政府性基金预算支出决算情况说明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_Toc6663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"_Toc10406"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九、 国有资本经营预算支出决算情况说明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_Toc10406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pageBreakBefore w:val="0"/>
            <w:tabs>
              <w:tab w:val="right" w:leader="dot" w:pos="8306"/>
              <w:tab w:val="clear" w:pos="8296"/>
            </w:tabs>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"_Toc19090"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十、 其他重要事项的情况说明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_Toc19090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3"/>
            <w:pageBreakBefore w:val="0"/>
            <w:tabs>
              <w:tab w:val="right" w:leader="dot" w:pos="8306"/>
              <w:tab w:val="clear" w:pos="8296"/>
            </w:tabs>
            <w:kinsoku/>
            <w:wordWrap/>
            <w:overflowPunct/>
            <w:topLinePunct w:val="0"/>
            <w:bidi w:val="0"/>
            <w:spacing w:before="0"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"_Toc32480"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第三部分 名词解释</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_Toc32480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3"/>
            <w:pageBreakBefore w:val="0"/>
            <w:tabs>
              <w:tab w:val="right" w:leader="dot" w:pos="8306"/>
              <w:tab w:val="clear" w:pos="8296"/>
            </w:tabs>
            <w:kinsoku/>
            <w:wordWrap/>
            <w:overflowPunct/>
            <w:topLinePunct w:val="0"/>
            <w:bidi w:val="0"/>
            <w:spacing w:before="0" w:beforeAutospacing="0" w:afterAutospacing="0" w:line="576" w:lineRule="exact"/>
            <w:ind w:left="0" w:leftChars="0" w:right="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"_Toc2545"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第四部分 附件</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_Toc2545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19</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3"/>
            <w:pageBreakBefore w:val="0"/>
            <w:tabs>
              <w:tab w:val="right" w:leader="dot" w:pos="8306"/>
              <w:tab w:val="clear" w:pos="8296"/>
            </w:tabs>
            <w:kinsoku/>
            <w:wordWrap/>
            <w:overflowPunct/>
            <w:topLinePunct w:val="0"/>
            <w:bidi w:val="0"/>
            <w:spacing w:before="0" w:beforeAutospacing="0" w:afterAutospacing="0" w:line="576" w:lineRule="exact"/>
            <w:ind w:left="0" w:leftChars="0" w:right="0"/>
            <w:rPr>
              <w:rFonts w:hint="default" w:ascii="仿宋_GB2312" w:hAnsi="仿宋_GB2312" w:eastAsia="仿宋_GB2312" w:cs="仿宋_GB2312"/>
              <w:lang w:val="en-US" w:eastAsia="zh-CN"/>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"_Toc63"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第五部分 附表</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lang w:val="en-US" w:eastAsia="zh-CN"/>
            </w:rPr>
            <w:t>37</w:t>
          </w:r>
        </w:p>
        <w:p>
          <w:pPr>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rPr>
          </w:pPr>
          <w:r>
            <w:rPr>
              <w:rFonts w:hint="eastAsia" w:ascii="仿宋_GB2312" w:hAnsi="仿宋_GB2312" w:eastAsia="仿宋_GB2312" w:cs="仿宋_GB2312"/>
            </w:rPr>
            <w:fldChar w:fldCharType="end"/>
          </w:r>
        </w:p>
      </w:sdtContent>
    </w:sdt>
    <w:p>
      <w:pPr>
        <w:pStyle w:val="3"/>
        <w:pageBreakBefore w:val="0"/>
        <w:kinsoku/>
        <w:wordWrap/>
        <w:overflowPunct/>
        <w:topLinePunct w:val="0"/>
        <w:autoSpaceDE/>
        <w:autoSpaceDN/>
        <w:bidi w:val="0"/>
        <w:spacing w:before="0" w:beforeAutospacing="0" w:after="0" w:afterAutospacing="0" w:line="576" w:lineRule="exact"/>
        <w:ind w:left="0" w:leftChars="0" w:right="0"/>
        <w:jc w:val="center"/>
        <w:textAlignment w:val="auto"/>
        <w:rPr>
          <w:rStyle w:val="20"/>
          <w:rFonts w:hint="eastAsia" w:ascii="方正小标宋简体" w:hAnsi="方正小标宋简体" w:eastAsia="方正小标宋简体" w:cs="方正小标宋简体"/>
          <w:b/>
          <w:bCs w:val="0"/>
        </w:rPr>
      </w:pPr>
      <w:bookmarkStart w:id="8" w:name="_Toc10305"/>
      <w:r>
        <w:rPr>
          <w:rFonts w:hint="eastAsia" w:ascii="方正小标宋简体" w:hAnsi="方正小标宋简体" w:eastAsia="方正小标宋简体" w:cs="方正小标宋简体"/>
          <w:b w:val="0"/>
          <w:bCs/>
        </w:rPr>
        <w:t xml:space="preserve">第一部分 </w:t>
      </w:r>
      <w:r>
        <w:rPr>
          <w:rStyle w:val="20"/>
          <w:rFonts w:hint="eastAsia" w:ascii="方正小标宋简体" w:hAnsi="方正小标宋简体" w:eastAsia="方正小标宋简体" w:cs="方正小标宋简体"/>
          <w:b w:val="0"/>
          <w:bCs/>
        </w:rPr>
        <w:t>部门概况</w:t>
      </w:r>
      <w:bookmarkEnd w:id="6"/>
      <w:bookmarkEnd w:id="7"/>
      <w:bookmarkEnd w:id="8"/>
    </w:p>
    <w:p>
      <w:pPr>
        <w:pageBreakBefore w:val="0"/>
        <w:widowControl/>
        <w:kinsoku/>
        <w:wordWrap/>
        <w:overflowPunct/>
        <w:topLinePunct w:val="0"/>
        <w:autoSpaceDE/>
        <w:autoSpaceDN/>
        <w:bidi w:val="0"/>
        <w:spacing w:beforeAutospacing="0" w:afterAutospacing="0" w:line="576" w:lineRule="exact"/>
        <w:ind w:left="0" w:leftChars="0" w:right="0"/>
        <w:jc w:val="left"/>
        <w:textAlignment w:val="auto"/>
        <w:rPr>
          <w:rFonts w:hint="eastAsia" w:ascii="仿宋_GB2312" w:hAnsi="仿宋_GB2312" w:eastAsia="仿宋_GB2312" w:cs="仿宋_GB2312"/>
          <w:sz w:val="32"/>
          <w:szCs w:val="32"/>
        </w:rPr>
      </w:pPr>
    </w:p>
    <w:p>
      <w:pPr>
        <w:pStyle w:val="4"/>
        <w:pageBreakBefore w:val="0"/>
        <w:numPr>
          <w:ilvl w:val="0"/>
          <w:numId w:val="1"/>
        </w:numPr>
        <w:kinsoku/>
        <w:wordWrap/>
        <w:overflowPunct/>
        <w:topLinePunct w:val="0"/>
        <w:autoSpaceDE/>
        <w:autoSpaceDN/>
        <w:bidi w:val="0"/>
        <w:spacing w:before="0" w:beforeAutospacing="0" w:after="0" w:afterAutospacing="0" w:line="576" w:lineRule="exact"/>
        <w:ind w:left="0" w:leftChars="0" w:right="0"/>
        <w:textAlignment w:val="auto"/>
        <w:rPr>
          <w:rFonts w:hint="eastAsia" w:ascii="黑体" w:hAnsi="黑体" w:eastAsia="黑体" w:cs="黑体"/>
          <w:b w:val="0"/>
        </w:rPr>
      </w:pPr>
      <w:bookmarkStart w:id="9" w:name="_Toc5949"/>
      <w:r>
        <w:rPr>
          <w:rFonts w:hint="eastAsia" w:ascii="黑体" w:hAnsi="黑体" w:eastAsia="黑体" w:cs="黑体"/>
          <w:b w:val="0"/>
        </w:rPr>
        <w:t>部门职责</w:t>
      </w:r>
      <w:bookmarkEnd w:id="9"/>
    </w:p>
    <w:p>
      <w:pPr>
        <w:pStyle w:val="15"/>
        <w:pageBreakBefore w:val="0"/>
        <w:widowControl/>
        <w:numPr>
          <w:ilvl w:val="0"/>
          <w:numId w:val="2"/>
        </w:numPr>
        <w:kinsoku/>
        <w:wordWrap/>
        <w:overflowPunct/>
        <w:topLinePunct w:val="0"/>
        <w:autoSpaceDE/>
        <w:autoSpaceDN/>
        <w:bidi w:val="0"/>
        <w:spacing w:before="0" w:beforeAutospacing="0" w:after="0" w:afterAutospacing="0" w:line="576" w:lineRule="exact"/>
        <w:ind w:left="0" w:leftChars="0" w:right="0"/>
        <w:textAlignment w:val="auto"/>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rPr>
        <w:t>主要职能。</w:t>
      </w:r>
    </w:p>
    <w:p>
      <w:pPr>
        <w:pStyle w:val="15"/>
        <w:pageBreakBefore w:val="0"/>
        <w:widowControl/>
        <w:kinsoku/>
        <w:wordWrap/>
        <w:overflowPunct/>
        <w:topLinePunct w:val="0"/>
        <w:autoSpaceDE/>
        <w:autoSpaceDN/>
        <w:bidi w:val="0"/>
        <w:spacing w:before="0" w:beforeAutospacing="0" w:after="0" w:afterAutospacing="0" w:line="576" w:lineRule="exact"/>
        <w:ind w:left="0" w:leftChars="0" w:right="0" w:firstLine="643" w:firstLineChars="200"/>
        <w:textAlignment w:val="auto"/>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b/>
          <w:color w:val="000000"/>
          <w:sz w:val="32"/>
          <w:szCs w:val="32"/>
          <w:shd w:val="clear" w:color="auto" w:fill="FFFFFF"/>
        </w:rPr>
        <w:t>基本职能。</w:t>
      </w:r>
      <w:r>
        <w:rPr>
          <w:rFonts w:hint="eastAsia" w:ascii="仿宋_GB2312" w:hAnsi="仿宋_GB2312" w:eastAsia="仿宋_GB2312" w:cs="仿宋_GB2312"/>
          <w:color w:val="000000"/>
          <w:sz w:val="32"/>
          <w:szCs w:val="32"/>
          <w:shd w:val="clear" w:color="auto" w:fill="FFFFFF"/>
        </w:rPr>
        <w:t>红原县纪委是由中国共产党红原县代表大会选举产生；红原县监委是由红原县人民代表大会选举产生。县纪委与县监委合署办公，实行一套工作机构、两个机关名称，履行党的纪律检查和国家监察两项职责，在中共红原县委和州纪委监委双重领导下开展工作。</w:t>
      </w:r>
      <w:r>
        <w:rPr>
          <w:rFonts w:hint="eastAsia" w:ascii="仿宋_GB2312" w:hAnsi="仿宋_GB2312" w:eastAsia="仿宋_GB2312" w:cs="仿宋_GB2312"/>
          <w:b/>
          <w:color w:val="000000"/>
          <w:sz w:val="32"/>
          <w:szCs w:val="32"/>
          <w:shd w:val="clear" w:color="auto" w:fill="FFFFFF"/>
        </w:rPr>
        <w:t>其主要职责：一是</w:t>
      </w:r>
      <w:r>
        <w:rPr>
          <w:rFonts w:hint="eastAsia" w:ascii="仿宋_GB2312" w:hAnsi="仿宋_GB2312" w:eastAsia="仿宋_GB2312" w:cs="仿宋_GB2312"/>
          <w:color w:val="000000"/>
          <w:sz w:val="32"/>
          <w:szCs w:val="32"/>
          <w:shd w:val="clear" w:color="auto" w:fill="FFFFFF"/>
        </w:rPr>
        <w:t>负责全县党的纪律检查工作。贯彻党的章程和其他党内法规，检查党的路线方针政策和决议的执行情况，协助县委推进全面从严治党、加强党风廉政建设和组织协调反腐败工作。</w:t>
      </w:r>
      <w:r>
        <w:rPr>
          <w:rFonts w:hint="eastAsia" w:ascii="仿宋_GB2312" w:hAnsi="仿宋_GB2312" w:eastAsia="仿宋_GB2312" w:cs="仿宋_GB2312"/>
          <w:b/>
          <w:color w:val="000000"/>
          <w:sz w:val="32"/>
          <w:szCs w:val="32"/>
          <w:shd w:val="clear" w:color="auto" w:fill="FFFFFF"/>
        </w:rPr>
        <w:t>二是</w:t>
      </w:r>
      <w:r>
        <w:rPr>
          <w:rFonts w:hint="eastAsia" w:ascii="仿宋_GB2312" w:hAnsi="仿宋_GB2312" w:eastAsia="仿宋_GB2312" w:cs="仿宋_GB2312"/>
          <w:color w:val="000000"/>
          <w:sz w:val="32"/>
          <w:szCs w:val="32"/>
          <w:shd w:val="clear" w:color="auto" w:fill="FFFFFF"/>
        </w:rPr>
        <w:t>依照党的章程和其他党内法规履行监督、执纪、问责职责。负责经常对党员进行遵纪守法副教育，作出关于维护党纪的决定。对县委工作部门。县委批准设立的党组织（党委）的党员领导干部履行职责、行使权力进行监督，受理处置党员群众检举举报，开展谈话提醒、约谈函询。检查和处理上述党的组织和党员违反党的章程和其他党内法规的比较重要或者复杂的案件，决定或者取消对这些案件中的党员的处分。进行问责或者提出责任追究的建议。受理党员的控告和申诉。保障党员的权利。</w:t>
      </w:r>
      <w:r>
        <w:rPr>
          <w:rFonts w:hint="eastAsia" w:ascii="仿宋_GB2312" w:hAnsi="仿宋_GB2312" w:eastAsia="仿宋_GB2312" w:cs="仿宋_GB2312"/>
          <w:b/>
          <w:color w:val="000000"/>
          <w:sz w:val="32"/>
          <w:szCs w:val="32"/>
          <w:shd w:val="clear" w:color="auto" w:fill="FFFFFF"/>
        </w:rPr>
        <w:t>三是</w:t>
      </w:r>
      <w:r>
        <w:rPr>
          <w:rFonts w:hint="eastAsia" w:ascii="仿宋_GB2312" w:hAnsi="仿宋_GB2312" w:eastAsia="仿宋_GB2312" w:cs="仿宋_GB2312"/>
          <w:color w:val="000000"/>
          <w:sz w:val="32"/>
          <w:szCs w:val="32"/>
          <w:shd w:val="clear" w:color="auto" w:fill="FFFFFF"/>
        </w:rPr>
        <w:t>负责全县监察工作。贯彻落实党中央、省委、州委县委关于监察工作的决定，维护宪法法律，依法对县委管理的行使公权力的公职人员进行监察，调查职务违法和职务犯罪，开展廉政建设和反腐败工作。</w:t>
      </w:r>
      <w:r>
        <w:rPr>
          <w:rFonts w:hint="eastAsia" w:ascii="仿宋_GB2312" w:hAnsi="仿宋_GB2312" w:eastAsia="仿宋_GB2312" w:cs="仿宋_GB2312"/>
          <w:b/>
          <w:color w:val="000000"/>
          <w:sz w:val="32"/>
          <w:szCs w:val="32"/>
          <w:shd w:val="clear" w:color="auto" w:fill="FFFFFF"/>
        </w:rPr>
        <w:t>四是</w:t>
      </w:r>
      <w:r>
        <w:rPr>
          <w:rFonts w:hint="eastAsia" w:ascii="仿宋_GB2312" w:hAnsi="仿宋_GB2312" w:eastAsia="仿宋_GB2312" w:cs="仿宋_GB2312"/>
          <w:color w:val="000000"/>
          <w:sz w:val="32"/>
          <w:szCs w:val="32"/>
          <w:shd w:val="clear" w:color="auto" w:fill="FFFFFF"/>
        </w:rPr>
        <w:t>依照法律规定履行监督、调查、处置职责。推动开展廉政教育，对县委管理的行使公权力的公职人员依法履职、秉公用权、亷洁从政从业以及道德操守情况进行监督检查。对涉嫌贪污贿赂、滥用职权、玩忽职守、杈力寻租、利益输送、徇私舞弊以及浪费国家资财等职务违法和职务犯罪进行调查。对违法的公职人员依法作出政务处分决定。对履行职责不力、失职失责的领导人员进行问责。对涉嫌职务犯罪的，将调查结果移送人民检察院依法审查、提起公诉。向监察对象所在单位提出监察建议。</w:t>
      </w:r>
      <w:r>
        <w:rPr>
          <w:rFonts w:hint="eastAsia" w:ascii="仿宋_GB2312" w:hAnsi="仿宋_GB2312" w:eastAsia="仿宋_GB2312" w:cs="仿宋_GB2312"/>
          <w:b/>
          <w:color w:val="000000"/>
          <w:sz w:val="32"/>
          <w:szCs w:val="32"/>
          <w:shd w:val="clear" w:color="auto" w:fill="FFFFFF"/>
        </w:rPr>
        <w:t>五是</w:t>
      </w:r>
      <w:r>
        <w:rPr>
          <w:rFonts w:hint="eastAsia" w:ascii="仿宋_GB2312" w:hAnsi="仿宋_GB2312" w:eastAsia="仿宋_GB2312" w:cs="仿宋_GB2312"/>
          <w:color w:val="000000"/>
          <w:sz w:val="32"/>
          <w:szCs w:val="32"/>
          <w:shd w:val="clear" w:color="auto" w:fill="FFFFFF"/>
        </w:rPr>
        <w:t>负责组织协调全面从严治党、党风廉政建设和反腐败宣传教育工作。</w:t>
      </w:r>
      <w:r>
        <w:rPr>
          <w:rFonts w:hint="eastAsia" w:ascii="仿宋_GB2312" w:hAnsi="仿宋_GB2312" w:eastAsia="仿宋_GB2312" w:cs="仿宋_GB2312"/>
          <w:b/>
          <w:color w:val="000000"/>
          <w:sz w:val="32"/>
          <w:szCs w:val="32"/>
          <w:shd w:val="clear" w:color="auto" w:fill="FFFFFF"/>
        </w:rPr>
        <w:t>六是</w:t>
      </w:r>
      <w:r>
        <w:rPr>
          <w:rFonts w:hint="eastAsia" w:ascii="仿宋_GB2312" w:hAnsi="仿宋_GB2312" w:eastAsia="仿宋_GB2312" w:cs="仿宋_GB2312"/>
          <w:color w:val="000000"/>
          <w:sz w:val="32"/>
          <w:szCs w:val="32"/>
          <w:shd w:val="clear" w:color="auto" w:fill="FFFFFF"/>
        </w:rPr>
        <w:t>负责综合分析全面从严治党、党风廉政建设和反腐败工作情况，对纪检监察工作重要理论及实践问题进行调查研究参与起草我县规范性文件。</w:t>
      </w:r>
      <w:r>
        <w:rPr>
          <w:rFonts w:hint="eastAsia" w:ascii="仿宋_GB2312" w:hAnsi="仿宋_GB2312" w:eastAsia="仿宋_GB2312" w:cs="仿宋_GB2312"/>
          <w:b/>
          <w:color w:val="000000"/>
          <w:sz w:val="32"/>
          <w:szCs w:val="32"/>
          <w:shd w:val="clear" w:color="auto" w:fill="FFFFFF"/>
        </w:rPr>
        <w:t>七是</w:t>
      </w:r>
      <w:r>
        <w:rPr>
          <w:rFonts w:hint="eastAsia" w:ascii="仿宋_GB2312" w:hAnsi="仿宋_GB2312" w:eastAsia="仿宋_GB2312" w:cs="仿宋_GB2312"/>
          <w:color w:val="000000"/>
          <w:sz w:val="32"/>
          <w:szCs w:val="32"/>
          <w:shd w:val="clear" w:color="auto" w:fill="FFFFFF"/>
        </w:rPr>
        <w:t>在州纪委监委的领导下，加强对反腐败国际追逃追赃和防逃工作的组织协调，督促有关部门做好相关工作。</w:t>
      </w:r>
      <w:r>
        <w:rPr>
          <w:rFonts w:hint="eastAsia" w:ascii="仿宋_GB2312" w:hAnsi="仿宋_GB2312" w:eastAsia="仿宋_GB2312" w:cs="仿宋_GB2312"/>
          <w:b/>
          <w:color w:val="000000"/>
          <w:sz w:val="32"/>
          <w:szCs w:val="32"/>
          <w:shd w:val="clear" w:color="auto" w:fill="FFFFFF"/>
        </w:rPr>
        <w:t>八是</w:t>
      </w:r>
      <w:r>
        <w:rPr>
          <w:rFonts w:hint="eastAsia" w:ascii="仿宋_GB2312" w:hAnsi="仿宋_GB2312" w:eastAsia="仿宋_GB2312" w:cs="仿宋_GB2312"/>
          <w:color w:val="000000"/>
          <w:sz w:val="32"/>
          <w:szCs w:val="32"/>
          <w:shd w:val="clear" w:color="auto" w:fill="FFFFFF"/>
        </w:rPr>
        <w:t>根据干部管理权限，负责纪检监察系统领导班子建设干部队伍建设和组织建设的综合规划、政策研究、制度建设和业务指导。会同有关方面做好县纪委监委派驻机构、乡镇纪委监察室领导班子建设有关工作。组织和指导纪检监察系统干部教育培训工作等。</w:t>
      </w:r>
      <w:r>
        <w:rPr>
          <w:rFonts w:hint="eastAsia" w:ascii="仿宋_GB2312" w:hAnsi="仿宋_GB2312" w:eastAsia="仿宋_GB2312" w:cs="仿宋_GB2312"/>
          <w:b/>
          <w:color w:val="000000"/>
          <w:sz w:val="32"/>
          <w:szCs w:val="32"/>
          <w:shd w:val="clear" w:color="auto" w:fill="FFFFFF"/>
        </w:rPr>
        <w:t>九是</w:t>
      </w:r>
      <w:r>
        <w:rPr>
          <w:rFonts w:hint="eastAsia" w:ascii="仿宋_GB2312" w:hAnsi="仿宋_GB2312" w:eastAsia="仿宋_GB2312" w:cs="仿宋_GB2312"/>
          <w:color w:val="000000"/>
          <w:sz w:val="32"/>
          <w:szCs w:val="32"/>
          <w:shd w:val="clear" w:color="auto" w:fill="FFFFFF"/>
        </w:rPr>
        <w:t>完成县委和州纪委监委交办的其他任务。</w:t>
      </w:r>
    </w:p>
    <w:p>
      <w:pPr>
        <w:pStyle w:val="15"/>
        <w:pageBreakBefore w:val="0"/>
        <w:widowControl/>
        <w:kinsoku/>
        <w:wordWrap/>
        <w:overflowPunct/>
        <w:topLinePunct w:val="0"/>
        <w:autoSpaceDE/>
        <w:autoSpaceDN/>
        <w:bidi w:val="0"/>
        <w:spacing w:before="0" w:beforeAutospacing="0" w:after="0" w:afterAutospacing="0" w:line="576" w:lineRule="exact"/>
        <w:ind w:left="0" w:leftChars="0" w:right="0"/>
        <w:textAlignment w:val="auto"/>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rPr>
        <w:t>（二）202</w:t>
      </w:r>
      <w:r>
        <w:rPr>
          <w:rFonts w:hint="eastAsia" w:ascii="楷体_GB2312" w:hAnsi="楷体_GB2312" w:eastAsia="楷体_GB2312" w:cs="楷体_GB2312"/>
          <w:b/>
          <w:bCs/>
          <w:sz w:val="32"/>
          <w:szCs w:val="32"/>
          <w:shd w:val="clear" w:color="auto" w:fill="FFFFFF"/>
          <w:lang w:val="en-US" w:eastAsia="zh-CN"/>
        </w:rPr>
        <w:t>5</w:t>
      </w:r>
      <w:r>
        <w:rPr>
          <w:rFonts w:hint="eastAsia" w:ascii="楷体_GB2312" w:hAnsi="楷体_GB2312" w:eastAsia="楷体_GB2312" w:cs="楷体_GB2312"/>
          <w:b/>
          <w:bCs/>
          <w:sz w:val="32"/>
          <w:szCs w:val="32"/>
          <w:shd w:val="clear" w:color="auto" w:fill="FFFFFF"/>
        </w:rPr>
        <w:t>年重点工作完成情况。</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000000"/>
          <w:kern w:val="0"/>
          <w:sz w:val="32"/>
          <w:szCs w:val="32"/>
          <w:shd w:val="clear" w:color="auto" w:fill="FFFFFF"/>
          <w:lang w:val="en-US" w:eastAsia="zh-CN" w:bidi="ar-SA"/>
        </w:rPr>
      </w:pPr>
      <w:bookmarkStart w:id="10" w:name="_Toc15396602"/>
      <w:bookmarkStart w:id="11" w:name="_Toc15377204"/>
      <w:bookmarkStart w:id="12" w:name="_Toc4287"/>
      <w:r>
        <w:rPr>
          <w:rFonts w:hint="eastAsia" w:ascii="仿宋_GB2312" w:hAnsi="仿宋_GB2312" w:eastAsia="仿宋_GB2312" w:cs="仿宋_GB2312"/>
          <w:color w:val="000000"/>
          <w:kern w:val="0"/>
          <w:sz w:val="32"/>
          <w:szCs w:val="32"/>
          <w:shd w:val="clear" w:color="auto" w:fill="FFFFFF"/>
          <w:lang w:val="en-US" w:eastAsia="zh-CN" w:bidi="ar-SA"/>
        </w:rPr>
        <w:t>1.</w:t>
      </w:r>
      <w:r>
        <w:rPr>
          <w:rFonts w:hint="default" w:ascii="仿宋_GB2312" w:hAnsi="仿宋_GB2312" w:eastAsia="仿宋_GB2312" w:cs="仿宋_GB2312"/>
          <w:color w:val="000000"/>
          <w:kern w:val="0"/>
          <w:sz w:val="32"/>
          <w:szCs w:val="32"/>
          <w:shd w:val="clear" w:color="auto" w:fill="FFFFFF"/>
          <w:lang w:val="en-US" w:eastAsia="zh-CN" w:bidi="ar-SA"/>
        </w:rPr>
        <w:t>政治监督“全覆盖”，坚决捍卫“两个维护”。锚定党的政治建设核心地位不动摇，深刻感悟“两个确立”的决定性价值，笃定做到“两个维护”，持续推动党风廉政建设朝着正确方向稳步推进。一是以理论清醒筑牢政治忠诚。坚持把学习贯彻习近平新时代中国特色社会主义思想作为首要政治任务，严格执行“第一议题”制度，通过县委</w:t>
      </w:r>
      <w:r>
        <w:rPr>
          <w:rFonts w:hint="eastAsia" w:ascii="仿宋_GB2312" w:hAnsi="仿宋_GB2312" w:eastAsia="仿宋_GB2312" w:cs="仿宋_GB2312"/>
          <w:color w:val="000000"/>
          <w:kern w:val="0"/>
          <w:sz w:val="32"/>
          <w:szCs w:val="32"/>
          <w:shd w:val="clear" w:color="auto" w:fill="FFFFFF"/>
          <w:lang w:val="en-US" w:eastAsia="zh-CN" w:bidi="ar-SA"/>
        </w:rPr>
        <w:t>纪委</w:t>
      </w:r>
      <w:r>
        <w:rPr>
          <w:rFonts w:hint="default" w:ascii="仿宋_GB2312" w:hAnsi="仿宋_GB2312" w:eastAsia="仿宋_GB2312" w:cs="仿宋_GB2312"/>
          <w:color w:val="000000"/>
          <w:kern w:val="0"/>
          <w:sz w:val="32"/>
          <w:szCs w:val="32"/>
          <w:shd w:val="clear" w:color="auto" w:fill="FFFFFF"/>
          <w:lang w:val="en-US" w:eastAsia="zh-CN" w:bidi="ar-SA"/>
        </w:rPr>
        <w:t>常委会、理论学习中心组、专题读书班等形式，引导党员干部深学细悟党的创新理论，全年组织纪检监察干部通过纪委常委会、专题学习会、党员大会、“三会一课”等方式开展学习研讨交流120余场次，全县纪检监察干部的政治判断力、政治领悟力、政治执行力持续提升。二是以高效监督护航中心工作。紧盯党中央重大决策和省委、州委、县委安排部署，围绕乡村振兴、生态环保、安全生产等重大战略任务，与目标绩效管理中心联动开展监督工作，制定跟踪监督清单，实行销号管理。针对违规吃喝、违规收送礼品礼金、借调研培训等名义公款旅游、年度重点项目等问题工作开展专项监督检查86轮次，发现并督促整改问题236个。严格按照《中纪委关于进一步规范纪检监察机关党风廉政意见回复工作的通知》要求，把好干部政治关、品行关、作风关、廉洁关，审慎回复党风廉政意见4000余人次。同时，牵头举办联合“沿黄四县”纪检监察机关联动协作助力黄河流域生态保护和高质量发展2025年度联席交流会，切实推动黄河流域阿坝州段生态保护和高质量发展各项任务落到实处。</w:t>
      </w:r>
    </w:p>
    <w:p>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left="0" w:firstLine="640" w:firstLineChars="200"/>
        <w:jc w:val="both"/>
        <w:textAlignment w:val="auto"/>
        <w:rPr>
          <w:rFonts w:hint="default" w:ascii="仿宋_GB2312" w:hAnsi="仿宋_GB2312" w:eastAsia="仿宋_GB2312" w:cs="仿宋_GB2312"/>
          <w:color w:val="000000"/>
          <w:kern w:val="0"/>
          <w:sz w:val="32"/>
          <w:szCs w:val="32"/>
          <w:shd w:val="clear" w:color="auto" w:fill="FFFFFF"/>
          <w:lang w:val="en-US" w:eastAsia="zh-CN" w:bidi="ar-SA"/>
        </w:rPr>
      </w:pPr>
      <w:r>
        <w:rPr>
          <w:rFonts w:hint="eastAsia" w:ascii="仿宋_GB2312" w:hAnsi="仿宋_GB2312" w:eastAsia="仿宋_GB2312" w:cs="仿宋_GB2312"/>
          <w:color w:val="000000"/>
          <w:kern w:val="0"/>
          <w:sz w:val="32"/>
          <w:szCs w:val="32"/>
          <w:shd w:val="clear" w:color="auto" w:fill="FFFFFF"/>
          <w:lang w:val="en-US" w:eastAsia="zh-CN" w:bidi="ar-SA"/>
        </w:rPr>
        <w:t>2.</w:t>
      </w:r>
      <w:r>
        <w:rPr>
          <w:rFonts w:hint="default" w:ascii="仿宋_GB2312" w:hAnsi="仿宋_GB2312" w:eastAsia="仿宋_GB2312" w:cs="仿宋_GB2312"/>
          <w:color w:val="000000"/>
          <w:kern w:val="0"/>
          <w:sz w:val="32"/>
          <w:szCs w:val="32"/>
          <w:shd w:val="clear" w:color="auto" w:fill="FFFFFF"/>
          <w:lang w:val="en-US" w:eastAsia="zh-CN" w:bidi="ar-SA"/>
        </w:rPr>
        <w:t>反腐斗争“零容忍”，高压态势持续巩固</w:t>
      </w:r>
      <w:r>
        <w:rPr>
          <w:rFonts w:hint="eastAsia" w:ascii="仿宋_GB2312" w:hAnsi="仿宋_GB2312" w:eastAsia="仿宋_GB2312" w:cs="仿宋_GB2312"/>
          <w:color w:val="000000"/>
          <w:kern w:val="0"/>
          <w:sz w:val="32"/>
          <w:szCs w:val="32"/>
          <w:shd w:val="clear" w:color="auto" w:fill="FFFFFF"/>
          <w:lang w:val="en-US" w:eastAsia="zh-CN" w:bidi="ar-SA"/>
        </w:rPr>
        <w:t>。</w:t>
      </w:r>
      <w:r>
        <w:rPr>
          <w:rFonts w:hint="default" w:ascii="仿宋_GB2312" w:hAnsi="仿宋_GB2312" w:eastAsia="仿宋_GB2312" w:cs="仿宋_GB2312"/>
          <w:color w:val="000000"/>
          <w:kern w:val="0"/>
          <w:sz w:val="32"/>
          <w:szCs w:val="32"/>
          <w:shd w:val="clear" w:color="auto" w:fill="FFFFFF"/>
          <w:lang w:val="en-US" w:eastAsia="zh-CN" w:bidi="ar-SA"/>
        </w:rPr>
        <w:t>深入推进反腐败斗争，持续保持高压态势，做到零容忍的态度不变、猛药去疴的决心不减、刮骨疗毒的勇气不泄、严厉惩处的尺度不松。一是保持高压态势，强化“不敢腐”的震慑。接受信访举报</w:t>
      </w:r>
      <w:r>
        <w:rPr>
          <w:rFonts w:hint="eastAsia" w:ascii="仿宋_GB2312" w:hAnsi="仿宋_GB2312" w:eastAsia="仿宋_GB2312" w:cs="仿宋_GB2312"/>
          <w:color w:val="000000"/>
          <w:kern w:val="0"/>
          <w:sz w:val="32"/>
          <w:szCs w:val="32"/>
          <w:shd w:val="clear" w:color="auto" w:fill="FFFFFF"/>
          <w:lang w:val="en-US" w:eastAsia="zh-CN" w:bidi="ar-SA"/>
        </w:rPr>
        <w:t>31</w:t>
      </w:r>
      <w:r>
        <w:rPr>
          <w:rFonts w:hint="default" w:ascii="仿宋_GB2312" w:hAnsi="仿宋_GB2312" w:eastAsia="仿宋_GB2312" w:cs="仿宋_GB2312"/>
          <w:color w:val="000000"/>
          <w:kern w:val="0"/>
          <w:sz w:val="32"/>
          <w:szCs w:val="32"/>
          <w:shd w:val="clear" w:color="auto" w:fill="FFFFFF"/>
          <w:lang w:val="en-US" w:eastAsia="zh-CN" w:bidi="ar-SA"/>
        </w:rPr>
        <w:t>件，受理问题线索166件，立案70件，初核转立案率92.7%，立案同级党委管理干部13人，留置4人，其中同级党委管理干部2人，给予党纪政务处分63人，自办案件主动发现问题线索成案率为84.6%；自办案件处分人数占比处分总人数85.7%，挽回经济损失402.4873万元。深化运用“四种形态”，精准把握政策策略，做到宽严相济、罚当其过，抓早抓小、防微杜渐的效应持续显现。二是扎紧制度笼子，强化“不能腐”的约束。坚持“惩、治、防”相结合，将以案促改、以案促治作为深化治理的关键抓手。针对查处的典型案件，及时启动并督促指导教育、水务、公安等重点部门开展专项以案促改工作。通过深入通报案情、组织对照检查、全面排查风险等方式，引导相关部门深刻剖析案件暴露出的思想根源、制度漏洞与监管盲区。坚持问题导向，精准制发纪检监察建议书24份，提出整改要求并跟踪督办，推动相关单位举一反三，健全完善了《红原县帮扶项目资产规范管理实施细则》《红原县牦牛采购项目实施规则》等重点领域制度机制53项，努力实现查处一案、警示一片、治理一域的综合效果。三是加强教育引导，强化“不想腐”的自觉。坚持将廉政教育作为干部教育培训的必修内容，常抓不懈。选取2025年查处的群众身边不正之风和腐败问题典型案例，精心制作年度警示教育片，在全县范围内开展警示教育。通过组织学习典型案例、集中观看警示教育片、现场观摩庭审等方式，实现了对党员领导干部廉政教育的全面覆盖，切实增强了警示教育的针对性和感染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jc w:val="both"/>
        <w:textAlignment w:val="auto"/>
        <w:rPr>
          <w:rFonts w:hint="default" w:ascii="仿宋_GB2312" w:hAnsi="仿宋_GB2312" w:eastAsia="仿宋_GB2312" w:cs="仿宋_GB2312"/>
          <w:color w:val="000000"/>
          <w:kern w:val="0"/>
          <w:sz w:val="32"/>
          <w:szCs w:val="32"/>
          <w:shd w:val="clear" w:color="auto" w:fill="FFFFFF"/>
          <w:lang w:val="en-US" w:eastAsia="zh-CN" w:bidi="ar-SA"/>
        </w:rPr>
      </w:pPr>
      <w:r>
        <w:rPr>
          <w:rFonts w:hint="default" w:ascii="仿宋_GB2312" w:hAnsi="仿宋_GB2312" w:eastAsia="仿宋_GB2312" w:cs="仿宋_GB2312"/>
          <w:color w:val="000000"/>
          <w:kern w:val="0"/>
          <w:sz w:val="32"/>
          <w:szCs w:val="32"/>
          <w:shd w:val="clear" w:color="auto" w:fill="FFFFFF"/>
          <w:lang w:val="en-US" w:eastAsia="zh-CN" w:bidi="ar-SA"/>
        </w:rPr>
        <w:t>（四）集中整治“再提升”，治理体系不断完善。始终坚持以人民为中心的发展思想，聚焦群众急难愁盼问题，以超常规举措整治群众身边不正之风和腐败问题，不断提升群众获得感、幸福感、安全感。一是创新监督机制听民声。积极拓展群众监督渠道，创新方式方法，让群众感受到监督就在身边、纪律就在眼前。深化“有事找纪检，解决靠组织”工作，积极推行“党委主责、政府主抓、部门主办、纪委主推、群众主评”工作机制。依托“室组地”片区协作和“微网实格”网格化管理机制，将纪检监察监督力量深度嵌入基层治理网格。着力发挥好乡镇基层一线纪检干部队伍力量，深入村居牧场，主动收集群众反映的问题和意见建议。建立问题受理、转办、反馈闭环管理机制，对群众关切做到快速响应、及时处置，将大量矛盾化解在基层、解决在萌芽状态。全年推动解决相关急难愁盼问题4175件，退还群众财务338.89万元。有效打通监督执纪“最后一公里”，使党风廉政建设真正扎根于民、服务于民。二是紧盯民生领域护民利。坚持将监督“探头”精准聚焦于牧区群众最关心、最直接、最现实的“牛、草、奶、医”等关键领域，着力推动解决一批困扰群众生产生活的痛点、堵点问题。县纪委监委牵头，联合科农、交通、卫健等部门组建专项监督组，深入牧场远牧点、奶站合作社、基层卫生院，强力推动“奶源路”畅通工程、积极推广“金牦牛”良种养殖与高产人工种草技术，严肃整治基层医疗领域收费不规范、服务不到位等问题。通过扎实的监督执纪，全年共查处群众身边不正之风和腐败处置问题线索148条，立案54个，给予党纪政务处分44人，让牧民群众从一个个具体问题的解决中，真切感受到全面从严治党带来的获得感、幸福感与安全感。三是深化专项整治解民忧。聚焦乡村振兴、村集体“三资”管理、校园餐食品质、医保基金安全、养老惠民政策落实等重点民生领域和整农村供水工程运行管护不到位等民生实事，扎实开展专项整治、整治16件具体实事。工作中，着力发挥“监督检查+行业主管”“双专班”的一线联动作用，压紧压实职能部门主体责任，实施大批量、精准化数据筛查，有效锁定异常问题和风险线索。全年推动相关职能部门开展自查自纠，主动发现问题562个，纪检监察机关跟进监督，累计督促完成整改545个，切实以整治实效回应民生关切、护航民生福祉。</w:t>
      </w: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firstLine="883" w:firstLineChars="200"/>
        <w:jc w:val="left"/>
        <w:textAlignment w:val="auto"/>
        <w:rPr>
          <w:rStyle w:val="20"/>
          <w:rFonts w:hint="eastAsia" w:ascii="方正小标宋简体" w:hAnsi="方正小标宋简体" w:eastAsia="方正小标宋简体" w:cs="方正小标宋简体"/>
          <w:b w:val="0"/>
          <w:bCs w:val="0"/>
          <w:kern w:val="0"/>
          <w:sz w:val="44"/>
          <w:szCs w:val="44"/>
        </w:rPr>
      </w:pPr>
      <w:r>
        <w:rPr>
          <w:rStyle w:val="20"/>
          <w:rFonts w:hint="eastAsia" w:ascii="方正小标宋简体" w:hAnsi="方正小标宋简体" w:eastAsia="方正小标宋简体" w:cs="方正小标宋简体"/>
          <w:bCs w:val="0"/>
          <w:sz w:val="44"/>
          <w:szCs w:val="44"/>
        </w:rPr>
        <w:t>第二部分 202</w:t>
      </w:r>
      <w:r>
        <w:rPr>
          <w:rStyle w:val="20"/>
          <w:rFonts w:hint="eastAsia" w:ascii="方正小标宋简体" w:hAnsi="方正小标宋简体" w:eastAsia="方正小标宋简体" w:cs="方正小标宋简体"/>
          <w:bCs w:val="0"/>
          <w:sz w:val="44"/>
          <w:szCs w:val="44"/>
          <w:lang w:val="en-US"/>
        </w:rPr>
        <w:t>5</w:t>
      </w:r>
      <w:r>
        <w:rPr>
          <w:rStyle w:val="20"/>
          <w:rFonts w:hint="eastAsia" w:ascii="方正小标宋简体" w:hAnsi="方正小标宋简体" w:eastAsia="方正小标宋简体" w:cs="方正小标宋简体"/>
          <w:bCs w:val="0"/>
          <w:sz w:val="44"/>
          <w:szCs w:val="44"/>
        </w:rPr>
        <w:t>年度部门决算情况说明</w:t>
      </w:r>
      <w:bookmarkEnd w:id="10"/>
      <w:bookmarkEnd w:id="11"/>
      <w:bookmarkEnd w:id="12"/>
    </w:p>
    <w:p>
      <w:pPr>
        <w:pStyle w:val="27"/>
        <w:keepNext w:val="0"/>
        <w:keepLines w:val="0"/>
        <w:pageBreakBefore w:val="0"/>
        <w:numPr>
          <w:ilvl w:val="0"/>
          <w:numId w:val="0"/>
        </w:numPr>
        <w:kinsoku/>
        <w:wordWrap/>
        <w:overflowPunct/>
        <w:topLinePunct w:val="0"/>
        <w:autoSpaceDE/>
        <w:autoSpaceDN/>
        <w:bidi w:val="0"/>
        <w:adjustRightInd/>
        <w:snapToGrid/>
        <w:spacing w:beforeAutospacing="0" w:afterAutospacing="0" w:line="576" w:lineRule="exact"/>
        <w:ind w:right="0" w:rightChars="0"/>
        <w:textAlignment w:val="auto"/>
        <w:outlineLvl w:val="1"/>
        <w:rPr>
          <w:rFonts w:hint="eastAsia" w:ascii="黑体" w:hAnsi="黑体" w:eastAsia="黑体" w:cs="黑体"/>
          <w:b w:val="0"/>
          <w:bCs/>
          <w:kern w:val="2"/>
          <w:sz w:val="32"/>
          <w:szCs w:val="32"/>
          <w:lang w:val="en-US" w:eastAsia="zh-CN" w:bidi="ar-SA"/>
        </w:rPr>
      </w:pPr>
      <w:bookmarkStart w:id="13" w:name="_Toc15377205"/>
      <w:bookmarkStart w:id="14" w:name="_Toc12888"/>
      <w:bookmarkStart w:id="15" w:name="_Toc15396603"/>
    </w:p>
    <w:p>
      <w:pPr>
        <w:pStyle w:val="27"/>
        <w:keepNext w:val="0"/>
        <w:keepLines w:val="0"/>
        <w:pageBreakBefore w:val="0"/>
        <w:numPr>
          <w:ilvl w:val="0"/>
          <w:numId w:val="0"/>
        </w:numPr>
        <w:kinsoku/>
        <w:wordWrap/>
        <w:overflowPunct/>
        <w:topLinePunct w:val="0"/>
        <w:autoSpaceDE/>
        <w:autoSpaceDN/>
        <w:bidi w:val="0"/>
        <w:adjustRightInd/>
        <w:snapToGrid/>
        <w:spacing w:beforeAutospacing="0" w:afterAutospacing="0" w:line="576" w:lineRule="exact"/>
        <w:ind w:right="0" w:rightChars="0"/>
        <w:textAlignment w:val="auto"/>
        <w:outlineLvl w:val="1"/>
        <w:rPr>
          <w:rFonts w:hint="eastAsia" w:ascii="黑体" w:hAnsi="黑体" w:eastAsia="黑体" w:cs="黑体"/>
          <w:b w:val="0"/>
          <w:bCs/>
          <w:kern w:val="2"/>
          <w:sz w:val="32"/>
          <w:szCs w:val="32"/>
          <w:lang w:val="en-US" w:eastAsia="zh-CN" w:bidi="ar-SA"/>
        </w:rPr>
      </w:pPr>
      <w:r>
        <w:rPr>
          <w:rFonts w:hint="eastAsia" w:ascii="黑体" w:hAnsi="黑体" w:eastAsia="黑体" w:cs="黑体"/>
          <w:b w:val="0"/>
          <w:bCs/>
          <w:kern w:val="2"/>
          <w:sz w:val="32"/>
          <w:szCs w:val="32"/>
          <w:lang w:val="en-US" w:eastAsia="zh-CN" w:bidi="ar-SA"/>
        </w:rPr>
        <w:t>一、收入支出决算总体情况说明</w:t>
      </w:r>
      <w:bookmarkEnd w:id="13"/>
      <w:bookmarkEnd w:id="14"/>
      <w:bookmarkEnd w:id="15"/>
    </w:p>
    <w:p>
      <w:pPr>
        <w:pStyle w:val="15"/>
        <w:pageBreakBefore w:val="0"/>
        <w:shd w:val="clear" w:color="auto" w:fill="FFFFFF"/>
        <w:kinsoku/>
        <w:wordWrap/>
        <w:overflowPunct/>
        <w:topLinePunct w:val="0"/>
        <w:autoSpaceDE/>
        <w:autoSpaceDN/>
        <w:bidi w:val="0"/>
        <w:spacing w:before="0" w:beforeAutospacing="0" w:after="0" w:afterAutospacing="0" w:line="576" w:lineRule="exact"/>
        <w:ind w:left="0" w:leftChars="0" w:right="0" w:firstLine="640" w:firstLineChars="200"/>
        <w:textAlignment w:val="auto"/>
        <w:rPr>
          <w:rFonts w:hint="default" w:ascii="仿宋_GB2312" w:hAnsi="仿宋_GB2312" w:eastAsia="仿宋_GB2312" w:cs="仿宋_GB2312"/>
          <w:color w:val="000000"/>
          <w:sz w:val="32"/>
          <w:szCs w:val="32"/>
          <w:shd w:val="clear" w:color="auto" w:fill="FFFFFF"/>
          <w:lang w:val="en-US" w:eastAsia="zh-CN"/>
        </w:rPr>
      </w:pPr>
      <w:r>
        <w:rPr>
          <w:rFonts w:hint="eastAsia" w:ascii="仿宋_GB2312" w:hAnsi="仿宋_GB2312" w:eastAsia="仿宋_GB2312" w:cs="仿宋_GB2312"/>
          <w:color w:val="000000"/>
          <w:sz w:val="32"/>
          <w:szCs w:val="32"/>
          <w:shd w:val="clear" w:color="auto" w:fill="FFFFFF"/>
        </w:rPr>
        <w:t xml:space="preserve"> 202</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年度收</w:t>
      </w:r>
      <w:r>
        <w:rPr>
          <w:rFonts w:hint="eastAsia" w:ascii="仿宋_GB2312" w:hAnsi="仿宋_GB2312" w:eastAsia="仿宋_GB2312" w:cs="仿宋_GB2312"/>
          <w:color w:val="000000"/>
          <w:sz w:val="32"/>
          <w:szCs w:val="32"/>
          <w:shd w:val="clear" w:color="auto" w:fill="FFFFFF"/>
          <w:lang w:val="en-US" w:eastAsia="zh-CN"/>
        </w:rPr>
        <w:t>入1985.2</w:t>
      </w:r>
      <w:r>
        <w:rPr>
          <w:rFonts w:hint="eastAsia" w:ascii="仿宋_GB2312" w:hAnsi="仿宋_GB2312" w:eastAsia="仿宋_GB2312" w:cs="仿宋_GB2312"/>
          <w:color w:val="000000"/>
          <w:sz w:val="32"/>
          <w:szCs w:val="32"/>
          <w:shd w:val="clear" w:color="auto" w:fill="FFFFFF"/>
        </w:rPr>
        <w:t>万元，支出</w:t>
      </w:r>
      <w:r>
        <w:rPr>
          <w:rFonts w:hint="eastAsia" w:ascii="仿宋_GB2312" w:hAnsi="仿宋_GB2312" w:eastAsia="仿宋_GB2312" w:cs="仿宋_GB2312"/>
          <w:color w:val="000000"/>
          <w:sz w:val="32"/>
          <w:szCs w:val="32"/>
          <w:shd w:val="clear" w:color="auto" w:fill="FFFFFF"/>
          <w:lang w:val="en-US" w:eastAsia="zh-CN"/>
        </w:rPr>
        <w:t>1985.2</w:t>
      </w:r>
      <w:r>
        <w:rPr>
          <w:rFonts w:hint="eastAsia" w:ascii="仿宋_GB2312" w:hAnsi="仿宋_GB2312" w:eastAsia="仿宋_GB2312" w:cs="仿宋_GB2312"/>
          <w:color w:val="000000"/>
          <w:sz w:val="32"/>
          <w:szCs w:val="32"/>
          <w:shd w:val="clear" w:color="auto" w:fill="FFFFFF"/>
        </w:rPr>
        <w:t>万元。</w:t>
      </w:r>
      <w:r>
        <w:rPr>
          <w:rFonts w:hint="eastAsia" w:ascii="仿宋_GB2312" w:hAnsi="仿宋_GB2312" w:eastAsia="仿宋_GB2312" w:cs="仿宋_GB2312"/>
          <w:color w:val="000000"/>
          <w:sz w:val="32"/>
          <w:szCs w:val="32"/>
          <w:shd w:val="clear" w:color="auto" w:fill="FFFFFF"/>
          <w:lang w:val="en-US" w:eastAsia="zh-CN"/>
        </w:rPr>
        <w:t>资金</w:t>
      </w:r>
      <w:r>
        <w:rPr>
          <w:rFonts w:hint="eastAsia" w:ascii="仿宋_GB2312" w:hAnsi="仿宋_GB2312" w:eastAsia="仿宋_GB2312" w:cs="仿宋_GB2312"/>
          <w:color w:val="000000"/>
          <w:sz w:val="32"/>
          <w:szCs w:val="32"/>
          <w:shd w:val="clear" w:color="auto" w:fill="FFFFFF"/>
        </w:rPr>
        <w:t>与</w:t>
      </w:r>
      <w:bookmarkStart w:id="144" w:name="_GoBack"/>
      <w:bookmarkEnd w:id="144"/>
      <w:r>
        <w:rPr>
          <w:rFonts w:hint="eastAsia" w:ascii="仿宋_GB2312" w:hAnsi="仿宋_GB2312" w:eastAsia="仿宋_GB2312" w:cs="仿宋_GB2312"/>
          <w:color w:val="000000"/>
          <w:sz w:val="32"/>
          <w:szCs w:val="32"/>
          <w:shd w:val="clear" w:color="auto" w:fill="FFFFFF"/>
        </w:rPr>
        <w:t>202</w:t>
      </w:r>
      <w:r>
        <w:rPr>
          <w:rFonts w:hint="eastAsia" w:ascii="仿宋_GB2312" w:hAnsi="仿宋_GB2312" w:eastAsia="仿宋_GB2312" w:cs="仿宋_GB2312"/>
          <w:color w:val="000000"/>
          <w:sz w:val="32"/>
          <w:szCs w:val="32"/>
          <w:shd w:val="clear" w:color="auto" w:fill="FFFFFF"/>
          <w:lang w:val="en-US" w:eastAsia="zh-CN"/>
        </w:rPr>
        <w:t>4</w:t>
      </w:r>
      <w:r>
        <w:rPr>
          <w:rFonts w:hint="eastAsia" w:ascii="仿宋_GB2312" w:hAnsi="仿宋_GB2312" w:eastAsia="仿宋_GB2312" w:cs="仿宋_GB2312"/>
          <w:color w:val="000000"/>
          <w:sz w:val="32"/>
          <w:szCs w:val="32"/>
          <w:shd w:val="clear" w:color="auto" w:fill="FFFFFF"/>
        </w:rPr>
        <w:t>年相比，收入</w:t>
      </w:r>
      <w:r>
        <w:rPr>
          <w:rFonts w:hint="eastAsia" w:ascii="仿宋_GB2312" w:hAnsi="仿宋_GB2312" w:eastAsia="仿宋_GB2312" w:cs="仿宋_GB2312"/>
          <w:color w:val="000000"/>
          <w:sz w:val="32"/>
          <w:szCs w:val="32"/>
          <w:shd w:val="clear" w:color="auto" w:fill="FFFFFF"/>
          <w:lang w:eastAsia="zh-CN"/>
        </w:rPr>
        <w:t>减少</w:t>
      </w:r>
      <w:r>
        <w:rPr>
          <w:rFonts w:hint="eastAsia" w:ascii="仿宋_GB2312" w:hAnsi="仿宋_GB2312" w:eastAsia="仿宋_GB2312" w:cs="仿宋_GB2312"/>
          <w:color w:val="000000"/>
          <w:sz w:val="32"/>
          <w:szCs w:val="32"/>
          <w:shd w:val="clear" w:color="auto" w:fill="FFFFFF"/>
          <w:lang w:val="en-US" w:eastAsia="zh-CN"/>
        </w:rPr>
        <w:t>207.35</w:t>
      </w:r>
      <w:r>
        <w:rPr>
          <w:rFonts w:hint="eastAsia" w:ascii="仿宋_GB2312" w:hAnsi="仿宋_GB2312" w:eastAsia="仿宋_GB2312" w:cs="仿宋_GB2312"/>
          <w:color w:val="000000"/>
          <w:sz w:val="32"/>
          <w:szCs w:val="32"/>
          <w:shd w:val="clear" w:color="auto" w:fill="FFFFFF"/>
        </w:rPr>
        <w:t>万元，</w:t>
      </w:r>
      <w:r>
        <w:rPr>
          <w:rFonts w:hint="eastAsia" w:ascii="仿宋_GB2312" w:hAnsi="仿宋_GB2312" w:eastAsia="仿宋_GB2312" w:cs="仿宋_GB2312"/>
          <w:color w:val="000000"/>
          <w:sz w:val="32"/>
          <w:szCs w:val="32"/>
          <w:shd w:val="clear" w:color="auto" w:fill="FFFFFF"/>
          <w:lang w:eastAsia="zh-CN"/>
        </w:rPr>
        <w:t>减少</w:t>
      </w:r>
      <w:r>
        <w:rPr>
          <w:rFonts w:hint="eastAsia" w:ascii="仿宋_GB2312" w:hAnsi="仿宋_GB2312" w:eastAsia="仿宋_GB2312" w:cs="仿宋_GB2312"/>
          <w:color w:val="000000"/>
          <w:sz w:val="32"/>
          <w:szCs w:val="32"/>
          <w:shd w:val="clear" w:color="auto" w:fill="FFFFFF"/>
          <w:lang w:val="en-US" w:eastAsia="zh-CN"/>
        </w:rPr>
        <w:t>9.46</w:t>
      </w:r>
      <w:r>
        <w:rPr>
          <w:rFonts w:hint="eastAsia" w:ascii="仿宋_GB2312" w:hAnsi="仿宋_GB2312" w:eastAsia="仿宋_GB2312" w:cs="仿宋_GB2312"/>
          <w:color w:val="000000"/>
          <w:sz w:val="32"/>
          <w:szCs w:val="32"/>
          <w:shd w:val="clear" w:color="auto" w:fill="FFFFFF"/>
        </w:rPr>
        <w:t>%，支出</w:t>
      </w:r>
      <w:r>
        <w:rPr>
          <w:rFonts w:hint="eastAsia" w:ascii="仿宋_GB2312" w:hAnsi="仿宋_GB2312" w:eastAsia="仿宋_GB2312" w:cs="仿宋_GB2312"/>
          <w:color w:val="000000"/>
          <w:sz w:val="32"/>
          <w:szCs w:val="32"/>
          <w:shd w:val="clear" w:color="auto" w:fill="FFFFFF"/>
          <w:lang w:eastAsia="zh-CN"/>
        </w:rPr>
        <w:t>减少</w:t>
      </w:r>
      <w:r>
        <w:rPr>
          <w:rFonts w:hint="eastAsia" w:ascii="仿宋_GB2312" w:hAnsi="仿宋_GB2312" w:eastAsia="仿宋_GB2312" w:cs="仿宋_GB2312"/>
          <w:color w:val="000000"/>
          <w:sz w:val="32"/>
          <w:szCs w:val="32"/>
          <w:shd w:val="clear" w:color="auto" w:fill="FFFFFF"/>
          <w:lang w:val="en-US" w:eastAsia="zh-CN"/>
        </w:rPr>
        <w:t>207.35</w:t>
      </w:r>
      <w:r>
        <w:rPr>
          <w:rFonts w:hint="eastAsia" w:ascii="仿宋_GB2312" w:hAnsi="仿宋_GB2312" w:eastAsia="仿宋_GB2312" w:cs="仿宋_GB2312"/>
          <w:color w:val="000000"/>
          <w:sz w:val="32"/>
          <w:szCs w:val="32"/>
          <w:shd w:val="clear" w:color="auto" w:fill="FFFFFF"/>
        </w:rPr>
        <w:t>万元，</w:t>
      </w:r>
      <w:r>
        <w:rPr>
          <w:rFonts w:hint="eastAsia" w:ascii="仿宋_GB2312" w:hAnsi="仿宋_GB2312" w:eastAsia="仿宋_GB2312" w:cs="仿宋_GB2312"/>
          <w:color w:val="000000"/>
          <w:sz w:val="32"/>
          <w:szCs w:val="32"/>
          <w:shd w:val="clear" w:color="auto" w:fill="FFFFFF"/>
          <w:lang w:eastAsia="zh-CN"/>
        </w:rPr>
        <w:t>减少</w:t>
      </w:r>
      <w:r>
        <w:rPr>
          <w:rFonts w:hint="eastAsia" w:ascii="仿宋_GB2312" w:hAnsi="仿宋_GB2312" w:eastAsia="仿宋_GB2312" w:cs="仿宋_GB2312"/>
          <w:color w:val="000000"/>
          <w:sz w:val="32"/>
          <w:szCs w:val="32"/>
          <w:shd w:val="clear" w:color="auto" w:fill="FFFFFF"/>
          <w:lang w:val="en-US" w:eastAsia="zh-CN"/>
        </w:rPr>
        <w:t>9.46</w:t>
      </w:r>
      <w:r>
        <w:rPr>
          <w:rFonts w:hint="eastAsia" w:ascii="仿宋_GB2312" w:hAnsi="仿宋_GB2312" w:eastAsia="仿宋_GB2312" w:cs="仿宋_GB2312"/>
          <w:color w:val="000000"/>
          <w:sz w:val="32"/>
          <w:szCs w:val="32"/>
          <w:shd w:val="clear" w:color="auto" w:fill="FFFFFF"/>
        </w:rPr>
        <w:t>%。收入支出均</w:t>
      </w:r>
      <w:r>
        <w:rPr>
          <w:rFonts w:hint="eastAsia" w:ascii="仿宋_GB2312" w:hAnsi="仿宋_GB2312" w:eastAsia="仿宋_GB2312" w:cs="仿宋_GB2312"/>
          <w:color w:val="000000"/>
          <w:sz w:val="32"/>
          <w:szCs w:val="32"/>
          <w:shd w:val="clear" w:color="auto" w:fill="FFFFFF"/>
          <w:lang w:eastAsia="zh-CN"/>
        </w:rPr>
        <w:t>减少</w:t>
      </w:r>
      <w:r>
        <w:rPr>
          <w:rFonts w:hint="eastAsia" w:ascii="仿宋_GB2312" w:hAnsi="仿宋_GB2312" w:eastAsia="仿宋_GB2312" w:cs="仿宋_GB2312"/>
          <w:color w:val="000000"/>
          <w:sz w:val="32"/>
          <w:szCs w:val="32"/>
          <w:shd w:val="clear" w:color="auto" w:fill="FFFFFF"/>
        </w:rPr>
        <w:t>主要原因：</w:t>
      </w:r>
      <w:r>
        <w:rPr>
          <w:rFonts w:hint="eastAsia" w:ascii="仿宋_GB2312" w:hAnsi="仿宋_GB2312" w:eastAsia="仿宋_GB2312" w:cs="仿宋_GB2312"/>
          <w:color w:val="000000"/>
          <w:sz w:val="32"/>
          <w:szCs w:val="32"/>
          <w:shd w:val="clear" w:color="auto" w:fill="FFFFFF"/>
          <w:lang w:eastAsia="zh-CN"/>
        </w:rPr>
        <w:t>主要是</w:t>
      </w:r>
      <w:r>
        <w:rPr>
          <w:rFonts w:hint="eastAsia" w:ascii="仿宋_GB2312" w:hAnsi="仿宋_GB2312" w:eastAsia="仿宋_GB2312" w:cs="仿宋_GB2312"/>
          <w:color w:val="000000"/>
          <w:sz w:val="32"/>
          <w:szCs w:val="32"/>
          <w:shd w:val="clear" w:color="auto" w:fill="FFFFFF"/>
        </w:rPr>
        <w:t>202</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年</w:t>
      </w:r>
      <w:r>
        <w:rPr>
          <w:rFonts w:hint="eastAsia" w:ascii="仿宋_GB2312" w:hAnsi="仿宋_GB2312" w:eastAsia="仿宋_GB2312" w:cs="仿宋_GB2312"/>
          <w:color w:val="000000"/>
          <w:sz w:val="32"/>
          <w:szCs w:val="32"/>
          <w:shd w:val="clear" w:color="auto" w:fill="FFFFFF"/>
          <w:lang w:eastAsia="zh-CN"/>
        </w:rPr>
        <w:t>纪委业务用房改扩建项目资金拔付金额减少</w:t>
      </w:r>
      <w:r>
        <w:rPr>
          <w:rFonts w:hint="eastAsia" w:ascii="仿宋_GB2312" w:hAnsi="仿宋_GB2312" w:eastAsia="仿宋_GB2312" w:cs="仿宋_GB2312"/>
          <w:sz w:val="32"/>
          <w:szCs w:val="32"/>
        </w:rPr>
        <w:t>。</w:t>
      </w:r>
    </w:p>
    <w:p>
      <w:pPr>
        <w:keepNext w:val="0"/>
        <w:keepLines w:val="0"/>
        <w:pageBreakBefore w:val="0"/>
        <w:kinsoku/>
        <w:wordWrap/>
        <w:overflowPunct/>
        <w:topLinePunct w:val="0"/>
        <w:autoSpaceDE/>
        <w:autoSpaceDN/>
        <w:bidi w:val="0"/>
        <w:adjustRightInd/>
        <w:snapToGrid/>
        <w:spacing w:beforeAutospacing="0" w:afterAutospacing="0" w:line="576" w:lineRule="exact"/>
        <w:ind w:left="0" w:leftChars="0" w:right="0" w:firstLine="640" w:firstLineChars="200"/>
        <w:textAlignment w:val="auto"/>
        <w:rPr>
          <w:rStyle w:val="21"/>
          <w:rFonts w:hint="eastAsia" w:ascii="黑体" w:hAnsi="黑体" w:eastAsia="黑体" w:cs="黑体"/>
          <w:b w:val="0"/>
          <w:lang w:val="en-US" w:eastAsia="zh-CN"/>
        </w:rPr>
      </w:pPr>
      <w:r>
        <w:rPr>
          <w:rFonts w:hint="eastAsia" w:ascii="仿宋_GB2312" w:hAnsi="仿宋_GB2312" w:eastAsia="仿宋_GB2312" w:cs="仿宋_GB2312"/>
          <w:sz w:val="32"/>
          <w:szCs w:val="32"/>
        </w:rPr>
        <w:t>（图1：收、支决算总计变动情况图）（柱状图）</w:t>
      </w:r>
      <w:r>
        <w:rPr>
          <w:rStyle w:val="21"/>
          <w:rFonts w:hint="eastAsia" w:ascii="黑体" w:hAnsi="黑体" w:eastAsia="黑体" w:cs="黑体"/>
          <w:b w:val="0"/>
          <w:lang w:val="en-US" w:eastAsia="zh-CN"/>
        </w:rPr>
        <w:drawing>
          <wp:anchor distT="0" distB="0" distL="114300" distR="114300" simplePos="0" relativeHeight="251666432" behindDoc="0" locked="0" layoutInCell="1" allowOverlap="1">
            <wp:simplePos x="0" y="0"/>
            <wp:positionH relativeFrom="column">
              <wp:posOffset>131445</wp:posOffset>
            </wp:positionH>
            <wp:positionV relativeFrom="paragraph">
              <wp:posOffset>232410</wp:posOffset>
            </wp:positionV>
            <wp:extent cx="5080000" cy="2329180"/>
            <wp:effectExtent l="5080" t="4445" r="20320" b="952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bookmarkStart w:id="16" w:name="_Toc15396604"/>
      <w:bookmarkStart w:id="17" w:name="_Toc15377206"/>
      <w:bookmarkStart w:id="18" w:name="_Toc29497"/>
    </w:p>
    <w:p>
      <w:pPr>
        <w:pStyle w:val="7"/>
        <w:keepNext w:val="0"/>
        <w:keepLines w:val="0"/>
        <w:pageBreakBefore w:val="0"/>
        <w:kinsoku/>
        <w:wordWrap/>
        <w:overflowPunct/>
        <w:topLinePunct w:val="0"/>
        <w:autoSpaceDE/>
        <w:autoSpaceDN/>
        <w:bidi w:val="0"/>
        <w:adjustRightInd/>
        <w:snapToGrid/>
        <w:spacing w:beforeAutospacing="0" w:after="0" w:afterAutospacing="0" w:line="576" w:lineRule="exact"/>
        <w:ind w:left="0" w:leftChars="0" w:right="0" w:firstLine="0" w:firstLineChars="0"/>
        <w:textAlignment w:val="auto"/>
        <w:rPr>
          <w:rStyle w:val="21"/>
          <w:rFonts w:hint="eastAsia" w:ascii="黑体" w:hAnsi="黑体" w:eastAsia="黑体" w:cs="黑体"/>
          <w:b w:val="0"/>
        </w:rPr>
      </w:pPr>
      <w:r>
        <w:rPr>
          <w:rStyle w:val="21"/>
          <w:rFonts w:hint="eastAsia" w:ascii="黑体" w:hAnsi="黑体" w:eastAsia="黑体" w:cs="黑体"/>
          <w:b w:val="0"/>
          <w:lang w:val="en-US" w:eastAsia="zh-CN"/>
        </w:rPr>
        <w:t>二、</w:t>
      </w:r>
      <w:r>
        <w:rPr>
          <w:rFonts w:hint="eastAsia" w:ascii="黑体" w:hAnsi="黑体" w:eastAsia="黑体" w:cs="黑体"/>
          <w:sz w:val="32"/>
          <w:szCs w:val="32"/>
        </w:rPr>
        <w:t>收</w:t>
      </w:r>
      <w:r>
        <w:rPr>
          <w:rStyle w:val="21"/>
          <w:rFonts w:hint="eastAsia" w:ascii="黑体" w:hAnsi="黑体" w:eastAsia="黑体" w:cs="黑体"/>
          <w:b w:val="0"/>
        </w:rPr>
        <w:t>入决算情况说明</w:t>
      </w:r>
      <w:bookmarkEnd w:id="16"/>
      <w:bookmarkEnd w:id="17"/>
      <w:bookmarkEnd w:id="18"/>
    </w:p>
    <w:p>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年本年收入合计</w:t>
      </w:r>
      <w:r>
        <w:rPr>
          <w:rFonts w:hint="eastAsia" w:ascii="仿宋_GB2312" w:hAnsi="仿宋_GB2312" w:eastAsia="仿宋_GB2312" w:cs="仿宋_GB2312"/>
          <w:sz w:val="32"/>
          <w:szCs w:val="32"/>
          <w:lang w:val="en-US" w:eastAsia="zh-CN"/>
        </w:rPr>
        <w:t>1985.2</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1612.1</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81.21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无</w:t>
      </w:r>
      <w:r>
        <w:rPr>
          <w:rFonts w:hint="eastAsia" w:ascii="仿宋_GB2312" w:hAnsi="仿宋_GB2312" w:eastAsia="仿宋_GB2312" w:cs="仿宋_GB2312"/>
          <w:sz w:val="32"/>
          <w:szCs w:val="32"/>
        </w:rPr>
        <w:t>其他收入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政府性基金预算财政拨款收入0.00万元，占0.00%；国有资本经营预算财政拨款收入0.00万元，占0.00%；上级补助收入0.00万元，占0.00%；事业收入0.00万元，占0.00%；经营收入0.00万元，占0.00%；附属单位上缴收入0.00万元，占0.00%（图2：收入决算结构图）（饼状图）</w:t>
      </w:r>
    </w:p>
    <w:p>
      <w:pPr>
        <w:pStyle w:val="27"/>
        <w:pageBreakBefore w:val="0"/>
        <w:numPr>
          <w:ilvl w:val="0"/>
          <w:numId w:val="0"/>
        </w:numPr>
        <w:kinsoku/>
        <w:wordWrap/>
        <w:overflowPunct/>
        <w:topLinePunct w:val="0"/>
        <w:bidi w:val="0"/>
        <w:spacing w:beforeAutospacing="0" w:afterAutospacing="0" w:line="576" w:lineRule="exact"/>
        <w:ind w:left="0" w:leftChars="0" w:right="0"/>
        <w:outlineLvl w:val="1"/>
        <w:rPr>
          <w:rFonts w:hint="eastAsia" w:ascii="仿宋_GB2312" w:hAnsi="仿宋_GB2312" w:eastAsia="仿宋_GB2312" w:cs="仿宋_GB2312"/>
          <w:sz w:val="32"/>
          <w:szCs w:val="32"/>
        </w:rPr>
      </w:pPr>
      <w:bookmarkStart w:id="19" w:name="_Toc15377207"/>
      <w:bookmarkStart w:id="20" w:name="_Toc17859"/>
      <w:bookmarkStart w:id="21" w:name="_Toc15396605"/>
      <w:r>
        <w:rPr>
          <w:rFonts w:hint="eastAsia" w:ascii="仿宋_GB2312" w:hAnsi="仿宋_GB2312" w:eastAsia="仿宋_GB2312" w:cs="仿宋_GB2312"/>
          <w:sz w:val="32"/>
          <w:szCs w:val="32"/>
          <w:lang w:eastAsia="zh-CN"/>
        </w:rPr>
        <w:drawing>
          <wp:anchor distT="0" distB="0" distL="114300" distR="114300" simplePos="0" relativeHeight="251660288" behindDoc="0" locked="0" layoutInCell="1" allowOverlap="1">
            <wp:simplePos x="0" y="0"/>
            <wp:positionH relativeFrom="column">
              <wp:posOffset>92710</wp:posOffset>
            </wp:positionH>
            <wp:positionV relativeFrom="paragraph">
              <wp:posOffset>90805</wp:posOffset>
            </wp:positionV>
            <wp:extent cx="4611370" cy="1933575"/>
            <wp:effectExtent l="4445" t="4445" r="6985" b="5080"/>
            <wp:wrapSquare wrapText="bothSides"/>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27"/>
        <w:pageBreakBefore w:val="0"/>
        <w:numPr>
          <w:ilvl w:val="0"/>
          <w:numId w:val="0"/>
        </w:numPr>
        <w:kinsoku/>
        <w:wordWrap/>
        <w:overflowPunct/>
        <w:topLinePunct w:val="0"/>
        <w:bidi w:val="0"/>
        <w:spacing w:beforeAutospacing="0" w:afterAutospacing="0" w:line="576" w:lineRule="exact"/>
        <w:ind w:left="0" w:leftChars="0" w:right="0"/>
        <w:outlineLvl w:val="1"/>
        <w:rPr>
          <w:rFonts w:hint="eastAsia" w:ascii="仿宋_GB2312" w:hAnsi="仿宋_GB2312" w:eastAsia="仿宋_GB2312" w:cs="仿宋_GB2312"/>
          <w:sz w:val="32"/>
          <w:szCs w:val="32"/>
        </w:rPr>
      </w:pPr>
    </w:p>
    <w:p>
      <w:pPr>
        <w:pStyle w:val="27"/>
        <w:pageBreakBefore w:val="0"/>
        <w:numPr>
          <w:ilvl w:val="0"/>
          <w:numId w:val="0"/>
        </w:numPr>
        <w:kinsoku/>
        <w:wordWrap/>
        <w:overflowPunct/>
        <w:topLinePunct w:val="0"/>
        <w:bidi w:val="0"/>
        <w:spacing w:beforeAutospacing="0" w:afterAutospacing="0" w:line="576" w:lineRule="exact"/>
        <w:ind w:left="0" w:leftChars="0" w:right="0"/>
        <w:outlineLvl w:val="1"/>
        <w:rPr>
          <w:rFonts w:hint="eastAsia" w:ascii="仿宋_GB2312" w:hAnsi="仿宋_GB2312" w:eastAsia="仿宋_GB2312" w:cs="仿宋_GB2312"/>
          <w:sz w:val="32"/>
          <w:szCs w:val="32"/>
          <w:lang w:val="en-US" w:eastAsia="zh-CN"/>
        </w:rPr>
      </w:pPr>
    </w:p>
    <w:p>
      <w:pPr>
        <w:pStyle w:val="27"/>
        <w:pageBreakBefore w:val="0"/>
        <w:numPr>
          <w:ilvl w:val="0"/>
          <w:numId w:val="0"/>
        </w:numPr>
        <w:kinsoku/>
        <w:wordWrap/>
        <w:overflowPunct/>
        <w:topLinePunct w:val="0"/>
        <w:bidi w:val="0"/>
        <w:spacing w:beforeAutospacing="0" w:afterAutospacing="0" w:line="576" w:lineRule="exact"/>
        <w:ind w:left="0" w:leftChars="0" w:right="0"/>
        <w:outlineLvl w:val="1"/>
        <w:rPr>
          <w:rFonts w:hint="eastAsia" w:ascii="仿宋_GB2312" w:hAnsi="仿宋_GB2312" w:eastAsia="仿宋_GB2312" w:cs="仿宋_GB2312"/>
          <w:sz w:val="32"/>
          <w:szCs w:val="32"/>
          <w:lang w:val="en-US" w:eastAsia="zh-CN"/>
        </w:rPr>
      </w:pPr>
    </w:p>
    <w:p>
      <w:pPr>
        <w:pStyle w:val="27"/>
        <w:pageBreakBefore w:val="0"/>
        <w:numPr>
          <w:ilvl w:val="0"/>
          <w:numId w:val="0"/>
        </w:numPr>
        <w:kinsoku/>
        <w:wordWrap/>
        <w:overflowPunct/>
        <w:topLinePunct w:val="0"/>
        <w:bidi w:val="0"/>
        <w:spacing w:beforeAutospacing="0" w:afterAutospacing="0" w:line="576" w:lineRule="exact"/>
        <w:ind w:left="0" w:leftChars="0" w:right="0"/>
        <w:outlineLvl w:val="1"/>
        <w:rPr>
          <w:rFonts w:hint="eastAsia" w:ascii="仿宋_GB2312" w:hAnsi="仿宋_GB2312" w:eastAsia="仿宋_GB2312" w:cs="仿宋_GB2312"/>
          <w:sz w:val="32"/>
          <w:szCs w:val="32"/>
          <w:lang w:val="en-US"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textAlignment w:val="auto"/>
        <w:outlineLvl w:val="1"/>
        <w:rPr>
          <w:rFonts w:hint="eastAsia" w:ascii="黑体" w:hAnsi="黑体" w:eastAsia="黑体" w:cs="黑体"/>
          <w:sz w:val="32"/>
          <w:szCs w:val="32"/>
          <w:lang w:val="en-US" w:eastAsia="zh-CN"/>
        </w:rPr>
      </w:pPr>
    </w:p>
    <w:p>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textAlignment w:val="auto"/>
        <w:outlineLvl w:val="1"/>
        <w:rPr>
          <w:rStyle w:val="21"/>
          <w:rFonts w:hint="eastAsia" w:ascii="黑体" w:hAnsi="黑体" w:eastAsia="黑体" w:cs="黑体"/>
          <w:b w:val="0"/>
        </w:rPr>
      </w:pPr>
      <w:r>
        <w:rPr>
          <w:rFonts w:hint="eastAsia" w:ascii="黑体" w:hAnsi="黑体" w:eastAsia="黑体" w:cs="黑体"/>
          <w:sz w:val="32"/>
          <w:szCs w:val="32"/>
          <w:lang w:val="en-US" w:eastAsia="zh-CN"/>
        </w:rPr>
        <w:t>三、</w:t>
      </w:r>
      <w:r>
        <w:rPr>
          <w:rFonts w:hint="eastAsia" w:ascii="黑体" w:hAnsi="黑体" w:eastAsia="黑体" w:cs="黑体"/>
          <w:sz w:val="32"/>
          <w:szCs w:val="32"/>
        </w:rPr>
        <w:t>支</w:t>
      </w:r>
      <w:r>
        <w:rPr>
          <w:rStyle w:val="21"/>
          <w:rFonts w:hint="eastAsia" w:ascii="黑体" w:hAnsi="黑体" w:eastAsia="黑体" w:cs="黑体"/>
          <w:b w:val="0"/>
        </w:rPr>
        <w:t>出决算情况说明</w:t>
      </w:r>
      <w:bookmarkEnd w:id="19"/>
      <w:bookmarkEnd w:id="20"/>
      <w:bookmarkEnd w:id="21"/>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年本年支出合计</w:t>
      </w:r>
      <w:r>
        <w:rPr>
          <w:rFonts w:hint="eastAsia" w:ascii="仿宋_GB2312" w:hAnsi="仿宋_GB2312" w:eastAsia="仿宋_GB2312" w:cs="仿宋_GB2312"/>
          <w:sz w:val="32"/>
          <w:szCs w:val="32"/>
          <w:lang w:val="en-US" w:eastAsia="zh-CN"/>
        </w:rPr>
        <w:t>1985.2</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1105.29</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55.68</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506.81</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25.53</w:t>
      </w:r>
      <w:r>
        <w:rPr>
          <w:rFonts w:hint="eastAsia" w:ascii="仿宋_GB2312" w:hAnsi="仿宋_GB2312" w:eastAsia="仿宋_GB2312" w:cs="仿宋_GB2312"/>
          <w:sz w:val="32"/>
          <w:szCs w:val="32"/>
        </w:rPr>
        <w:t>%；上缴上级支出0.00万元，占0.00%；经营支出0.00万元，占0.00万元，占 0.00%；对附属单位补助支出0.00万元，占0.00%。</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（图3：支出决算结构图）（饼状图）</w:t>
      </w:r>
    </w:p>
    <w:p>
      <w:pPr>
        <w:pStyle w:val="7"/>
        <w:pageBreakBefore w:val="0"/>
        <w:kinsoku/>
        <w:wordWrap/>
        <w:overflowPunct/>
        <w:topLinePunct w:val="0"/>
        <w:bidi w:val="0"/>
        <w:spacing w:beforeAutospacing="0" w:after="0" w:afterAutospacing="0" w:line="576" w:lineRule="exact"/>
        <w:ind w:left="0" w:leftChars="0" w:right="0" w:firstLine="640"/>
        <w:rPr>
          <w:rFonts w:hint="eastAsia" w:ascii="仿宋_GB2312" w:hAnsi="仿宋_GB2312" w:eastAsia="仿宋_GB2312" w:cs="仿宋_GB2312"/>
        </w:rPr>
      </w:pPr>
      <w:r>
        <w:rPr>
          <w:rFonts w:hint="eastAsia" w:ascii="仿宋_GB2312" w:hAnsi="仿宋_GB2312" w:eastAsia="仿宋_GB2312" w:cs="仿宋_GB2312"/>
          <w:sz w:val="32"/>
          <w:lang w:eastAsia="zh-CN"/>
        </w:rPr>
        <w:drawing>
          <wp:anchor distT="0" distB="0" distL="114300" distR="114300" simplePos="0" relativeHeight="251661312" behindDoc="0" locked="0" layoutInCell="1" allowOverlap="1">
            <wp:simplePos x="0" y="0"/>
            <wp:positionH relativeFrom="column">
              <wp:posOffset>122555</wp:posOffset>
            </wp:positionH>
            <wp:positionV relativeFrom="paragraph">
              <wp:posOffset>20955</wp:posOffset>
            </wp:positionV>
            <wp:extent cx="4845685" cy="2112645"/>
            <wp:effectExtent l="4445" t="4445" r="13970" b="16510"/>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1"/>
        <w:rPr>
          <w:rStyle w:val="21"/>
          <w:rFonts w:hint="eastAsia" w:ascii="黑体" w:hAnsi="黑体" w:eastAsia="黑体" w:cs="黑体"/>
          <w:b w:val="0"/>
        </w:rPr>
      </w:pPr>
      <w:bookmarkStart w:id="22" w:name="_Toc15377208"/>
      <w:bookmarkStart w:id="23" w:name="_Toc18206"/>
      <w:bookmarkStart w:id="24" w:name="_Toc15396606"/>
      <w:r>
        <w:rPr>
          <w:rFonts w:hint="eastAsia" w:ascii="黑体" w:hAnsi="黑体" w:eastAsia="黑体" w:cs="黑体"/>
          <w:sz w:val="32"/>
          <w:szCs w:val="32"/>
        </w:rPr>
        <w:t>四、财</w:t>
      </w:r>
      <w:r>
        <w:rPr>
          <w:rStyle w:val="21"/>
          <w:rFonts w:hint="eastAsia" w:ascii="黑体" w:hAnsi="黑体" w:eastAsia="黑体" w:cs="黑体"/>
          <w:b w:val="0"/>
        </w:rPr>
        <w:t>政拨款收入支出决算总体情况说明</w:t>
      </w:r>
      <w:bookmarkEnd w:id="22"/>
      <w:bookmarkEnd w:id="23"/>
      <w:bookmarkEnd w:id="24"/>
    </w:p>
    <w:p>
      <w:pPr>
        <w:pStyle w:val="15"/>
        <w:pageBreakBefore w:val="0"/>
        <w:shd w:val="clear" w:color="auto" w:fill="FFFFFF"/>
        <w:kinsoku/>
        <w:wordWrap/>
        <w:overflowPunct/>
        <w:topLinePunct w:val="0"/>
        <w:autoSpaceDE/>
        <w:autoSpaceDN/>
        <w:bidi w:val="0"/>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年财政拨款收、支总计</w:t>
      </w:r>
      <w:r>
        <w:rPr>
          <w:rFonts w:hint="eastAsia" w:ascii="仿宋_GB2312" w:hAnsi="仿宋_GB2312" w:eastAsia="仿宋_GB2312" w:cs="仿宋_GB2312"/>
          <w:sz w:val="32"/>
          <w:szCs w:val="32"/>
          <w:lang w:val="en-US" w:eastAsia="zh-CN"/>
        </w:rPr>
        <w:t>1985.2</w:t>
      </w:r>
      <w:r>
        <w:rPr>
          <w:rFonts w:hint="eastAsia" w:ascii="仿宋_GB2312" w:hAnsi="仿宋_GB2312" w:eastAsia="仿宋_GB2312" w:cs="仿宋_GB2312"/>
          <w:sz w:val="32"/>
          <w:szCs w:val="32"/>
        </w:rPr>
        <w:t>万元。与202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年相比，财政拨款</w:t>
      </w:r>
      <w:r>
        <w:rPr>
          <w:rFonts w:hint="eastAsia" w:ascii="仿宋_GB2312" w:hAnsi="仿宋_GB2312" w:eastAsia="仿宋_GB2312" w:cs="仿宋_GB2312"/>
          <w:sz w:val="32"/>
          <w:szCs w:val="32"/>
          <w:lang w:val="en-US" w:eastAsia="zh-CN"/>
        </w:rPr>
        <w:t>收入减少207.35万元，</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9.46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支</w:t>
      </w:r>
      <w:r>
        <w:rPr>
          <w:rFonts w:hint="eastAsia" w:ascii="仿宋_GB2312" w:hAnsi="仿宋_GB2312" w:eastAsia="仿宋_GB2312" w:cs="仿宋_GB2312"/>
          <w:sz w:val="32"/>
          <w:szCs w:val="32"/>
          <w:lang w:val="en-US" w:eastAsia="zh-CN"/>
        </w:rPr>
        <w:t>出</w:t>
      </w:r>
      <w:r>
        <w:rPr>
          <w:rFonts w:hint="eastAsia" w:ascii="仿宋_GB2312" w:hAnsi="仿宋_GB2312" w:eastAsia="仿宋_GB2312" w:cs="仿宋_GB2312"/>
          <w:sz w:val="32"/>
          <w:szCs w:val="32"/>
        </w:rPr>
        <w:t>总计</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207.35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9.46</w:t>
      </w:r>
      <w:r>
        <w:rPr>
          <w:rFonts w:hint="eastAsia" w:ascii="仿宋_GB2312" w:hAnsi="仿宋_GB2312" w:eastAsia="仿宋_GB2312" w:cs="仿宋_GB2312"/>
          <w:sz w:val="32"/>
          <w:szCs w:val="32"/>
        </w:rPr>
        <w:t>%。主要变动原因是：</w:t>
      </w:r>
      <w:r>
        <w:rPr>
          <w:rFonts w:hint="eastAsia" w:ascii="仿宋_GB2312" w:hAnsi="仿宋_GB2312" w:eastAsia="仿宋_GB2312" w:cs="仿宋_GB2312"/>
          <w:color w:val="000000"/>
          <w:sz w:val="32"/>
          <w:szCs w:val="32"/>
          <w:shd w:val="clear" w:color="auto" w:fill="FFFFFF"/>
        </w:rPr>
        <w:t>一是</w:t>
      </w:r>
      <w:r>
        <w:rPr>
          <w:rFonts w:hint="eastAsia" w:ascii="仿宋_GB2312" w:hAnsi="仿宋_GB2312" w:eastAsia="仿宋_GB2312" w:cs="仿宋_GB2312"/>
          <w:color w:val="000000"/>
          <w:sz w:val="32"/>
          <w:szCs w:val="32"/>
          <w:shd w:val="clear" w:color="auto" w:fill="FFFFFF"/>
          <w:lang w:eastAsia="zh-CN"/>
        </w:rPr>
        <w:t>主要是</w:t>
      </w:r>
      <w:r>
        <w:rPr>
          <w:rFonts w:hint="eastAsia" w:ascii="仿宋_GB2312" w:hAnsi="仿宋_GB2312" w:eastAsia="仿宋_GB2312" w:cs="仿宋_GB2312"/>
          <w:color w:val="000000"/>
          <w:sz w:val="32"/>
          <w:szCs w:val="32"/>
          <w:shd w:val="clear" w:color="auto" w:fill="FFFFFF"/>
        </w:rPr>
        <w:t>202</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年</w:t>
      </w:r>
      <w:r>
        <w:rPr>
          <w:rFonts w:hint="eastAsia" w:ascii="仿宋_GB2312" w:hAnsi="仿宋_GB2312" w:eastAsia="仿宋_GB2312" w:cs="仿宋_GB2312"/>
          <w:color w:val="000000"/>
          <w:sz w:val="32"/>
          <w:szCs w:val="32"/>
          <w:shd w:val="clear" w:color="auto" w:fill="FFFFFF"/>
          <w:lang w:eastAsia="zh-CN"/>
        </w:rPr>
        <w:t>纪委业务用房改扩建项目资金拔付金额减少。二</w:t>
      </w:r>
      <w:r>
        <w:rPr>
          <w:rFonts w:hint="eastAsia" w:ascii="仿宋_GB2312" w:hAnsi="仿宋_GB2312" w:eastAsia="仿宋_GB2312" w:cs="仿宋_GB2312"/>
          <w:color w:val="000000"/>
          <w:sz w:val="32"/>
          <w:szCs w:val="32"/>
          <w:shd w:val="clear" w:color="auto" w:fill="FFFFFF"/>
        </w:rPr>
        <w:t>是每年的工资、</w:t>
      </w:r>
      <w:r>
        <w:rPr>
          <w:rFonts w:hint="eastAsia" w:ascii="仿宋_GB2312" w:hAnsi="仿宋_GB2312" w:eastAsia="仿宋_GB2312" w:cs="仿宋_GB2312"/>
          <w:color w:val="000000"/>
          <w:sz w:val="32"/>
          <w:szCs w:val="32"/>
          <w:shd w:val="clear" w:color="auto" w:fill="FFFFFF"/>
          <w:lang w:val="en-US" w:eastAsia="zh-CN"/>
        </w:rPr>
        <w:t>各类</w:t>
      </w:r>
      <w:r>
        <w:rPr>
          <w:rFonts w:hint="eastAsia" w:ascii="仿宋_GB2312" w:hAnsi="仿宋_GB2312" w:eastAsia="仿宋_GB2312" w:cs="仿宋_GB2312"/>
          <w:color w:val="000000"/>
          <w:sz w:val="32"/>
          <w:szCs w:val="32"/>
          <w:shd w:val="clear" w:color="auto" w:fill="FFFFFF"/>
        </w:rPr>
        <w:t>保险</w:t>
      </w:r>
      <w:r>
        <w:rPr>
          <w:rFonts w:hint="eastAsia" w:ascii="仿宋_GB2312" w:hAnsi="仿宋_GB2312" w:eastAsia="仿宋_GB2312" w:cs="仿宋_GB2312"/>
          <w:color w:val="000000"/>
          <w:sz w:val="32"/>
          <w:szCs w:val="32"/>
          <w:shd w:val="clear" w:color="auto" w:fill="FFFFFF"/>
          <w:lang w:val="en-US" w:eastAsia="zh-CN"/>
        </w:rPr>
        <w:t>基数</w:t>
      </w:r>
      <w:r>
        <w:rPr>
          <w:rFonts w:hint="eastAsia" w:ascii="仿宋_GB2312" w:hAnsi="仿宋_GB2312" w:eastAsia="仿宋_GB2312" w:cs="仿宋_GB2312"/>
          <w:color w:val="000000"/>
          <w:sz w:val="32"/>
          <w:szCs w:val="32"/>
          <w:shd w:val="clear" w:color="auto" w:fill="FFFFFF"/>
        </w:rPr>
        <w:t>、公积金的变动</w:t>
      </w:r>
      <w:r>
        <w:rPr>
          <w:rFonts w:hint="eastAsia" w:ascii="仿宋_GB2312" w:hAnsi="仿宋_GB2312" w:eastAsia="仿宋_GB2312" w:cs="仿宋_GB2312"/>
          <w:color w:val="000000"/>
          <w:sz w:val="32"/>
          <w:szCs w:val="32"/>
          <w:shd w:val="clear" w:color="auto" w:fill="FFFFFF"/>
          <w:lang w:val="en-US" w:eastAsia="zh-CN"/>
        </w:rPr>
        <w:t>较大</w:t>
      </w:r>
      <w:r>
        <w:rPr>
          <w:rFonts w:hint="eastAsia" w:ascii="仿宋_GB2312" w:hAnsi="仿宋_GB2312" w:eastAsia="仿宋_GB2312" w:cs="仿宋_GB2312"/>
          <w:color w:val="000000"/>
          <w:sz w:val="32"/>
          <w:szCs w:val="32"/>
          <w:shd w:val="clear" w:color="auto" w:fill="FFFFFF"/>
        </w:rPr>
        <w:t>。</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（图4：财政拨款收、支决算总计变动情况）（柱状图）</w:t>
      </w:r>
    </w:p>
    <w:p>
      <w:pPr>
        <w:pStyle w:val="11"/>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rPr>
      </w:pPr>
    </w:p>
    <w:p>
      <w:pPr>
        <w:pStyle w:val="8"/>
        <w:pageBreakBefore w:val="0"/>
        <w:kinsoku/>
        <w:wordWrap/>
        <w:overflowPunct/>
        <w:topLinePunct w:val="0"/>
        <w:bidi w:val="0"/>
        <w:spacing w:beforeAutospacing="0" w:afterAutospacing="0" w:line="576" w:lineRule="exact"/>
        <w:ind w:left="0" w:leftChars="0" w:right="0"/>
        <w:rPr>
          <w:rFonts w:hint="eastAsia" w:ascii="仿宋_GB2312" w:hAnsi="仿宋_GB2312" w:eastAsia="仿宋_GB2312" w:cs="仿宋_GB2312"/>
          <w:sz w:val="32"/>
          <w:szCs w:val="32"/>
        </w:rPr>
      </w:pPr>
    </w:p>
    <w:p>
      <w:pPr>
        <w:pStyle w:val="8"/>
        <w:pageBreakBefore w:val="0"/>
        <w:kinsoku/>
        <w:wordWrap/>
        <w:overflowPunct/>
        <w:topLinePunct w:val="0"/>
        <w:bidi w:val="0"/>
        <w:spacing w:beforeAutospacing="0" w:afterAutospacing="0" w:line="576" w:lineRule="exact"/>
        <w:ind w:left="0" w:leftChars="0" w:right="0"/>
        <w:rPr>
          <w:rStyle w:val="21"/>
          <w:rFonts w:hint="eastAsia" w:ascii="黑体" w:hAnsi="黑体" w:eastAsia="黑体" w:cs="黑体"/>
          <w:b w:val="0"/>
          <w:sz w:val="32"/>
          <w:szCs w:val="32"/>
        </w:rPr>
      </w:pPr>
      <w:r>
        <w:rPr>
          <w:rFonts w:hint="eastAsia" w:ascii="黑体" w:hAnsi="黑体" w:eastAsia="黑体" w:cs="黑体"/>
          <w:sz w:val="32"/>
          <w:szCs w:val="32"/>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62230</wp:posOffset>
            </wp:positionV>
            <wp:extent cx="4972050" cy="1925320"/>
            <wp:effectExtent l="5080" t="4445" r="13970" b="13335"/>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bookmarkStart w:id="25" w:name="_Toc15377209"/>
      <w:bookmarkStart w:id="26" w:name="_Toc29964"/>
      <w:bookmarkStart w:id="27" w:name="_Toc15396607"/>
      <w:r>
        <w:rPr>
          <w:rFonts w:hint="eastAsia" w:ascii="黑体" w:hAnsi="黑体" w:eastAsia="黑体" w:cs="黑体"/>
          <w:sz w:val="32"/>
          <w:szCs w:val="32"/>
        </w:rPr>
        <w:t>五、</w:t>
      </w:r>
      <w:r>
        <w:rPr>
          <w:rFonts w:hint="eastAsia" w:ascii="黑体" w:hAnsi="黑体" w:eastAsia="黑体" w:cs="黑体"/>
          <w:b/>
          <w:sz w:val="32"/>
          <w:szCs w:val="32"/>
        </w:rPr>
        <w:t>一</w:t>
      </w:r>
      <w:r>
        <w:rPr>
          <w:rStyle w:val="21"/>
          <w:rFonts w:hint="eastAsia" w:ascii="黑体" w:hAnsi="黑体" w:eastAsia="黑体" w:cs="黑体"/>
          <w:b w:val="0"/>
          <w:sz w:val="32"/>
          <w:szCs w:val="32"/>
        </w:rPr>
        <w:t>般公共预算财政拨款支出决算情况说明</w:t>
      </w:r>
      <w:bookmarkEnd w:id="25"/>
      <w:bookmarkEnd w:id="26"/>
      <w:bookmarkEnd w:id="27"/>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2"/>
        <w:rPr>
          <w:rFonts w:hint="eastAsia" w:ascii="楷体_GB2312" w:hAnsi="楷体_GB2312" w:eastAsia="楷体_GB2312" w:cs="楷体_GB2312"/>
          <w:b/>
          <w:sz w:val="32"/>
          <w:szCs w:val="32"/>
        </w:rPr>
      </w:pPr>
      <w:bookmarkStart w:id="28" w:name="_Toc15377210"/>
      <w:r>
        <w:rPr>
          <w:rFonts w:hint="eastAsia" w:ascii="楷体_GB2312" w:hAnsi="楷体_GB2312" w:eastAsia="楷体_GB2312" w:cs="楷体_GB2312"/>
          <w:b/>
          <w:sz w:val="32"/>
          <w:szCs w:val="32"/>
        </w:rPr>
        <w:t>（一）一般公共预算财政拨款支出决算总体情况</w:t>
      </w:r>
      <w:bookmarkEnd w:id="28"/>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1985.2</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年相比，一般公共预算财政拨款支出</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214.64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11.75</w:t>
      </w:r>
      <w:r>
        <w:rPr>
          <w:rFonts w:hint="eastAsia" w:ascii="仿宋_GB2312" w:hAnsi="仿宋_GB2312" w:eastAsia="仿宋_GB2312" w:cs="仿宋_GB2312"/>
          <w:sz w:val="32"/>
          <w:szCs w:val="32"/>
        </w:rPr>
        <w:t>%。主要变动原因是：</w:t>
      </w:r>
      <w:r>
        <w:rPr>
          <w:rFonts w:hint="eastAsia" w:ascii="仿宋_GB2312" w:hAnsi="仿宋_GB2312" w:eastAsia="仿宋_GB2312" w:cs="仿宋_GB2312"/>
          <w:color w:val="000000"/>
          <w:sz w:val="32"/>
          <w:szCs w:val="32"/>
          <w:shd w:val="clear" w:color="auto" w:fill="FFFFFF"/>
        </w:rPr>
        <w:t>是202</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年</w:t>
      </w:r>
      <w:r>
        <w:rPr>
          <w:rFonts w:hint="eastAsia" w:ascii="仿宋_GB2312" w:hAnsi="仿宋_GB2312" w:eastAsia="仿宋_GB2312" w:cs="仿宋_GB2312"/>
          <w:color w:val="000000"/>
          <w:sz w:val="32"/>
          <w:szCs w:val="32"/>
          <w:shd w:val="clear" w:color="auto" w:fill="FFFFFF"/>
          <w:lang w:eastAsia="zh-CN"/>
        </w:rPr>
        <w:t>纪委业务用房改扩建项目经费减少</w:t>
      </w:r>
      <w:r>
        <w:rPr>
          <w:rFonts w:hint="eastAsia" w:ascii="仿宋_GB2312" w:hAnsi="仿宋_GB2312" w:eastAsia="仿宋_GB2312" w:cs="仿宋_GB2312"/>
          <w:color w:val="000000"/>
          <w:sz w:val="32"/>
          <w:szCs w:val="32"/>
          <w:shd w:val="clear" w:color="auto" w:fill="FFFFFF"/>
          <w:lang w:val="en-US" w:eastAsia="zh-CN"/>
        </w:rPr>
        <w:t>200多万元</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lang w:eastAsia="zh-CN"/>
        </w:rPr>
        <w:drawing>
          <wp:anchor distT="0" distB="0" distL="114300" distR="114300" simplePos="0" relativeHeight="251663360" behindDoc="0" locked="0" layoutInCell="1" allowOverlap="1">
            <wp:simplePos x="0" y="0"/>
            <wp:positionH relativeFrom="column">
              <wp:posOffset>255270</wp:posOffset>
            </wp:positionH>
            <wp:positionV relativeFrom="paragraph">
              <wp:posOffset>838835</wp:posOffset>
            </wp:positionV>
            <wp:extent cx="4918075" cy="2474595"/>
            <wp:effectExtent l="4445" t="4445" r="5080" b="10160"/>
            <wp:wrapSquare wrapText="bothSides"/>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_GB2312" w:hAnsi="仿宋_GB2312" w:eastAsia="仿宋_GB2312" w:cs="仿宋_GB2312"/>
          <w:sz w:val="32"/>
          <w:szCs w:val="32"/>
        </w:rPr>
        <w:t>（图5：一般公共预算财政拨款支出决算变动情况）（柱状图）</w:t>
      </w:r>
      <w:bookmarkStart w:id="29" w:name="_Toc15377211"/>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2"/>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lang w:eastAsia="zh-CN"/>
        </w:rPr>
        <w:t>　　</w:t>
      </w:r>
      <w:r>
        <w:rPr>
          <w:rFonts w:hint="eastAsia" w:ascii="楷体_GB2312" w:hAnsi="楷体_GB2312" w:eastAsia="楷体_GB2312" w:cs="楷体_GB2312"/>
          <w:b/>
          <w:sz w:val="32"/>
          <w:szCs w:val="32"/>
        </w:rPr>
        <w:t>（二）一般公共预算财政拨款支出决算结构情况</w:t>
      </w:r>
      <w:bookmarkEnd w:id="29"/>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1985.2</w:t>
      </w:r>
      <w:r>
        <w:rPr>
          <w:rFonts w:hint="eastAsia" w:ascii="仿宋_GB2312" w:hAnsi="仿宋_GB2312" w:eastAsia="仿宋_GB2312" w:cs="仿宋_GB2312"/>
          <w:sz w:val="32"/>
          <w:szCs w:val="32"/>
        </w:rPr>
        <w:t>万元，主要用于以下方面:</w:t>
      </w:r>
      <w:r>
        <w:rPr>
          <w:rFonts w:hint="eastAsia" w:ascii="仿宋_GB2312" w:hAnsi="仿宋_GB2312" w:eastAsia="仿宋_GB2312" w:cs="仿宋_GB2312"/>
          <w:b/>
          <w:sz w:val="32"/>
          <w:szCs w:val="32"/>
        </w:rPr>
        <w:t>一般公共服务（类）</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val="en-US" w:eastAsia="zh-CN"/>
        </w:rPr>
        <w:t>1612.1</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81.21</w:t>
      </w:r>
      <w:r>
        <w:rPr>
          <w:rFonts w:hint="eastAsia" w:ascii="仿宋_GB2312" w:hAnsi="仿宋_GB2312" w:eastAsia="仿宋_GB2312" w:cs="仿宋_GB2312"/>
          <w:sz w:val="32"/>
          <w:szCs w:val="32"/>
        </w:rPr>
        <w:t>%；</w:t>
      </w:r>
      <w:r>
        <w:rPr>
          <w:rFonts w:hint="eastAsia" w:ascii="仿宋_GB2312" w:hAnsi="仿宋_GB2312" w:eastAsia="仿宋_GB2312" w:cs="仿宋_GB2312"/>
          <w:b/>
          <w:sz w:val="32"/>
          <w:szCs w:val="32"/>
        </w:rPr>
        <w:t>社会保障和就业（类）</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val="en-US" w:eastAsia="zh-CN"/>
        </w:rPr>
        <w:t>194.73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9.81</w:t>
      </w:r>
      <w:r>
        <w:rPr>
          <w:rFonts w:hint="eastAsia" w:ascii="仿宋_GB2312" w:hAnsi="仿宋_GB2312" w:eastAsia="仿宋_GB2312" w:cs="仿宋_GB2312"/>
          <w:sz w:val="32"/>
          <w:szCs w:val="32"/>
        </w:rPr>
        <w:t>%；</w:t>
      </w:r>
      <w:r>
        <w:rPr>
          <w:rFonts w:hint="eastAsia" w:ascii="仿宋_GB2312" w:hAnsi="仿宋_GB2312" w:eastAsia="仿宋_GB2312" w:cs="仿宋_GB2312"/>
          <w:b/>
          <w:sz w:val="32"/>
          <w:szCs w:val="32"/>
        </w:rPr>
        <w:t>卫生健康支出</w:t>
      </w:r>
      <w:r>
        <w:rPr>
          <w:rFonts w:hint="eastAsia" w:ascii="仿宋_GB2312" w:hAnsi="仿宋_GB2312" w:eastAsia="仿宋_GB2312" w:cs="仿宋_GB2312"/>
          <w:sz w:val="32"/>
          <w:szCs w:val="32"/>
          <w:lang w:val="en-US" w:eastAsia="zh-CN"/>
        </w:rPr>
        <w:t>72.75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3.66</w:t>
      </w:r>
      <w:r>
        <w:rPr>
          <w:rFonts w:hint="eastAsia" w:ascii="仿宋_GB2312" w:hAnsi="仿宋_GB2312" w:eastAsia="仿宋_GB2312" w:cs="仿宋_GB2312"/>
          <w:sz w:val="32"/>
          <w:szCs w:val="32"/>
        </w:rPr>
        <w:t>%；</w:t>
      </w:r>
      <w:r>
        <w:rPr>
          <w:rFonts w:hint="eastAsia" w:ascii="仿宋_GB2312" w:hAnsi="仿宋_GB2312" w:eastAsia="仿宋_GB2312" w:cs="仿宋_GB2312"/>
          <w:b/>
          <w:sz w:val="32"/>
          <w:szCs w:val="32"/>
        </w:rPr>
        <w:t>住房保障</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val="en-US" w:eastAsia="zh-CN"/>
        </w:rPr>
        <w:t>105.62</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5.32</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42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lang w:eastAsia="zh-CN"/>
        </w:rPr>
        <w:drawing>
          <wp:anchor distT="0" distB="0" distL="114300" distR="114300" simplePos="0" relativeHeight="251664384" behindDoc="0" locked="0" layoutInCell="1" allowOverlap="1">
            <wp:simplePos x="0" y="0"/>
            <wp:positionH relativeFrom="column">
              <wp:posOffset>5080</wp:posOffset>
            </wp:positionH>
            <wp:positionV relativeFrom="paragraph">
              <wp:posOffset>681990</wp:posOffset>
            </wp:positionV>
            <wp:extent cx="5158740" cy="2214880"/>
            <wp:effectExtent l="4445" t="4445" r="5715" b="15875"/>
            <wp:wrapSquare wrapText="bothSides"/>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仿宋_GB2312" w:hAnsi="仿宋_GB2312" w:eastAsia="仿宋_GB2312" w:cs="仿宋_GB2312"/>
          <w:sz w:val="32"/>
          <w:szCs w:val="32"/>
        </w:rPr>
        <w:t>（图6：一般公共预算财政拨款支出决算结构）（饼状图）</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2"/>
        <w:rPr>
          <w:rFonts w:hint="eastAsia" w:ascii="楷体_GB2312" w:hAnsi="楷体_GB2312" w:eastAsia="楷体_GB2312" w:cs="楷体_GB2312"/>
          <w:b/>
          <w:sz w:val="32"/>
          <w:szCs w:val="32"/>
        </w:rPr>
      </w:pPr>
      <w:bookmarkStart w:id="30" w:name="_Toc15377212"/>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2"/>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（三）一般公共预算财政拨款支出决算具体情况</w:t>
      </w:r>
      <w:bookmarkEnd w:id="30"/>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textAlignment w:val="auto"/>
        <w:outlineLvl w:val="2"/>
        <w:rPr>
          <w:rFonts w:hint="eastAsia" w:ascii="仿宋_GB2312" w:hAnsi="仿宋_GB2312" w:eastAsia="仿宋_GB2312" w:cs="仿宋_GB2312"/>
          <w:b w:val="0"/>
          <w:bCs/>
          <w:sz w:val="32"/>
          <w:szCs w:val="32"/>
        </w:rPr>
      </w:pPr>
      <w:bookmarkStart w:id="31" w:name="_Toc15378460"/>
      <w:bookmarkStart w:id="32" w:name="_Toc15377444"/>
      <w:bookmarkStart w:id="33" w:name="_Toc15377213"/>
      <w:r>
        <w:rPr>
          <w:rFonts w:hint="eastAsia" w:ascii="仿宋_GB2312" w:hAnsi="仿宋_GB2312" w:eastAsia="仿宋_GB2312" w:cs="仿宋_GB2312"/>
          <w:b w:val="0"/>
          <w:bCs/>
          <w:sz w:val="32"/>
          <w:szCs w:val="32"/>
        </w:rPr>
        <w:t>202</w:t>
      </w:r>
      <w:r>
        <w:rPr>
          <w:rFonts w:hint="eastAsia" w:ascii="仿宋_GB2312" w:hAnsi="仿宋_GB2312" w:eastAsia="仿宋_GB2312" w:cs="仿宋_GB2312"/>
          <w:b w:val="0"/>
          <w:bCs/>
          <w:sz w:val="32"/>
          <w:szCs w:val="32"/>
          <w:lang w:val="en-US" w:eastAsia="zh-CN"/>
        </w:rPr>
        <w:t>5</w:t>
      </w:r>
      <w:r>
        <w:rPr>
          <w:rFonts w:hint="eastAsia" w:ascii="仿宋_GB2312" w:hAnsi="仿宋_GB2312" w:eastAsia="仿宋_GB2312" w:cs="仿宋_GB2312"/>
          <w:b w:val="0"/>
          <w:bCs/>
          <w:sz w:val="32"/>
          <w:szCs w:val="32"/>
        </w:rPr>
        <w:t>年一般公共预算支出决算数为</w:t>
      </w:r>
      <w:r>
        <w:rPr>
          <w:rFonts w:hint="eastAsia" w:ascii="仿宋_GB2312" w:hAnsi="仿宋_GB2312" w:eastAsia="仿宋_GB2312" w:cs="仿宋_GB2312"/>
          <w:b w:val="0"/>
          <w:bCs/>
          <w:sz w:val="32"/>
          <w:szCs w:val="32"/>
          <w:lang w:val="en-US" w:eastAsia="zh-CN"/>
        </w:rPr>
        <w:t>1985.2</w:t>
      </w:r>
      <w:r>
        <w:rPr>
          <w:rFonts w:hint="eastAsia" w:ascii="仿宋_GB2312" w:hAnsi="仿宋_GB2312" w:eastAsia="仿宋_GB2312" w:cs="仿宋_GB2312"/>
          <w:b w:val="0"/>
          <w:bCs/>
          <w:sz w:val="32"/>
          <w:szCs w:val="32"/>
        </w:rPr>
        <w:t>，</w:t>
      </w:r>
      <w:r>
        <w:rPr>
          <w:rStyle w:val="18"/>
          <w:rFonts w:hint="eastAsia" w:ascii="仿宋_GB2312" w:hAnsi="仿宋_GB2312" w:eastAsia="仿宋_GB2312" w:cs="仿宋_GB2312"/>
          <w:b w:val="0"/>
          <w:bCs/>
          <w:sz w:val="32"/>
          <w:szCs w:val="32"/>
        </w:rPr>
        <w:t>完成预算100%。其中：</w:t>
      </w:r>
      <w:bookmarkEnd w:id="31"/>
      <w:bookmarkEnd w:id="32"/>
      <w:bookmarkEnd w:id="33"/>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right="0" w:rightChars="0"/>
        <w:textAlignment w:val="auto"/>
        <w:rPr>
          <w:rFonts w:hint="eastAsia" w:ascii="仿宋_GB2312" w:hAnsi="仿宋_GB2312" w:eastAsia="仿宋_GB2312" w:cs="仿宋_GB2312"/>
          <w:b/>
          <w:color w:val="000000"/>
          <w:sz w:val="32"/>
          <w:szCs w:val="32"/>
        </w:rPr>
      </w:pPr>
      <w:r>
        <w:rPr>
          <w:rStyle w:val="18"/>
          <w:rFonts w:hint="eastAsia" w:ascii="仿宋_GB2312" w:hAnsi="仿宋_GB2312" w:eastAsia="仿宋_GB2312" w:cs="仿宋_GB2312"/>
          <w:bCs/>
          <w:sz w:val="32"/>
          <w:szCs w:val="32"/>
          <w:lang w:eastAsia="zh-CN"/>
        </w:rPr>
        <w:t>　　</w:t>
      </w:r>
      <w:r>
        <w:rPr>
          <w:rStyle w:val="18"/>
          <w:rFonts w:hint="eastAsia" w:ascii="仿宋_GB2312" w:hAnsi="仿宋_GB2312" w:eastAsia="仿宋_GB2312" w:cs="仿宋_GB2312"/>
          <w:bCs/>
          <w:sz w:val="32"/>
          <w:szCs w:val="32"/>
          <w:lang w:val="en-US" w:eastAsia="zh-CN"/>
        </w:rPr>
        <w:t>1.</w:t>
      </w:r>
      <w:r>
        <w:rPr>
          <w:rStyle w:val="18"/>
          <w:rFonts w:hint="eastAsia" w:ascii="仿宋_GB2312" w:hAnsi="仿宋_GB2312" w:eastAsia="仿宋_GB2312" w:cs="仿宋_GB2312"/>
          <w:bCs/>
          <w:sz w:val="32"/>
          <w:szCs w:val="32"/>
        </w:rPr>
        <w:t>一般公共服务支出:</w:t>
      </w:r>
      <w:r>
        <w:rPr>
          <w:rStyle w:val="18"/>
          <w:rFonts w:hint="eastAsia" w:ascii="仿宋_GB2312" w:hAnsi="仿宋_GB2312" w:eastAsia="仿宋_GB2312" w:cs="仿宋_GB2312"/>
          <w:b w:val="0"/>
          <w:bCs/>
          <w:sz w:val="32"/>
          <w:szCs w:val="32"/>
        </w:rPr>
        <w:t>2011101-行政运行支出决算为</w:t>
      </w:r>
      <w:r>
        <w:rPr>
          <w:rStyle w:val="18"/>
          <w:rFonts w:hint="eastAsia" w:ascii="仿宋_GB2312" w:hAnsi="仿宋_GB2312" w:eastAsia="仿宋_GB2312" w:cs="仿宋_GB2312"/>
          <w:b w:val="0"/>
          <w:bCs/>
          <w:sz w:val="32"/>
          <w:szCs w:val="32"/>
          <w:lang w:val="en-US" w:eastAsia="zh-CN"/>
        </w:rPr>
        <w:t>1078.19</w:t>
      </w:r>
      <w:r>
        <w:rPr>
          <w:rStyle w:val="18"/>
          <w:rFonts w:hint="eastAsia" w:ascii="仿宋_GB2312" w:hAnsi="仿宋_GB2312" w:eastAsia="仿宋_GB2312" w:cs="仿宋_GB2312"/>
          <w:b w:val="0"/>
          <w:bCs/>
          <w:sz w:val="32"/>
          <w:szCs w:val="32"/>
        </w:rPr>
        <w:t>万元，完成预算100%，主要用于开支日常公用经费及人员经费</w:t>
      </w:r>
      <w:r>
        <w:rPr>
          <w:rStyle w:val="18"/>
          <w:rFonts w:hint="eastAsia" w:ascii="仿宋_GB2312" w:hAnsi="仿宋_GB2312" w:eastAsia="仿宋_GB2312" w:cs="仿宋_GB2312"/>
          <w:b w:val="0"/>
          <w:bCs/>
          <w:sz w:val="32"/>
          <w:szCs w:val="32"/>
          <w:lang w:val="en-US" w:eastAsia="zh-CN"/>
        </w:rPr>
        <w:t>支出</w:t>
      </w:r>
      <w:r>
        <w:rPr>
          <w:rStyle w:val="18"/>
          <w:rFonts w:hint="eastAsia" w:ascii="仿宋_GB2312" w:hAnsi="仿宋_GB2312" w:eastAsia="仿宋_GB2312" w:cs="仿宋_GB2312"/>
          <w:b w:val="0"/>
          <w:bCs/>
          <w:sz w:val="32"/>
          <w:szCs w:val="32"/>
        </w:rPr>
        <w:t>；2011102-一般行政管理事务支出决算为</w:t>
      </w:r>
      <w:r>
        <w:rPr>
          <w:rStyle w:val="18"/>
          <w:rFonts w:hint="eastAsia" w:ascii="仿宋_GB2312" w:hAnsi="仿宋_GB2312" w:eastAsia="仿宋_GB2312" w:cs="仿宋_GB2312"/>
          <w:b w:val="0"/>
          <w:bCs/>
          <w:sz w:val="32"/>
          <w:szCs w:val="32"/>
          <w:lang w:val="en-US" w:eastAsia="zh-CN"/>
        </w:rPr>
        <w:t>347.99</w:t>
      </w:r>
      <w:r>
        <w:rPr>
          <w:rStyle w:val="18"/>
          <w:rFonts w:hint="eastAsia" w:ascii="仿宋_GB2312" w:hAnsi="仿宋_GB2312" w:eastAsia="仿宋_GB2312" w:cs="仿宋_GB2312"/>
          <w:b w:val="0"/>
          <w:bCs/>
          <w:sz w:val="32"/>
          <w:szCs w:val="32"/>
        </w:rPr>
        <w:t>万元，完成预算100%，主要用于</w:t>
      </w:r>
      <w:r>
        <w:rPr>
          <w:rStyle w:val="18"/>
          <w:rFonts w:hint="eastAsia" w:ascii="仿宋_GB2312" w:hAnsi="仿宋_GB2312" w:eastAsia="仿宋_GB2312" w:cs="仿宋_GB2312"/>
          <w:b w:val="0"/>
          <w:bCs/>
          <w:sz w:val="32"/>
          <w:szCs w:val="32"/>
          <w:lang w:val="en-US" w:eastAsia="zh-CN"/>
        </w:rPr>
        <w:t>纪委业务用房改扩建项目经费及其它</w:t>
      </w:r>
      <w:r>
        <w:rPr>
          <w:rStyle w:val="18"/>
          <w:rFonts w:hint="eastAsia" w:ascii="仿宋_GB2312" w:hAnsi="仿宋_GB2312" w:eastAsia="仿宋_GB2312" w:cs="仿宋_GB2312"/>
          <w:b w:val="0"/>
          <w:bCs/>
          <w:sz w:val="32"/>
          <w:szCs w:val="32"/>
        </w:rPr>
        <w:t>专项</w:t>
      </w:r>
      <w:r>
        <w:rPr>
          <w:rStyle w:val="18"/>
          <w:rFonts w:hint="eastAsia" w:ascii="仿宋_GB2312" w:hAnsi="仿宋_GB2312" w:eastAsia="仿宋_GB2312" w:cs="仿宋_GB2312"/>
          <w:b w:val="0"/>
          <w:bCs/>
          <w:sz w:val="32"/>
          <w:szCs w:val="32"/>
          <w:lang w:eastAsia="zh-CN"/>
        </w:rPr>
        <w:t>工作</w:t>
      </w:r>
      <w:r>
        <w:rPr>
          <w:rStyle w:val="18"/>
          <w:rFonts w:hint="eastAsia" w:ascii="仿宋_GB2312" w:hAnsi="仿宋_GB2312" w:eastAsia="仿宋_GB2312" w:cs="仿宋_GB2312"/>
          <w:b w:val="0"/>
          <w:bCs/>
          <w:sz w:val="32"/>
          <w:szCs w:val="32"/>
        </w:rPr>
        <w:t>经费</w:t>
      </w:r>
      <w:r>
        <w:rPr>
          <w:rStyle w:val="18"/>
          <w:rFonts w:hint="eastAsia" w:ascii="仿宋_GB2312" w:hAnsi="仿宋_GB2312" w:eastAsia="仿宋_GB2312" w:cs="仿宋_GB2312"/>
          <w:b w:val="0"/>
          <w:bCs/>
          <w:sz w:val="32"/>
          <w:szCs w:val="32"/>
          <w:lang w:val="en-US" w:eastAsia="zh-CN"/>
        </w:rPr>
        <w:t>支出</w:t>
      </w:r>
      <w:r>
        <w:rPr>
          <w:rStyle w:val="18"/>
          <w:rFonts w:hint="eastAsia" w:ascii="仿宋_GB2312" w:hAnsi="仿宋_GB2312" w:eastAsia="仿宋_GB2312" w:cs="仿宋_GB2312"/>
          <w:b w:val="0"/>
          <w:bCs/>
          <w:sz w:val="32"/>
          <w:szCs w:val="32"/>
        </w:rPr>
        <w:t>；2011106</w:t>
      </w:r>
      <w:r>
        <w:rPr>
          <w:rStyle w:val="18"/>
          <w:rFonts w:hint="eastAsia" w:ascii="仿宋_GB2312" w:hAnsi="仿宋_GB2312" w:eastAsia="仿宋_GB2312" w:cs="仿宋_GB2312"/>
          <w:b w:val="0"/>
          <w:bCs/>
          <w:sz w:val="32"/>
          <w:szCs w:val="32"/>
          <w:lang w:val="en-US" w:eastAsia="zh-CN"/>
        </w:rPr>
        <w:t>-巡视工作支出决算10万元，完成预算100％，主要用于巡察工作经费;2011150-事业运行支出27.1万元，主要用于巡察保障服务中心日常运转；</w:t>
      </w:r>
      <w:r>
        <w:rPr>
          <w:rStyle w:val="18"/>
          <w:rFonts w:hint="eastAsia" w:ascii="仿宋_GB2312" w:hAnsi="仿宋_GB2312" w:eastAsia="仿宋_GB2312" w:cs="仿宋_GB2312"/>
          <w:b w:val="0"/>
          <w:bCs/>
          <w:sz w:val="32"/>
          <w:szCs w:val="32"/>
        </w:rPr>
        <w:t>2011199</w:t>
      </w:r>
      <w:r>
        <w:rPr>
          <w:rStyle w:val="18"/>
          <w:rFonts w:hint="eastAsia" w:ascii="仿宋_GB2312" w:hAnsi="仿宋_GB2312" w:eastAsia="仿宋_GB2312" w:cs="仿宋_GB2312"/>
          <w:b w:val="0"/>
          <w:bCs/>
          <w:sz w:val="32"/>
          <w:szCs w:val="32"/>
        </w:rPr>
        <w:tab/>
      </w:r>
      <w:r>
        <w:rPr>
          <w:rStyle w:val="18"/>
          <w:rFonts w:hint="eastAsia" w:ascii="仿宋_GB2312" w:hAnsi="仿宋_GB2312" w:eastAsia="仿宋_GB2312" w:cs="仿宋_GB2312"/>
          <w:b w:val="0"/>
          <w:bCs/>
          <w:sz w:val="32"/>
          <w:szCs w:val="32"/>
        </w:rPr>
        <w:t>-纪检监察事务支出</w:t>
      </w:r>
      <w:r>
        <w:rPr>
          <w:rStyle w:val="18"/>
          <w:rFonts w:hint="eastAsia" w:ascii="仿宋_GB2312" w:hAnsi="仿宋_GB2312" w:eastAsia="仿宋_GB2312" w:cs="仿宋_GB2312"/>
          <w:b w:val="0"/>
          <w:bCs/>
          <w:sz w:val="32"/>
          <w:szCs w:val="32"/>
          <w:lang w:val="en-US" w:eastAsia="zh-CN"/>
        </w:rPr>
        <w:t>148.82万元</w:t>
      </w:r>
      <w:r>
        <w:rPr>
          <w:rStyle w:val="18"/>
          <w:rFonts w:hint="eastAsia" w:ascii="仿宋_GB2312" w:hAnsi="仿宋_GB2312" w:eastAsia="仿宋_GB2312" w:cs="仿宋_GB2312"/>
          <w:b w:val="0"/>
          <w:bCs/>
          <w:sz w:val="32"/>
          <w:szCs w:val="32"/>
        </w:rPr>
        <w:t>，完成预算100%</w:t>
      </w:r>
      <w:r>
        <w:rPr>
          <w:rStyle w:val="18"/>
          <w:rFonts w:hint="eastAsia" w:ascii="仿宋_GB2312" w:hAnsi="仿宋_GB2312" w:eastAsia="仿宋_GB2312" w:cs="仿宋_GB2312"/>
          <w:b w:val="0"/>
          <w:bCs/>
          <w:sz w:val="32"/>
          <w:szCs w:val="32"/>
          <w:lang w:eastAsia="zh-CN"/>
        </w:rPr>
        <w:t>，</w:t>
      </w:r>
      <w:r>
        <w:rPr>
          <w:rStyle w:val="18"/>
          <w:rFonts w:hint="eastAsia" w:ascii="仿宋_GB2312" w:hAnsi="仿宋_GB2312" w:eastAsia="仿宋_GB2312" w:cs="仿宋_GB2312"/>
          <w:b w:val="0"/>
          <w:bCs/>
          <w:sz w:val="32"/>
          <w:szCs w:val="32"/>
          <w:lang w:val="en-US" w:eastAsia="zh-CN"/>
        </w:rPr>
        <w:t>主要</w:t>
      </w:r>
      <w:bookmarkStart w:id="34" w:name="_Toc29471"/>
      <w:bookmarkStart w:id="35" w:name="_Toc15396608"/>
      <w:bookmarkStart w:id="36" w:name="_Toc15377214"/>
      <w:r>
        <w:rPr>
          <w:rStyle w:val="18"/>
          <w:rFonts w:hint="eastAsia" w:ascii="仿宋_GB2312" w:hAnsi="仿宋_GB2312" w:eastAsia="仿宋_GB2312" w:cs="仿宋_GB2312"/>
          <w:b w:val="0"/>
          <w:bCs/>
          <w:sz w:val="32"/>
          <w:szCs w:val="32"/>
          <w:lang w:val="en-US" w:eastAsia="zh-CN"/>
        </w:rPr>
        <w:t>用于办案、执纪经费支出。</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firstLine="643" w:firstLineChars="200"/>
        <w:textAlignment w:val="auto"/>
        <w:rPr>
          <w:rFonts w:hint="eastAsia" w:ascii="仿宋_GB2312" w:hAnsi="仿宋_GB2312" w:eastAsia="仿宋_GB2312" w:cs="仿宋_GB2312"/>
          <w:b/>
          <w:color w:val="000000"/>
          <w:sz w:val="32"/>
          <w:szCs w:val="32"/>
        </w:rPr>
      </w:pPr>
      <w:r>
        <w:rPr>
          <w:rStyle w:val="18"/>
          <w:rFonts w:hint="eastAsia" w:ascii="仿宋_GB2312" w:hAnsi="仿宋_GB2312" w:eastAsia="仿宋_GB2312" w:cs="仿宋_GB2312"/>
          <w:bCs/>
          <w:sz w:val="32"/>
          <w:szCs w:val="32"/>
          <w:lang w:val="en-US" w:eastAsia="zh-CN"/>
        </w:rPr>
        <w:t>2.</w:t>
      </w:r>
      <w:r>
        <w:rPr>
          <w:rStyle w:val="18"/>
          <w:rFonts w:hint="eastAsia" w:ascii="仿宋_GB2312" w:hAnsi="仿宋_GB2312" w:eastAsia="仿宋_GB2312" w:cs="仿宋_GB2312"/>
          <w:bCs/>
          <w:sz w:val="32"/>
          <w:szCs w:val="32"/>
        </w:rPr>
        <w:t>社会保障和就业</w:t>
      </w:r>
      <w:r>
        <w:rPr>
          <w:rStyle w:val="18"/>
          <w:rFonts w:hint="eastAsia" w:ascii="仿宋_GB2312" w:hAnsi="仿宋_GB2312" w:eastAsia="仿宋_GB2312" w:cs="仿宋_GB2312"/>
          <w:bCs/>
          <w:sz w:val="32"/>
          <w:szCs w:val="32"/>
          <w:lang w:eastAsia="zh-CN"/>
        </w:rPr>
        <w:t>支出</w:t>
      </w:r>
      <w:r>
        <w:rPr>
          <w:rStyle w:val="18"/>
          <w:rFonts w:hint="eastAsia" w:ascii="仿宋_GB2312" w:hAnsi="仿宋_GB2312" w:eastAsia="仿宋_GB2312" w:cs="仿宋_GB2312"/>
          <w:bCs/>
          <w:sz w:val="32"/>
          <w:szCs w:val="32"/>
        </w:rPr>
        <w:t>:</w:t>
      </w:r>
      <w:r>
        <w:rPr>
          <w:rStyle w:val="18"/>
          <w:rFonts w:hint="eastAsia" w:ascii="仿宋_GB2312" w:hAnsi="仿宋_GB2312" w:eastAsia="仿宋_GB2312" w:cs="仿宋_GB2312"/>
          <w:b w:val="0"/>
          <w:bCs/>
          <w:sz w:val="32"/>
          <w:szCs w:val="32"/>
        </w:rPr>
        <w:t xml:space="preserve"> </w:t>
      </w:r>
      <w:r>
        <w:rPr>
          <w:rStyle w:val="18"/>
          <w:rFonts w:hint="eastAsia" w:ascii="仿宋_GB2312" w:hAnsi="仿宋_GB2312" w:eastAsia="仿宋_GB2312" w:cs="仿宋_GB2312"/>
          <w:b w:val="0"/>
          <w:bCs/>
          <w:color w:val="000000"/>
          <w:sz w:val="32"/>
          <w:szCs w:val="32"/>
        </w:rPr>
        <w:t>2080505</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rPr>
        <w:t>机关事业单位基本养老保险缴费支出决算</w:t>
      </w:r>
      <w:r>
        <w:rPr>
          <w:rStyle w:val="18"/>
          <w:rFonts w:hint="eastAsia" w:ascii="仿宋_GB2312" w:hAnsi="仿宋_GB2312" w:eastAsia="仿宋_GB2312" w:cs="仿宋_GB2312"/>
          <w:b w:val="0"/>
          <w:bCs/>
          <w:color w:val="000000"/>
          <w:sz w:val="32"/>
          <w:szCs w:val="32"/>
          <w:lang w:val="en-US" w:eastAsia="zh-CN"/>
        </w:rPr>
        <w:t>129.82</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全部用于职工缴纳养老保险单位部分；2080506</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机关事业单位职业年金缴费支出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64.91</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全部用于职工缴纳职业年金单位部分。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firstLine="643" w:firstLineChars="200"/>
        <w:textAlignment w:val="auto"/>
        <w:rPr>
          <w:rStyle w:val="18"/>
          <w:rFonts w:hint="eastAsia" w:ascii="仿宋_GB2312" w:hAnsi="仿宋_GB2312" w:eastAsia="仿宋_GB2312" w:cs="仿宋_GB2312"/>
          <w:b w:val="0"/>
          <w:bCs/>
          <w:color w:val="000000"/>
          <w:sz w:val="32"/>
          <w:szCs w:val="32"/>
          <w:lang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卫生健康</w:t>
      </w:r>
      <w:r>
        <w:rPr>
          <w:rFonts w:hint="eastAsia" w:ascii="仿宋_GB2312" w:hAnsi="仿宋_GB2312" w:eastAsia="仿宋_GB2312" w:cs="仿宋_GB2312"/>
          <w:b/>
          <w:bCs/>
          <w:sz w:val="32"/>
          <w:szCs w:val="32"/>
          <w:lang w:eastAsia="zh-CN"/>
        </w:rPr>
        <w:t>支出</w:t>
      </w:r>
      <w:r>
        <w:rPr>
          <w:rStyle w:val="18"/>
          <w:rFonts w:hint="eastAsia" w:ascii="仿宋_GB2312" w:hAnsi="仿宋_GB2312" w:eastAsia="仿宋_GB2312" w:cs="仿宋_GB2312"/>
          <w:bCs/>
          <w:sz w:val="32"/>
          <w:szCs w:val="32"/>
        </w:rPr>
        <w:t>:</w:t>
      </w:r>
      <w:r>
        <w:rPr>
          <w:rStyle w:val="18"/>
          <w:rFonts w:hint="eastAsia" w:ascii="仿宋_GB2312" w:hAnsi="仿宋_GB2312" w:eastAsia="仿宋_GB2312" w:cs="仿宋_GB2312"/>
          <w:b w:val="0"/>
          <w:bCs/>
          <w:color w:val="000000"/>
          <w:sz w:val="32"/>
          <w:szCs w:val="32"/>
          <w:lang w:eastAsia="zh-CN"/>
        </w:rPr>
        <w:t>2101101</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行政单位医疗支出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59.04</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，全部用于行政在职职工缴纳医疗保险单位部分；2101102</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事业单位医疗支出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1.61</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，全部用于事业在职职工缴纳医疗保险单位部分；2101103</w:t>
      </w:r>
      <w:r>
        <w:rPr>
          <w:rStyle w:val="18"/>
          <w:rFonts w:hint="eastAsia" w:ascii="仿宋_GB2312" w:hAnsi="仿宋_GB2312" w:eastAsia="仿宋_GB2312" w:cs="仿宋_GB2312"/>
          <w:b w:val="0"/>
          <w:bCs/>
          <w:color w:val="000000"/>
          <w:sz w:val="32"/>
          <w:szCs w:val="32"/>
          <w:lang w:eastAsia="zh-CN"/>
        </w:rPr>
        <w:tab/>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公务员医疗补助支出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11.83</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，全部用于行政在职职工公务员补充医保；2101199</w:t>
      </w:r>
      <w:r>
        <w:rPr>
          <w:rStyle w:val="18"/>
          <w:rFonts w:hint="eastAsia" w:ascii="仿宋_GB2312" w:hAnsi="仿宋_GB2312" w:eastAsia="仿宋_GB2312" w:cs="仿宋_GB2312"/>
          <w:b w:val="0"/>
          <w:bCs/>
          <w:color w:val="000000"/>
          <w:sz w:val="32"/>
          <w:szCs w:val="32"/>
          <w:lang w:val="en-US" w:eastAsia="zh-CN"/>
        </w:rPr>
        <w:t>-</w:t>
      </w:r>
      <w:r>
        <w:rPr>
          <w:rStyle w:val="18"/>
          <w:rFonts w:hint="eastAsia" w:ascii="仿宋_GB2312" w:hAnsi="仿宋_GB2312" w:eastAsia="仿宋_GB2312" w:cs="仿宋_GB2312"/>
          <w:b w:val="0"/>
          <w:bCs/>
          <w:color w:val="000000"/>
          <w:sz w:val="32"/>
          <w:szCs w:val="32"/>
          <w:lang w:eastAsia="zh-CN"/>
        </w:rPr>
        <w:t>其他行政事业单位医疗支出</w:t>
      </w:r>
      <w:r>
        <w:rPr>
          <w:rStyle w:val="18"/>
          <w:rFonts w:hint="eastAsia" w:ascii="仿宋_GB2312" w:hAnsi="仿宋_GB2312" w:eastAsia="仿宋_GB2312" w:cs="仿宋_GB2312"/>
          <w:b w:val="0"/>
          <w:bCs/>
          <w:color w:val="000000"/>
          <w:sz w:val="32"/>
          <w:szCs w:val="32"/>
        </w:rPr>
        <w:t>决算为</w:t>
      </w:r>
      <w:r>
        <w:rPr>
          <w:rStyle w:val="18"/>
          <w:rFonts w:hint="eastAsia" w:ascii="仿宋_GB2312" w:hAnsi="仿宋_GB2312" w:eastAsia="仿宋_GB2312" w:cs="仿宋_GB2312"/>
          <w:b w:val="0"/>
          <w:bCs/>
          <w:color w:val="000000"/>
          <w:sz w:val="32"/>
          <w:szCs w:val="32"/>
          <w:lang w:val="en-US" w:eastAsia="zh-CN"/>
        </w:rPr>
        <w:t>0.28</w:t>
      </w:r>
      <w:r>
        <w:rPr>
          <w:rStyle w:val="18"/>
          <w:rFonts w:hint="eastAsia" w:ascii="仿宋_GB2312" w:hAnsi="仿宋_GB2312" w:eastAsia="仿宋_GB2312" w:cs="仿宋_GB2312"/>
          <w:b w:val="0"/>
          <w:bCs/>
          <w:color w:val="000000"/>
          <w:sz w:val="32"/>
          <w:szCs w:val="32"/>
        </w:rPr>
        <w:t>万元，完成预算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rPr>
        <w:t>%</w:t>
      </w:r>
      <w:r>
        <w:rPr>
          <w:rStyle w:val="18"/>
          <w:rFonts w:hint="eastAsia" w:ascii="仿宋_GB2312" w:hAnsi="仿宋_GB2312" w:eastAsia="仿宋_GB2312" w:cs="仿宋_GB2312"/>
          <w:b w:val="0"/>
          <w:bCs/>
          <w:color w:val="000000"/>
          <w:sz w:val="32"/>
          <w:szCs w:val="32"/>
          <w:lang w:eastAsia="zh-CN"/>
        </w:rPr>
        <w:t>，全部用于缴纳事业在职职工补充医保。</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0" w:leftChars="0" w:right="0" w:firstLine="643" w:firstLineChars="200"/>
        <w:textAlignment w:val="auto"/>
        <w:rPr>
          <w:rStyle w:val="18"/>
          <w:rFonts w:hint="eastAsia" w:ascii="仿宋_GB2312" w:hAnsi="仿宋_GB2312" w:eastAsia="仿宋_GB2312" w:cs="仿宋_GB2312"/>
          <w:b w:val="0"/>
          <w:bCs/>
          <w:color w:val="000000"/>
          <w:sz w:val="32"/>
          <w:szCs w:val="32"/>
          <w:lang w:eastAsia="zh-CN"/>
        </w:rPr>
      </w:pPr>
      <w:r>
        <w:rPr>
          <w:rStyle w:val="18"/>
          <w:rFonts w:hint="eastAsia" w:ascii="仿宋_GB2312" w:hAnsi="仿宋_GB2312" w:eastAsia="仿宋_GB2312" w:cs="仿宋_GB2312"/>
          <w:b/>
          <w:bCs w:val="0"/>
          <w:color w:val="000000"/>
          <w:sz w:val="32"/>
          <w:szCs w:val="32"/>
          <w:lang w:val="en-US" w:eastAsia="zh-CN"/>
        </w:rPr>
        <w:t>4.住房保障支出：</w:t>
      </w:r>
      <w:r>
        <w:rPr>
          <w:rStyle w:val="18"/>
          <w:rFonts w:hint="eastAsia" w:ascii="仿宋_GB2312" w:hAnsi="仿宋_GB2312" w:eastAsia="仿宋_GB2312" w:cs="仿宋_GB2312"/>
          <w:b w:val="0"/>
          <w:bCs/>
          <w:color w:val="000000"/>
          <w:sz w:val="32"/>
          <w:szCs w:val="32"/>
          <w:lang w:val="en-US" w:eastAsia="zh-CN"/>
        </w:rPr>
        <w:t>2210201-住房公积金</w:t>
      </w:r>
      <w:r>
        <w:rPr>
          <w:rStyle w:val="18"/>
          <w:rFonts w:hint="eastAsia" w:ascii="仿宋_GB2312" w:hAnsi="仿宋_GB2312" w:eastAsia="仿宋_GB2312" w:cs="仿宋_GB2312"/>
          <w:b w:val="0"/>
          <w:bCs/>
          <w:color w:val="000000"/>
          <w:sz w:val="32"/>
          <w:szCs w:val="32"/>
          <w:lang w:eastAsia="zh-CN"/>
        </w:rPr>
        <w:t>支出决算为</w:t>
      </w:r>
      <w:r>
        <w:rPr>
          <w:rStyle w:val="18"/>
          <w:rFonts w:hint="eastAsia" w:ascii="仿宋_GB2312" w:hAnsi="仿宋_GB2312" w:eastAsia="仿宋_GB2312" w:cs="仿宋_GB2312"/>
          <w:b w:val="0"/>
          <w:bCs/>
          <w:color w:val="000000"/>
          <w:sz w:val="32"/>
          <w:szCs w:val="32"/>
          <w:lang w:val="en-US" w:eastAsia="zh-CN"/>
        </w:rPr>
        <w:t>105.62万元</w:t>
      </w:r>
      <w:r>
        <w:rPr>
          <w:rStyle w:val="18"/>
          <w:rFonts w:hint="eastAsia" w:ascii="仿宋_GB2312" w:hAnsi="仿宋_GB2312" w:eastAsia="仿宋_GB2312" w:cs="仿宋_GB2312"/>
          <w:b w:val="0"/>
          <w:bCs/>
          <w:color w:val="000000"/>
          <w:sz w:val="32"/>
          <w:szCs w:val="32"/>
          <w:lang w:eastAsia="zh-CN"/>
        </w:rPr>
        <w:t>，完成预算</w:t>
      </w:r>
      <w:r>
        <w:rPr>
          <w:rStyle w:val="18"/>
          <w:rFonts w:hint="eastAsia" w:ascii="仿宋_GB2312" w:hAnsi="仿宋_GB2312" w:eastAsia="仿宋_GB2312" w:cs="仿宋_GB2312"/>
          <w:b w:val="0"/>
          <w:bCs/>
          <w:color w:val="000000"/>
          <w:sz w:val="32"/>
          <w:szCs w:val="32"/>
          <w:lang w:val="en-US" w:eastAsia="zh-CN"/>
        </w:rPr>
        <w:t>100</w:t>
      </w:r>
      <w:r>
        <w:rPr>
          <w:rStyle w:val="18"/>
          <w:rFonts w:hint="eastAsia" w:ascii="仿宋_GB2312" w:hAnsi="仿宋_GB2312" w:eastAsia="仿宋_GB2312" w:cs="仿宋_GB2312"/>
          <w:b w:val="0"/>
          <w:bCs/>
          <w:color w:val="000000"/>
          <w:sz w:val="32"/>
          <w:szCs w:val="32"/>
          <w:lang w:eastAsia="zh-CN"/>
        </w:rPr>
        <w:t>%，全部用于行政事业职工缴纳住房公积金单位部分。</w:t>
      </w:r>
    </w:p>
    <w:p>
      <w:pPr>
        <w:keepNext w:val="0"/>
        <w:keepLines w:val="0"/>
        <w:pageBreakBefore w:val="0"/>
        <w:widowControl w:val="0"/>
        <w:tabs>
          <w:tab w:val="right" w:pos="8306"/>
        </w:tabs>
        <w:kinsoku/>
        <w:wordWrap/>
        <w:overflowPunct/>
        <w:topLinePunct w:val="0"/>
        <w:autoSpaceDE/>
        <w:autoSpaceDN/>
        <w:bidi w:val="0"/>
        <w:adjustRightInd/>
        <w:snapToGrid/>
        <w:spacing w:beforeAutospacing="0" w:afterAutospacing="0" w:line="576" w:lineRule="exact"/>
        <w:ind w:right="0"/>
        <w:textAlignment w:val="auto"/>
        <w:outlineLvl w:val="1"/>
        <w:rPr>
          <w:rStyle w:val="21"/>
          <w:rFonts w:hint="eastAsia" w:ascii="仿宋_GB2312" w:hAnsi="仿宋_GB2312" w:eastAsia="仿宋_GB2312" w:cs="仿宋_GB2312"/>
        </w:rPr>
      </w:pPr>
      <w:r>
        <w:rPr>
          <w:rFonts w:hint="eastAsia" w:ascii="黑体" w:hAnsi="黑体" w:eastAsia="黑体" w:cs="黑体"/>
          <w:sz w:val="32"/>
          <w:szCs w:val="32"/>
        </w:rPr>
        <w:t>六</w:t>
      </w:r>
      <w:r>
        <w:rPr>
          <w:rFonts w:hint="eastAsia" w:ascii="黑体" w:hAnsi="黑体" w:eastAsia="黑体" w:cs="黑体"/>
          <w:b/>
          <w:sz w:val="32"/>
          <w:szCs w:val="32"/>
        </w:rPr>
        <w:t>、一</w:t>
      </w:r>
      <w:r>
        <w:rPr>
          <w:rStyle w:val="21"/>
          <w:rFonts w:hint="eastAsia" w:ascii="黑体" w:hAnsi="黑体" w:eastAsia="黑体" w:cs="黑体"/>
          <w:b w:val="0"/>
        </w:rPr>
        <w:t>般公共预算财政拨款基本支出决算情况说明</w:t>
      </w:r>
      <w:bookmarkEnd w:id="34"/>
      <w:bookmarkEnd w:id="35"/>
      <w:bookmarkEnd w:id="36"/>
      <w:r>
        <w:rPr>
          <w:rStyle w:val="21"/>
          <w:rFonts w:hint="eastAsia" w:ascii="仿宋_GB2312" w:hAnsi="仿宋_GB2312" w:eastAsia="仿宋_GB2312" w:cs="仿宋_GB2312"/>
          <w:b w:val="0"/>
        </w:rPr>
        <w:tab/>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年一般公共预算财政拨款基本支出1105.29万元，其中：</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人员经费</w:t>
      </w:r>
      <w:r>
        <w:rPr>
          <w:rFonts w:hint="eastAsia" w:ascii="仿宋_GB2312" w:hAnsi="仿宋_GB2312" w:eastAsia="仿宋_GB2312" w:cs="仿宋_GB2312"/>
          <w:sz w:val="32"/>
          <w:szCs w:val="32"/>
          <w:lang w:val="en-US" w:eastAsia="zh-CN"/>
        </w:rPr>
        <w:t>1304.8</w:t>
      </w:r>
      <w:r>
        <w:rPr>
          <w:rFonts w:hint="eastAsia" w:ascii="仿宋_GB2312" w:hAnsi="仿宋_GB2312" w:eastAsia="仿宋_GB2312" w:cs="仿宋_GB2312"/>
          <w:sz w:val="32"/>
          <w:szCs w:val="32"/>
        </w:rPr>
        <w:t>万元，主要包括：基本工资</w:t>
      </w:r>
      <w:r>
        <w:rPr>
          <w:rFonts w:hint="eastAsia" w:ascii="仿宋_GB2312" w:hAnsi="仿宋_GB2312" w:eastAsia="仿宋_GB2312" w:cs="仿宋_GB2312"/>
          <w:sz w:val="32"/>
          <w:szCs w:val="32"/>
          <w:lang w:val="en-US" w:eastAsia="zh-CN"/>
        </w:rPr>
        <w:t>256.58</w:t>
      </w:r>
      <w:r>
        <w:rPr>
          <w:rFonts w:hint="eastAsia" w:ascii="仿宋_GB2312" w:hAnsi="仿宋_GB2312" w:eastAsia="仿宋_GB2312" w:cs="仿宋_GB2312"/>
          <w:sz w:val="32"/>
          <w:szCs w:val="32"/>
        </w:rPr>
        <w:t>万元、津贴补贴</w:t>
      </w:r>
      <w:r>
        <w:rPr>
          <w:rFonts w:hint="eastAsia" w:ascii="仿宋_GB2312" w:hAnsi="仿宋_GB2312" w:eastAsia="仿宋_GB2312" w:cs="仿宋_GB2312"/>
          <w:sz w:val="32"/>
          <w:szCs w:val="32"/>
          <w:lang w:val="en-US" w:eastAsia="zh-CN"/>
        </w:rPr>
        <w:t>358.2</w:t>
      </w:r>
      <w:r>
        <w:rPr>
          <w:rFonts w:hint="eastAsia" w:ascii="仿宋_GB2312" w:hAnsi="仿宋_GB2312" w:eastAsia="仿宋_GB2312" w:cs="仿宋_GB2312"/>
          <w:sz w:val="32"/>
          <w:szCs w:val="32"/>
        </w:rPr>
        <w:t>万元、奖金</w:t>
      </w:r>
      <w:r>
        <w:rPr>
          <w:rFonts w:hint="eastAsia" w:ascii="仿宋_GB2312" w:hAnsi="仿宋_GB2312" w:eastAsia="仿宋_GB2312" w:cs="仿宋_GB2312"/>
          <w:sz w:val="32"/>
          <w:szCs w:val="32"/>
          <w:lang w:val="en-US" w:eastAsia="zh-CN"/>
        </w:rPr>
        <w:t>300.99</w:t>
      </w:r>
      <w:r>
        <w:rPr>
          <w:rFonts w:hint="eastAsia" w:ascii="仿宋_GB2312" w:hAnsi="仿宋_GB2312" w:eastAsia="仿宋_GB2312" w:cs="仿宋_GB2312"/>
          <w:sz w:val="32"/>
          <w:szCs w:val="32"/>
        </w:rPr>
        <w:t>万元、绩效工资</w:t>
      </w:r>
      <w:r>
        <w:rPr>
          <w:rFonts w:hint="eastAsia" w:ascii="仿宋_GB2312" w:hAnsi="仿宋_GB2312" w:eastAsia="仿宋_GB2312" w:cs="仿宋_GB2312"/>
          <w:sz w:val="32"/>
          <w:szCs w:val="32"/>
          <w:lang w:val="en-US" w:eastAsia="zh-CN"/>
        </w:rPr>
        <w:t>4.31</w:t>
      </w:r>
      <w:r>
        <w:rPr>
          <w:rFonts w:hint="eastAsia" w:ascii="仿宋_GB2312" w:hAnsi="仿宋_GB2312" w:eastAsia="仿宋_GB2312" w:cs="仿宋_GB2312"/>
          <w:sz w:val="32"/>
          <w:szCs w:val="32"/>
        </w:rPr>
        <w:t>万元、机关事业单位基本养老保险缴费</w:t>
      </w:r>
      <w:r>
        <w:rPr>
          <w:rFonts w:hint="eastAsia" w:ascii="仿宋_GB2312" w:hAnsi="仿宋_GB2312" w:eastAsia="仿宋_GB2312" w:cs="仿宋_GB2312"/>
          <w:sz w:val="32"/>
          <w:szCs w:val="32"/>
          <w:lang w:val="en-US" w:eastAsia="zh-CN"/>
        </w:rPr>
        <w:t>129.82</w:t>
      </w:r>
      <w:r>
        <w:rPr>
          <w:rFonts w:hint="eastAsia" w:ascii="仿宋_GB2312" w:hAnsi="仿宋_GB2312" w:eastAsia="仿宋_GB2312" w:cs="仿宋_GB2312"/>
          <w:sz w:val="32"/>
          <w:szCs w:val="32"/>
        </w:rPr>
        <w:t>万元、职业年金缴费</w:t>
      </w:r>
      <w:r>
        <w:rPr>
          <w:rFonts w:hint="eastAsia" w:ascii="仿宋_GB2312" w:hAnsi="仿宋_GB2312" w:eastAsia="仿宋_GB2312" w:cs="仿宋_GB2312"/>
          <w:sz w:val="32"/>
          <w:szCs w:val="32"/>
          <w:lang w:val="en-US" w:eastAsia="zh-CN"/>
        </w:rPr>
        <w:t>64.91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公务员医疗补助缴费</w:t>
      </w:r>
      <w:r>
        <w:rPr>
          <w:rFonts w:hint="eastAsia" w:ascii="仿宋_GB2312" w:hAnsi="仿宋_GB2312" w:eastAsia="仿宋_GB2312" w:cs="仿宋_GB2312"/>
          <w:sz w:val="32"/>
          <w:szCs w:val="32"/>
        </w:rPr>
        <w:t>12.1</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sz w:val="32"/>
          <w:szCs w:val="32"/>
        </w:rPr>
        <w:t>其他社会保障缴费</w:t>
      </w:r>
      <w:r>
        <w:rPr>
          <w:rFonts w:hint="eastAsia" w:ascii="仿宋_GB2312" w:hAnsi="仿宋_GB2312" w:eastAsia="仿宋_GB2312" w:cs="仿宋_GB2312"/>
          <w:sz w:val="32"/>
          <w:szCs w:val="32"/>
          <w:lang w:val="en-US" w:eastAsia="zh-CN"/>
        </w:rPr>
        <w:t>2.81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住房公积金105.62、职工基本医疗保险缴费62.98万元、</w:t>
      </w:r>
      <w:r>
        <w:rPr>
          <w:rFonts w:hint="eastAsia" w:ascii="仿宋_GB2312" w:hAnsi="仿宋_GB2312" w:eastAsia="仿宋_GB2312" w:cs="仿宋_GB2312"/>
          <w:sz w:val="32"/>
          <w:szCs w:val="32"/>
        </w:rPr>
        <w:t>生活补助11</w:t>
      </w:r>
      <w:r>
        <w:rPr>
          <w:rFonts w:hint="eastAsia" w:ascii="仿宋_GB2312" w:hAnsi="仿宋_GB2312" w:eastAsia="仿宋_GB2312" w:cs="仿宋_GB2312"/>
          <w:sz w:val="32"/>
          <w:szCs w:val="32"/>
          <w:lang w:val="en-US" w:eastAsia="zh-CN"/>
        </w:rPr>
        <w:t>5.62</w:t>
      </w:r>
      <w:r>
        <w:rPr>
          <w:rFonts w:hint="eastAsia" w:ascii="仿宋_GB2312" w:hAnsi="仿宋_GB2312" w:eastAsia="仿宋_GB2312" w:cs="仿宋_GB2312"/>
          <w:sz w:val="32"/>
          <w:szCs w:val="32"/>
        </w:rPr>
        <w:t>万元、医疗费</w:t>
      </w:r>
      <w:r>
        <w:rPr>
          <w:rFonts w:hint="eastAsia" w:ascii="仿宋_GB2312" w:hAnsi="仿宋_GB2312" w:eastAsia="仿宋_GB2312" w:cs="仿宋_GB2312"/>
          <w:sz w:val="32"/>
          <w:szCs w:val="32"/>
          <w:lang w:val="en-US" w:eastAsia="zh-CN"/>
        </w:rPr>
        <w:t>0.15</w:t>
      </w:r>
      <w:r>
        <w:rPr>
          <w:rFonts w:hint="eastAsia" w:ascii="仿宋_GB2312" w:hAnsi="仿宋_GB2312" w:eastAsia="仿宋_GB2312" w:cs="仿宋_GB2312"/>
          <w:sz w:val="32"/>
          <w:szCs w:val="32"/>
        </w:rPr>
        <w:t>万元、奖励金</w:t>
      </w:r>
      <w:r>
        <w:rPr>
          <w:rFonts w:hint="eastAsia" w:ascii="仿宋_GB2312" w:hAnsi="仿宋_GB2312" w:eastAsia="仿宋_GB2312" w:cs="仿宋_GB2312"/>
          <w:sz w:val="32"/>
          <w:szCs w:val="32"/>
          <w:lang w:val="en-US" w:eastAsia="zh-CN"/>
        </w:rPr>
        <w:t>0.05</w:t>
      </w:r>
      <w:r>
        <w:rPr>
          <w:rFonts w:hint="eastAsia" w:ascii="仿宋_GB2312" w:hAnsi="仿宋_GB2312" w:eastAsia="仿宋_GB2312" w:cs="仿宋_GB2312"/>
          <w:sz w:val="32"/>
          <w:szCs w:val="32"/>
        </w:rPr>
        <w:t>万元等。</w:t>
      </w:r>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公用经费</w:t>
      </w:r>
      <w:r>
        <w:rPr>
          <w:rFonts w:hint="eastAsia" w:ascii="仿宋_GB2312" w:hAnsi="仿宋_GB2312" w:eastAsia="仿宋_GB2312" w:cs="仿宋_GB2312"/>
          <w:sz w:val="32"/>
          <w:szCs w:val="32"/>
          <w:lang w:val="en-US" w:eastAsia="zh-CN"/>
        </w:rPr>
        <w:t>346.64</w:t>
      </w:r>
      <w:r>
        <w:rPr>
          <w:rFonts w:hint="eastAsia" w:ascii="仿宋_GB2312" w:hAnsi="仿宋_GB2312" w:eastAsia="仿宋_GB2312" w:cs="仿宋_GB2312"/>
          <w:sz w:val="32"/>
          <w:szCs w:val="32"/>
        </w:rPr>
        <w:t>万元，主要包括：办公费</w:t>
      </w:r>
      <w:r>
        <w:rPr>
          <w:rFonts w:hint="eastAsia" w:ascii="仿宋_GB2312" w:hAnsi="仿宋_GB2312" w:eastAsia="仿宋_GB2312" w:cs="仿宋_GB2312"/>
          <w:sz w:val="32"/>
          <w:szCs w:val="32"/>
          <w:lang w:val="en-US" w:eastAsia="zh-CN"/>
        </w:rPr>
        <w:t>166.55</w:t>
      </w:r>
      <w:r>
        <w:rPr>
          <w:rFonts w:hint="eastAsia" w:ascii="仿宋_GB2312" w:hAnsi="仿宋_GB2312" w:eastAsia="仿宋_GB2312" w:cs="仿宋_GB2312"/>
          <w:sz w:val="32"/>
          <w:szCs w:val="32"/>
        </w:rPr>
        <w:t>万元、印刷费</w:t>
      </w:r>
      <w:r>
        <w:rPr>
          <w:rFonts w:hint="eastAsia" w:ascii="仿宋_GB2312" w:hAnsi="仿宋_GB2312" w:eastAsia="仿宋_GB2312" w:cs="仿宋_GB2312"/>
          <w:sz w:val="32"/>
          <w:szCs w:val="32"/>
          <w:lang w:val="en-US" w:eastAsia="zh-CN"/>
        </w:rPr>
        <w:t>3.4</w:t>
      </w:r>
      <w:r>
        <w:rPr>
          <w:rFonts w:hint="eastAsia" w:ascii="仿宋_GB2312" w:hAnsi="仿宋_GB2312" w:eastAsia="仿宋_GB2312" w:cs="仿宋_GB2312"/>
          <w:sz w:val="32"/>
          <w:szCs w:val="32"/>
        </w:rPr>
        <w:t>万元、手续费</w:t>
      </w:r>
      <w:r>
        <w:rPr>
          <w:rFonts w:hint="eastAsia" w:ascii="仿宋_GB2312" w:hAnsi="仿宋_GB2312" w:eastAsia="仿宋_GB2312" w:cs="仿宋_GB2312"/>
          <w:sz w:val="32"/>
          <w:szCs w:val="32"/>
          <w:lang w:val="en-US" w:eastAsia="zh-CN"/>
        </w:rPr>
        <w:t>0.07元</w:t>
      </w:r>
      <w:r>
        <w:rPr>
          <w:rFonts w:hint="eastAsia" w:ascii="仿宋_GB2312" w:hAnsi="仿宋_GB2312" w:eastAsia="仿宋_GB2312" w:cs="仿宋_GB2312"/>
          <w:sz w:val="32"/>
          <w:szCs w:val="32"/>
        </w:rPr>
        <w:t>、电费</w:t>
      </w:r>
      <w:r>
        <w:rPr>
          <w:rFonts w:hint="eastAsia" w:ascii="仿宋_GB2312" w:hAnsi="仿宋_GB2312" w:eastAsia="仿宋_GB2312" w:cs="仿宋_GB2312"/>
          <w:sz w:val="32"/>
          <w:szCs w:val="32"/>
          <w:lang w:val="en-US" w:eastAsia="zh-CN"/>
        </w:rPr>
        <w:t>4.81</w:t>
      </w:r>
      <w:r>
        <w:rPr>
          <w:rFonts w:hint="eastAsia" w:ascii="仿宋_GB2312" w:hAnsi="仿宋_GB2312" w:eastAsia="仿宋_GB2312" w:cs="仿宋_GB2312"/>
          <w:sz w:val="32"/>
          <w:szCs w:val="32"/>
        </w:rPr>
        <w:t>万元、邮电费</w:t>
      </w:r>
      <w:r>
        <w:rPr>
          <w:rFonts w:hint="eastAsia" w:ascii="仿宋_GB2312" w:hAnsi="仿宋_GB2312" w:eastAsia="仿宋_GB2312" w:cs="仿宋_GB2312"/>
          <w:sz w:val="32"/>
          <w:szCs w:val="32"/>
          <w:lang w:val="en-US" w:eastAsia="zh-CN"/>
        </w:rPr>
        <w:t>4.55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水费0.94万元、</w:t>
      </w:r>
      <w:r>
        <w:rPr>
          <w:rFonts w:hint="eastAsia" w:ascii="仿宋_GB2312" w:hAnsi="仿宋_GB2312" w:eastAsia="仿宋_GB2312" w:cs="仿宋_GB2312"/>
          <w:sz w:val="32"/>
          <w:szCs w:val="32"/>
        </w:rPr>
        <w:t>差旅费</w:t>
      </w:r>
      <w:r>
        <w:rPr>
          <w:rFonts w:hint="eastAsia" w:ascii="仿宋_GB2312" w:hAnsi="仿宋_GB2312" w:eastAsia="仿宋_GB2312" w:cs="仿宋_GB2312"/>
          <w:sz w:val="32"/>
          <w:szCs w:val="32"/>
          <w:lang w:val="en-US" w:eastAsia="zh-CN"/>
        </w:rPr>
        <w:t>65.26</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0.07万元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公务接待费0.28万元、</w:t>
      </w:r>
      <w:r>
        <w:rPr>
          <w:rFonts w:hint="eastAsia" w:ascii="仿宋_GB2312" w:hAnsi="仿宋_GB2312" w:eastAsia="仿宋_GB2312" w:cs="仿宋_GB2312"/>
          <w:sz w:val="32"/>
          <w:szCs w:val="32"/>
        </w:rPr>
        <w:t>工会经费</w:t>
      </w:r>
      <w:r>
        <w:rPr>
          <w:rFonts w:hint="eastAsia" w:ascii="仿宋_GB2312" w:hAnsi="仿宋_GB2312" w:eastAsia="仿宋_GB2312" w:cs="仿宋_GB2312"/>
          <w:sz w:val="32"/>
          <w:szCs w:val="32"/>
          <w:lang w:val="en-US" w:eastAsia="zh-CN"/>
        </w:rPr>
        <w:t>8.7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、劳务费15.96万元、</w:t>
      </w:r>
      <w:r>
        <w:rPr>
          <w:rFonts w:hint="eastAsia" w:ascii="仿宋_GB2312" w:hAnsi="仿宋_GB2312" w:eastAsia="仿宋_GB2312" w:cs="仿宋_GB2312"/>
          <w:sz w:val="32"/>
          <w:szCs w:val="32"/>
        </w:rPr>
        <w:t>公务用车运行维护费</w:t>
      </w:r>
      <w:r>
        <w:rPr>
          <w:rFonts w:hint="eastAsia" w:ascii="仿宋_GB2312" w:hAnsi="仿宋_GB2312" w:eastAsia="仿宋_GB2312" w:cs="仿宋_GB2312"/>
          <w:sz w:val="32"/>
          <w:szCs w:val="32"/>
          <w:lang w:val="en-US" w:eastAsia="zh-CN"/>
        </w:rPr>
        <w:t>34.96</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、委托业务费11.89</w:t>
      </w:r>
      <w:r>
        <w:rPr>
          <w:rFonts w:hint="eastAsia" w:ascii="仿宋_GB2312" w:hAnsi="仿宋_GB2312" w:eastAsia="仿宋_GB2312" w:cs="仿宋_GB2312"/>
          <w:sz w:val="32"/>
          <w:szCs w:val="32"/>
        </w:rPr>
        <w:t>等。</w:t>
      </w:r>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textAlignment w:val="auto"/>
        <w:outlineLvl w:val="1"/>
        <w:rPr>
          <w:rStyle w:val="21"/>
          <w:rFonts w:hint="eastAsia" w:ascii="黑体" w:hAnsi="黑体" w:eastAsia="黑体" w:cs="黑体"/>
          <w:b w:val="0"/>
        </w:rPr>
      </w:pPr>
      <w:bookmarkStart w:id="37" w:name="_Toc15396609"/>
      <w:bookmarkStart w:id="38" w:name="_Toc15377215"/>
      <w:bookmarkStart w:id="39" w:name="_Toc16831"/>
      <w:r>
        <w:rPr>
          <w:rFonts w:hint="eastAsia" w:ascii="黑体" w:hAnsi="黑体" w:eastAsia="黑体" w:cs="黑体"/>
          <w:sz w:val="32"/>
          <w:szCs w:val="32"/>
        </w:rPr>
        <w:t>七、</w:t>
      </w:r>
      <w:r>
        <w:rPr>
          <w:rStyle w:val="21"/>
          <w:rFonts w:hint="eastAsia" w:ascii="黑体" w:hAnsi="黑体" w:eastAsia="黑体" w:cs="黑体"/>
          <w:b w:val="0"/>
        </w:rPr>
        <w:t>财政拨款</w:t>
      </w:r>
      <w:r>
        <w:rPr>
          <w:rStyle w:val="21"/>
          <w:rFonts w:hint="eastAsia" w:ascii="黑体" w:hAnsi="黑体" w:eastAsia="黑体" w:cs="黑体"/>
        </w:rPr>
        <w:t>“</w:t>
      </w:r>
      <w:r>
        <w:rPr>
          <w:rStyle w:val="21"/>
          <w:rFonts w:hint="eastAsia" w:ascii="黑体" w:hAnsi="黑体" w:eastAsia="黑体" w:cs="黑体"/>
          <w:b w:val="0"/>
        </w:rPr>
        <w:t>三公”经费支出决算情况说明</w:t>
      </w:r>
      <w:bookmarkEnd w:id="37"/>
      <w:bookmarkEnd w:id="38"/>
      <w:bookmarkEnd w:id="39"/>
    </w:p>
    <w:p>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right="0" w:firstLine="643" w:firstLineChars="200"/>
        <w:textAlignment w:val="auto"/>
        <w:outlineLvl w:val="2"/>
        <w:rPr>
          <w:rFonts w:hint="eastAsia" w:ascii="楷体_GB2312" w:hAnsi="楷体_GB2312" w:eastAsia="楷体_GB2312" w:cs="楷体_GB2312"/>
          <w:b/>
          <w:sz w:val="32"/>
          <w:szCs w:val="32"/>
        </w:rPr>
      </w:pPr>
      <w:bookmarkStart w:id="40" w:name="_Toc15377216"/>
      <w:r>
        <w:rPr>
          <w:rFonts w:hint="eastAsia" w:ascii="楷体_GB2312" w:hAnsi="楷体_GB2312" w:eastAsia="楷体_GB2312" w:cs="楷体_GB2312"/>
          <w:b/>
          <w:sz w:val="32"/>
          <w:szCs w:val="32"/>
        </w:rPr>
        <w:t>（一）“三公”经费财政拨款支出决算总体情况说明</w:t>
      </w:r>
      <w:bookmarkEnd w:id="40"/>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202</w:t>
      </w:r>
      <w:r>
        <w:rPr>
          <w:rFonts w:hint="eastAsia" w:ascii="仿宋_GB2312" w:hAnsi="仿宋_GB2312" w:eastAsia="仿宋_GB2312" w:cs="仿宋_GB2312"/>
          <w:kern w:val="2"/>
          <w:sz w:val="32"/>
          <w:szCs w:val="32"/>
          <w:lang w:val="en-US" w:eastAsia="zh-CN"/>
        </w:rPr>
        <w:t>5</w:t>
      </w:r>
      <w:r>
        <w:rPr>
          <w:rFonts w:hint="eastAsia" w:ascii="仿宋_GB2312" w:hAnsi="仿宋_GB2312" w:eastAsia="仿宋_GB2312" w:cs="仿宋_GB2312"/>
          <w:kern w:val="2"/>
          <w:sz w:val="32"/>
          <w:szCs w:val="32"/>
        </w:rPr>
        <w:t>年“三公”经费财政拨款支出决算为</w:t>
      </w:r>
      <w:r>
        <w:rPr>
          <w:rFonts w:hint="eastAsia" w:ascii="仿宋_GB2312" w:hAnsi="仿宋_GB2312" w:eastAsia="仿宋_GB2312" w:cs="仿宋_GB2312"/>
          <w:kern w:val="2"/>
          <w:sz w:val="32"/>
          <w:szCs w:val="32"/>
          <w:lang w:val="en-US" w:eastAsia="zh-CN"/>
        </w:rPr>
        <w:t>35.03</w:t>
      </w:r>
      <w:r>
        <w:rPr>
          <w:rFonts w:hint="eastAsia" w:ascii="仿宋_GB2312" w:hAnsi="仿宋_GB2312" w:eastAsia="仿宋_GB2312" w:cs="仿宋_GB2312"/>
          <w:kern w:val="2"/>
          <w:sz w:val="32"/>
          <w:szCs w:val="32"/>
        </w:rPr>
        <w:t>万元，完成预算100.00%，</w:t>
      </w:r>
      <w:r>
        <w:rPr>
          <w:rFonts w:hint="eastAsia" w:ascii="仿宋_GB2312" w:hAnsi="仿宋_GB2312" w:eastAsia="仿宋_GB2312" w:cs="仿宋_GB2312"/>
          <w:sz w:val="32"/>
          <w:szCs w:val="32"/>
        </w:rPr>
        <w:t>较上年</w:t>
      </w:r>
      <w:r>
        <w:rPr>
          <w:rFonts w:hint="eastAsia" w:ascii="仿宋_GB2312" w:hAnsi="仿宋_GB2312" w:eastAsia="仿宋_GB2312" w:cs="仿宋_GB2312"/>
          <w:sz w:val="32"/>
          <w:szCs w:val="32"/>
          <w:lang w:val="en-US" w:eastAsia="zh-CN"/>
        </w:rPr>
        <w:t>增加0.9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增加2.57</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val="en-US" w:eastAsia="zh-CN"/>
        </w:rPr>
        <w:t>2025年</w:t>
      </w:r>
      <w:r>
        <w:rPr>
          <w:rFonts w:hint="eastAsia" w:ascii="仿宋_GB2312" w:hAnsi="仿宋_GB2312" w:eastAsia="仿宋_GB2312" w:cs="仿宋_GB2312"/>
          <w:color w:val="000000"/>
          <w:sz w:val="32"/>
          <w:szCs w:val="32"/>
          <w:shd w:val="clear" w:color="auto" w:fill="FFFFFF"/>
        </w:rPr>
        <w:t>办案业务</w:t>
      </w:r>
      <w:r>
        <w:rPr>
          <w:rFonts w:hint="eastAsia" w:ascii="仿宋_GB2312" w:hAnsi="仿宋_GB2312" w:eastAsia="仿宋_GB2312" w:cs="仿宋_GB2312"/>
          <w:color w:val="000000"/>
          <w:sz w:val="32"/>
          <w:szCs w:val="32"/>
          <w:shd w:val="clear" w:color="auto" w:fill="FFFFFF"/>
          <w:lang w:eastAsia="zh-CN"/>
        </w:rPr>
        <w:t>量</w:t>
      </w:r>
      <w:r>
        <w:rPr>
          <w:rFonts w:hint="eastAsia" w:ascii="仿宋_GB2312" w:hAnsi="仿宋_GB2312" w:eastAsia="仿宋_GB2312" w:cs="仿宋_GB2312"/>
          <w:color w:val="000000"/>
          <w:sz w:val="32"/>
          <w:szCs w:val="32"/>
          <w:shd w:val="clear" w:color="auto" w:fill="FFFFFF"/>
        </w:rPr>
        <w:t>增加，办案经费增加，相关执纪经费增加</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right="0" w:firstLine="643" w:firstLineChars="200"/>
        <w:textAlignment w:val="auto"/>
        <w:outlineLvl w:val="2"/>
        <w:rPr>
          <w:rFonts w:hint="eastAsia" w:ascii="楷体_GB2312" w:hAnsi="楷体_GB2312" w:eastAsia="楷体_GB2312" w:cs="楷体_GB2312"/>
          <w:b/>
          <w:sz w:val="32"/>
          <w:szCs w:val="32"/>
        </w:rPr>
      </w:pPr>
      <w:bookmarkStart w:id="41" w:name="_Toc15377217"/>
      <w:r>
        <w:rPr>
          <w:rFonts w:hint="eastAsia" w:ascii="楷体_GB2312" w:hAnsi="楷体_GB2312" w:eastAsia="楷体_GB2312" w:cs="楷体_GB2312"/>
          <w:b/>
          <w:sz w:val="32"/>
          <w:szCs w:val="32"/>
        </w:rPr>
        <w:t>（二）“三公”经费财政拨款支出决算具体情况说明</w:t>
      </w:r>
      <w:bookmarkEnd w:id="41"/>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40" w:lineRule="exact"/>
        <w:ind w:left="0" w:leftChars="0" w:right="0" w:firstLine="640"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202</w:t>
      </w:r>
      <w:r>
        <w:rPr>
          <w:rFonts w:hint="eastAsia" w:ascii="仿宋_GB2312" w:hAnsi="仿宋_GB2312" w:eastAsia="仿宋_GB2312" w:cs="仿宋_GB2312"/>
          <w:kern w:val="2"/>
          <w:sz w:val="32"/>
          <w:szCs w:val="32"/>
          <w:lang w:val="en-US" w:eastAsia="zh-CN"/>
        </w:rPr>
        <w:t>5</w:t>
      </w:r>
      <w:r>
        <w:rPr>
          <w:rFonts w:hint="eastAsia" w:ascii="仿宋_GB2312" w:hAnsi="仿宋_GB2312" w:eastAsia="仿宋_GB2312" w:cs="仿宋_GB2312"/>
          <w:kern w:val="2"/>
          <w:sz w:val="32"/>
          <w:szCs w:val="32"/>
        </w:rPr>
        <w:t>年“三公”经费财政拨款支出决算中，因公出国（境）费支出决算0.00万元，占0.00%；公务用车购置及运行维护费支出决算</w:t>
      </w:r>
      <w:r>
        <w:rPr>
          <w:rFonts w:hint="eastAsia" w:ascii="仿宋_GB2312" w:hAnsi="仿宋_GB2312" w:eastAsia="仿宋_GB2312" w:cs="仿宋_GB2312"/>
          <w:kern w:val="2"/>
          <w:sz w:val="32"/>
          <w:szCs w:val="32"/>
          <w:lang w:val="en-US" w:eastAsia="zh-CN"/>
        </w:rPr>
        <w:t>34.99</w:t>
      </w:r>
      <w:r>
        <w:rPr>
          <w:rFonts w:hint="eastAsia" w:ascii="仿宋_GB2312" w:hAnsi="仿宋_GB2312" w:eastAsia="仿宋_GB2312" w:cs="仿宋_GB2312"/>
          <w:kern w:val="2"/>
          <w:sz w:val="32"/>
          <w:szCs w:val="32"/>
        </w:rPr>
        <w:t>万元，占</w:t>
      </w:r>
      <w:r>
        <w:rPr>
          <w:rFonts w:hint="eastAsia" w:ascii="仿宋_GB2312" w:hAnsi="仿宋_GB2312" w:eastAsia="仿宋_GB2312" w:cs="仿宋_GB2312"/>
          <w:kern w:val="2"/>
          <w:sz w:val="32"/>
          <w:szCs w:val="32"/>
          <w:lang w:val="en-US" w:eastAsia="zh-CN"/>
        </w:rPr>
        <w:t>99.87</w:t>
      </w:r>
      <w:r>
        <w:rPr>
          <w:rFonts w:hint="eastAsia" w:ascii="仿宋_GB2312" w:hAnsi="仿宋_GB2312" w:eastAsia="仿宋_GB2312" w:cs="仿宋_GB2312"/>
          <w:kern w:val="2"/>
          <w:sz w:val="32"/>
          <w:szCs w:val="32"/>
        </w:rPr>
        <w:t>%；公务接待费支出决算</w:t>
      </w:r>
      <w:r>
        <w:rPr>
          <w:rFonts w:hint="eastAsia" w:ascii="仿宋_GB2312" w:hAnsi="仿宋_GB2312" w:eastAsia="仿宋_GB2312" w:cs="仿宋_GB2312"/>
          <w:kern w:val="2"/>
          <w:sz w:val="32"/>
          <w:szCs w:val="32"/>
          <w:lang w:val="en-US" w:eastAsia="zh-CN"/>
        </w:rPr>
        <w:t>0.07</w:t>
      </w:r>
      <w:r>
        <w:rPr>
          <w:rFonts w:hint="eastAsia" w:ascii="仿宋_GB2312" w:hAnsi="仿宋_GB2312" w:eastAsia="仿宋_GB2312" w:cs="仿宋_GB2312"/>
          <w:kern w:val="2"/>
          <w:sz w:val="32"/>
          <w:szCs w:val="32"/>
        </w:rPr>
        <w:t>万元，占</w:t>
      </w:r>
      <w:r>
        <w:rPr>
          <w:rFonts w:hint="eastAsia" w:ascii="仿宋_GB2312" w:hAnsi="仿宋_GB2312" w:eastAsia="仿宋_GB2312" w:cs="仿宋_GB2312"/>
          <w:kern w:val="2"/>
          <w:sz w:val="32"/>
          <w:szCs w:val="32"/>
          <w:lang w:val="en-US" w:eastAsia="zh-CN"/>
        </w:rPr>
        <w:t>0.02</w:t>
      </w:r>
      <w:r>
        <w:rPr>
          <w:rFonts w:hint="eastAsia" w:ascii="仿宋_GB2312" w:hAnsi="仿宋_GB2312" w:eastAsia="仿宋_GB2312" w:cs="仿宋_GB2312"/>
          <w:kern w:val="2"/>
          <w:sz w:val="32"/>
          <w:szCs w:val="32"/>
        </w:rPr>
        <w:t>%。具体情况如下：</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firstLine="64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lang w:eastAsia="zh-CN"/>
        </w:rPr>
        <w:drawing>
          <wp:anchor distT="0" distB="0" distL="114300" distR="114300" simplePos="0" relativeHeight="251665408" behindDoc="0" locked="0" layoutInCell="1" allowOverlap="1">
            <wp:simplePos x="0" y="0"/>
            <wp:positionH relativeFrom="column">
              <wp:posOffset>140970</wp:posOffset>
            </wp:positionH>
            <wp:positionV relativeFrom="paragraph">
              <wp:posOffset>462280</wp:posOffset>
            </wp:positionV>
            <wp:extent cx="5080000" cy="1806575"/>
            <wp:effectExtent l="4445" t="4445" r="8255" b="5080"/>
            <wp:wrapSquare wrapText="bothSides"/>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仿宋_GB2312" w:hAnsi="仿宋_GB2312" w:eastAsia="仿宋_GB2312" w:cs="仿宋_GB2312"/>
          <w:sz w:val="32"/>
          <w:szCs w:val="32"/>
        </w:rPr>
        <w:t>（图7：“三公”经费财政拨款支出结构）（饼状图）</w:t>
      </w:r>
    </w:p>
    <w:p>
      <w:pPr>
        <w:keepNext w:val="0"/>
        <w:keepLines w:val="0"/>
        <w:pageBreakBefore w:val="0"/>
        <w:kinsoku/>
        <w:wordWrap/>
        <w:overflowPunct/>
        <w:topLinePunct w:val="0"/>
        <w:bidi w:val="0"/>
        <w:spacing w:beforeAutospacing="0" w:afterAutospacing="0" w:line="576" w:lineRule="exact"/>
        <w:ind w:left="0" w:leftChars="0" w:right="0" w:firstLine="64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1.因公出国（境）经费支出</w:t>
      </w:r>
      <w:r>
        <w:rPr>
          <w:rFonts w:hint="eastAsia" w:ascii="仿宋_GB2312" w:hAnsi="仿宋_GB2312" w:eastAsia="仿宋_GB2312" w:cs="仿宋_GB2312"/>
          <w:sz w:val="32"/>
          <w:szCs w:val="32"/>
        </w:rPr>
        <w:t>0万元，</w:t>
      </w:r>
      <w:r>
        <w:rPr>
          <w:rStyle w:val="18"/>
          <w:rFonts w:hint="eastAsia" w:ascii="仿宋_GB2312" w:hAnsi="仿宋_GB2312" w:eastAsia="仿宋_GB2312" w:cs="仿宋_GB2312"/>
          <w:b w:val="0"/>
          <w:bCs/>
          <w:sz w:val="32"/>
          <w:szCs w:val="32"/>
        </w:rPr>
        <w:t>完成预算100%。</w:t>
      </w:r>
      <w:r>
        <w:rPr>
          <w:rFonts w:hint="eastAsia" w:ascii="仿宋_GB2312" w:hAnsi="仿宋_GB2312" w:eastAsia="仿宋_GB2312" w:cs="仿宋_GB2312"/>
          <w:sz w:val="32"/>
          <w:szCs w:val="32"/>
        </w:rPr>
        <w:t>全年安排因公出国（境）团组0次，出国（境）0人。因公出国（境）支出决算与上年持平。</w:t>
      </w:r>
    </w:p>
    <w:p>
      <w:pPr>
        <w:pStyle w:val="15"/>
        <w:keepNext w:val="0"/>
        <w:keepLines w:val="0"/>
        <w:pageBreakBefore w:val="0"/>
        <w:shd w:val="clear" w:color="auto" w:fill="FFFFFF"/>
        <w:kinsoku/>
        <w:wordWrap/>
        <w:overflowPunct/>
        <w:topLinePunct w:val="0"/>
        <w:bidi w:val="0"/>
        <w:spacing w:before="0" w:beforeAutospacing="0" w:after="0" w:afterAutospacing="0" w:line="576" w:lineRule="exact"/>
        <w:ind w:left="0" w:leftChars="0" w:right="0"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2.公务用车购置及运行维护费支出</w:t>
      </w:r>
      <w:r>
        <w:rPr>
          <w:rStyle w:val="18"/>
          <w:rFonts w:hint="eastAsia" w:ascii="仿宋_GB2312" w:hAnsi="仿宋_GB2312" w:eastAsia="仿宋_GB2312" w:cs="仿宋_GB2312"/>
          <w:b w:val="0"/>
          <w:bCs/>
          <w:sz w:val="32"/>
          <w:szCs w:val="32"/>
          <w:lang w:val="en-US" w:eastAsia="zh-CN"/>
        </w:rPr>
        <w:t>34.99</w:t>
      </w:r>
      <w:r>
        <w:rPr>
          <w:rFonts w:hint="eastAsia" w:ascii="仿宋_GB2312" w:hAnsi="仿宋_GB2312" w:eastAsia="仿宋_GB2312" w:cs="仿宋_GB2312"/>
          <w:sz w:val="32"/>
          <w:szCs w:val="32"/>
        </w:rPr>
        <w:t>万元,</w:t>
      </w:r>
      <w:r>
        <w:rPr>
          <w:rStyle w:val="18"/>
          <w:rFonts w:hint="eastAsia" w:ascii="仿宋_GB2312" w:hAnsi="仿宋_GB2312" w:eastAsia="仿宋_GB2312" w:cs="仿宋_GB2312"/>
          <w:b w:val="0"/>
          <w:bCs/>
          <w:sz w:val="32"/>
          <w:szCs w:val="32"/>
        </w:rPr>
        <w:t>完成预算100%。</w:t>
      </w:r>
      <w:r>
        <w:rPr>
          <w:rFonts w:hint="eastAsia" w:ascii="仿宋_GB2312" w:hAnsi="仿宋_GB2312" w:eastAsia="仿宋_GB2312" w:cs="仿宋_GB2312"/>
          <w:sz w:val="32"/>
          <w:szCs w:val="32"/>
        </w:rPr>
        <w:t>公务用车购置及运行维护费支出决算比202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增加13.06</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增加59.55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主要原因是：2025年</w:t>
      </w:r>
      <w:r>
        <w:rPr>
          <w:rFonts w:hint="eastAsia" w:ascii="仿宋_GB2312" w:hAnsi="仿宋_GB2312" w:eastAsia="仿宋_GB2312" w:cs="仿宋_GB2312"/>
          <w:color w:val="000000"/>
          <w:sz w:val="32"/>
          <w:szCs w:val="32"/>
          <w:shd w:val="clear" w:color="auto" w:fill="FFFFFF"/>
        </w:rPr>
        <w:t>办案业务</w:t>
      </w:r>
      <w:r>
        <w:rPr>
          <w:rFonts w:hint="eastAsia" w:ascii="仿宋_GB2312" w:hAnsi="仿宋_GB2312" w:eastAsia="仿宋_GB2312" w:cs="仿宋_GB2312"/>
          <w:color w:val="000000"/>
          <w:sz w:val="32"/>
          <w:szCs w:val="32"/>
          <w:shd w:val="clear" w:color="auto" w:fill="FFFFFF"/>
          <w:lang w:eastAsia="zh-CN"/>
        </w:rPr>
        <w:t>量</w:t>
      </w:r>
      <w:r>
        <w:rPr>
          <w:rFonts w:hint="eastAsia" w:ascii="仿宋_GB2312" w:hAnsi="仿宋_GB2312" w:eastAsia="仿宋_GB2312" w:cs="仿宋_GB2312"/>
          <w:color w:val="000000"/>
          <w:sz w:val="32"/>
          <w:szCs w:val="32"/>
          <w:shd w:val="clear" w:color="auto" w:fill="FFFFFF"/>
        </w:rPr>
        <w:t>增加，办案经费增加，相关执纪经费增加</w:t>
      </w:r>
      <w:r>
        <w:rPr>
          <w:rFonts w:hint="eastAsia" w:ascii="仿宋_GB2312" w:hAnsi="仿宋_GB2312" w:eastAsia="仿宋_GB2312" w:cs="仿宋_GB2312"/>
          <w:sz w:val="32"/>
          <w:szCs w:val="32"/>
        </w:rPr>
        <w:t>。</w:t>
      </w:r>
    </w:p>
    <w:p>
      <w:pPr>
        <w:keepNext w:val="0"/>
        <w:keepLines w:val="0"/>
        <w:pageBreakBefore w:val="0"/>
        <w:kinsoku/>
        <w:wordWrap/>
        <w:overflowPunct/>
        <w:topLinePunct w:val="0"/>
        <w:bidi w:val="0"/>
        <w:spacing w:beforeAutospacing="0" w:afterAutospacing="0" w:line="576" w:lineRule="exact"/>
        <w:ind w:left="0" w:leftChars="0" w:right="0"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其中：</w:t>
      </w:r>
      <w:r>
        <w:rPr>
          <w:rFonts w:hint="eastAsia" w:ascii="仿宋_GB2312" w:hAnsi="仿宋_GB2312" w:eastAsia="仿宋_GB2312" w:cs="仿宋_GB2312"/>
          <w:b/>
          <w:sz w:val="32"/>
          <w:szCs w:val="32"/>
        </w:rPr>
        <w:t>公务用车购置支出</w:t>
      </w:r>
      <w:r>
        <w:rPr>
          <w:rFonts w:hint="eastAsia" w:ascii="仿宋_GB2312" w:hAnsi="仿宋_GB2312" w:eastAsia="仿宋_GB2312" w:cs="仿宋_GB2312"/>
          <w:sz w:val="32"/>
          <w:szCs w:val="32"/>
        </w:rPr>
        <w:t>0万元。全年未更新购置公务用车。</w:t>
      </w:r>
    </w:p>
    <w:p>
      <w:pPr>
        <w:keepNext w:val="0"/>
        <w:keepLines w:val="0"/>
        <w:pageBreakBefore w:val="0"/>
        <w:kinsoku/>
        <w:wordWrap/>
        <w:overflowPunct/>
        <w:topLinePunct w:val="0"/>
        <w:bidi w:val="0"/>
        <w:spacing w:beforeAutospacing="0" w:afterAutospacing="0" w:line="576" w:lineRule="exact"/>
        <w:ind w:left="0" w:leftChars="0" w:right="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公务用车运行维护费支出</w:t>
      </w:r>
      <w:r>
        <w:rPr>
          <w:rFonts w:hint="eastAsia" w:ascii="仿宋_GB2312" w:hAnsi="仿宋_GB2312" w:eastAsia="仿宋_GB2312" w:cs="仿宋_GB2312"/>
          <w:sz w:val="32"/>
          <w:szCs w:val="32"/>
          <w:lang w:val="en-US" w:eastAsia="zh-CN"/>
        </w:rPr>
        <w:t>34.99</w:t>
      </w:r>
      <w:r>
        <w:rPr>
          <w:rFonts w:hint="eastAsia" w:ascii="仿宋_GB2312" w:hAnsi="仿宋_GB2312" w:eastAsia="仿宋_GB2312" w:cs="仿宋_GB2312"/>
          <w:sz w:val="32"/>
          <w:szCs w:val="32"/>
        </w:rPr>
        <w:t>万元。主要用于纪委</w:t>
      </w:r>
      <w:r>
        <w:rPr>
          <w:rFonts w:hint="eastAsia" w:ascii="仿宋_GB2312" w:hAnsi="仿宋_GB2312" w:eastAsia="仿宋_GB2312" w:cs="仿宋_GB2312"/>
          <w:sz w:val="32"/>
          <w:szCs w:val="32"/>
          <w:lang w:val="en-US" w:eastAsia="zh-CN"/>
        </w:rPr>
        <w:t>开展</w:t>
      </w:r>
      <w:r>
        <w:rPr>
          <w:rFonts w:hint="eastAsia" w:ascii="仿宋_GB2312" w:hAnsi="仿宋_GB2312" w:eastAsia="仿宋_GB2312" w:cs="仿宋_GB2312"/>
          <w:sz w:val="32"/>
          <w:szCs w:val="32"/>
        </w:rPr>
        <w:t>日常工作和案件办理工作中的出差、下乡等所需的公务用车燃料费、维修费、过路过桥费、保险费等支出。</w:t>
      </w:r>
    </w:p>
    <w:p>
      <w:pPr>
        <w:keepNext w:val="0"/>
        <w:keepLines w:val="0"/>
        <w:pageBreakBefore w:val="0"/>
        <w:kinsoku/>
        <w:wordWrap/>
        <w:overflowPunct/>
        <w:topLinePunct w:val="0"/>
        <w:bidi w:val="0"/>
        <w:spacing w:beforeAutospacing="0" w:afterAutospacing="0" w:line="576" w:lineRule="exact"/>
        <w:ind w:left="0" w:leftChars="0" w:right="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3.公务接待费支出</w:t>
      </w:r>
      <w:r>
        <w:rPr>
          <w:rFonts w:hint="eastAsia" w:ascii="仿宋_GB2312" w:hAnsi="仿宋_GB2312" w:eastAsia="仿宋_GB2312" w:cs="仿宋_GB2312"/>
          <w:sz w:val="32"/>
          <w:szCs w:val="32"/>
          <w:lang w:val="en-US" w:eastAsia="zh-CN"/>
        </w:rPr>
        <w:t>0.07</w:t>
      </w:r>
      <w:r>
        <w:rPr>
          <w:rFonts w:hint="eastAsia" w:ascii="仿宋_GB2312" w:hAnsi="仿宋_GB2312" w:eastAsia="仿宋_GB2312" w:cs="仿宋_GB2312"/>
          <w:sz w:val="32"/>
          <w:szCs w:val="32"/>
        </w:rPr>
        <w:t>万元，</w:t>
      </w:r>
      <w:r>
        <w:rPr>
          <w:rFonts w:hint="eastAsia" w:ascii="仿宋_GB2312" w:hAnsi="仿宋_GB2312" w:eastAsia="仿宋_GB2312" w:cs="仿宋_GB2312"/>
          <w:b/>
          <w:sz w:val="32"/>
          <w:szCs w:val="32"/>
        </w:rPr>
        <w:t>完成预算100%。</w:t>
      </w:r>
      <w:r>
        <w:rPr>
          <w:rFonts w:hint="eastAsia" w:ascii="仿宋_GB2312" w:hAnsi="仿宋_GB2312" w:eastAsia="仿宋_GB2312" w:cs="仿宋_GB2312"/>
          <w:sz w:val="32"/>
          <w:szCs w:val="32"/>
        </w:rPr>
        <w:t>公务接待费支出决算比202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0.21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0.75</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val="en-US" w:eastAsia="zh-CN"/>
        </w:rPr>
        <w:t>2025年，本委严格执行财经纪律，厉行节约、控制各项支出。</w:t>
      </w:r>
    </w:p>
    <w:p>
      <w:pPr>
        <w:keepNext w:val="0"/>
        <w:keepLines w:val="0"/>
        <w:pageBreakBefore w:val="0"/>
        <w:kinsoku/>
        <w:wordWrap/>
        <w:overflowPunct/>
        <w:topLinePunct w:val="0"/>
        <w:bidi w:val="0"/>
        <w:spacing w:beforeAutospacing="0" w:afterAutospacing="0" w:line="576" w:lineRule="exact"/>
        <w:ind w:left="0" w:leftChars="0" w:right="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外事接待支出</w:t>
      </w:r>
      <w:r>
        <w:rPr>
          <w:rFonts w:hint="eastAsia" w:ascii="仿宋_GB2312" w:hAnsi="仿宋_GB2312" w:eastAsia="仿宋_GB2312" w:cs="仿宋_GB2312"/>
          <w:sz w:val="32"/>
          <w:szCs w:val="32"/>
        </w:rPr>
        <w:t>0万元，外事接待0批次，0人次（不包括陪同人员），共计支出0万元。</w:t>
      </w:r>
    </w:p>
    <w:p>
      <w:pPr>
        <w:keepNext w:val="0"/>
        <w:keepLines w:val="0"/>
        <w:pageBreakBefore w:val="0"/>
        <w:kinsoku/>
        <w:wordWrap/>
        <w:overflowPunct/>
        <w:topLinePunct w:val="0"/>
        <w:bidi w:val="0"/>
        <w:spacing w:beforeAutospacing="0" w:afterAutospacing="0" w:line="576" w:lineRule="exact"/>
        <w:ind w:right="0"/>
        <w:textAlignment w:val="auto"/>
        <w:outlineLvl w:val="1"/>
        <w:rPr>
          <w:rStyle w:val="21"/>
          <w:rFonts w:hint="eastAsia" w:ascii="黑体" w:hAnsi="黑体" w:eastAsia="黑体" w:cs="黑体"/>
          <w:b/>
          <w:bCs/>
        </w:rPr>
      </w:pPr>
      <w:bookmarkStart w:id="42" w:name="_Toc15377218"/>
      <w:bookmarkStart w:id="43" w:name="_Toc15396610"/>
      <w:bookmarkStart w:id="44" w:name="_Toc6663"/>
      <w:r>
        <w:rPr>
          <w:rFonts w:hint="eastAsia" w:ascii="黑体" w:hAnsi="黑体" w:eastAsia="黑体" w:cs="黑体"/>
          <w:b/>
          <w:bCs/>
          <w:sz w:val="32"/>
          <w:szCs w:val="32"/>
        </w:rPr>
        <w:t>八、</w:t>
      </w:r>
      <w:r>
        <w:rPr>
          <w:rStyle w:val="21"/>
          <w:rFonts w:hint="eastAsia" w:ascii="黑体" w:hAnsi="黑体" w:eastAsia="黑体" w:cs="黑体"/>
          <w:b/>
          <w:bCs/>
        </w:rPr>
        <w:t>政府性基金预算支出决算情况说明</w:t>
      </w:r>
      <w:bookmarkEnd w:id="42"/>
      <w:bookmarkEnd w:id="43"/>
      <w:bookmarkEnd w:id="44"/>
    </w:p>
    <w:p>
      <w:pPr>
        <w:keepNext w:val="0"/>
        <w:keepLines w:val="0"/>
        <w:pageBreakBefore w:val="0"/>
        <w:kinsoku/>
        <w:wordWrap/>
        <w:overflowPunct/>
        <w:topLinePunct w:val="0"/>
        <w:bidi w:val="0"/>
        <w:spacing w:beforeAutospacing="0" w:afterAutospacing="0" w:line="576" w:lineRule="exact"/>
        <w:ind w:left="0" w:leftChars="0" w:right="0"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年政府性基金预算财政拨款支出0万元。</w:t>
      </w:r>
    </w:p>
    <w:p>
      <w:pPr>
        <w:keepNext w:val="0"/>
        <w:keepLines w:val="0"/>
        <w:pageBreakBefore w:val="0"/>
        <w:numPr>
          <w:ilvl w:val="0"/>
          <w:numId w:val="0"/>
        </w:numPr>
        <w:kinsoku/>
        <w:wordWrap/>
        <w:overflowPunct/>
        <w:topLinePunct w:val="0"/>
        <w:bidi w:val="0"/>
        <w:spacing w:beforeAutospacing="0" w:afterAutospacing="0" w:line="576" w:lineRule="exact"/>
        <w:ind w:right="0" w:rightChars="0"/>
        <w:textAlignment w:val="auto"/>
        <w:outlineLvl w:val="1"/>
        <w:rPr>
          <w:rStyle w:val="21"/>
          <w:rFonts w:hint="eastAsia" w:ascii="黑体" w:hAnsi="黑体" w:eastAsia="黑体" w:cs="黑体"/>
          <w:b/>
          <w:bCs w:val="0"/>
        </w:rPr>
      </w:pPr>
      <w:bookmarkStart w:id="45" w:name="_Toc15377219"/>
      <w:bookmarkStart w:id="46" w:name="_Toc10406"/>
      <w:bookmarkStart w:id="47" w:name="_Toc15396611"/>
      <w:r>
        <w:rPr>
          <w:rStyle w:val="21"/>
          <w:rFonts w:hint="eastAsia" w:ascii="黑体" w:hAnsi="黑体" w:eastAsia="黑体" w:cs="黑体"/>
          <w:b/>
          <w:bCs w:val="0"/>
          <w:lang w:val="en-US"/>
        </w:rPr>
        <w:t>九、</w:t>
      </w:r>
      <w:r>
        <w:rPr>
          <w:rStyle w:val="21"/>
          <w:rFonts w:hint="eastAsia" w:ascii="黑体" w:hAnsi="黑体" w:eastAsia="黑体" w:cs="黑体"/>
          <w:b/>
          <w:bCs w:val="0"/>
        </w:rPr>
        <w:t>国有资本经营预算支出决算情况说明</w:t>
      </w:r>
      <w:bookmarkEnd w:id="45"/>
      <w:bookmarkEnd w:id="46"/>
      <w:bookmarkEnd w:id="47"/>
    </w:p>
    <w:p>
      <w:pPr>
        <w:keepNext w:val="0"/>
        <w:keepLines w:val="0"/>
        <w:pageBreakBefore w:val="0"/>
        <w:kinsoku/>
        <w:wordWrap/>
        <w:overflowPunct/>
        <w:topLinePunct w:val="0"/>
        <w:bidi w:val="0"/>
        <w:spacing w:beforeAutospacing="0" w:afterAutospacing="0" w:line="576" w:lineRule="exact"/>
        <w:ind w:left="0" w:leftChars="0" w:right="0" w:firstLine="640"/>
        <w:textAlignment w:val="auto"/>
        <w:rPr>
          <w:rFonts w:hint="eastAsia" w:ascii="仿宋_GB2312" w:hAnsi="仿宋_GB2312" w:eastAsia="仿宋_GB2312" w:cs="仿宋_GB2312"/>
          <w:sz w:val="44"/>
          <w:szCs w:val="44"/>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年国有资本经营预算财政拨款支出0万元。</w:t>
      </w:r>
    </w:p>
    <w:p>
      <w:pPr>
        <w:keepNext w:val="0"/>
        <w:keepLines w:val="0"/>
        <w:pageBreakBefore w:val="0"/>
        <w:numPr>
          <w:ilvl w:val="0"/>
          <w:numId w:val="0"/>
        </w:numPr>
        <w:kinsoku/>
        <w:wordWrap/>
        <w:overflowPunct/>
        <w:topLinePunct w:val="0"/>
        <w:bidi w:val="0"/>
        <w:spacing w:beforeAutospacing="0" w:afterAutospacing="0" w:line="576" w:lineRule="exact"/>
        <w:ind w:right="0" w:rightChars="0"/>
        <w:textAlignment w:val="auto"/>
        <w:outlineLvl w:val="1"/>
        <w:rPr>
          <w:rStyle w:val="21"/>
          <w:rFonts w:hint="eastAsia" w:ascii="黑体" w:hAnsi="黑体" w:eastAsia="黑体" w:cs="黑体"/>
          <w:b/>
          <w:bCs w:val="0"/>
        </w:rPr>
      </w:pPr>
      <w:bookmarkStart w:id="48" w:name="_Toc15396612"/>
      <w:bookmarkStart w:id="49" w:name="_Toc15377221"/>
      <w:bookmarkStart w:id="50" w:name="_Toc19090"/>
      <w:r>
        <w:rPr>
          <w:rStyle w:val="21"/>
          <w:rFonts w:hint="eastAsia" w:ascii="黑体" w:hAnsi="黑体" w:eastAsia="黑体" w:cs="黑体"/>
          <w:b/>
          <w:bCs w:val="0"/>
          <w:lang w:val="en-US"/>
        </w:rPr>
        <w:t>十、</w:t>
      </w:r>
      <w:r>
        <w:rPr>
          <w:rStyle w:val="21"/>
          <w:rFonts w:hint="eastAsia" w:ascii="黑体" w:hAnsi="黑体" w:eastAsia="黑体" w:cs="黑体"/>
          <w:b/>
          <w:bCs w:val="0"/>
        </w:rPr>
        <w:t>其他重要事项的情况说明</w:t>
      </w:r>
      <w:bookmarkEnd w:id="48"/>
      <w:bookmarkEnd w:id="49"/>
      <w:bookmarkEnd w:id="50"/>
    </w:p>
    <w:p>
      <w:pPr>
        <w:keepNext w:val="0"/>
        <w:keepLines w:val="0"/>
        <w:pageBreakBefore w:val="0"/>
        <w:kinsoku/>
        <w:wordWrap/>
        <w:overflowPunct/>
        <w:topLinePunct w:val="0"/>
        <w:bidi w:val="0"/>
        <w:spacing w:beforeAutospacing="0" w:afterAutospacing="0" w:line="576" w:lineRule="exact"/>
        <w:ind w:left="0" w:leftChars="0" w:right="0" w:firstLine="643" w:firstLineChars="200"/>
        <w:textAlignment w:val="auto"/>
        <w:outlineLvl w:val="2"/>
        <w:rPr>
          <w:rFonts w:hint="eastAsia" w:ascii="楷体_GB2312" w:hAnsi="楷体_GB2312" w:eastAsia="楷体_GB2312" w:cs="楷体_GB2312"/>
          <w:sz w:val="32"/>
          <w:szCs w:val="32"/>
        </w:rPr>
      </w:pPr>
      <w:bookmarkStart w:id="51" w:name="_Toc15377222"/>
      <w:r>
        <w:rPr>
          <w:rFonts w:hint="eastAsia" w:ascii="楷体_GB2312" w:hAnsi="楷体_GB2312" w:eastAsia="楷体_GB2312" w:cs="楷体_GB2312"/>
          <w:b/>
          <w:sz w:val="32"/>
          <w:szCs w:val="32"/>
        </w:rPr>
        <w:t>（一）机关运行经费支出情况</w:t>
      </w:r>
      <w:bookmarkEnd w:id="51"/>
    </w:p>
    <w:p>
      <w:pPr>
        <w:pStyle w:val="1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年，中共阿坝州红原县纪律检查委员会机关运行经费支出</w:t>
      </w:r>
      <w:r>
        <w:rPr>
          <w:rFonts w:hint="eastAsia" w:ascii="仿宋_GB2312" w:hAnsi="仿宋_GB2312" w:eastAsia="仿宋_GB2312" w:cs="仿宋_GB2312"/>
          <w:sz w:val="32"/>
          <w:szCs w:val="32"/>
          <w:lang w:val="en-US" w:eastAsia="zh-CN"/>
        </w:rPr>
        <w:t>1078.19</w:t>
      </w:r>
      <w:r>
        <w:rPr>
          <w:rFonts w:hint="eastAsia" w:ascii="仿宋_GB2312" w:hAnsi="仿宋_GB2312" w:eastAsia="仿宋_GB2312" w:cs="仿宋_GB2312"/>
          <w:sz w:val="32"/>
          <w:szCs w:val="32"/>
        </w:rPr>
        <w:t>万元，比202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增加565.38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增加</w:t>
      </w:r>
      <w:r>
        <w:rPr>
          <w:rFonts w:hint="eastAsia" w:ascii="仿宋_GB2312" w:hAnsi="仿宋_GB2312" w:eastAsia="仿宋_GB2312" w:cs="仿宋_GB2312"/>
          <w:sz w:val="32"/>
          <w:szCs w:val="32"/>
          <w:lang w:val="en-US" w:eastAsia="zh-CN"/>
        </w:rPr>
        <w:t>110.25</w:t>
      </w:r>
      <w:r>
        <w:rPr>
          <w:rFonts w:hint="eastAsia" w:ascii="仿宋_GB2312" w:hAnsi="仿宋_GB2312" w:eastAsia="仿宋_GB2312" w:cs="仿宋_GB2312"/>
          <w:sz w:val="32"/>
          <w:szCs w:val="32"/>
        </w:rPr>
        <w:t>%。主要原因是：</w:t>
      </w:r>
      <w:r>
        <w:rPr>
          <w:rFonts w:hint="eastAsia" w:ascii="仿宋_GB2312" w:hAnsi="仿宋_GB2312" w:eastAsia="仿宋_GB2312" w:cs="仿宋_GB2312"/>
          <w:color w:val="000000"/>
          <w:sz w:val="32"/>
          <w:szCs w:val="32"/>
          <w:shd w:val="clear" w:color="auto" w:fill="FFFFFF"/>
        </w:rPr>
        <w:t>一是202</w:t>
      </w:r>
      <w:r>
        <w:rPr>
          <w:rFonts w:hint="eastAsia" w:ascii="仿宋_GB2312" w:hAnsi="仿宋_GB2312" w:eastAsia="仿宋_GB2312" w:cs="仿宋_GB2312"/>
          <w:color w:val="000000"/>
          <w:sz w:val="32"/>
          <w:szCs w:val="32"/>
          <w:shd w:val="clear" w:color="auto" w:fill="FFFFFF"/>
          <w:lang w:val="en-US" w:eastAsia="zh-CN"/>
        </w:rPr>
        <w:t>5</w:t>
      </w:r>
      <w:r>
        <w:rPr>
          <w:rFonts w:hint="eastAsia" w:ascii="仿宋_GB2312" w:hAnsi="仿宋_GB2312" w:eastAsia="仿宋_GB2312" w:cs="仿宋_GB2312"/>
          <w:color w:val="000000"/>
          <w:sz w:val="32"/>
          <w:szCs w:val="32"/>
          <w:shd w:val="clear" w:color="auto" w:fill="FFFFFF"/>
        </w:rPr>
        <w:t>年办案业务增加，办案经费增加，相关执纪经费增加</w:t>
      </w:r>
      <w:r>
        <w:rPr>
          <w:rFonts w:hint="eastAsia" w:ascii="仿宋_GB2312" w:hAnsi="仿宋_GB2312" w:eastAsia="仿宋_GB2312" w:cs="仿宋_GB2312"/>
          <w:color w:val="000000"/>
          <w:sz w:val="32"/>
          <w:szCs w:val="32"/>
          <w:shd w:val="clear" w:color="auto" w:fill="FFFFFF"/>
          <w:lang w:eastAsia="zh-CN"/>
        </w:rPr>
        <w:t>，二</w:t>
      </w:r>
      <w:r>
        <w:rPr>
          <w:rFonts w:hint="eastAsia" w:ascii="仿宋_GB2312" w:hAnsi="仿宋_GB2312" w:eastAsia="仿宋_GB2312" w:cs="仿宋_GB2312"/>
          <w:color w:val="000000"/>
          <w:sz w:val="32"/>
          <w:szCs w:val="32"/>
          <w:shd w:val="clear" w:color="auto" w:fill="FFFFFF"/>
          <w:lang w:val="en-US" w:eastAsia="zh-CN"/>
        </w:rPr>
        <w:t>是</w:t>
      </w:r>
      <w:r>
        <w:rPr>
          <w:rFonts w:hint="eastAsia" w:ascii="仿宋_GB2312" w:hAnsi="仿宋_GB2312" w:eastAsia="仿宋_GB2312" w:cs="仿宋_GB2312"/>
          <w:color w:val="000000"/>
          <w:sz w:val="32"/>
          <w:szCs w:val="32"/>
          <w:shd w:val="clear" w:color="auto" w:fill="FFFFFF"/>
          <w:lang w:eastAsia="zh-CN"/>
        </w:rPr>
        <w:t>职工</w:t>
      </w:r>
      <w:r>
        <w:rPr>
          <w:rFonts w:hint="eastAsia" w:ascii="仿宋_GB2312" w:hAnsi="仿宋_GB2312" w:eastAsia="仿宋_GB2312" w:cs="仿宋_GB2312"/>
          <w:color w:val="000000"/>
          <w:sz w:val="32"/>
          <w:szCs w:val="32"/>
          <w:shd w:val="clear" w:color="auto" w:fill="FFFFFF"/>
        </w:rPr>
        <w:t>工资、</w:t>
      </w:r>
      <w:r>
        <w:rPr>
          <w:rFonts w:hint="eastAsia" w:ascii="仿宋_GB2312" w:hAnsi="仿宋_GB2312" w:eastAsia="仿宋_GB2312" w:cs="仿宋_GB2312"/>
          <w:color w:val="000000"/>
          <w:sz w:val="32"/>
          <w:szCs w:val="32"/>
          <w:shd w:val="clear" w:color="auto" w:fill="FFFFFF"/>
          <w:lang w:val="en-US" w:eastAsia="zh-CN"/>
        </w:rPr>
        <w:t>各类</w:t>
      </w:r>
      <w:r>
        <w:rPr>
          <w:rFonts w:hint="eastAsia" w:ascii="仿宋_GB2312" w:hAnsi="仿宋_GB2312" w:eastAsia="仿宋_GB2312" w:cs="仿宋_GB2312"/>
          <w:color w:val="000000"/>
          <w:sz w:val="32"/>
          <w:szCs w:val="32"/>
          <w:shd w:val="clear" w:color="auto" w:fill="FFFFFF"/>
        </w:rPr>
        <w:t>保险</w:t>
      </w:r>
      <w:r>
        <w:rPr>
          <w:rFonts w:hint="eastAsia" w:ascii="仿宋_GB2312" w:hAnsi="仿宋_GB2312" w:eastAsia="仿宋_GB2312" w:cs="仿宋_GB2312"/>
          <w:color w:val="000000"/>
          <w:sz w:val="32"/>
          <w:szCs w:val="32"/>
          <w:shd w:val="clear" w:color="auto" w:fill="FFFFFF"/>
          <w:lang w:val="en-US" w:eastAsia="zh-CN"/>
        </w:rPr>
        <w:t>基数</w:t>
      </w:r>
      <w:r>
        <w:rPr>
          <w:rFonts w:hint="eastAsia" w:ascii="仿宋_GB2312" w:hAnsi="仿宋_GB2312" w:eastAsia="仿宋_GB2312" w:cs="仿宋_GB2312"/>
          <w:color w:val="000000"/>
          <w:sz w:val="32"/>
          <w:szCs w:val="32"/>
          <w:shd w:val="clear" w:color="auto" w:fill="FFFFFF"/>
        </w:rPr>
        <w:t>、公积金的变动</w:t>
      </w:r>
      <w:r>
        <w:rPr>
          <w:rFonts w:hint="eastAsia" w:ascii="仿宋_GB2312" w:hAnsi="仿宋_GB2312" w:eastAsia="仿宋_GB2312" w:cs="仿宋_GB2312"/>
          <w:color w:val="000000"/>
          <w:sz w:val="32"/>
          <w:szCs w:val="32"/>
          <w:shd w:val="clear" w:color="auto" w:fill="FFFFFF"/>
          <w:lang w:val="en-US" w:eastAsia="zh-CN"/>
        </w:rPr>
        <w:t>较大</w:t>
      </w:r>
      <w:r>
        <w:rPr>
          <w:rFonts w:hint="eastAsia" w:ascii="仿宋_GB2312" w:hAnsi="仿宋_GB2312" w:eastAsia="仿宋_GB2312" w:cs="仿宋_GB2312"/>
          <w:sz w:val="32"/>
          <w:szCs w:val="32"/>
        </w:rPr>
        <w:t>。</w:t>
      </w:r>
    </w:p>
    <w:p>
      <w:pPr>
        <w:keepNext w:val="0"/>
        <w:keepLines w:val="0"/>
        <w:pageBreakBefore w:val="0"/>
        <w:kinsoku/>
        <w:wordWrap/>
        <w:overflowPunct/>
        <w:topLinePunct w:val="0"/>
        <w:autoSpaceDE w:val="0"/>
        <w:autoSpaceDN w:val="0"/>
        <w:bidi w:val="0"/>
        <w:adjustRightInd w:val="0"/>
        <w:spacing w:beforeAutospacing="0" w:afterAutospacing="0" w:line="576" w:lineRule="exact"/>
        <w:ind w:left="0" w:leftChars="0" w:right="0" w:firstLine="643" w:firstLineChars="200"/>
        <w:jc w:val="left"/>
        <w:textAlignment w:val="auto"/>
        <w:outlineLvl w:val="2"/>
        <w:rPr>
          <w:rFonts w:hint="eastAsia" w:ascii="楷体_GB2312" w:hAnsi="楷体_GB2312" w:eastAsia="楷体_GB2312" w:cs="楷体_GB2312"/>
          <w:b/>
          <w:sz w:val="32"/>
          <w:szCs w:val="32"/>
        </w:rPr>
      </w:pPr>
      <w:bookmarkStart w:id="52" w:name="_Toc15377223"/>
      <w:r>
        <w:rPr>
          <w:rFonts w:hint="eastAsia" w:ascii="楷体_GB2312" w:hAnsi="楷体_GB2312" w:eastAsia="楷体_GB2312" w:cs="楷体_GB2312"/>
          <w:b/>
          <w:sz w:val="32"/>
          <w:szCs w:val="32"/>
        </w:rPr>
        <w:t>（二）政府采购支出情况</w:t>
      </w:r>
      <w:bookmarkEnd w:id="52"/>
    </w:p>
    <w:p>
      <w:pPr>
        <w:pStyle w:val="15"/>
        <w:keepNext w:val="0"/>
        <w:keepLines w:val="0"/>
        <w:pageBreakBefore w:val="0"/>
        <w:shd w:val="clear" w:color="auto" w:fill="FFFFFF"/>
        <w:kinsoku/>
        <w:wordWrap/>
        <w:overflowPunct/>
        <w:topLinePunct w:val="0"/>
        <w:bidi w:val="0"/>
        <w:spacing w:before="0" w:beforeAutospacing="0" w:after="0" w:afterAutospacing="0" w:line="576" w:lineRule="exact"/>
        <w:ind w:left="0" w:leftChars="0" w:right="0"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年，中共阿坝州红原县纪律检查委员会</w:t>
      </w:r>
      <w:r>
        <w:rPr>
          <w:rFonts w:hint="eastAsia" w:ascii="仿宋_GB2312" w:hAnsi="仿宋_GB2312" w:eastAsia="仿宋_GB2312" w:cs="仿宋_GB2312"/>
          <w:sz w:val="32"/>
          <w:szCs w:val="32"/>
          <w:lang w:val="en-US" w:eastAsia="zh-CN"/>
        </w:rPr>
        <w:t>未开展政府采购工作。</w:t>
      </w:r>
    </w:p>
    <w:p>
      <w:pPr>
        <w:keepNext w:val="0"/>
        <w:keepLines w:val="0"/>
        <w:pageBreakBefore w:val="0"/>
        <w:kinsoku/>
        <w:wordWrap/>
        <w:overflowPunct/>
        <w:topLinePunct w:val="0"/>
        <w:autoSpaceDE w:val="0"/>
        <w:autoSpaceDN w:val="0"/>
        <w:bidi w:val="0"/>
        <w:adjustRightInd w:val="0"/>
        <w:spacing w:beforeAutospacing="0" w:afterAutospacing="0" w:line="576" w:lineRule="exact"/>
        <w:ind w:left="0" w:leftChars="0" w:right="0" w:firstLine="643" w:firstLineChars="200"/>
        <w:jc w:val="left"/>
        <w:textAlignment w:val="auto"/>
        <w:outlineLvl w:val="2"/>
        <w:rPr>
          <w:rFonts w:hint="eastAsia" w:ascii="楷体_GB2312" w:hAnsi="楷体_GB2312" w:eastAsia="楷体_GB2312" w:cs="楷体_GB2312"/>
          <w:b/>
          <w:sz w:val="32"/>
          <w:szCs w:val="32"/>
        </w:rPr>
      </w:pPr>
      <w:bookmarkStart w:id="53" w:name="_Toc15377224"/>
      <w:r>
        <w:rPr>
          <w:rFonts w:hint="eastAsia" w:ascii="楷体_GB2312" w:hAnsi="楷体_GB2312" w:eastAsia="楷体_GB2312" w:cs="楷体_GB2312"/>
          <w:b/>
          <w:sz w:val="32"/>
          <w:szCs w:val="32"/>
        </w:rPr>
        <w:t>（三）国有资产占有使用情况</w:t>
      </w:r>
      <w:bookmarkEnd w:id="53"/>
    </w:p>
    <w:p>
      <w:pPr>
        <w:pStyle w:val="15"/>
        <w:keepNext w:val="0"/>
        <w:keepLines w:val="0"/>
        <w:pageBreakBefore w:val="0"/>
        <w:widowControl/>
        <w:kinsoku/>
        <w:wordWrap/>
        <w:overflowPunct/>
        <w:topLinePunct w:val="0"/>
        <w:bidi w:val="0"/>
        <w:spacing w:before="0" w:beforeAutospacing="0" w:after="0" w:afterAutospacing="0" w:line="576" w:lineRule="exact"/>
        <w:ind w:left="0" w:leftChars="0" w:right="0" w:firstLine="640" w:firstLineChars="200"/>
        <w:textAlignment w:val="auto"/>
        <w:rPr>
          <w:rStyle w:val="18"/>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rPr>
        <w:t>截至202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年12月31日，我单位共有车辆5辆，全部执法用车4辆，巡察工作公务用车1辆。单价100万元以上专用设备0台（套）。截止年底共有资产</w:t>
      </w:r>
      <w:r>
        <w:rPr>
          <w:rFonts w:hint="eastAsia" w:ascii="仿宋_GB2312" w:hAnsi="仿宋_GB2312" w:eastAsia="仿宋_GB2312" w:cs="仿宋_GB2312"/>
          <w:sz w:val="32"/>
          <w:szCs w:val="32"/>
          <w:lang w:val="en-US" w:eastAsia="zh-CN"/>
        </w:rPr>
        <w:t>401.29</w:t>
      </w:r>
      <w:r>
        <w:rPr>
          <w:rFonts w:hint="eastAsia" w:ascii="仿宋_GB2312" w:hAnsi="仿宋_GB2312" w:eastAsia="仿宋_GB2312" w:cs="仿宋_GB2312"/>
          <w:sz w:val="32"/>
          <w:szCs w:val="32"/>
        </w:rPr>
        <w:t>万元</w:t>
      </w:r>
      <w:r>
        <w:rPr>
          <w:rFonts w:hint="eastAsia" w:ascii="仿宋_GB2312" w:hAnsi="仿宋_GB2312" w:eastAsia="仿宋_GB2312" w:cs="仿宋_GB2312"/>
          <w:color w:val="000000"/>
          <w:sz w:val="32"/>
          <w:szCs w:val="32"/>
        </w:rPr>
        <w:t>（账面原值，下同）</w:t>
      </w:r>
      <w:r>
        <w:rPr>
          <w:rFonts w:hint="eastAsia" w:ascii="仿宋_GB2312" w:hAnsi="仿宋_GB2312" w:eastAsia="仿宋_GB2312" w:cs="仿宋_GB2312"/>
          <w:sz w:val="32"/>
          <w:szCs w:val="32"/>
        </w:rPr>
        <w:t>，其中固定资产39</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万元，占比</w:t>
      </w:r>
      <w:r>
        <w:rPr>
          <w:rFonts w:hint="eastAsia" w:ascii="仿宋_GB2312" w:hAnsi="仿宋_GB2312" w:eastAsia="仿宋_GB2312" w:cs="仿宋_GB2312"/>
          <w:sz w:val="32"/>
          <w:szCs w:val="32"/>
          <w:lang w:val="en-US" w:eastAsia="zh-CN"/>
        </w:rPr>
        <w:t>98.88</w:t>
      </w:r>
      <w:r>
        <w:rPr>
          <w:rFonts w:hint="eastAsia" w:ascii="仿宋_GB2312" w:hAnsi="仿宋_GB2312" w:eastAsia="仿宋_GB2312" w:cs="仿宋_GB2312"/>
          <w:sz w:val="32"/>
          <w:szCs w:val="32"/>
        </w:rPr>
        <w:t>%，无形资产4.49万元，占比1.12%。</w:t>
      </w:r>
      <w:r>
        <w:rPr>
          <w:rFonts w:hint="eastAsia" w:ascii="仿宋_GB2312" w:hAnsi="仿宋_GB2312" w:eastAsia="仿宋_GB2312" w:cs="仿宋_GB2312"/>
          <w:color w:val="000000"/>
          <w:sz w:val="32"/>
          <w:szCs w:val="32"/>
        </w:rPr>
        <w:t>从资产类别分析，配置土地、房屋及构筑物0万元，占0%； 配置通用设备</w:t>
      </w:r>
      <w:r>
        <w:rPr>
          <w:rFonts w:hint="eastAsia" w:ascii="仿宋_GB2312" w:hAnsi="仿宋_GB2312" w:eastAsia="仿宋_GB2312" w:cs="仿宋_GB2312"/>
          <w:color w:val="000000"/>
          <w:sz w:val="32"/>
          <w:szCs w:val="32"/>
          <w:lang w:val="en-US" w:eastAsia="zh-CN"/>
        </w:rPr>
        <w:t>335.2</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83.53</w:t>
      </w:r>
      <w:r>
        <w:rPr>
          <w:rFonts w:hint="eastAsia" w:ascii="仿宋_GB2312" w:hAnsi="仿宋_GB2312" w:eastAsia="仿宋_GB2312" w:cs="仿宋_GB2312"/>
          <w:color w:val="000000"/>
          <w:sz w:val="32"/>
          <w:szCs w:val="32"/>
        </w:rPr>
        <w:t>% ； 配置家具、用具、装具</w:t>
      </w:r>
      <w:r>
        <w:rPr>
          <w:rFonts w:hint="eastAsia" w:ascii="仿宋_GB2312" w:hAnsi="仿宋_GB2312" w:eastAsia="仿宋_GB2312" w:cs="仿宋_GB2312"/>
          <w:color w:val="000000"/>
          <w:sz w:val="32"/>
          <w:szCs w:val="32"/>
          <w:lang w:val="en-US" w:eastAsia="zh-CN"/>
        </w:rPr>
        <w:t>61.6</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val="en-US" w:eastAsia="zh-CN"/>
        </w:rPr>
        <w:t>15.35</w:t>
      </w:r>
      <w:r>
        <w:rPr>
          <w:rFonts w:hint="eastAsia" w:ascii="仿宋_GB2312" w:hAnsi="仿宋_GB2312" w:eastAsia="仿宋_GB2312" w:cs="仿宋_GB2312"/>
          <w:color w:val="000000"/>
          <w:sz w:val="32"/>
          <w:szCs w:val="32"/>
        </w:rPr>
        <w:t>% ，无形资产4.49万元，占比1.12%。</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四</w:t>
      </w:r>
      <w:r>
        <w:rPr>
          <w:rFonts w:hint="eastAsia" w:ascii="楷体_GB2312" w:hAnsi="楷体_GB2312" w:eastAsia="楷体_GB2312" w:cs="楷体_GB2312"/>
          <w:b/>
          <w:sz w:val="32"/>
          <w:szCs w:val="32"/>
        </w:rPr>
        <w:t>）</w:t>
      </w:r>
      <w:r>
        <w:rPr>
          <w:rStyle w:val="18"/>
          <w:rFonts w:hint="eastAsia" w:ascii="仿宋_GB2312" w:hAnsi="仿宋_GB2312" w:eastAsia="仿宋_GB2312" w:cs="仿宋_GB2312"/>
          <w:sz w:val="32"/>
          <w:szCs w:val="32"/>
        </w:rPr>
        <w:t>绩效目标完成情况。</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ind w:firstLine="320" w:firstLineChars="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1.概述项目绩效目标完成情况。</w:t>
      </w:r>
    </w:p>
    <w:p>
      <w:pPr>
        <w:pStyle w:val="34"/>
        <w:keepNext w:val="0"/>
        <w:keepLines w:val="0"/>
        <w:pageBreakBefore w:val="0"/>
        <w:widowControl/>
        <w:shd w:val="clear" w:color="auto" w:fill="FFFFFF"/>
        <w:kinsoku/>
        <w:wordWrap/>
        <w:overflowPunct/>
        <w:topLinePunct w:val="0"/>
        <w:autoSpaceDE w:val="0"/>
        <w:autoSpaceDN/>
        <w:bidi w:val="0"/>
        <w:adjustRightIn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本委基本完成预算绩效管理目标，我委严格按照项目下达进行挂网采购，按照要求完成固定资产的入账管理。</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ind w:firstLine="320" w:firstLineChars="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2.概述本单位整体支出绩效目标实现情况（如有）。</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（一）预算编制情况</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预算法》及红原县财政局印发的《关于下达2021年部门预算的通知》要求，结合本单位实际，按照增收节支、厉行节约、绩效优化的原则，从严从紧编制预算。细化支出预算编制，推进预算信息公开，深化预算绩效管理，提高资金使用效益。</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年预算人员支出对照202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月份人员及工资信息编制，日常公用支出按照“经费包干、明细编报”的原则进行编制，重点做好培训费等预算编制。</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对照年初的预算，通过编制部门决算报表，全面、真实、准确的反映了202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年度财政资金的使用情况。</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（二）执行管理情况</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本着少花钱、多办事、办好事、遵循有预算才支出的原则，202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年财政预算支出全面落实到位，均按规定的用途支付</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基本支出，是用于保障本单位正常运转的日常支出，包括基本工资、津贴补贴等人员经费以及办公费、印刷费、水电费、办公设备购置等日常公用经费。</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项目支出，是用于保障本单位为完成特定的项上工作任务，用于专项业务工作的经费支出。</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年未发生公务出国（境）费用，本着厉行节约的原则，公务用车实行定点加油和维修，使用及维修前报分管领导和主要负责人同意。</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（三）综合管理情况</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建立建全内部控制制度：我单位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资金使用合规性：资金支出符合国家财经法规和财务管理制度规定以及有关专项资金管理办法的规定；资金拨付有完整的审批程序和手续；符合部门预算批复的用途；资金使用无截留、挤占、挪用、虚列支出等情况。 </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3.预算信息公开：我单位按规定内容公开预决算信息；按规定时限公开预决算信息；基础数据信息和会计信息资料真实；基础数据信息和会计信息资料完整；基础数据信息和汇集信息资料准确。 </w:t>
      </w:r>
    </w:p>
    <w:p>
      <w:pPr>
        <w:keepNext w:val="0"/>
        <w:keepLines w:val="0"/>
        <w:pageBreakBefore w:val="0"/>
        <w:widowControl/>
        <w:kinsoku/>
        <w:wordWrap/>
        <w:overflowPunct/>
        <w:topLinePunct w:val="0"/>
        <w:autoSpaceDE w:val="0"/>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4.财务信息完善性：经核对我单位202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年度总账、明细账、决算报表，其结果账账、账表相符；财务信息资料真实、完整、准确。</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textAlignment w:val="auto"/>
        <w:rPr>
          <w:rStyle w:val="18"/>
          <w:rFonts w:hint="eastAsia" w:ascii="仿宋_GB2312" w:hAnsi="仿宋_GB2312" w:eastAsia="仿宋_GB2312" w:cs="仿宋_GB2312"/>
          <w:sz w:val="32"/>
          <w:szCs w:val="32"/>
        </w:rPr>
      </w:pPr>
      <w:r>
        <w:rPr>
          <w:rStyle w:val="18"/>
          <w:rFonts w:hint="eastAsia" w:ascii="仿宋_GB2312" w:hAnsi="仿宋_GB2312" w:eastAsia="仿宋_GB2312" w:cs="仿宋_GB2312"/>
          <w:sz w:val="32"/>
          <w:szCs w:val="32"/>
        </w:rPr>
        <w:t>（六）当年预算执行及绩效管理中存在问题、原因及改进措施。</w:t>
      </w:r>
    </w:p>
    <w:p>
      <w:pPr>
        <w:pStyle w:val="15"/>
        <w:keepNext w:val="0"/>
        <w:keepLines w:val="0"/>
        <w:pageBreakBefore w:val="0"/>
        <w:widowControl/>
        <w:shd w:val="clear" w:color="auto" w:fill="FFFFFF"/>
        <w:kinsoku/>
        <w:wordWrap/>
        <w:overflowPunct/>
        <w:topLinePunct w:val="0"/>
        <w:autoSpaceDN/>
        <w:bidi w:val="0"/>
        <w:adjustRightInd/>
        <w:spacing w:before="0" w:beforeAutospacing="0" w:after="0" w:afterAutospacing="0" w:line="560" w:lineRule="exact"/>
        <w:ind w:firstLine="640"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的预算执行及绩效管理情况总的来说是良好的，管理是到位的，但是由于今年特殊原因（主要是：因工作需要纪检监察有人员调动增加及专案案件增加）导致增加预算，在今后要提高站位意识，预见意识，做好预算安排和绩效管理目标。</w:t>
      </w:r>
    </w:p>
    <w:p>
      <w:pPr>
        <w:keepNext w:val="0"/>
        <w:keepLines w:val="0"/>
        <w:pageBreakBefore w:val="0"/>
        <w:numPr>
          <w:ilvl w:val="0"/>
          <w:numId w:val="0"/>
        </w:numPr>
        <w:kinsoku/>
        <w:wordWrap/>
        <w:overflowPunct/>
        <w:topLinePunct w:val="0"/>
        <w:bidi w:val="0"/>
        <w:spacing w:beforeAutospacing="0" w:afterAutospacing="0" w:line="576" w:lineRule="exact"/>
        <w:ind w:right="0" w:rightChars="0" w:firstLine="422" w:firstLineChars="200"/>
        <w:textAlignment w:val="auto"/>
        <w:rPr>
          <w:rFonts w:hint="eastAsia"/>
          <w:b/>
          <w:bCs/>
        </w:rPr>
      </w:pPr>
    </w:p>
    <w:p>
      <w:pPr>
        <w:pageBreakBefore w:val="0"/>
        <w:kinsoku/>
        <w:wordWrap/>
        <w:overflowPunct/>
        <w:topLinePunct w:val="0"/>
        <w:bidi w:val="0"/>
        <w:spacing w:beforeAutospacing="0" w:afterAutospacing="0" w:line="576" w:lineRule="exact"/>
        <w:ind w:left="0" w:leftChars="0" w:right="0"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2.部门绩效评价结果。</w:t>
      </w:r>
    </w:p>
    <w:p>
      <w:pPr>
        <w:pageBreakBefore w:val="0"/>
        <w:kinsoku/>
        <w:wordWrap/>
        <w:overflowPunct/>
        <w:topLinePunct w:val="0"/>
        <w:bidi w:val="0"/>
        <w:spacing w:beforeAutospacing="0" w:afterAutospacing="0" w:line="576" w:lineRule="exact"/>
        <w:ind w:left="0" w:leftChars="0" w:right="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年部门整体支出绩效评价情况开展自评，整体支出得分</w:t>
      </w:r>
      <w:r>
        <w:rPr>
          <w:rFonts w:hint="eastAsia" w:ascii="仿宋_GB2312" w:hAnsi="仿宋_GB2312" w:eastAsia="仿宋_GB2312" w:cs="仿宋_GB2312"/>
          <w:sz w:val="32"/>
          <w:szCs w:val="32"/>
          <w:lang w:val="en-US" w:eastAsia="zh-CN"/>
        </w:rPr>
        <w:t>98</w:t>
      </w:r>
      <w:r>
        <w:rPr>
          <w:rFonts w:hint="eastAsia" w:ascii="仿宋_GB2312" w:hAnsi="仿宋_GB2312" w:eastAsia="仿宋_GB2312" w:cs="仿宋_GB2312"/>
          <w:sz w:val="32"/>
          <w:szCs w:val="32"/>
        </w:rPr>
        <w:t>分，情况良好，《中共红原县纪律检查委员会202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年部门整体支出绩效报告》详见附件。</w:t>
      </w:r>
    </w:p>
    <w:p>
      <w:pPr>
        <w:pageBreakBefore w:val="0"/>
        <w:widowControl/>
        <w:kinsoku/>
        <w:wordWrap/>
        <w:overflowPunct/>
        <w:topLinePunct w:val="0"/>
        <w:bidi w:val="0"/>
        <w:spacing w:beforeAutospacing="0" w:afterAutospacing="0" w:line="576" w:lineRule="exact"/>
        <w:ind w:left="0" w:leftChars="0" w:right="0"/>
        <w:jc w:val="left"/>
        <w:rPr>
          <w:rFonts w:hint="eastAsia" w:ascii="仿宋_GB2312" w:hAnsi="仿宋_GB2312" w:eastAsia="仿宋_GB2312" w:cs="仿宋_GB2312"/>
          <w:b/>
          <w:sz w:val="32"/>
          <w:szCs w:val="32"/>
        </w:rPr>
      </w:pPr>
    </w:p>
    <w:p>
      <w:pPr>
        <w:pageBreakBefore w:val="0"/>
        <w:kinsoku/>
        <w:wordWrap/>
        <w:overflowPunct/>
        <w:topLinePunct w:val="0"/>
        <w:bidi w:val="0"/>
        <w:spacing w:beforeAutospacing="0" w:afterAutospacing="0" w:line="576" w:lineRule="exact"/>
        <w:ind w:left="0" w:leftChars="0" w:right="0"/>
        <w:jc w:val="center"/>
        <w:outlineLvl w:val="0"/>
        <w:rPr>
          <w:rStyle w:val="20"/>
          <w:rFonts w:hint="eastAsia" w:ascii="方正小标宋简体" w:hAnsi="方正小标宋简体" w:eastAsia="方正小标宋简体" w:cs="方正小标宋简体"/>
          <w:b w:val="0"/>
          <w:sz w:val="44"/>
          <w:szCs w:val="44"/>
        </w:rPr>
      </w:pPr>
      <w:bookmarkStart w:id="54" w:name="_Toc15396613"/>
      <w:bookmarkStart w:id="55" w:name="_Toc15377225"/>
      <w:bookmarkStart w:id="56" w:name="_Toc32480"/>
      <w:r>
        <w:rPr>
          <w:rStyle w:val="20"/>
          <w:rFonts w:hint="eastAsia" w:ascii="方正小标宋简体" w:hAnsi="方正小标宋简体" w:eastAsia="方正小标宋简体" w:cs="方正小标宋简体"/>
          <w:b/>
          <w:bCs w:val="0"/>
          <w:sz w:val="44"/>
          <w:szCs w:val="44"/>
          <w:lang w:val="en-US"/>
        </w:rPr>
        <w:t xml:space="preserve">第三部分 </w:t>
      </w:r>
      <w:r>
        <w:rPr>
          <w:rStyle w:val="20"/>
          <w:rFonts w:hint="eastAsia" w:ascii="方正小标宋简体" w:hAnsi="方正小标宋简体" w:eastAsia="方正小标宋简体" w:cs="方正小标宋简体"/>
          <w:b/>
          <w:bCs w:val="0"/>
          <w:sz w:val="44"/>
          <w:szCs w:val="44"/>
        </w:rPr>
        <w:t>名词解释</w:t>
      </w:r>
      <w:bookmarkEnd w:id="54"/>
      <w:bookmarkEnd w:id="55"/>
      <w:bookmarkEnd w:id="56"/>
    </w:p>
    <w:p>
      <w:pPr>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0"/>
        <w:rPr>
          <w:rFonts w:hint="eastAsia" w:ascii="仿宋_GB2312" w:hAnsi="仿宋_GB2312" w:eastAsia="仿宋_GB2312" w:cs="仿宋_GB2312"/>
          <w:sz w:val="32"/>
          <w:szCs w:val="32"/>
        </w:rPr>
      </w:pPr>
      <w:bookmarkStart w:id="57" w:name="_Toc27029"/>
      <w:bookmarkStart w:id="58" w:name="_Toc18803"/>
      <w:bookmarkStart w:id="59" w:name="_Toc15377226"/>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财政拨款收入：指单位从同级财政部门取得的财政预算资</w:t>
      </w:r>
      <w:bookmarkEnd w:id="57"/>
      <w:bookmarkEnd w:id="58"/>
      <w:bookmarkStart w:id="60" w:name="_Toc21049"/>
      <w:bookmarkStart w:id="61" w:name="_Toc704"/>
      <w:r>
        <w:rPr>
          <w:rFonts w:hint="eastAsia" w:ascii="仿宋_GB2312" w:hAnsi="仿宋_GB2312" w:eastAsia="仿宋_GB2312" w:cs="仿宋_GB2312"/>
          <w:sz w:val="32"/>
          <w:szCs w:val="32"/>
        </w:rPr>
        <w:t>金。</w:t>
      </w:r>
      <w:bookmarkEnd w:id="60"/>
      <w:bookmarkEnd w:id="61"/>
    </w:p>
    <w:p>
      <w:pPr>
        <w:pageBreakBefore w:val="0"/>
        <w:kinsoku/>
        <w:wordWrap/>
        <w:overflowPunct/>
        <w:topLinePunct w:val="0"/>
        <w:bidi w:val="0"/>
        <w:spacing w:beforeAutospacing="0" w:afterAutospacing="0" w:line="576" w:lineRule="exact"/>
        <w:ind w:left="0" w:leftChars="0" w:right="0" w:firstLine="640" w:firstLineChars="200"/>
        <w:outlineLvl w:val="0"/>
        <w:rPr>
          <w:rFonts w:hint="eastAsia" w:ascii="仿宋_GB2312" w:hAnsi="仿宋_GB2312" w:eastAsia="仿宋_GB2312" w:cs="仿宋_GB2312"/>
          <w:sz w:val="32"/>
          <w:szCs w:val="32"/>
        </w:rPr>
      </w:pPr>
      <w:bookmarkStart w:id="62" w:name="_Toc16486"/>
      <w:bookmarkStart w:id="63" w:name="_Toc24986"/>
      <w:r>
        <w:rPr>
          <w:rFonts w:hint="eastAsia" w:ascii="仿宋_GB2312" w:hAnsi="仿宋_GB2312" w:eastAsia="仿宋_GB2312" w:cs="仿宋_GB2312"/>
          <w:sz w:val="32"/>
          <w:szCs w:val="32"/>
        </w:rPr>
        <w:t>2.其他收入：指单位取得的除上述收入以外的各项收入。</w:t>
      </w:r>
      <w:bookmarkEnd w:id="62"/>
      <w:bookmarkEnd w:id="63"/>
      <w:r>
        <w:rPr>
          <w:rFonts w:hint="eastAsia" w:ascii="仿宋_GB2312" w:hAnsi="仿宋_GB2312" w:eastAsia="仿宋_GB2312" w:cs="仿宋_GB2312"/>
          <w:sz w:val="32"/>
          <w:szCs w:val="32"/>
        </w:rPr>
        <w:t xml:space="preserve"> </w:t>
      </w:r>
    </w:p>
    <w:p>
      <w:pPr>
        <w:pageBreakBefore w:val="0"/>
        <w:kinsoku/>
        <w:wordWrap/>
        <w:overflowPunct/>
        <w:topLinePunct w:val="0"/>
        <w:bidi w:val="0"/>
        <w:spacing w:beforeAutospacing="0" w:afterAutospacing="0" w:line="576" w:lineRule="exact"/>
        <w:ind w:left="0" w:leftChars="0" w:right="0"/>
        <w:jc w:val="center"/>
        <w:outlineLvl w:val="0"/>
        <w:rPr>
          <w:rFonts w:hint="eastAsia" w:ascii="仿宋_GB2312" w:hAnsi="仿宋_GB2312" w:eastAsia="仿宋_GB2312" w:cs="仿宋_GB2312"/>
          <w:sz w:val="32"/>
          <w:szCs w:val="32"/>
        </w:rPr>
      </w:pPr>
      <w:bookmarkStart w:id="64" w:name="_Toc19661"/>
      <w:bookmarkStart w:id="65" w:name="_Toc13744"/>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3.年初结转和结余：指以前年度尚未完成、结转到本年</w:t>
      </w:r>
    </w:p>
    <w:p>
      <w:pPr>
        <w:pageBreakBefore w:val="0"/>
        <w:kinsoku/>
        <w:wordWrap/>
        <w:overflowPunct/>
        <w:topLinePunct w:val="0"/>
        <w:bidi w:val="0"/>
        <w:spacing w:beforeAutospacing="0" w:afterAutospacing="0" w:line="576" w:lineRule="exact"/>
        <w:ind w:left="0" w:leftChars="0" w:right="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按有</w:t>
      </w:r>
      <w:bookmarkEnd w:id="64"/>
      <w:bookmarkEnd w:id="65"/>
      <w:bookmarkStart w:id="66" w:name="_Toc11790"/>
      <w:bookmarkStart w:id="67" w:name="_Toc15327"/>
      <w:r>
        <w:rPr>
          <w:rFonts w:hint="eastAsia" w:ascii="仿宋_GB2312" w:hAnsi="仿宋_GB2312" w:eastAsia="仿宋_GB2312" w:cs="仿宋_GB2312"/>
          <w:sz w:val="32"/>
          <w:szCs w:val="32"/>
        </w:rPr>
        <w:t>关规定继续使用的资金。</w:t>
      </w:r>
      <w:bookmarkEnd w:id="66"/>
      <w:bookmarkEnd w:id="67"/>
      <w:r>
        <w:rPr>
          <w:rFonts w:hint="eastAsia" w:ascii="仿宋_GB2312" w:hAnsi="仿宋_GB2312" w:eastAsia="仿宋_GB2312" w:cs="仿宋_GB2312"/>
          <w:sz w:val="32"/>
          <w:szCs w:val="32"/>
        </w:rPr>
        <w:t xml:space="preserve"> </w:t>
      </w:r>
    </w:p>
    <w:p>
      <w:pPr>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0"/>
        <w:rPr>
          <w:rFonts w:hint="eastAsia" w:ascii="仿宋_GB2312" w:hAnsi="仿宋_GB2312" w:eastAsia="仿宋_GB2312" w:cs="仿宋_GB2312"/>
          <w:sz w:val="32"/>
          <w:szCs w:val="32"/>
        </w:rPr>
      </w:pPr>
      <w:bookmarkStart w:id="68" w:name="_Toc9882"/>
      <w:bookmarkStart w:id="69" w:name="_Toc21359"/>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年末结转和结余：指单位按有关规定结转到下年或以</w:t>
      </w:r>
    </w:p>
    <w:p>
      <w:pPr>
        <w:pageBreakBefore w:val="0"/>
        <w:numPr>
          <w:ilvl w:val="0"/>
          <w:numId w:val="0"/>
        </w:numPr>
        <w:kinsoku/>
        <w:wordWrap/>
        <w:overflowPunct/>
        <w:topLinePunct w:val="0"/>
        <w:bidi w:val="0"/>
        <w:spacing w:beforeAutospacing="0" w:afterAutospacing="0" w:line="576" w:lineRule="exact"/>
        <w:ind w:right="0" w:rightChars="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后</w:t>
      </w:r>
      <w:bookmarkEnd w:id="68"/>
      <w:bookmarkEnd w:id="69"/>
      <w:bookmarkStart w:id="70" w:name="_Toc12873"/>
      <w:bookmarkStart w:id="71" w:name="_Toc8387"/>
      <w:r>
        <w:rPr>
          <w:rFonts w:hint="eastAsia" w:ascii="仿宋_GB2312" w:hAnsi="仿宋_GB2312" w:eastAsia="仿宋_GB2312" w:cs="仿宋_GB2312"/>
          <w:sz w:val="32"/>
          <w:szCs w:val="32"/>
        </w:rPr>
        <w:t>年度继续使用的资金。</w:t>
      </w:r>
      <w:bookmarkEnd w:id="70"/>
      <w:bookmarkEnd w:id="71"/>
    </w:p>
    <w:p>
      <w:pPr>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0"/>
        <w:rPr>
          <w:rFonts w:hint="eastAsia" w:ascii="仿宋_GB2312" w:hAnsi="仿宋_GB2312" w:eastAsia="仿宋_GB2312" w:cs="仿宋_GB2312"/>
          <w:sz w:val="32"/>
          <w:szCs w:val="32"/>
        </w:rPr>
      </w:pPr>
      <w:bookmarkStart w:id="72" w:name="_Toc31094"/>
      <w:bookmarkStart w:id="73" w:name="_Toc7344"/>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一般公共服务：2011101指行政运行，反映人员经费与日常公用经费的支出。2011102指</w:t>
      </w:r>
      <w:r>
        <w:rPr>
          <w:rStyle w:val="18"/>
          <w:rFonts w:hint="eastAsia" w:ascii="仿宋_GB2312" w:hAnsi="仿宋_GB2312" w:eastAsia="仿宋_GB2312" w:cs="仿宋_GB2312"/>
          <w:b w:val="0"/>
          <w:bCs/>
          <w:sz w:val="32"/>
          <w:szCs w:val="32"/>
        </w:rPr>
        <w:t>一般行政管理事务支出</w:t>
      </w:r>
      <w:r>
        <w:rPr>
          <w:rFonts w:hint="eastAsia" w:ascii="仿宋_GB2312" w:hAnsi="仿宋_GB2312" w:eastAsia="仿宋_GB2312" w:cs="仿宋_GB2312"/>
          <w:sz w:val="32"/>
          <w:szCs w:val="32"/>
        </w:rPr>
        <w:t>，反映纪检监察干部执纪、督查、执法工作经费的支出。2011199指纪委项目专项经费，反映纪委专项项目建设发生的</w:t>
      </w:r>
      <w:bookmarkEnd w:id="72"/>
      <w:bookmarkEnd w:id="73"/>
      <w:bookmarkStart w:id="74" w:name="_Toc18095"/>
      <w:bookmarkStart w:id="75" w:name="_Toc23901"/>
      <w:r>
        <w:rPr>
          <w:rFonts w:hint="eastAsia" w:ascii="仿宋_GB2312" w:hAnsi="仿宋_GB2312" w:eastAsia="仿宋_GB2312" w:cs="仿宋_GB2312"/>
          <w:sz w:val="32"/>
          <w:szCs w:val="32"/>
        </w:rPr>
        <w:t>各项支出。2100150指事业运行，反映纪委事业机构产生的人员经费及公用经费。</w:t>
      </w:r>
      <w:bookmarkEnd w:id="74"/>
      <w:bookmarkEnd w:id="75"/>
    </w:p>
    <w:p>
      <w:pPr>
        <w:pageBreakBefore w:val="0"/>
        <w:kinsoku/>
        <w:wordWrap/>
        <w:overflowPunct/>
        <w:topLinePunct w:val="0"/>
        <w:bidi w:val="0"/>
        <w:spacing w:beforeAutospacing="0" w:afterAutospacing="0" w:line="576" w:lineRule="exact"/>
        <w:ind w:left="0" w:leftChars="0" w:right="0"/>
        <w:jc w:val="center"/>
        <w:outlineLvl w:val="0"/>
        <w:rPr>
          <w:rFonts w:hint="eastAsia" w:ascii="仿宋_GB2312" w:hAnsi="仿宋_GB2312" w:eastAsia="仿宋_GB2312" w:cs="仿宋_GB2312"/>
          <w:sz w:val="32"/>
          <w:szCs w:val="32"/>
        </w:rPr>
      </w:pPr>
      <w:bookmarkStart w:id="76" w:name="_Toc19703"/>
      <w:bookmarkStart w:id="77" w:name="_Toc25321"/>
      <w:r>
        <w:rPr>
          <w:rFonts w:hint="eastAsia" w:ascii="仿宋_GB2312" w:hAnsi="仿宋_GB2312" w:eastAsia="仿宋_GB2312" w:cs="仿宋_GB2312"/>
          <w:sz w:val="32"/>
          <w:szCs w:val="32"/>
          <w:lang w:val="en-US" w:eastAsia="zh-CN"/>
        </w:rPr>
        <w:t xml:space="preserve">    6.</w:t>
      </w:r>
      <w:r>
        <w:rPr>
          <w:rFonts w:hint="eastAsia" w:ascii="仿宋_GB2312" w:hAnsi="仿宋_GB2312" w:eastAsia="仿宋_GB2312" w:cs="仿宋_GB2312"/>
          <w:sz w:val="32"/>
          <w:szCs w:val="32"/>
        </w:rPr>
        <w:t>社会保障和就业：2080505指机关事业单位基本养老保险缴费支出。2080506指机关事业单位职业年金缴费支出。</w:t>
      </w:r>
      <w:bookmarkEnd w:id="76"/>
      <w:bookmarkEnd w:id="77"/>
    </w:p>
    <w:p>
      <w:pPr>
        <w:pageBreakBefore w:val="0"/>
        <w:kinsoku/>
        <w:wordWrap/>
        <w:overflowPunct/>
        <w:topLinePunct w:val="0"/>
        <w:bidi w:val="0"/>
        <w:spacing w:beforeAutospacing="0" w:afterAutospacing="0" w:line="576" w:lineRule="exact"/>
        <w:ind w:left="0" w:leftChars="0" w:right="0" w:firstLine="640" w:firstLineChars="200"/>
        <w:outlineLvl w:val="0"/>
        <w:rPr>
          <w:rFonts w:hint="eastAsia" w:ascii="仿宋_GB2312" w:hAnsi="仿宋_GB2312" w:eastAsia="仿宋_GB2312" w:cs="仿宋_GB2312"/>
          <w:sz w:val="32"/>
          <w:szCs w:val="32"/>
        </w:rPr>
      </w:pPr>
      <w:bookmarkStart w:id="78" w:name="_Toc11709"/>
      <w:bookmarkStart w:id="79" w:name="_Toc3261"/>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医疗卫生与计划生育：2101101指行政单位医疗保险支出。2101102指事业单位医疗保险支出。2101103指公务员医疗补助。2101199指其他行政事业单位医疗支出，反映事业单位职工补充医保。</w:t>
      </w:r>
      <w:bookmarkEnd w:id="78"/>
      <w:bookmarkEnd w:id="79"/>
    </w:p>
    <w:p>
      <w:pPr>
        <w:pageBreakBefore w:val="0"/>
        <w:kinsoku/>
        <w:wordWrap/>
        <w:overflowPunct/>
        <w:topLinePunct w:val="0"/>
        <w:bidi w:val="0"/>
        <w:spacing w:beforeAutospacing="0" w:afterAutospacing="0" w:line="576" w:lineRule="exact"/>
        <w:ind w:left="0" w:leftChars="0" w:right="0" w:firstLine="640" w:firstLineChars="200"/>
        <w:outlineLvl w:val="0"/>
        <w:rPr>
          <w:rFonts w:hint="eastAsia" w:ascii="仿宋_GB2312" w:hAnsi="仿宋_GB2312" w:eastAsia="仿宋_GB2312" w:cs="仿宋_GB2312"/>
          <w:sz w:val="32"/>
          <w:szCs w:val="32"/>
        </w:rPr>
      </w:pPr>
      <w:bookmarkStart w:id="80" w:name="_Toc27720"/>
      <w:bookmarkStart w:id="81" w:name="_Toc14400"/>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住房保障：2210201指住房公积金。</w:t>
      </w:r>
      <w:bookmarkEnd w:id="80"/>
      <w:bookmarkEnd w:id="81"/>
    </w:p>
    <w:p>
      <w:pPr>
        <w:pageBreakBefore w:val="0"/>
        <w:kinsoku/>
        <w:wordWrap/>
        <w:overflowPunct/>
        <w:topLinePunct w:val="0"/>
        <w:bidi w:val="0"/>
        <w:spacing w:beforeAutospacing="0" w:afterAutospacing="0" w:line="576" w:lineRule="exact"/>
        <w:ind w:left="0" w:leftChars="0" w:right="0"/>
        <w:jc w:val="center"/>
        <w:outlineLvl w:val="0"/>
        <w:rPr>
          <w:rFonts w:hint="eastAsia" w:ascii="仿宋_GB2312" w:hAnsi="仿宋_GB2312" w:eastAsia="仿宋_GB2312" w:cs="仿宋_GB2312"/>
          <w:sz w:val="32"/>
          <w:szCs w:val="32"/>
        </w:rPr>
      </w:pPr>
      <w:bookmarkStart w:id="82" w:name="_Toc20801"/>
      <w:bookmarkStart w:id="83" w:name="_Toc15140"/>
      <w:r>
        <w:rPr>
          <w:rFonts w:hint="eastAsia" w:ascii="仿宋_GB2312" w:hAnsi="仿宋_GB2312" w:eastAsia="仿宋_GB2312" w:cs="仿宋_GB2312"/>
          <w:sz w:val="32"/>
          <w:szCs w:val="32"/>
          <w:lang w:val="en-US" w:eastAsia="zh-CN"/>
        </w:rPr>
        <w:t xml:space="preserve">    9.</w:t>
      </w:r>
      <w:r>
        <w:rPr>
          <w:rFonts w:hint="eastAsia" w:ascii="仿宋_GB2312" w:hAnsi="仿宋_GB2312" w:eastAsia="仿宋_GB2312" w:cs="仿宋_GB2312"/>
          <w:sz w:val="32"/>
          <w:szCs w:val="32"/>
        </w:rPr>
        <w:t>基本支出：指为保障机构正常运转、完成日常工作任</w:t>
      </w:r>
    </w:p>
    <w:p>
      <w:pPr>
        <w:pageBreakBefore w:val="0"/>
        <w:kinsoku/>
        <w:wordWrap/>
        <w:overflowPunct/>
        <w:topLinePunct w:val="0"/>
        <w:bidi w:val="0"/>
        <w:spacing w:beforeAutospacing="0" w:afterAutospacing="0" w:line="576" w:lineRule="exact"/>
        <w:ind w:left="0" w:leftChars="0" w:right="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务而</w:t>
      </w:r>
      <w:bookmarkEnd w:id="82"/>
      <w:bookmarkEnd w:id="83"/>
      <w:bookmarkStart w:id="84" w:name="_Toc4186"/>
      <w:bookmarkStart w:id="85" w:name="_Toc1908"/>
      <w:r>
        <w:rPr>
          <w:rFonts w:hint="eastAsia" w:ascii="仿宋_GB2312" w:hAnsi="仿宋_GB2312" w:eastAsia="仿宋_GB2312" w:cs="仿宋_GB2312"/>
          <w:sz w:val="32"/>
          <w:szCs w:val="32"/>
        </w:rPr>
        <w:t>发生的人员支出和公用支出。</w:t>
      </w:r>
      <w:bookmarkEnd w:id="84"/>
      <w:bookmarkEnd w:id="85"/>
    </w:p>
    <w:p>
      <w:pPr>
        <w:pageBreakBefore w:val="0"/>
        <w:numPr>
          <w:ilvl w:val="0"/>
          <w:numId w:val="3"/>
        </w:numPr>
        <w:kinsoku/>
        <w:wordWrap/>
        <w:overflowPunct/>
        <w:topLinePunct w:val="0"/>
        <w:bidi w:val="0"/>
        <w:spacing w:beforeAutospacing="0" w:afterAutospacing="0" w:line="576" w:lineRule="exact"/>
        <w:ind w:left="713" w:leftChars="0" w:right="0" w:firstLine="0" w:firstLineChars="0"/>
        <w:jc w:val="center"/>
        <w:outlineLvl w:val="0"/>
        <w:rPr>
          <w:rFonts w:hint="eastAsia" w:ascii="仿宋_GB2312" w:hAnsi="仿宋_GB2312" w:eastAsia="仿宋_GB2312" w:cs="仿宋_GB2312"/>
          <w:sz w:val="32"/>
          <w:szCs w:val="32"/>
        </w:rPr>
      </w:pPr>
      <w:bookmarkStart w:id="86" w:name="_Toc26501"/>
      <w:bookmarkStart w:id="87" w:name="_Toc9649"/>
      <w:r>
        <w:rPr>
          <w:rFonts w:hint="eastAsia" w:ascii="仿宋_GB2312" w:hAnsi="仿宋_GB2312" w:eastAsia="仿宋_GB2312" w:cs="仿宋_GB2312"/>
          <w:sz w:val="32"/>
          <w:szCs w:val="32"/>
        </w:rPr>
        <w:t>项目支出：指在基本支出之外为完成特定行政任务</w:t>
      </w:r>
    </w:p>
    <w:p>
      <w:pPr>
        <w:pageBreakBefore w:val="0"/>
        <w:numPr>
          <w:ilvl w:val="0"/>
          <w:numId w:val="0"/>
        </w:numPr>
        <w:kinsoku/>
        <w:wordWrap/>
        <w:overflowPunct/>
        <w:topLinePunct w:val="0"/>
        <w:bidi w:val="0"/>
        <w:spacing w:beforeAutospacing="0" w:afterAutospacing="0" w:line="576" w:lineRule="exact"/>
        <w:ind w:right="0" w:rightChars="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和事</w:t>
      </w:r>
      <w:bookmarkEnd w:id="86"/>
      <w:bookmarkEnd w:id="87"/>
      <w:bookmarkStart w:id="88" w:name="_Toc30698"/>
      <w:bookmarkStart w:id="89" w:name="_Toc19535"/>
      <w:r>
        <w:rPr>
          <w:rFonts w:hint="eastAsia" w:ascii="仿宋_GB2312" w:hAnsi="仿宋_GB2312" w:eastAsia="仿宋_GB2312" w:cs="仿宋_GB2312"/>
          <w:sz w:val="32"/>
          <w:szCs w:val="32"/>
        </w:rPr>
        <w:t>业发展目标所发生的支出。</w:t>
      </w:r>
      <w:bookmarkEnd w:id="88"/>
      <w:bookmarkEnd w:id="89"/>
      <w:r>
        <w:rPr>
          <w:rFonts w:hint="eastAsia" w:ascii="仿宋_GB2312" w:hAnsi="仿宋_GB2312" w:eastAsia="仿宋_GB2312" w:cs="仿宋_GB2312"/>
          <w:sz w:val="32"/>
          <w:szCs w:val="32"/>
        </w:rPr>
        <w:t xml:space="preserve"> </w:t>
      </w:r>
    </w:p>
    <w:p>
      <w:pPr>
        <w:pageBreakBefore w:val="0"/>
        <w:numPr>
          <w:ilvl w:val="0"/>
          <w:numId w:val="3"/>
        </w:numPr>
        <w:kinsoku/>
        <w:wordWrap/>
        <w:overflowPunct/>
        <w:topLinePunct w:val="0"/>
        <w:bidi w:val="0"/>
        <w:spacing w:beforeAutospacing="0" w:afterAutospacing="0" w:line="576" w:lineRule="exact"/>
        <w:ind w:left="713" w:leftChars="0" w:right="0" w:firstLine="0" w:firstLineChars="0"/>
        <w:jc w:val="center"/>
        <w:outlineLvl w:val="0"/>
        <w:rPr>
          <w:rFonts w:hint="eastAsia" w:ascii="仿宋_GB2312" w:hAnsi="仿宋_GB2312" w:eastAsia="仿宋_GB2312" w:cs="仿宋_GB2312"/>
          <w:sz w:val="32"/>
          <w:szCs w:val="32"/>
        </w:rPr>
      </w:pPr>
      <w:bookmarkStart w:id="90" w:name="_Toc27678"/>
      <w:bookmarkStart w:id="91" w:name="_Toc21244"/>
      <w:r>
        <w:rPr>
          <w:rFonts w:hint="eastAsia" w:ascii="仿宋_GB2312" w:hAnsi="仿宋_GB2312" w:eastAsia="仿宋_GB2312" w:cs="仿宋_GB2312"/>
          <w:sz w:val="32"/>
          <w:szCs w:val="32"/>
        </w:rPr>
        <w:t>“三公”经费：指部门用财政拨款安排的因公出国</w:t>
      </w:r>
    </w:p>
    <w:p>
      <w:pPr>
        <w:pageBreakBefore w:val="0"/>
        <w:numPr>
          <w:ilvl w:val="0"/>
          <w:numId w:val="0"/>
        </w:numPr>
        <w:kinsoku/>
        <w:wordWrap/>
        <w:overflowPunct/>
        <w:topLinePunct w:val="0"/>
        <w:bidi w:val="0"/>
        <w:spacing w:beforeAutospacing="0" w:afterAutospacing="0" w:line="576" w:lineRule="exact"/>
        <w:ind w:right="0" w:rightChars="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w:t>
      </w:r>
    </w:p>
    <w:p>
      <w:pPr>
        <w:pageBreakBefore w:val="0"/>
        <w:numPr>
          <w:ilvl w:val="0"/>
          <w:numId w:val="0"/>
        </w:numPr>
        <w:kinsoku/>
        <w:wordWrap/>
        <w:overflowPunct/>
        <w:topLinePunct w:val="0"/>
        <w:bidi w:val="0"/>
        <w:spacing w:beforeAutospacing="0" w:afterAutospacing="0" w:line="576" w:lineRule="exact"/>
        <w:ind w:right="0" w:rightChars="0"/>
        <w:jc w:val="both"/>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定开支的各类公务接待（含</w:t>
      </w:r>
      <w:bookmarkEnd w:id="90"/>
      <w:bookmarkEnd w:id="91"/>
      <w:bookmarkStart w:id="92" w:name="_Toc1029"/>
      <w:bookmarkStart w:id="93" w:name="_Toc14809"/>
      <w:r>
        <w:rPr>
          <w:rFonts w:hint="eastAsia" w:ascii="仿宋_GB2312" w:hAnsi="仿宋_GB2312" w:eastAsia="仿宋_GB2312" w:cs="仿宋_GB2312"/>
          <w:sz w:val="32"/>
          <w:szCs w:val="32"/>
        </w:rPr>
        <w:t>外宾接待）支出。</w:t>
      </w:r>
      <w:bookmarkEnd w:id="92"/>
      <w:bookmarkEnd w:id="93"/>
    </w:p>
    <w:p>
      <w:pPr>
        <w:pageBreakBefore w:val="0"/>
        <w:numPr>
          <w:ilvl w:val="0"/>
          <w:numId w:val="3"/>
        </w:numPr>
        <w:kinsoku/>
        <w:wordWrap/>
        <w:overflowPunct/>
        <w:topLinePunct w:val="0"/>
        <w:bidi w:val="0"/>
        <w:spacing w:beforeAutospacing="0" w:afterAutospacing="0" w:line="576" w:lineRule="exact"/>
        <w:ind w:left="713" w:leftChars="0" w:right="0" w:firstLine="0" w:firstLineChars="0"/>
        <w:jc w:val="center"/>
        <w:outlineLvl w:val="0"/>
        <w:rPr>
          <w:rFonts w:hint="eastAsia" w:ascii="仿宋_GB2312" w:hAnsi="仿宋_GB2312" w:eastAsia="仿宋_GB2312" w:cs="仿宋_GB2312"/>
          <w:sz w:val="32"/>
          <w:szCs w:val="32"/>
        </w:rPr>
      </w:pPr>
      <w:bookmarkStart w:id="94" w:name="_Toc20693"/>
      <w:bookmarkStart w:id="95" w:name="_Toc13615"/>
      <w:r>
        <w:rPr>
          <w:rFonts w:hint="eastAsia" w:ascii="仿宋_GB2312" w:hAnsi="仿宋_GB2312" w:eastAsia="仿宋_GB2312" w:cs="仿宋_GB2312"/>
          <w:sz w:val="32"/>
          <w:szCs w:val="32"/>
        </w:rPr>
        <w:t>机关运行经费：为保障行政单位（含参照公务员法</w:t>
      </w:r>
    </w:p>
    <w:p>
      <w:pPr>
        <w:pageBreakBefore w:val="0"/>
        <w:numPr>
          <w:ilvl w:val="0"/>
          <w:numId w:val="0"/>
        </w:numPr>
        <w:kinsoku/>
        <w:wordWrap/>
        <w:overflowPunct/>
        <w:topLinePunct w:val="0"/>
        <w:bidi w:val="0"/>
        <w:spacing w:beforeAutospacing="0" w:afterAutospacing="0" w:line="576" w:lineRule="exact"/>
        <w:ind w:right="0" w:rightChars="0"/>
        <w:jc w:val="both"/>
        <w:outlineLvl w:val="0"/>
        <w:rPr>
          <w:rFonts w:hint="eastAsia" w:ascii="仿宋_GB2312" w:hAnsi="仿宋_GB2312" w:eastAsia="仿宋_GB2312" w:cs="仿宋_GB2312"/>
          <w:b/>
          <w:sz w:val="44"/>
          <w:szCs w:val="44"/>
        </w:rPr>
      </w:pPr>
      <w:r>
        <w:rPr>
          <w:rFonts w:hint="eastAsia" w:ascii="仿宋_GB2312" w:hAnsi="仿宋_GB2312" w:eastAsia="仿宋_GB2312" w:cs="仿宋_GB2312"/>
          <w:sz w:val="32"/>
          <w:szCs w:val="32"/>
        </w:rPr>
        <w:t>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w:t>
      </w:r>
      <w:bookmarkEnd w:id="94"/>
      <w:bookmarkEnd w:id="95"/>
      <w:bookmarkStart w:id="96" w:name="_Toc19910"/>
      <w:bookmarkStart w:id="97" w:name="_Toc23183"/>
      <w:r>
        <w:rPr>
          <w:rFonts w:hint="eastAsia" w:ascii="仿宋_GB2312" w:hAnsi="仿宋_GB2312" w:eastAsia="仿宋_GB2312" w:cs="仿宋_GB2312"/>
          <w:sz w:val="32"/>
          <w:szCs w:val="32"/>
        </w:rPr>
        <w:t>其他费用。</w:t>
      </w:r>
      <w:bookmarkEnd w:id="96"/>
      <w:bookmarkEnd w:id="97"/>
      <w:bookmarkStart w:id="98" w:name="_Toc2545"/>
      <w:bookmarkStart w:id="99" w:name="_Toc15396614"/>
    </w:p>
    <w:tbl>
      <w:tblPr>
        <w:tblStyle w:val="16"/>
        <w:tblpPr w:leftFromText="180" w:rightFromText="180" w:vertAnchor="text" w:horzAnchor="page" w:tblpX="1583" w:tblpY="728"/>
        <w:tblOverlap w:val="never"/>
        <w:tblW w:w="9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96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57" w:hRule="atLeast"/>
        </w:trPr>
        <w:tc>
          <w:tcPr>
            <w:tcW w:w="9625"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黑体" w:eastAsia="黑体" w:cs="黑体"/>
                <w:b/>
                <w:i w:val="0"/>
                <w:color w:val="000000"/>
                <w:sz w:val="30"/>
                <w:szCs w:val="30"/>
                <w:u w:val="none"/>
              </w:rPr>
            </w:pPr>
            <w:r>
              <w:rPr>
                <w:rFonts w:hint="eastAsia" w:ascii="黑体" w:hAnsi="黑体" w:eastAsia="黑体" w:cs="黑体"/>
                <w:b/>
                <w:i w:val="0"/>
                <w:color w:val="000000"/>
                <w:kern w:val="0"/>
                <w:sz w:val="30"/>
                <w:szCs w:val="30"/>
                <w:u w:val="none"/>
                <w:lang w:val="en-US" w:eastAsia="zh-CN" w:bidi="ar"/>
              </w:rPr>
              <w:t>部门项目支出绩效目标表（2025年度）</w:t>
            </w:r>
          </w:p>
        </w:tc>
      </w:tr>
    </w:tbl>
    <w:p>
      <w:pPr>
        <w:pageBreakBefore w:val="0"/>
        <w:kinsoku/>
        <w:wordWrap/>
        <w:overflowPunct/>
        <w:topLinePunct w:val="0"/>
        <w:bidi w:val="0"/>
        <w:spacing w:beforeAutospacing="0" w:afterAutospacing="0" w:line="576" w:lineRule="exact"/>
        <w:ind w:left="0" w:leftChars="0" w:right="0"/>
        <w:jc w:val="center"/>
        <w:outlineLvl w:val="0"/>
        <w:rPr>
          <w:rStyle w:val="20"/>
          <w:rFonts w:hint="eastAsia" w:ascii="方正小标宋简体" w:hAnsi="方正小标宋简体" w:eastAsia="方正小标宋简体" w:cs="方正小标宋简体"/>
          <w:b w:val="0"/>
          <w:bCs w:val="0"/>
          <w:kern w:val="2"/>
          <w:sz w:val="44"/>
          <w:szCs w:val="44"/>
        </w:rPr>
      </w:pPr>
      <w:r>
        <w:rPr>
          <w:rFonts w:hint="eastAsia" w:ascii="方正小标宋简体" w:hAnsi="方正小标宋简体" w:eastAsia="方正小标宋简体" w:cs="方正小标宋简体"/>
          <w:sz w:val="44"/>
          <w:szCs w:val="44"/>
        </w:rPr>
        <w:t>第</w:t>
      </w:r>
      <w:r>
        <w:rPr>
          <w:rStyle w:val="20"/>
          <w:rFonts w:hint="eastAsia" w:ascii="方正小标宋简体" w:hAnsi="方正小标宋简体" w:eastAsia="方正小标宋简体" w:cs="方正小标宋简体"/>
          <w:b w:val="0"/>
          <w:sz w:val="44"/>
          <w:szCs w:val="44"/>
        </w:rPr>
        <w:t>四部分 附件</w:t>
      </w:r>
      <w:bookmarkEnd w:id="98"/>
      <w:bookmarkEnd w:id="99"/>
    </w:p>
    <w:p>
      <w:pPr>
        <w:pageBreakBefore w:val="0"/>
        <w:widowControl/>
        <w:kinsoku/>
        <w:wordWrap/>
        <w:overflowPunct/>
        <w:topLinePunct w:val="0"/>
        <w:bidi w:val="0"/>
        <w:spacing w:beforeAutospacing="0" w:afterAutospacing="0" w:line="576" w:lineRule="exact"/>
        <w:ind w:left="0" w:leftChars="0" w:right="0"/>
        <w:contextualSpacing/>
        <w:jc w:val="center"/>
        <w:rPr>
          <w:rFonts w:hint="eastAsia" w:ascii="方正小标宋简体" w:hAnsi="方正小标宋简体" w:eastAsia="方正小标宋简体" w:cs="方正小标宋简体"/>
          <w:b w:val="0"/>
          <w:bCs/>
          <w:sz w:val="44"/>
          <w:szCs w:val="44"/>
          <w:shd w:val="clear" w:color="auto" w:fill="FFFFFF"/>
        </w:rPr>
      </w:pPr>
    </w:p>
    <w:tbl>
      <w:tblPr>
        <w:tblStyle w:val="16"/>
        <w:tblW w:w="100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60"/>
        <w:gridCol w:w="906"/>
        <w:gridCol w:w="930"/>
        <w:gridCol w:w="1695"/>
        <w:gridCol w:w="855"/>
        <w:gridCol w:w="645"/>
        <w:gridCol w:w="809"/>
        <w:gridCol w:w="331"/>
        <w:gridCol w:w="819"/>
        <w:gridCol w:w="675"/>
        <w:gridCol w:w="831"/>
        <w:gridCol w:w="8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70" w:hRule="atLeast"/>
        </w:trPr>
        <w:tc>
          <w:tcPr>
            <w:tcW w:w="4191" w:type="dxa"/>
            <w:gridSpan w:val="4"/>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C0C0C0"/>
                <w:sz w:val="20"/>
                <w:szCs w:val="20"/>
                <w:u w:val="none"/>
              </w:rPr>
            </w:pPr>
            <w:r>
              <w:rPr>
                <w:rFonts w:ascii="宋体" w:hAnsi="宋体" w:eastAsia="宋体" w:cs="宋体"/>
                <w:i w:val="0"/>
                <w:color w:val="C0C0C0"/>
                <w:kern w:val="0"/>
                <w:sz w:val="20"/>
                <w:szCs w:val="20"/>
                <w:u w:val="none"/>
                <w:lang w:val="en-US" w:eastAsia="zh-CN" w:bidi="ar"/>
              </w:rPr>
              <w:t>报表编号：510000_0013lastmb</w:t>
            </w:r>
          </w:p>
        </w:tc>
        <w:tc>
          <w:tcPr>
            <w:tcW w:w="85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785" w:type="dxa"/>
            <w:gridSpan w:val="3"/>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000000"/>
                <w:sz w:val="20"/>
                <w:szCs w:val="20"/>
                <w:u w:val="none"/>
              </w:rPr>
            </w:pPr>
          </w:p>
        </w:tc>
        <w:tc>
          <w:tcPr>
            <w:tcW w:w="81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67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31"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4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90" w:hRule="atLeast"/>
        </w:trPr>
        <w:tc>
          <w:tcPr>
            <w:tcW w:w="10005" w:type="dxa"/>
            <w:gridSpan w:val="12"/>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黑体" w:eastAsia="黑体" w:cs="黑体"/>
                <w:b/>
                <w:i w:val="0"/>
                <w:color w:val="000000"/>
                <w:sz w:val="30"/>
                <w:szCs w:val="30"/>
                <w:u w:val="none"/>
              </w:rPr>
            </w:pPr>
            <w:r>
              <w:rPr>
                <w:rFonts w:hint="eastAsia" w:ascii="黑体" w:hAnsi="黑体" w:eastAsia="黑体" w:cs="黑体"/>
                <w:b/>
                <w:i w:val="0"/>
                <w:color w:val="000000"/>
                <w:kern w:val="0"/>
                <w:sz w:val="30"/>
                <w:szCs w:val="30"/>
                <w:u w:val="none"/>
                <w:lang w:val="en-US" w:eastAsia="zh-CN" w:bidi="ar"/>
              </w:rPr>
              <w:t>部门项目支出绩效目标表（2025年度）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0" w:hRule="atLeast"/>
        </w:trPr>
        <w:tc>
          <w:tcPr>
            <w:tcW w:w="66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906"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930"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69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5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64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0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331"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19"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675"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31" w:type="dxa"/>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849"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4"/>
                <w:szCs w:val="14"/>
                <w:u w:val="none"/>
              </w:rPr>
            </w:pPr>
            <w:r>
              <w:rPr>
                <w:rFonts w:hint="eastAsia" w:ascii="宋体" w:hAnsi="宋体" w:eastAsia="宋体" w:cs="宋体"/>
                <w:i w:val="0"/>
                <w:color w:val="000000"/>
                <w:kern w:val="0"/>
                <w:sz w:val="14"/>
                <w:szCs w:val="14"/>
                <w:u w:val="none"/>
                <w:lang w:val="en-US" w:eastAsia="zh-CN" w:bidi="ar"/>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0" w:hRule="atLeast"/>
        </w:trPr>
        <w:tc>
          <w:tcPr>
            <w:tcW w:w="660"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单位名称</w:t>
            </w:r>
          </w:p>
        </w:tc>
        <w:tc>
          <w:tcPr>
            <w:tcW w:w="906"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项目名称</w:t>
            </w:r>
          </w:p>
        </w:tc>
        <w:tc>
          <w:tcPr>
            <w:tcW w:w="930"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预算数</w:t>
            </w:r>
          </w:p>
        </w:tc>
        <w:tc>
          <w:tcPr>
            <w:tcW w:w="169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年度目标</w:t>
            </w:r>
          </w:p>
        </w:tc>
        <w:tc>
          <w:tcPr>
            <w:tcW w:w="85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一级指标</w:t>
            </w:r>
          </w:p>
        </w:tc>
        <w:tc>
          <w:tcPr>
            <w:tcW w:w="64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二级指标</w:t>
            </w:r>
          </w:p>
        </w:tc>
        <w:tc>
          <w:tcPr>
            <w:tcW w:w="80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三级指标</w:t>
            </w:r>
          </w:p>
        </w:tc>
        <w:tc>
          <w:tcPr>
            <w:tcW w:w="331"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指标性质</w:t>
            </w:r>
          </w:p>
        </w:tc>
        <w:tc>
          <w:tcPr>
            <w:tcW w:w="81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指标值</w:t>
            </w:r>
          </w:p>
        </w:tc>
        <w:tc>
          <w:tcPr>
            <w:tcW w:w="67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度量单位</w:t>
            </w:r>
          </w:p>
        </w:tc>
        <w:tc>
          <w:tcPr>
            <w:tcW w:w="831"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权重</w:t>
            </w:r>
          </w:p>
        </w:tc>
        <w:tc>
          <w:tcPr>
            <w:tcW w:w="84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b/>
                <w:i w:val="0"/>
                <w:color w:val="000000"/>
                <w:sz w:val="18"/>
                <w:szCs w:val="18"/>
                <w:u w:val="none"/>
              </w:rPr>
            </w:pPr>
            <w:r>
              <w:rPr>
                <w:rFonts w:ascii="宋体" w:hAnsi="宋体" w:eastAsia="宋体" w:cs="宋体"/>
                <w:b/>
                <w:i w:val="0"/>
                <w:color w:val="000000"/>
                <w:kern w:val="0"/>
                <w:sz w:val="18"/>
                <w:szCs w:val="18"/>
                <w:u w:val="none"/>
                <w:lang w:val="en-US" w:eastAsia="zh-CN" w:bidi="ar"/>
              </w:rPr>
              <w:t>指标方向性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119-红原县纪委</w:t>
            </w:r>
          </w:p>
        </w:tc>
        <w:tc>
          <w:tcPr>
            <w:tcW w:w="906"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2,074.23</w:t>
            </w:r>
          </w:p>
        </w:tc>
        <w:tc>
          <w:tcPr>
            <w:tcW w:w="169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F7F7F7" w:fill="F7F7F7"/>
            <w:tcMar>
              <w:top w:w="15" w:type="dxa"/>
              <w:left w:w="15" w:type="dxa"/>
              <w:right w:w="15" w:type="dxa"/>
            </w:tcMar>
            <w:vAlign w:val="center"/>
          </w:tcPr>
          <w:p>
            <w:pPr>
              <w:rPr>
                <w:rFonts w:hint="eastAsia" w:ascii="黑体" w:hAnsi="黑体" w:eastAsia="黑体" w:cs="黑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119001-红原县纪委机关</w:t>
            </w: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51323321T000000102551-县纪委办案、巡察经费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　项目资金严格按照项目资金绩效目标使用，用于办案、巡视办公经费支出，办案人员、巡视人员差旅费支出及办案、巡视公务用车运行维护费支出。</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案件办理任务完成数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52</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件</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第件案件线索3个月完结</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天</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办案巡察效益</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生态效益指标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有效遏制不正之风盛行</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可持续影响指标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营造良好的政治环境</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达到“三效合一”的效果，即政效益、社会效益、纪法效益</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收缴违法涉案款项缴财政专户</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万元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51323322Y000000274175-党建群众工作经费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7.11</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51323323R000008370415-年度考核奖</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120.60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51323324R000010090540-工资支出</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191.98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51323324R000010091299-社会保障缴费—机关事业单位基本养老保险缴费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112.41</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51323324R000010091464-社会保障缴费—职业年金缴费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55.86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51323324R000010091631-社会保障缴费—职工基本医疗保险缴费行政</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49.38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51323324R000010092035-社会保障缴费—公务员医疗补助缴费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11.83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51323324R000010092418-住房公积金缴费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94.12</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51323324R000010092593-社会保障缴费—其他社保缴费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1.94</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51323324R000010092775-在职人员体检费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12.03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51323324R000010738493-退休人员经费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2.67</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51323324R000010744634-年终一次性奖金（新设）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14.76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51323324R000010744866-公务员规范津贴补贴（新设）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146.58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51323324R000010745063-公务员基础绩效奖（新设）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172.95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51323324R000010747689-艰苦边远地区津贴（新设）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137.15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51323324R000010748401-高海拔地区折算工龄补贴（新设）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30.50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51323324R000010749251-乡镇工作补贴（新设）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51323324R000010749420-机关人员职务与职级并行制度（新设）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9.95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51323324R000011023313-其他津贴（新设）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3.66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51323324T000011894984-监督执纪工作经费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98.93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监督执纪经费主要用于留置点及监督执纪工作日常运行，监督执纪中办公费、差旅费、公车运行费等的支出。</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全年完成52件立案任务数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52</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件</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净化全县政治环境</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增强案件质效，群众满意度高98%</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51323324T000011973823-红原县纪委监委业务用房提升改造项目</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325.10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年内完成项目建设</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项目质量合格</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合格</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收缴违纪违法款</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500000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提高干部职工办公舒适度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优</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投资额</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8800888.03</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房屋改造所需成本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8800888.03</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51323324Y000010093360-单位非定额公用经费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106.88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51323324Y000010716868-工会经费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8.53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51323325R000012306164-工资支出（非）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57.86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51323325R000012306376-年终一次性奖金（非）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2.89</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51323325R000012306762-公务员规范津贴补贴（非）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11.30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51323325R000012306973-公务员基础绩效奖（非）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12.70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51323325R000012308478-社会保障缴费—职工基本医疗保险缴费行政（非）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9.82</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51323325R000012308680-社会保障缴费—职业年金缴费（非）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7.30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51323325R000012308885-社会保障缴费—机关事业单位基本养老保险缴费（非）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14.99</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51323325R000012309103-社会保障缴费—其他社保缴费（非）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0.84</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51323325R000012309305-住房公积金缴费（非）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51323325R000012309513-艰苦边远地区津贴（非）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51323325R000012309721-高海拔地区折算工龄补贴（非）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51323325R000012309937-其他津贴（非）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0.40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51323325R000012310564-机关人员职务与职级并行制度（非）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51323325T000012880180-办案大数据分析系统</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根据省纪委数字纪检监察体系建设部署，为提高信息华建设辅助办案质效的作用，要求各县纪检监察机关购买安装办案大数据分析系统，主要服务于专案组办案分析需要。（文件涉密）</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完成规划区域数量</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经费支出时效性</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天</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对监督检查水平及能力的提升程度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对公共服务水平的改善或提高程度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合格</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监督检查结论确认率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项目总成本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万元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监督检查单次成本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51323325T000013148839-退休人员一次性退休补贴</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29.79</w:t>
            </w:r>
          </w:p>
        </w:tc>
        <w:tc>
          <w:tcPr>
            <w:tcW w:w="1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51323325T000013851121-以案促改系列活动、会议经费的请示</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8.05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州纪委监委《中共阿坝州以案促改通知书》，需召开以案促改系列活动，包含主动召开以案促改动员部署会、家风家教宣讲活动及承办2025年全州纪检工作第二季度调度会等系列活动的印刷费、租车费、专家授课费、及会议产生的场地租赁费等。</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完成规划编制方案数量</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份</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规划报告合格率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规划完成时效性</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监督检查制度、整改落实机制健全程度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97</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公众满意度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7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项目总成本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80500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配套设施分项成本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39000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51323325T000013851169-“智慧审理”平台电子卷宗智能制作一化机购买费用</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22.00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根据省纪委相关文件精神，为保障“智慧审理”推广试用工作顺利进行，要求各县市购买电子卷宗智能制作一体机，高配版费用22万元。</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完成购买“智慧审理”一体机数量</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台（套）</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制作案件审理卷合格率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97</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规划完成时效性</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对单位履职、提高行政运行效率、促进事业发展的持续影响程度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不规范行为下降率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97</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上级对监督检查结果的满意度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项目单位成本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220000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51323325Y000012663012-福利费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17.72</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51323325Y000012663510-残疾人就业保障金</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11.37</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51323326T000014240545-2025年中央纪检监察转移支付资金</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40.00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加强纪检监察监督、强化案件查办工作、监督落实中央八项规定精神、持续深化整治群众身边不正之风和腐败问题。</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监督检查报告完成数量</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份</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经费支出时效性</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天</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降低经济风险、挽回经济损失</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不规范行为下降率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公众满意度</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98</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制作纪录片、宣传片、公益广告、微视频等计划成本</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监督检查业务培训费用</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元</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51323326T000014832573-县纪委拍摄集中整治专题警示教育片经费</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11.98</w:t>
            </w:r>
          </w:p>
        </w:tc>
        <w:tc>
          <w:tcPr>
            <w:tcW w:w="1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119002-中共红原县委巡察工作服务保障中心</w:t>
            </w: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51323322Y000000274175-党建群众工作经费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51323323R000008370415-年度考核奖</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51323323T000008154715-县委巡察办巡察工作专项经费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确保县委巡察工作有力有序开展。</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全年巡察单位任务数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个</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全年高质量完成对部门个乡镇的巡察工作</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在巡察过程中，发线问题线索并移交纪律调查</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通过巡察查找单位问题，规范工作行为</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可持续影响指标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巡察工作的开展，有效遏制不正之风的盛行</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服务对象满意度指标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通过巡察工作，肃清政治环境、社会环境、工作环境。</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社会成本指标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营造良好的社会风气</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有效保障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51323324R000010090540-工资支出</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4.66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51323324R000010091299-社会保障缴费—机关事业单位基本养老保险缴费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3.29</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51323324R000010091464-社会保障缴费—职业年金缴费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1.65</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51323324R000010091824-社会保障缴费—职工基本医疗保险缴费事业</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51323324R000010092035-社会保障缴费—公务员医疗补助缴费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0.28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51323324R000010092418-住房公积金缴费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2.41</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51323324R000010092593-社会保障缴费—其他社保缴费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0.12</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51323324R000010092775-在职人员体检费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0.30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51323324R000010744634-年终一次性奖金（新设）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0.34</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51323324R000010745063-公务员基础绩效奖（新设）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3.86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51323324R000010745617-事业单位绩效工资（新设）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4.31</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51323324R000010747689-艰苦边远地区津贴（新设）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3.73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51323324R000010748401-高海拔地区折算工龄补贴（新设）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0.89</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51323324R000011023313-其他津贴（新设）</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51323324Y000010093360-单位非定额公用经费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2.38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51323324Y000010716868-工会经费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0.17</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51323325R000012306164-工资支出（非）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2.09</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51323325R000012306376-年终一次性奖金（非）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0.06</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51323325R000012306973-公务员基础绩效奖（非）</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0.77</w:t>
            </w:r>
          </w:p>
        </w:tc>
        <w:tc>
          <w:tcPr>
            <w:tcW w:w="1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51323325R000012308270-社会保障缴费—职工基本医疗保险缴费事业（非）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0.58</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51323325R000012308680-社会保障缴费—职业年金缴费（非）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51323325R000012308885-社会保障缴费—机关事业单位基本养老保险缴费（非）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0.20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51323325R000012309103-社会保障缴费—其他社保缴费（非）</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0.07</w:t>
            </w:r>
          </w:p>
        </w:tc>
        <w:tc>
          <w:tcPr>
            <w:tcW w:w="1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51323325R000012309305-住房公积金缴费（非）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0.12</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51323325R000012309513-艰苦边远地区津贴（非）</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0.70</w:t>
            </w:r>
          </w:p>
        </w:tc>
        <w:tc>
          <w:tcPr>
            <w:tcW w:w="16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51323325R000012309721-高海拔地区折算工龄补贴（非）</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0.10</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严格执行相关政策，保障工资及时、足额发放或社保及时、足额缴纳，预算编制科学合理，减少结余资金。</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发放（缴纳）覆盖率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足额保障率（参保率）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51323325Y000012663012-福利费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0.37</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51323325Y000012663510-残疾人就业保障金</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0.23</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提高预算编制质量，严格执行预算，保障单位日常运转。</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科目调整次数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次</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预算编制准确率（计算方法为：∣（执行数-预算数）/预算数∣）</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“三公经费”控制率[计算方法为：（三公经费实际支出数/预算安排数]×100%）</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反向指标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8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运转保障率</w:t>
            </w:r>
          </w:p>
        </w:tc>
        <w:tc>
          <w:tcPr>
            <w:tcW w:w="3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8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正向指标</w:t>
            </w:r>
          </w:p>
        </w:tc>
      </w:tr>
    </w:tbl>
    <w:p>
      <w:pPr>
        <w:pStyle w:val="2"/>
        <w:rPr>
          <w:rFonts w:hint="eastAsia"/>
        </w:rPr>
      </w:pPr>
    </w:p>
    <w:p>
      <w:pPr>
        <w:pageBreakBefore w:val="0"/>
        <w:widowControl/>
        <w:kinsoku/>
        <w:wordWrap/>
        <w:overflowPunct/>
        <w:topLinePunct w:val="0"/>
        <w:bidi w:val="0"/>
        <w:spacing w:beforeAutospacing="0" w:afterAutospacing="0" w:line="576" w:lineRule="exact"/>
        <w:ind w:left="0" w:leftChars="0" w:right="0"/>
        <w:contextualSpacing/>
        <w:jc w:val="center"/>
        <w:rPr>
          <w:rFonts w:hint="eastAsia" w:ascii="方正小标宋简体" w:hAnsi="方正小标宋简体" w:eastAsia="方正小标宋简体" w:cs="方正小标宋简体"/>
          <w:b/>
          <w:bCs w:val="0"/>
          <w:sz w:val="44"/>
          <w:szCs w:val="44"/>
          <w:shd w:val="clear" w:color="auto" w:fill="FFFFFF"/>
        </w:rPr>
      </w:pPr>
      <w:r>
        <w:rPr>
          <w:rFonts w:hint="eastAsia" w:ascii="方正小标宋简体" w:hAnsi="方正小标宋简体" w:eastAsia="方正小标宋简体" w:cs="方正小标宋简体"/>
          <w:b/>
          <w:bCs w:val="0"/>
          <w:sz w:val="44"/>
          <w:szCs w:val="44"/>
          <w:shd w:val="clear" w:color="auto" w:fill="FFFFFF"/>
        </w:rPr>
        <w:t>中共红原县纪律检查委员会</w:t>
      </w:r>
    </w:p>
    <w:p>
      <w:pPr>
        <w:pageBreakBefore w:val="0"/>
        <w:widowControl/>
        <w:kinsoku/>
        <w:wordWrap/>
        <w:overflowPunct/>
        <w:topLinePunct w:val="0"/>
        <w:bidi w:val="0"/>
        <w:spacing w:beforeAutospacing="0" w:afterAutospacing="0" w:line="576" w:lineRule="exact"/>
        <w:ind w:left="0" w:leftChars="0" w:right="0"/>
        <w:contextualSpacing/>
        <w:jc w:val="center"/>
        <w:rPr>
          <w:rFonts w:hint="eastAsia" w:ascii="方正小标宋简体" w:hAnsi="方正小标宋简体" w:eastAsia="方正小标宋简体" w:cs="方正小标宋简体"/>
          <w:b/>
          <w:bCs w:val="0"/>
          <w:sz w:val="44"/>
          <w:szCs w:val="44"/>
          <w:shd w:val="clear" w:color="auto" w:fill="FFFFFF"/>
        </w:rPr>
      </w:pPr>
      <w:bookmarkStart w:id="100" w:name="_Toc63"/>
      <w:bookmarkStart w:id="101" w:name="_Toc15396618"/>
      <w:r>
        <w:rPr>
          <w:rFonts w:hint="eastAsia" w:ascii="方正小标宋简体" w:hAnsi="方正小标宋简体" w:eastAsia="方正小标宋简体" w:cs="方正小标宋简体"/>
          <w:b/>
          <w:bCs w:val="0"/>
          <w:sz w:val="44"/>
          <w:szCs w:val="44"/>
          <w:shd w:val="clear" w:color="auto" w:fill="FFFFFF"/>
          <w:lang w:eastAsia="zh-CN"/>
        </w:rPr>
        <w:t>关于</w:t>
      </w:r>
      <w:r>
        <w:rPr>
          <w:rFonts w:hint="eastAsia" w:ascii="方正小标宋简体" w:hAnsi="方正小标宋简体" w:eastAsia="方正小标宋简体" w:cs="方正小标宋简体"/>
          <w:b/>
          <w:bCs w:val="0"/>
          <w:sz w:val="44"/>
          <w:szCs w:val="44"/>
          <w:shd w:val="clear" w:color="auto" w:fill="FFFFFF"/>
        </w:rPr>
        <w:t>2</w:t>
      </w:r>
      <w:r>
        <w:rPr>
          <w:rFonts w:hint="eastAsia" w:ascii="方正小标宋简体" w:hAnsi="方正小标宋简体" w:eastAsia="方正小标宋简体" w:cs="方正小标宋简体"/>
          <w:b/>
          <w:bCs w:val="0"/>
          <w:sz w:val="44"/>
          <w:szCs w:val="44"/>
          <w:shd w:val="clear" w:color="auto" w:fill="FFFFFF"/>
          <w:lang w:val="en-US" w:eastAsia="zh-CN"/>
        </w:rPr>
        <w:t>025</w:t>
      </w:r>
      <w:r>
        <w:rPr>
          <w:rFonts w:hint="eastAsia" w:ascii="方正小标宋简体" w:hAnsi="方正小标宋简体" w:eastAsia="方正小标宋简体" w:cs="方正小标宋简体"/>
          <w:b/>
          <w:bCs w:val="0"/>
          <w:sz w:val="44"/>
          <w:szCs w:val="44"/>
          <w:shd w:val="clear" w:color="auto" w:fill="FFFFFF"/>
        </w:rPr>
        <w:t>年</w:t>
      </w:r>
      <w:r>
        <w:rPr>
          <w:rFonts w:hint="eastAsia" w:ascii="方正小标宋简体" w:hAnsi="方正小标宋简体" w:eastAsia="方正小标宋简体" w:cs="方正小标宋简体"/>
          <w:b/>
          <w:bCs w:val="0"/>
          <w:sz w:val="44"/>
          <w:szCs w:val="44"/>
          <w:shd w:val="clear" w:color="auto" w:fill="FFFFFF"/>
          <w:lang w:eastAsia="zh-CN"/>
        </w:rPr>
        <w:t>度</w:t>
      </w:r>
      <w:r>
        <w:rPr>
          <w:rFonts w:hint="eastAsia" w:ascii="方正小标宋简体" w:hAnsi="方正小标宋简体" w:eastAsia="方正小标宋简体" w:cs="方正小标宋简体"/>
          <w:b/>
          <w:bCs w:val="0"/>
          <w:sz w:val="44"/>
          <w:szCs w:val="44"/>
          <w:shd w:val="clear" w:color="auto" w:fill="FFFFFF"/>
        </w:rPr>
        <w:t>部门整体支出绩效评价</w:t>
      </w:r>
    </w:p>
    <w:p>
      <w:pPr>
        <w:pageBreakBefore w:val="0"/>
        <w:widowControl/>
        <w:kinsoku/>
        <w:wordWrap/>
        <w:overflowPunct/>
        <w:topLinePunct w:val="0"/>
        <w:bidi w:val="0"/>
        <w:spacing w:beforeAutospacing="0" w:afterAutospacing="0" w:line="576" w:lineRule="exact"/>
        <w:ind w:left="0" w:leftChars="0" w:right="0"/>
        <w:contextualSpacing/>
        <w:jc w:val="center"/>
        <w:rPr>
          <w:rFonts w:hint="eastAsia" w:ascii="仿宋_GB2312" w:hAnsi="仿宋_GB2312" w:eastAsia="仿宋_GB2312" w:cs="仿宋_GB2312"/>
          <w:b/>
          <w:bCs w:val="0"/>
          <w:color w:val="000000"/>
          <w:kern w:val="0"/>
          <w:sz w:val="24"/>
          <w:szCs w:val="32"/>
          <w:shd w:val="clear" w:color="auto" w:fill="FFFFFF"/>
        </w:rPr>
      </w:pPr>
      <w:r>
        <w:rPr>
          <w:rFonts w:hint="eastAsia" w:ascii="方正小标宋简体" w:hAnsi="方正小标宋简体" w:eastAsia="方正小标宋简体" w:cs="方正小标宋简体"/>
          <w:b/>
          <w:bCs w:val="0"/>
          <w:sz w:val="44"/>
          <w:szCs w:val="44"/>
          <w:shd w:val="clear" w:color="auto" w:fill="FFFFFF"/>
          <w:lang w:eastAsia="zh-CN"/>
        </w:rPr>
        <w:t>自评</w:t>
      </w:r>
      <w:r>
        <w:rPr>
          <w:rFonts w:hint="eastAsia" w:ascii="方正小标宋简体" w:hAnsi="方正小标宋简体" w:eastAsia="方正小标宋简体" w:cs="方正小标宋简体"/>
          <w:b/>
          <w:bCs w:val="0"/>
          <w:sz w:val="44"/>
          <w:szCs w:val="44"/>
          <w:shd w:val="clear" w:color="auto" w:fill="FFFFFF"/>
        </w:rPr>
        <w:t>报告</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zh-CN" w:eastAsia="zh-CN" w:bidi="ar-SA"/>
        </w:rPr>
        <w:t>一、部门（单位）基本情况</w:t>
      </w:r>
    </w:p>
    <w:p>
      <w:pPr>
        <w:keepNext w:val="0"/>
        <w:keepLines w:val="0"/>
        <w:pageBreakBefore w:val="0"/>
        <w:kinsoku/>
        <w:wordWrap/>
        <w:overflowPunct/>
        <w:topLinePunct w:val="0"/>
        <w:autoSpaceDE w:val="0"/>
        <w:autoSpaceDN w:val="0"/>
        <w:bidi w:val="0"/>
        <w:adjustRightInd w:val="0"/>
        <w:spacing w:beforeAutospacing="0" w:afterAutospacing="0" w:line="576" w:lineRule="exact"/>
        <w:ind w:right="0" w:firstLine="643" w:firstLineChars="200"/>
        <w:jc w:val="left"/>
        <w:textAlignment w:val="auto"/>
        <w:outlineLvl w:val="2"/>
        <w:rPr>
          <w:rFonts w:hint="eastAsia" w:ascii="楷体_GB2312" w:hAnsi="楷体_GB2312" w:eastAsia="楷体_GB2312" w:cs="楷体_GB2312"/>
          <w:b/>
          <w:sz w:val="32"/>
          <w:szCs w:val="32"/>
          <w:lang w:val="zh-CN" w:eastAsia="zh-CN"/>
        </w:rPr>
      </w:pPr>
      <w:r>
        <w:rPr>
          <w:rFonts w:hint="eastAsia" w:ascii="楷体_GB2312" w:hAnsi="楷体_GB2312" w:eastAsia="楷体_GB2312" w:cs="楷体_GB2312"/>
          <w:b/>
          <w:sz w:val="32"/>
          <w:szCs w:val="32"/>
          <w:lang w:val="zh-CN" w:eastAsia="zh-CN"/>
        </w:rPr>
        <w:t>（一）机构组成</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我单位为独立核算全额拨款行政单位，下</w:t>
      </w:r>
      <w:r>
        <w:rPr>
          <w:rFonts w:hint="eastAsia" w:ascii="Times New Roman" w:hAnsi="Times New Roman" w:eastAsia="仿宋_GB2312" w:cs="Times New Roman"/>
          <w:kern w:val="2"/>
          <w:sz w:val="32"/>
          <w:szCs w:val="32"/>
          <w:lang w:val="en-US" w:eastAsia="zh-CN" w:bidi="ar-SA"/>
        </w:rPr>
        <w:t>设</w:t>
      </w:r>
      <w:r>
        <w:rPr>
          <w:rFonts w:hint="default" w:ascii="Times New Roman" w:hAnsi="Times New Roman" w:eastAsia="仿宋_GB2312" w:cs="Times New Roman"/>
          <w:kern w:val="2"/>
          <w:sz w:val="32"/>
          <w:szCs w:val="32"/>
          <w:lang w:val="en-US" w:eastAsia="zh-CN" w:bidi="ar-SA"/>
        </w:rPr>
        <w:t>1个事业机构是：</w:t>
      </w:r>
      <w:r>
        <w:rPr>
          <w:rFonts w:hint="eastAsia" w:ascii="Times New Roman" w:hAnsi="Times New Roman" w:eastAsia="仿宋_GB2312" w:cs="Times New Roman"/>
          <w:kern w:val="2"/>
          <w:sz w:val="32"/>
          <w:szCs w:val="32"/>
          <w:lang w:val="en-US" w:eastAsia="zh-CN" w:bidi="ar-SA"/>
        </w:rPr>
        <w:t>中共红原县委巡察办服务保障中心（巡察办）。</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机构职能</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en-US" w:eastAsia="zh-CN" w:bidi="ar-SA"/>
        </w:rPr>
        <w:t>主要职能。主管全县的纪律检查工作。负责贯彻落实党中央、省、州、县委关于加强党风廉政建设的决定，维护党的章程和其他党内法规，检查党的路线、方针、政府和决议的执行情况。主管全县行政监察工作。负责中央、国务院、中纪委、监察部、省、州、县委、政府省监察厅、州监察局和县委、政府政府有关监察工作的决定，监督检查政府颁发的决议和命令的情况，维护行政纪律，保证政令畅通。负责调查处理县级党政机关各部门、各机关党委（支部）的党员干部违反党的章程及其它党内法规的案件，决定给予或取消对这案件中的党员和处分；处理党员的控告和申诉，查处违纪案件。按照州纪委、州监察局和县委、政府的要求，负责作出关于维护党纪的决定，制定全县的党风廉政建设、反腐败工作的计划，协助县委、县政府搞好党风廉政建设、反腐败工作计划，协助县委、县政府搞好党风廉政建设、反腐败工作和对党员的遵纪守法的教育工作。加强对领导干部的管理和监督，全同组织、人事部门搞好对新上任领导干部的监督检查。承办州纪委、州监察局和县委、县政府授权和交办的其它工作任务。负责党风廉政建设和反腐败斗争的组织协调工作职能。负责科级领导干部党风廉政情况的考察工作职能。负责乡镇纪检组织建设和考核工作职能。</w:t>
      </w:r>
    </w:p>
    <w:p>
      <w:pPr>
        <w:keepNext w:val="0"/>
        <w:keepLines w:val="0"/>
        <w:pageBreakBefore w:val="0"/>
        <w:kinsoku/>
        <w:wordWrap/>
        <w:overflowPunct/>
        <w:topLinePunct w:val="0"/>
        <w:autoSpaceDE w:val="0"/>
        <w:autoSpaceDN w:val="0"/>
        <w:bidi w:val="0"/>
        <w:adjustRightInd w:val="0"/>
        <w:spacing w:beforeAutospacing="0" w:afterAutospacing="0" w:line="576" w:lineRule="exact"/>
        <w:ind w:right="0" w:firstLine="643" w:firstLineChars="200"/>
        <w:jc w:val="left"/>
        <w:textAlignment w:val="auto"/>
        <w:outlineLvl w:val="2"/>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w:t>
      </w:r>
      <w:r>
        <w:rPr>
          <w:rFonts w:hint="eastAsia" w:ascii="楷体_GB2312" w:hAnsi="楷体_GB2312" w:eastAsia="楷体_GB2312" w:cs="楷体_GB2312"/>
          <w:b/>
          <w:sz w:val="32"/>
          <w:szCs w:val="32"/>
          <w:lang w:val="zh-CN" w:eastAsia="zh-CN"/>
        </w:rPr>
        <w:t>二</w:t>
      </w:r>
      <w:r>
        <w:rPr>
          <w:rFonts w:hint="default" w:ascii="楷体_GB2312" w:hAnsi="楷体_GB2312" w:eastAsia="楷体_GB2312" w:cs="楷体_GB2312"/>
          <w:b/>
          <w:sz w:val="32"/>
          <w:szCs w:val="32"/>
          <w:lang w:val="zh-CN" w:eastAsia="zh-CN"/>
        </w:rPr>
        <w:t>）人员概况</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红原县纪委监委、巡察办202</w:t>
      </w:r>
      <w:r>
        <w:rPr>
          <w:rFonts w:hint="eastAsia" w:eastAsia="仿宋_GB2312" w:cs="Times New Roman"/>
          <w:kern w:val="2"/>
          <w:sz w:val="32"/>
          <w:szCs w:val="32"/>
          <w:lang w:val="en-US" w:eastAsia="zh-CN" w:bidi="ar-SA"/>
        </w:rPr>
        <w:t>5</w:t>
      </w:r>
      <w:r>
        <w:rPr>
          <w:rFonts w:hint="eastAsia" w:ascii="Times New Roman" w:hAnsi="Times New Roman" w:eastAsia="仿宋_GB2312" w:cs="Times New Roman"/>
          <w:kern w:val="2"/>
          <w:sz w:val="32"/>
          <w:szCs w:val="32"/>
          <w:lang w:val="en-US" w:eastAsia="zh-CN" w:bidi="ar-SA"/>
        </w:rPr>
        <w:t>年公务员编制47人，工勤编制2人、事业编制3人。年末实有在职公务员46人，工勤4人、事业</w:t>
      </w:r>
      <w:r>
        <w:rPr>
          <w:rFonts w:hint="eastAsia" w:eastAsia="仿宋_GB2312" w:cs="Times New Roman"/>
          <w:kern w:val="2"/>
          <w:sz w:val="32"/>
          <w:szCs w:val="32"/>
          <w:lang w:val="en-US" w:eastAsia="zh-CN" w:bidi="ar-SA"/>
        </w:rPr>
        <w:t>3</w:t>
      </w:r>
      <w:r>
        <w:rPr>
          <w:rFonts w:hint="eastAsia" w:ascii="Times New Roman" w:hAnsi="Times New Roman" w:eastAsia="仿宋_GB2312" w:cs="Times New Roman"/>
          <w:kern w:val="2"/>
          <w:sz w:val="32"/>
          <w:szCs w:val="32"/>
          <w:lang w:val="en-US" w:eastAsia="zh-CN" w:bidi="ar-SA"/>
        </w:rPr>
        <w:t>人。</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二、部门资金收支情况</w:t>
      </w:r>
    </w:p>
    <w:p>
      <w:pPr>
        <w:keepNext w:val="0"/>
        <w:keepLines w:val="0"/>
        <w:pageBreakBefore w:val="0"/>
        <w:kinsoku/>
        <w:wordWrap/>
        <w:overflowPunct/>
        <w:topLinePunct w:val="0"/>
        <w:autoSpaceDE w:val="0"/>
        <w:autoSpaceDN w:val="0"/>
        <w:bidi w:val="0"/>
        <w:adjustRightInd w:val="0"/>
        <w:spacing w:beforeAutospacing="0" w:afterAutospacing="0" w:line="576" w:lineRule="exact"/>
        <w:ind w:right="0" w:firstLine="643" w:firstLineChars="200"/>
        <w:jc w:val="left"/>
        <w:textAlignment w:val="auto"/>
        <w:outlineLvl w:val="2"/>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（一）收入情况</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202</w:t>
      </w:r>
      <w:r>
        <w:rPr>
          <w:rFonts w:hint="eastAsia"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年我</w:t>
      </w:r>
      <w:r>
        <w:rPr>
          <w:rFonts w:hint="eastAsia" w:ascii="Times New Roman" w:hAnsi="Times New Roman" w:eastAsia="仿宋_GB2312" w:cs="Times New Roman"/>
          <w:kern w:val="2"/>
          <w:sz w:val="32"/>
          <w:szCs w:val="32"/>
          <w:lang w:val="en-US" w:eastAsia="zh-CN" w:bidi="ar-SA"/>
        </w:rPr>
        <w:t>委</w:t>
      </w:r>
      <w:r>
        <w:rPr>
          <w:rFonts w:hint="default" w:ascii="Times New Roman" w:hAnsi="Times New Roman" w:eastAsia="仿宋_GB2312" w:cs="Times New Roman"/>
          <w:kern w:val="2"/>
          <w:sz w:val="32"/>
          <w:szCs w:val="32"/>
          <w:lang w:val="en-US" w:eastAsia="zh-CN" w:bidi="ar-SA"/>
        </w:rPr>
        <w:t>本年决算收入</w:t>
      </w:r>
      <w:r>
        <w:rPr>
          <w:rFonts w:hint="eastAsia" w:eastAsia="仿宋_GB2312" w:cs="Times New Roman"/>
          <w:kern w:val="2"/>
          <w:sz w:val="32"/>
          <w:szCs w:val="32"/>
          <w:lang w:val="en-US" w:eastAsia="zh-CN" w:bidi="ar-SA"/>
        </w:rPr>
        <w:t>1985.2</w:t>
      </w:r>
      <w:r>
        <w:rPr>
          <w:rFonts w:hint="eastAsia" w:ascii="Times New Roman" w:hAnsi="Times New Roman" w:eastAsia="仿宋_GB2312" w:cs="Times New Roman"/>
          <w:kern w:val="2"/>
          <w:sz w:val="32"/>
          <w:szCs w:val="32"/>
          <w:lang w:val="en-US" w:eastAsia="zh-CN" w:bidi="ar-SA"/>
        </w:rPr>
        <w:t>万元</w:t>
      </w:r>
      <w:r>
        <w:rPr>
          <w:rFonts w:hint="default" w:ascii="Times New Roman" w:hAnsi="Times New Roman" w:eastAsia="仿宋_GB2312" w:cs="Times New Roman"/>
          <w:kern w:val="2"/>
          <w:sz w:val="32"/>
          <w:szCs w:val="32"/>
          <w:lang w:val="en-US" w:eastAsia="zh-CN" w:bidi="ar-SA"/>
        </w:rPr>
        <w:t>万元，其中一般公共预算财政拔款收入</w:t>
      </w:r>
      <w:r>
        <w:rPr>
          <w:rFonts w:hint="eastAsia" w:eastAsia="仿宋_GB2312" w:cs="Times New Roman"/>
          <w:kern w:val="2"/>
          <w:sz w:val="32"/>
          <w:szCs w:val="32"/>
          <w:lang w:val="en-US" w:eastAsia="zh-CN" w:bidi="ar-SA"/>
        </w:rPr>
        <w:t>1985.2</w:t>
      </w:r>
      <w:r>
        <w:rPr>
          <w:rFonts w:hint="default" w:ascii="Times New Roman" w:hAnsi="Times New Roman" w:eastAsia="仿宋_GB2312" w:cs="Times New Roman"/>
          <w:kern w:val="2"/>
          <w:sz w:val="32"/>
          <w:szCs w:val="32"/>
          <w:lang w:val="en-US" w:eastAsia="zh-CN" w:bidi="ar-SA"/>
        </w:rPr>
        <w:t>万元。决算支出比上年</w:t>
      </w:r>
      <w:r>
        <w:rPr>
          <w:rFonts w:hint="eastAsia" w:eastAsia="仿宋_GB2312" w:cs="Times New Roman"/>
          <w:kern w:val="2"/>
          <w:sz w:val="32"/>
          <w:szCs w:val="32"/>
          <w:lang w:val="en-US" w:eastAsia="zh-CN" w:bidi="ar-SA"/>
        </w:rPr>
        <w:t>减少207.35</w:t>
      </w:r>
      <w:r>
        <w:rPr>
          <w:rFonts w:hint="default" w:ascii="Times New Roman" w:hAnsi="Times New Roman" w:eastAsia="仿宋_GB2312" w:cs="Times New Roman"/>
          <w:kern w:val="2"/>
          <w:sz w:val="32"/>
          <w:szCs w:val="32"/>
          <w:lang w:val="en-US" w:eastAsia="zh-CN" w:bidi="ar-SA"/>
        </w:rPr>
        <w:t>万元，</w:t>
      </w:r>
      <w:r>
        <w:rPr>
          <w:rFonts w:hint="eastAsia" w:eastAsia="仿宋_GB2312" w:cs="Times New Roman"/>
          <w:kern w:val="2"/>
          <w:sz w:val="32"/>
          <w:szCs w:val="32"/>
          <w:lang w:val="en-US" w:eastAsia="zh-CN" w:bidi="ar-SA"/>
        </w:rPr>
        <w:t>减少9.45</w:t>
      </w:r>
      <w:r>
        <w:rPr>
          <w:rFonts w:hint="default" w:ascii="Times New Roman" w:hAnsi="Times New Roman" w:eastAsia="仿宋_GB2312" w:cs="Times New Roman"/>
          <w:kern w:val="2"/>
          <w:sz w:val="32"/>
          <w:szCs w:val="32"/>
          <w:lang w:val="en-US" w:eastAsia="zh-CN" w:bidi="ar-SA"/>
        </w:rPr>
        <w:t>%，增加原因为</w:t>
      </w:r>
      <w:r>
        <w:rPr>
          <w:rFonts w:hint="eastAsia" w:ascii="Times New Roman" w:hAnsi="Times New Roman" w:eastAsia="仿宋_GB2312" w:cs="Times New Roman"/>
          <w:kern w:val="2"/>
          <w:sz w:val="32"/>
          <w:szCs w:val="32"/>
          <w:lang w:val="en-US" w:eastAsia="zh-CN" w:bidi="ar-SA"/>
        </w:rPr>
        <w:t>纪检监察中央转支付资金用于群腐工作</w:t>
      </w:r>
      <w:r>
        <w:rPr>
          <w:rFonts w:hint="eastAsia" w:eastAsia="仿宋_GB2312" w:cs="Times New Roman"/>
          <w:kern w:val="2"/>
          <w:sz w:val="32"/>
          <w:szCs w:val="32"/>
          <w:lang w:val="en-US" w:eastAsia="zh-CN" w:bidi="ar-SA"/>
        </w:rPr>
        <w:t>40</w:t>
      </w:r>
      <w:r>
        <w:rPr>
          <w:rFonts w:hint="eastAsia" w:ascii="Times New Roman" w:hAnsi="Times New Roman" w:eastAsia="仿宋_GB2312" w:cs="Times New Roman"/>
          <w:kern w:val="2"/>
          <w:sz w:val="32"/>
          <w:szCs w:val="32"/>
          <w:lang w:val="en-US" w:eastAsia="zh-CN" w:bidi="ar-SA"/>
        </w:rPr>
        <w:t>万元，红原县</w:t>
      </w:r>
      <w:r>
        <w:rPr>
          <w:rFonts w:hint="eastAsia"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智慧审理”平台电子卷宗智能制作一化机购买费用</w:t>
      </w:r>
      <w:r>
        <w:rPr>
          <w:rFonts w:hint="eastAsia" w:eastAsia="仿宋_GB2312" w:cs="Times New Roman"/>
          <w:kern w:val="2"/>
          <w:sz w:val="32"/>
          <w:szCs w:val="32"/>
          <w:lang w:val="en-US" w:eastAsia="zh-CN" w:bidi="ar-SA"/>
        </w:rPr>
        <w:t>22</w:t>
      </w:r>
      <w:r>
        <w:rPr>
          <w:rFonts w:hint="eastAsia" w:ascii="Times New Roman" w:hAnsi="Times New Roman" w:eastAsia="仿宋_GB2312" w:cs="Times New Roman"/>
          <w:kern w:val="2"/>
          <w:sz w:val="32"/>
          <w:szCs w:val="32"/>
          <w:lang w:val="en-US" w:eastAsia="zh-CN" w:bidi="ar-SA"/>
        </w:rPr>
        <w:t>万元，纪委业委用房改扩建项目</w:t>
      </w:r>
      <w:r>
        <w:rPr>
          <w:rFonts w:hint="eastAsia" w:eastAsia="仿宋_GB2312" w:cs="Times New Roman"/>
          <w:kern w:val="2"/>
          <w:sz w:val="32"/>
          <w:szCs w:val="32"/>
          <w:lang w:val="en-US" w:eastAsia="zh-CN" w:bidi="ar-SA"/>
        </w:rPr>
        <w:t>325.1</w:t>
      </w:r>
      <w:r>
        <w:rPr>
          <w:rFonts w:hint="eastAsia" w:ascii="Times New Roman" w:hAnsi="Times New Roman" w:eastAsia="仿宋_GB2312" w:cs="Times New Roman"/>
          <w:kern w:val="2"/>
          <w:sz w:val="32"/>
          <w:szCs w:val="32"/>
          <w:lang w:val="en-US" w:eastAsia="zh-CN" w:bidi="ar-SA"/>
        </w:rPr>
        <w:t>万元</w:t>
      </w:r>
      <w:r>
        <w:rPr>
          <w:rFonts w:hint="default" w:ascii="Times New Roman" w:hAnsi="Times New Roman" w:eastAsia="仿宋_GB2312" w:cs="Times New Roman"/>
          <w:kern w:val="2"/>
          <w:sz w:val="32"/>
          <w:szCs w:val="32"/>
          <w:lang w:val="en-US" w:eastAsia="zh-CN" w:bidi="ar-SA"/>
        </w:rPr>
        <w:t>。</w:t>
      </w:r>
    </w:p>
    <w:p>
      <w:pPr>
        <w:keepNext w:val="0"/>
        <w:keepLines w:val="0"/>
        <w:pageBreakBefore w:val="0"/>
        <w:kinsoku/>
        <w:wordWrap/>
        <w:overflowPunct/>
        <w:topLinePunct w:val="0"/>
        <w:autoSpaceDE w:val="0"/>
        <w:autoSpaceDN w:val="0"/>
        <w:bidi w:val="0"/>
        <w:adjustRightInd w:val="0"/>
        <w:spacing w:beforeAutospacing="0" w:afterAutospacing="0" w:line="576" w:lineRule="exact"/>
        <w:ind w:right="0" w:firstLine="643" w:firstLineChars="200"/>
        <w:jc w:val="left"/>
        <w:textAlignment w:val="auto"/>
        <w:outlineLvl w:val="2"/>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w:t>
      </w:r>
      <w:r>
        <w:rPr>
          <w:rFonts w:hint="default" w:ascii="楷体_GB2312" w:hAnsi="楷体_GB2312" w:eastAsia="楷体_GB2312" w:cs="楷体_GB2312"/>
          <w:b/>
          <w:sz w:val="32"/>
          <w:szCs w:val="32"/>
          <w:lang w:val="en-US" w:eastAsia="zh-CN"/>
        </w:rPr>
        <w:t>二</w:t>
      </w:r>
      <w:r>
        <w:rPr>
          <w:rFonts w:hint="default" w:ascii="楷体_GB2312" w:hAnsi="楷体_GB2312" w:eastAsia="楷体_GB2312" w:cs="楷体_GB2312"/>
          <w:b/>
          <w:sz w:val="32"/>
          <w:szCs w:val="32"/>
          <w:lang w:val="zh-CN" w:eastAsia="zh-CN"/>
        </w:rPr>
        <w:t>）支出情况</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202</w:t>
      </w:r>
      <w:r>
        <w:rPr>
          <w:rFonts w:hint="eastAsia"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年我</w:t>
      </w:r>
      <w:r>
        <w:rPr>
          <w:rFonts w:hint="eastAsia" w:ascii="Times New Roman" w:hAnsi="Times New Roman" w:eastAsia="仿宋_GB2312" w:cs="Times New Roman"/>
          <w:kern w:val="2"/>
          <w:sz w:val="32"/>
          <w:szCs w:val="32"/>
          <w:lang w:val="en-US" w:eastAsia="zh-CN" w:bidi="ar-SA"/>
        </w:rPr>
        <w:t>委</w:t>
      </w:r>
      <w:r>
        <w:rPr>
          <w:rFonts w:hint="default" w:ascii="Times New Roman" w:hAnsi="Times New Roman" w:eastAsia="仿宋_GB2312" w:cs="Times New Roman"/>
          <w:kern w:val="2"/>
          <w:sz w:val="32"/>
          <w:szCs w:val="32"/>
          <w:lang w:val="en-US" w:eastAsia="zh-CN" w:bidi="ar-SA"/>
        </w:rPr>
        <w:t>决算支出</w:t>
      </w:r>
      <w:r>
        <w:rPr>
          <w:rFonts w:hint="eastAsia" w:eastAsia="仿宋_GB2312" w:cs="Times New Roman"/>
          <w:kern w:val="2"/>
          <w:sz w:val="32"/>
          <w:szCs w:val="32"/>
          <w:lang w:val="en-US" w:eastAsia="zh-CN" w:bidi="ar-SA"/>
        </w:rPr>
        <w:t>1985.2</w:t>
      </w:r>
      <w:r>
        <w:rPr>
          <w:rFonts w:hint="default" w:ascii="Times New Roman" w:hAnsi="Times New Roman" w:eastAsia="仿宋_GB2312" w:cs="Times New Roman"/>
          <w:kern w:val="2"/>
          <w:sz w:val="32"/>
          <w:szCs w:val="32"/>
          <w:lang w:val="en-US" w:eastAsia="zh-CN" w:bidi="ar-SA"/>
        </w:rPr>
        <w:t>万元，其中：一般公共服务支出</w:t>
      </w:r>
      <w:r>
        <w:rPr>
          <w:rFonts w:hint="eastAsia" w:eastAsia="仿宋_GB2312" w:cs="Times New Roman"/>
          <w:kern w:val="2"/>
          <w:sz w:val="32"/>
          <w:szCs w:val="32"/>
          <w:lang w:val="en-US" w:eastAsia="zh-CN" w:bidi="ar-SA"/>
        </w:rPr>
        <w:t>1612.1</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eastAsia="仿宋_GB2312" w:cs="Times New Roman"/>
          <w:kern w:val="2"/>
          <w:sz w:val="32"/>
          <w:szCs w:val="32"/>
          <w:lang w:val="en-US" w:eastAsia="zh-CN" w:bidi="ar-SA"/>
        </w:rPr>
        <w:t>，占比83.32%</w:t>
      </w:r>
      <w:r>
        <w:rPr>
          <w:rFonts w:hint="default" w:ascii="Times New Roman" w:hAnsi="Times New Roman" w:eastAsia="仿宋_GB2312" w:cs="Times New Roman"/>
          <w:kern w:val="2"/>
          <w:sz w:val="32"/>
          <w:szCs w:val="32"/>
          <w:lang w:val="en-US" w:eastAsia="zh-CN" w:bidi="ar-SA"/>
        </w:rPr>
        <w:t>；社会保障和就业支出</w:t>
      </w:r>
      <w:r>
        <w:rPr>
          <w:rFonts w:hint="eastAsia" w:eastAsia="仿宋_GB2312" w:cs="Times New Roman"/>
          <w:kern w:val="2"/>
          <w:sz w:val="32"/>
          <w:szCs w:val="32"/>
          <w:lang w:val="en-US" w:eastAsia="zh-CN" w:bidi="ar-SA"/>
        </w:rPr>
        <w:t>129.82</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eastAsia="仿宋_GB2312" w:cs="Times New Roman"/>
          <w:kern w:val="2"/>
          <w:sz w:val="32"/>
          <w:szCs w:val="32"/>
          <w:lang w:val="en-US" w:eastAsia="zh-CN" w:bidi="ar-SA"/>
        </w:rPr>
        <w:t>，占比</w:t>
      </w:r>
      <w:r>
        <w:rPr>
          <w:rFonts w:hint="eastAsia" w:eastAsia="仿宋_GB2312" w:cs="Times New Roman"/>
          <w:kern w:val="2"/>
          <w:sz w:val="32"/>
          <w:szCs w:val="32"/>
          <w:lang w:val="en-US" w:eastAsia="zh-CN" w:bidi="ar-SA"/>
        </w:rPr>
        <w:t>6.54</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；卫生健康支出</w:t>
      </w:r>
      <w:r>
        <w:rPr>
          <w:rFonts w:hint="eastAsia" w:eastAsia="仿宋_GB2312" w:cs="Times New Roman"/>
          <w:kern w:val="2"/>
          <w:sz w:val="32"/>
          <w:szCs w:val="32"/>
          <w:lang w:val="en-US" w:eastAsia="zh-CN" w:bidi="ar-SA"/>
        </w:rPr>
        <w:t>59.04</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eastAsia="仿宋_GB2312" w:cs="Times New Roman"/>
          <w:kern w:val="2"/>
          <w:sz w:val="32"/>
          <w:szCs w:val="32"/>
          <w:lang w:val="en-US" w:eastAsia="zh-CN" w:bidi="ar-SA"/>
        </w:rPr>
        <w:t>，占比</w:t>
      </w:r>
      <w:r>
        <w:rPr>
          <w:rFonts w:hint="eastAsia" w:eastAsia="仿宋_GB2312" w:cs="Times New Roman"/>
          <w:kern w:val="2"/>
          <w:sz w:val="32"/>
          <w:szCs w:val="32"/>
          <w:lang w:val="en-US" w:eastAsia="zh-CN" w:bidi="ar-SA"/>
        </w:rPr>
        <w:t>2.97</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；住房保障支出</w:t>
      </w:r>
      <w:r>
        <w:rPr>
          <w:rFonts w:hint="eastAsia" w:eastAsia="仿宋_GB2312" w:cs="Times New Roman"/>
          <w:kern w:val="2"/>
          <w:sz w:val="32"/>
          <w:szCs w:val="32"/>
          <w:lang w:val="en-US" w:eastAsia="zh-CN" w:bidi="ar-SA"/>
        </w:rPr>
        <w:t>105.62</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eastAsia="仿宋_GB2312" w:cs="Times New Roman"/>
          <w:kern w:val="2"/>
          <w:sz w:val="32"/>
          <w:szCs w:val="32"/>
          <w:lang w:val="en-US" w:eastAsia="zh-CN" w:bidi="ar-SA"/>
        </w:rPr>
        <w:t>，占比</w:t>
      </w:r>
      <w:r>
        <w:rPr>
          <w:rFonts w:hint="eastAsia" w:eastAsia="仿宋_GB2312" w:cs="Times New Roman"/>
          <w:kern w:val="2"/>
          <w:sz w:val="32"/>
          <w:szCs w:val="32"/>
          <w:lang w:val="en-US" w:eastAsia="zh-CN" w:bidi="ar-SA"/>
        </w:rPr>
        <w:t>5.32</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整体支出主要完成任务在</w:t>
      </w:r>
      <w:r>
        <w:rPr>
          <w:rFonts w:hint="eastAsia" w:ascii="Times New Roman" w:hAnsi="Times New Roman" w:eastAsia="仿宋_GB2312" w:cs="Times New Roman"/>
          <w:kern w:val="2"/>
          <w:sz w:val="32"/>
          <w:szCs w:val="32"/>
          <w:lang w:val="en-US" w:eastAsia="zh-CN" w:bidi="ar-SA"/>
        </w:rPr>
        <w:t>四</w:t>
      </w:r>
      <w:r>
        <w:rPr>
          <w:rFonts w:hint="default" w:ascii="Times New Roman" w:hAnsi="Times New Roman" w:eastAsia="仿宋_GB2312" w:cs="Times New Roman"/>
          <w:kern w:val="2"/>
          <w:sz w:val="32"/>
          <w:szCs w:val="32"/>
          <w:lang w:val="en-US" w:eastAsia="zh-CN" w:bidi="ar-SA"/>
        </w:rPr>
        <w:t>个方面：一是保障单位基本正常运转，其中人员经费支出</w:t>
      </w:r>
      <w:r>
        <w:rPr>
          <w:rFonts w:hint="eastAsia" w:ascii="Times New Roman" w:hAnsi="Times New Roman" w:eastAsia="仿宋_GB2312" w:cs="Times New Roman"/>
          <w:kern w:val="2"/>
          <w:sz w:val="32"/>
          <w:szCs w:val="32"/>
          <w:lang w:val="en-US" w:eastAsia="zh-CN" w:bidi="ar-SA"/>
        </w:rPr>
        <w:t>1304.8</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cs="Times New Roman"/>
          <w:kern w:val="2"/>
          <w:sz w:val="32"/>
          <w:szCs w:val="32"/>
          <w:lang w:val="en-US" w:eastAsia="zh-CN" w:bidi="ar-SA"/>
        </w:rPr>
        <w:t>；二是</w:t>
      </w:r>
      <w:r>
        <w:rPr>
          <w:rFonts w:hint="default" w:ascii="Times New Roman" w:hAnsi="Times New Roman" w:eastAsia="仿宋_GB2312" w:cs="Times New Roman"/>
          <w:kern w:val="2"/>
          <w:sz w:val="32"/>
          <w:szCs w:val="32"/>
          <w:lang w:val="en-US" w:eastAsia="zh-CN" w:bidi="ar-SA"/>
        </w:rPr>
        <w:t>日常公用经费</w:t>
      </w:r>
      <w:r>
        <w:rPr>
          <w:rFonts w:hint="eastAsia" w:ascii="Times New Roman" w:hAnsi="Times New Roman" w:eastAsia="仿宋_GB2312" w:cs="Times New Roman"/>
          <w:kern w:val="2"/>
          <w:sz w:val="32"/>
          <w:szCs w:val="32"/>
          <w:lang w:val="en-US" w:eastAsia="zh-CN" w:bidi="ar-SA"/>
        </w:rPr>
        <w:t>346.64</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cs="Times New Roman"/>
          <w:kern w:val="2"/>
          <w:sz w:val="32"/>
          <w:szCs w:val="32"/>
          <w:lang w:val="en-US" w:eastAsia="zh-CN" w:bidi="ar-SA"/>
        </w:rPr>
        <w:t>；三</w:t>
      </w:r>
      <w:r>
        <w:rPr>
          <w:rFonts w:hint="default" w:ascii="Times New Roman" w:hAnsi="Times New Roman" w:eastAsia="仿宋_GB2312" w:cs="Times New Roman"/>
          <w:kern w:val="2"/>
          <w:sz w:val="32"/>
          <w:szCs w:val="32"/>
          <w:lang w:val="en-US" w:eastAsia="zh-CN" w:bidi="ar-SA"/>
        </w:rPr>
        <w:t>是专项办公费支出</w:t>
      </w:r>
      <w:r>
        <w:rPr>
          <w:rFonts w:hint="eastAsia" w:ascii="Times New Roman" w:hAnsi="Times New Roman" w:eastAsia="仿宋_GB2312" w:cs="Times New Roman"/>
          <w:kern w:val="2"/>
          <w:sz w:val="32"/>
          <w:szCs w:val="32"/>
          <w:lang w:val="en-US" w:eastAsia="zh-CN" w:bidi="ar-SA"/>
        </w:rPr>
        <w:t>106.88</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cs="Times New Roman"/>
          <w:kern w:val="2"/>
          <w:sz w:val="32"/>
          <w:szCs w:val="32"/>
          <w:lang w:val="en-US" w:eastAsia="zh-CN" w:bidi="ar-SA"/>
        </w:rPr>
        <w:t>；四</w:t>
      </w:r>
      <w:r>
        <w:rPr>
          <w:rFonts w:hint="default" w:ascii="Times New Roman" w:hAnsi="Times New Roman" w:eastAsia="仿宋_GB2312" w:cs="Times New Roman"/>
          <w:kern w:val="2"/>
          <w:sz w:val="32"/>
          <w:szCs w:val="32"/>
          <w:lang w:val="en-US" w:eastAsia="zh-CN" w:bidi="ar-SA"/>
        </w:rPr>
        <w:t>是红原县</w:t>
      </w:r>
      <w:r>
        <w:rPr>
          <w:rFonts w:hint="eastAsia" w:ascii="Times New Roman" w:hAnsi="Times New Roman" w:eastAsia="仿宋_GB2312" w:cs="Times New Roman"/>
          <w:kern w:val="2"/>
          <w:sz w:val="32"/>
          <w:szCs w:val="32"/>
          <w:lang w:val="en-US" w:eastAsia="zh-CN" w:bidi="ar-SA"/>
        </w:rPr>
        <w:t>纪委业务用房改扩建</w:t>
      </w:r>
      <w:r>
        <w:rPr>
          <w:rFonts w:hint="default" w:ascii="Times New Roman" w:hAnsi="Times New Roman" w:eastAsia="仿宋_GB2312" w:cs="Times New Roman"/>
          <w:kern w:val="2"/>
          <w:sz w:val="32"/>
          <w:szCs w:val="32"/>
          <w:lang w:val="en-US" w:eastAsia="zh-CN" w:bidi="ar-SA"/>
        </w:rPr>
        <w:t>项目</w:t>
      </w:r>
      <w:r>
        <w:rPr>
          <w:rFonts w:hint="eastAsia" w:ascii="Times New Roman" w:hAnsi="Times New Roman" w:eastAsia="仿宋_GB2312" w:cs="Times New Roman"/>
          <w:kern w:val="2"/>
          <w:sz w:val="32"/>
          <w:szCs w:val="32"/>
          <w:lang w:val="en-US" w:eastAsia="zh-CN" w:bidi="ar-SA"/>
        </w:rPr>
        <w:t>325.1</w:t>
      </w:r>
      <w:r>
        <w:rPr>
          <w:rFonts w:hint="default" w:ascii="Times New Roman" w:hAnsi="Times New Roman" w:eastAsia="仿宋_GB2312" w:cs="Times New Roman"/>
          <w:kern w:val="2"/>
          <w:sz w:val="32"/>
          <w:szCs w:val="32"/>
          <w:lang w:val="en-US" w:eastAsia="zh-CN" w:bidi="ar-SA"/>
        </w:rPr>
        <w:t>万元</w:t>
      </w:r>
      <w:r>
        <w:rPr>
          <w:rFonts w:hint="eastAsia" w:ascii="Times New Roman" w:hAnsi="Times New Roman" w:cs="Times New Roman"/>
          <w:kern w:val="2"/>
          <w:sz w:val="32"/>
          <w:szCs w:val="32"/>
          <w:lang w:val="en-US" w:eastAsia="zh-CN" w:bidi="ar-SA"/>
        </w:rPr>
        <w:t>；五是</w:t>
      </w:r>
      <w:r>
        <w:rPr>
          <w:rFonts w:hint="eastAsia" w:ascii="Times New Roman" w:hAnsi="Times New Roman" w:eastAsia="仿宋_GB2312" w:cs="Times New Roman"/>
          <w:kern w:val="2"/>
          <w:sz w:val="32"/>
          <w:szCs w:val="32"/>
          <w:lang w:val="en-US" w:eastAsia="zh-CN" w:bidi="ar-SA"/>
        </w:rPr>
        <w:t>中央纪检监察转移支付资金40万元</w:t>
      </w:r>
      <w:r>
        <w:rPr>
          <w:rFonts w:hint="eastAsia" w:ascii="Times New Roman" w:hAnsi="Times New Roman"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w:t>
      </w:r>
    </w:p>
    <w:p>
      <w:pPr>
        <w:pStyle w:val="1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rPr>
      </w:pPr>
      <w:r>
        <w:rPr>
          <w:rFonts w:hint="eastAsia" w:ascii="仿宋_GB2312" w:hAnsi="仿宋_GB2312" w:eastAsia="仿宋_GB2312" w:cs="仿宋_GB2312"/>
          <w:sz w:val="32"/>
          <w:szCs w:val="32"/>
        </w:rPr>
        <w:t>“三公”经费支出情况：本单位本年度“三公”经费支出决算数为</w:t>
      </w:r>
      <w:r>
        <w:rPr>
          <w:rFonts w:hint="eastAsia" w:ascii="仿宋_GB2312" w:hAnsi="仿宋_GB2312" w:eastAsia="仿宋_GB2312" w:cs="仿宋_GB2312"/>
          <w:sz w:val="32"/>
          <w:szCs w:val="32"/>
          <w:lang w:val="en-US" w:eastAsia="zh-CN"/>
        </w:rPr>
        <w:t>35.03</w:t>
      </w:r>
      <w:r>
        <w:rPr>
          <w:rFonts w:hint="eastAsia" w:ascii="仿宋_GB2312" w:hAnsi="仿宋_GB2312" w:eastAsia="仿宋_GB2312" w:cs="仿宋_GB2312"/>
          <w:sz w:val="32"/>
          <w:szCs w:val="32"/>
        </w:rPr>
        <w:t>万元。其中:公务用车购置及运行维护费支出决算数为</w:t>
      </w:r>
      <w:r>
        <w:rPr>
          <w:rFonts w:hint="eastAsia" w:ascii="仿宋_GB2312" w:hAnsi="仿宋_GB2312" w:eastAsia="仿宋_GB2312" w:cs="仿宋_GB2312"/>
          <w:sz w:val="32"/>
          <w:szCs w:val="32"/>
          <w:lang w:val="en-US" w:eastAsia="zh-CN"/>
        </w:rPr>
        <w:t>34.99</w:t>
      </w:r>
      <w:r>
        <w:rPr>
          <w:rFonts w:hint="eastAsia" w:ascii="仿宋_GB2312" w:hAnsi="仿宋_GB2312" w:eastAsia="仿宋_GB2312" w:cs="仿宋_GB2312"/>
          <w:sz w:val="32"/>
          <w:szCs w:val="32"/>
        </w:rPr>
        <w:t>万元，主要原因为202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公务车辆维修费</w:t>
      </w:r>
      <w:r>
        <w:rPr>
          <w:rFonts w:hint="eastAsia" w:ascii="仿宋_GB2312" w:hAnsi="仿宋_GB2312" w:eastAsia="仿宋_GB2312" w:cs="仿宋_GB2312"/>
          <w:sz w:val="32"/>
          <w:szCs w:val="32"/>
          <w:lang w:eastAsia="zh-CN"/>
        </w:rPr>
        <w:t>增加</w:t>
      </w:r>
      <w:r>
        <w:rPr>
          <w:rFonts w:hint="eastAsia" w:ascii="仿宋_GB2312" w:hAnsi="仿宋_GB2312" w:eastAsia="仿宋_GB2312" w:cs="仿宋_GB2312"/>
          <w:sz w:val="32"/>
          <w:szCs w:val="32"/>
        </w:rPr>
        <w:t>；公务接待费支出决算数为</w:t>
      </w:r>
      <w:r>
        <w:rPr>
          <w:rFonts w:hint="eastAsia" w:ascii="仿宋_GB2312" w:hAnsi="仿宋_GB2312" w:eastAsia="仿宋_GB2312" w:cs="仿宋_GB2312"/>
          <w:sz w:val="32"/>
          <w:szCs w:val="32"/>
          <w:lang w:val="en-US" w:eastAsia="zh-CN"/>
        </w:rPr>
        <w:t>0.07</w:t>
      </w:r>
      <w:r>
        <w:rPr>
          <w:rFonts w:hint="eastAsia" w:ascii="仿宋_GB2312" w:hAnsi="仿宋_GB2312" w:eastAsia="仿宋_GB2312" w:cs="仿宋_GB2312"/>
          <w:sz w:val="32"/>
          <w:szCs w:val="32"/>
        </w:rPr>
        <w:t>万元，主要原因为</w:t>
      </w:r>
      <w:r>
        <w:rPr>
          <w:rFonts w:hint="eastAsia" w:ascii="仿宋_GB2312" w:hAnsi="仿宋_GB2312" w:eastAsia="仿宋_GB2312" w:cs="仿宋_GB2312"/>
          <w:sz w:val="32"/>
          <w:szCs w:val="32"/>
          <w:lang w:val="en-US" w:eastAsia="zh-CN"/>
        </w:rPr>
        <w:t>按照文件要求缩减经费,</w:t>
      </w:r>
      <w:r>
        <w:rPr>
          <w:rFonts w:hint="eastAsia" w:ascii="仿宋_GB2312" w:hAnsi="仿宋_GB2312" w:eastAsia="仿宋_GB2312" w:cs="仿宋_GB2312"/>
          <w:sz w:val="32"/>
          <w:szCs w:val="32"/>
        </w:rPr>
        <w:t>预算完成度为</w:t>
      </w:r>
      <w:r>
        <w:rPr>
          <w:rFonts w:hint="eastAsia" w:ascii="仿宋_GB2312" w:hAnsi="仿宋_GB2312" w:eastAsia="仿宋_GB2312" w:cs="仿宋_GB2312"/>
          <w:sz w:val="32"/>
          <w:szCs w:val="32"/>
          <w:lang w:val="en-US" w:eastAsia="zh-CN"/>
        </w:rPr>
        <w:t>98</w:t>
      </w:r>
      <w:r>
        <w:rPr>
          <w:rFonts w:hint="eastAsia" w:ascii="仿宋_GB2312" w:hAnsi="仿宋_GB2312" w:eastAsia="仿宋_GB2312" w:cs="仿宋_GB2312"/>
          <w:sz w:val="32"/>
          <w:szCs w:val="32"/>
        </w:rPr>
        <w:t>%，主要原因为</w:t>
      </w:r>
      <w:r>
        <w:rPr>
          <w:rFonts w:hint="eastAsia" w:ascii="仿宋_GB2312" w:hAnsi="仿宋_GB2312" w:eastAsia="仿宋_GB2312" w:cs="仿宋_GB2312"/>
          <w:sz w:val="32"/>
          <w:szCs w:val="32"/>
          <w:lang w:val="en-US" w:eastAsia="zh-CN"/>
        </w:rPr>
        <w:t>按照文件要求缩减经费</w:t>
      </w:r>
      <w:r>
        <w:rPr>
          <w:rFonts w:hint="eastAsia" w:ascii="仿宋_GB2312" w:hAnsi="仿宋_GB2312" w:eastAsia="仿宋_GB2312" w:cs="仿宋_GB2312"/>
          <w:sz w:val="32"/>
          <w:szCs w:val="32"/>
        </w:rPr>
        <w:t>。本年度因公务用车购置及运行维护费人均支出为</w:t>
      </w:r>
      <w:r>
        <w:rPr>
          <w:rFonts w:hint="eastAsia" w:ascii="仿宋_GB2312" w:hAnsi="仿宋_GB2312" w:eastAsia="仿宋_GB2312" w:cs="仿宋_GB2312"/>
          <w:sz w:val="32"/>
          <w:szCs w:val="32"/>
          <w:lang w:val="en-US" w:eastAsia="zh-CN"/>
        </w:rPr>
        <w:t>0.74</w:t>
      </w:r>
      <w:r>
        <w:rPr>
          <w:rFonts w:hint="eastAsia" w:ascii="仿宋_GB2312" w:hAnsi="仿宋_GB2312" w:eastAsia="仿宋_GB2312" w:cs="仿宋_GB2312"/>
          <w:sz w:val="32"/>
          <w:szCs w:val="32"/>
        </w:rPr>
        <w:t>万元。</w:t>
      </w:r>
    </w:p>
    <w:p>
      <w:pPr>
        <w:keepNext w:val="0"/>
        <w:keepLines w:val="0"/>
        <w:pageBreakBefore w:val="0"/>
        <w:kinsoku/>
        <w:wordWrap/>
        <w:overflowPunct/>
        <w:topLinePunct w:val="0"/>
        <w:autoSpaceDE w:val="0"/>
        <w:autoSpaceDN w:val="0"/>
        <w:bidi w:val="0"/>
        <w:adjustRightInd w:val="0"/>
        <w:spacing w:beforeAutospacing="0" w:afterAutospacing="0" w:line="576" w:lineRule="exact"/>
        <w:ind w:right="0" w:firstLine="643" w:firstLineChars="200"/>
        <w:jc w:val="left"/>
        <w:textAlignment w:val="auto"/>
        <w:outlineLvl w:val="2"/>
        <w:rPr>
          <w:rFonts w:hint="default"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val="en-US" w:eastAsia="zh-CN"/>
        </w:rPr>
        <w:t>（三）</w:t>
      </w:r>
      <w:r>
        <w:rPr>
          <w:rFonts w:hint="default" w:ascii="楷体_GB2312" w:hAnsi="楷体_GB2312" w:eastAsia="楷体_GB2312" w:cs="楷体_GB2312"/>
          <w:b/>
          <w:sz w:val="32"/>
          <w:szCs w:val="32"/>
          <w:lang w:val="en-US" w:eastAsia="zh-CN"/>
        </w:rPr>
        <w:t>结余分配和结转结余情况</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0"/>
          <w:sz w:val="32"/>
          <w:szCs w:val="32"/>
          <w:lang w:val="zh-CN" w:eastAsia="zh-CN" w:bidi="ar-SA"/>
        </w:rPr>
      </w:pPr>
      <w:r>
        <w:rPr>
          <w:rFonts w:hint="default" w:ascii="仿宋_GB2312" w:hAnsi="仿宋_GB2312" w:eastAsia="仿宋_GB2312" w:cs="仿宋_GB2312"/>
          <w:kern w:val="0"/>
          <w:sz w:val="32"/>
          <w:szCs w:val="32"/>
          <w:lang w:val="en-US" w:eastAsia="zh-CN" w:bidi="ar-SA"/>
        </w:rPr>
        <w:t>我</w:t>
      </w:r>
      <w:r>
        <w:rPr>
          <w:rFonts w:hint="eastAsia" w:ascii="仿宋_GB2312" w:hAnsi="仿宋_GB2312" w:eastAsia="仿宋_GB2312" w:cs="仿宋_GB2312"/>
          <w:kern w:val="0"/>
          <w:sz w:val="32"/>
          <w:szCs w:val="32"/>
          <w:lang w:val="en-US" w:eastAsia="zh-CN" w:bidi="ar-SA"/>
        </w:rPr>
        <w:t>委</w:t>
      </w:r>
      <w:r>
        <w:rPr>
          <w:rFonts w:hint="default" w:ascii="仿宋_GB2312" w:hAnsi="仿宋_GB2312" w:eastAsia="仿宋_GB2312" w:cs="仿宋_GB2312"/>
          <w:kern w:val="0"/>
          <w:sz w:val="32"/>
          <w:szCs w:val="32"/>
          <w:lang w:val="en-US" w:eastAsia="zh-CN" w:bidi="ar-SA"/>
        </w:rPr>
        <w:t>202</w:t>
      </w:r>
      <w:r>
        <w:rPr>
          <w:rFonts w:hint="eastAsia" w:ascii="仿宋_GB2312" w:hAnsi="仿宋_GB2312" w:eastAsia="仿宋_GB2312" w:cs="仿宋_GB2312"/>
          <w:kern w:val="0"/>
          <w:sz w:val="32"/>
          <w:szCs w:val="32"/>
          <w:lang w:val="en-US" w:eastAsia="zh-CN" w:bidi="ar-SA"/>
        </w:rPr>
        <w:t>5</w:t>
      </w:r>
      <w:r>
        <w:rPr>
          <w:rFonts w:hint="default" w:ascii="仿宋_GB2312" w:hAnsi="仿宋_GB2312" w:eastAsia="仿宋_GB2312" w:cs="仿宋_GB2312"/>
          <w:kern w:val="0"/>
          <w:sz w:val="32"/>
          <w:szCs w:val="32"/>
          <w:lang w:val="en-US" w:eastAsia="zh-CN" w:bidi="ar-SA"/>
        </w:rPr>
        <w:t>年无结转结余情况。</w:t>
      </w:r>
    </w:p>
    <w:p>
      <w:pPr>
        <w:pageBreakBefore w:val="0"/>
        <w:widowControl/>
        <w:kinsoku/>
        <w:wordWrap/>
        <w:overflowPunct/>
        <w:topLinePunct w:val="0"/>
        <w:autoSpaceDE/>
        <w:autoSpaceDN/>
        <w:bidi w:val="0"/>
        <w:adjustRightInd w:val="0"/>
        <w:snapToGrid w:val="0"/>
        <w:spacing w:line="570" w:lineRule="exact"/>
        <w:ind w:firstLine="643" w:firstLineChars="200"/>
        <w:contextualSpacing/>
        <w:jc w:val="left"/>
        <w:rPr>
          <w:rFonts w:hint="eastAsia" w:ascii="黑体" w:hAnsi="黑体" w:eastAsia="黑体" w:cs="黑体"/>
          <w:b/>
          <w:bCs/>
          <w:kern w:val="0"/>
          <w:sz w:val="32"/>
          <w:szCs w:val="32"/>
          <w:lang w:val="en-US" w:eastAsia="zh-CN" w:bidi="ar-SA"/>
        </w:rPr>
      </w:pPr>
      <w:r>
        <w:rPr>
          <w:rFonts w:hint="eastAsia" w:ascii="黑体" w:hAnsi="黑体" w:eastAsia="黑体" w:cs="黑体"/>
          <w:b/>
          <w:bCs/>
          <w:kern w:val="0"/>
          <w:sz w:val="32"/>
          <w:szCs w:val="32"/>
          <w:lang w:val="en-US" w:eastAsia="zh-CN" w:bidi="ar-SA"/>
        </w:rPr>
        <w:t>三、部门预算绩效分析</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仿宋_GB2312" w:hAnsi="仿宋_GB2312" w:eastAsia="仿宋_GB2312" w:cs="仿宋_GB2312"/>
          <w:kern w:val="0"/>
          <w:sz w:val="32"/>
          <w:szCs w:val="32"/>
          <w:lang w:val="zh-CN" w:eastAsia="zh-CN" w:bidi="ar-SA"/>
        </w:rPr>
      </w:pPr>
      <w:r>
        <w:rPr>
          <w:rFonts w:hint="default" w:ascii="楷体_GB2312" w:hAnsi="楷体_GB2312" w:eastAsia="楷体_GB2312" w:cs="楷体_GB2312"/>
          <w:b/>
          <w:sz w:val="32"/>
          <w:szCs w:val="32"/>
          <w:lang w:val="zh-CN" w:eastAsia="zh-CN"/>
        </w:rPr>
        <w:t>（一）部门预算总体绩效分析。</w:t>
      </w:r>
      <w:r>
        <w:rPr>
          <w:rFonts w:hint="default" w:ascii="仿宋_GB2312" w:hAnsi="仿宋_GB2312" w:eastAsia="仿宋_GB2312" w:cs="仿宋_GB2312"/>
          <w:kern w:val="0"/>
          <w:sz w:val="32"/>
          <w:szCs w:val="32"/>
          <w:lang w:val="zh-CN" w:eastAsia="zh-CN" w:bidi="ar-SA"/>
        </w:rPr>
        <w:t>根据部门预算绩效评价指标体系围绕履职效能、预算管理、财务管理、资产管理、采购管理等方面逐项分析：</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0"/>
          <w:sz w:val="32"/>
          <w:szCs w:val="32"/>
          <w:lang w:val="zh-CN" w:eastAsia="zh-CN" w:bidi="ar-SA"/>
        </w:rPr>
      </w:pPr>
      <w:r>
        <w:rPr>
          <w:rFonts w:hint="default" w:ascii="仿宋_GB2312" w:hAnsi="仿宋_GB2312" w:eastAsia="仿宋_GB2312" w:cs="仿宋_GB2312"/>
          <w:kern w:val="0"/>
          <w:sz w:val="32"/>
          <w:szCs w:val="32"/>
          <w:lang w:val="zh-CN" w:eastAsia="zh-CN" w:bidi="ar-SA"/>
        </w:rPr>
        <w:t xml:space="preserve">1. 履职效能（15分）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0"/>
          <w:sz w:val="32"/>
          <w:szCs w:val="32"/>
          <w:lang w:val="zh-CN" w:eastAsia="zh-CN" w:bidi="ar-SA"/>
        </w:rPr>
      </w:pPr>
      <w:r>
        <w:rPr>
          <w:rFonts w:hint="default" w:ascii="仿宋_GB2312" w:hAnsi="仿宋_GB2312" w:eastAsia="仿宋_GB2312" w:cs="仿宋_GB2312"/>
          <w:kern w:val="0"/>
          <w:sz w:val="32"/>
          <w:szCs w:val="32"/>
          <w:lang w:val="zh-CN" w:eastAsia="zh-CN" w:bidi="ar-SA"/>
        </w:rPr>
        <w:t>核心职能目标完成情况：</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0"/>
          <w:sz w:val="32"/>
          <w:szCs w:val="32"/>
          <w:lang w:val="zh-CN" w:eastAsia="zh-CN" w:bidi="ar-SA"/>
        </w:rPr>
      </w:pPr>
      <w:r>
        <w:rPr>
          <w:rFonts w:hint="default" w:ascii="仿宋_GB2312" w:hAnsi="仿宋_GB2312" w:eastAsia="仿宋_GB2312" w:cs="仿宋_GB2312"/>
          <w:kern w:val="0"/>
          <w:sz w:val="32"/>
          <w:szCs w:val="32"/>
          <w:lang w:val="zh-CN" w:eastAsia="zh-CN" w:bidi="ar-SA"/>
        </w:rPr>
        <w:t>（1）</w:t>
      </w:r>
      <w:r>
        <w:rPr>
          <w:rFonts w:hint="eastAsia" w:ascii="仿宋_GB2312" w:hAnsi="仿宋_GB2312" w:eastAsia="仿宋_GB2312" w:cs="仿宋_GB2312"/>
          <w:kern w:val="0"/>
          <w:sz w:val="32"/>
          <w:szCs w:val="32"/>
          <w:lang w:val="en-US" w:eastAsia="zh-CN" w:bidi="ar-SA"/>
        </w:rPr>
        <w:t>纪委日常监督、执纪、巡察</w:t>
      </w:r>
      <w:r>
        <w:rPr>
          <w:rFonts w:hint="default" w:ascii="仿宋_GB2312" w:hAnsi="仿宋_GB2312" w:eastAsia="仿宋_GB2312" w:cs="仿宋_GB2312"/>
          <w:kern w:val="0"/>
          <w:sz w:val="32"/>
          <w:szCs w:val="32"/>
          <w:lang w:val="en-US" w:eastAsia="zh-CN" w:bidi="ar-SA"/>
        </w:rPr>
        <w:t>等工作</w:t>
      </w:r>
      <w:r>
        <w:rPr>
          <w:rFonts w:hint="default" w:ascii="仿宋_GB2312" w:hAnsi="仿宋_GB2312" w:eastAsia="仿宋_GB2312" w:cs="仿宋_GB2312"/>
          <w:kern w:val="0"/>
          <w:sz w:val="32"/>
          <w:szCs w:val="32"/>
          <w:lang w:val="zh-CN" w:eastAsia="zh-CN" w:bidi="ar-SA"/>
        </w:rPr>
        <w:t>（</w:t>
      </w:r>
      <w:r>
        <w:rPr>
          <w:rFonts w:hint="default" w:ascii="仿宋_GB2312" w:hAnsi="仿宋_GB2312" w:eastAsia="仿宋_GB2312" w:cs="仿宋_GB2312"/>
          <w:kern w:val="0"/>
          <w:sz w:val="32"/>
          <w:szCs w:val="32"/>
          <w:lang w:val="en-US" w:eastAsia="zh-CN" w:bidi="ar-SA"/>
        </w:rPr>
        <w:t>10</w:t>
      </w:r>
      <w:r>
        <w:rPr>
          <w:rFonts w:hint="default" w:ascii="仿宋_GB2312" w:hAnsi="仿宋_GB2312" w:eastAsia="仿宋_GB2312" w:cs="仿宋_GB2312"/>
          <w:kern w:val="0"/>
          <w:sz w:val="32"/>
          <w:szCs w:val="32"/>
          <w:lang w:val="zh-CN" w:eastAsia="zh-CN" w:bidi="ar-SA"/>
        </w:rPr>
        <w:t xml:space="preserve">分）  </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kern w:val="0"/>
          <w:sz w:val="32"/>
          <w:szCs w:val="32"/>
          <w:lang w:val="zh-CN" w:eastAsia="zh-CN" w:bidi="ar-SA"/>
        </w:rPr>
        <w:t>完成情况：</w:t>
      </w:r>
      <w:r>
        <w:rPr>
          <w:rFonts w:hint="eastAsia" w:ascii="仿宋_GB2312" w:hAnsi="仿宋_GB2312" w:eastAsia="仿宋_GB2312" w:cs="仿宋_GB2312"/>
          <w:kern w:val="0"/>
          <w:sz w:val="32"/>
          <w:szCs w:val="32"/>
          <w:lang w:val="en-US" w:eastAsia="zh-CN" w:bidi="ar-SA"/>
        </w:rPr>
        <w:t>一是加大腐败惩治力度。坚持有腐必反、有案必查，保持惩治腐败高压态势。截至目前，受理问题线索139条139人，立案审查调查66件66人，给予党纪政务处分59件59人、移送司法机关4人，挽回经济损失556.84万元，在全县范围形成有力震慑。二是抓实案件查办“后半篇文章”。开展公开宣布纪律处</w:t>
      </w:r>
      <w:r>
        <w:rPr>
          <w:rFonts w:hint="eastAsia" w:ascii="仿宋_GB2312" w:hAnsi="仿宋_GB2312" w:eastAsia="仿宋_GB2312" w:cs="仿宋_GB2312"/>
          <w:sz w:val="32"/>
          <w:szCs w:val="32"/>
          <w:lang w:val="en-US" w:eastAsia="zh-CN"/>
        </w:rPr>
        <w:t>分决定“四个面对面”警示教育活动27场，受教育480余人次；推动健全完善全县“三重一大”议事决策制度；指导公安系统认真开展“以案促改”工作，深入整治执法领域突出问题；用活我县查处的典型案例，打造廉政警示教育点位1处。三是打好廉政警示教育“组合拳”。分层分批组织县处级和部分乡科级领导干部赴廉洁教育基地开展廉政教育，组织重点领域、关键岗位党员干部500余人次观看警示教育录5部，旁听庭审现场2次，教育引导党员领导干部筑牢党纪法规底线，擦亮清廉底色，永葆政治本色。</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en-US" w:eastAsia="zh-CN" w:bidi="ar-SA"/>
        </w:rPr>
        <w:t>自</w:t>
      </w:r>
      <w:r>
        <w:rPr>
          <w:rFonts w:hint="default" w:ascii="仿宋_GB2312" w:hAnsi="仿宋_GB2312" w:eastAsia="仿宋_GB2312" w:cs="仿宋_GB2312"/>
          <w:kern w:val="2"/>
          <w:sz w:val="32"/>
          <w:szCs w:val="32"/>
          <w:lang w:val="zh-CN" w:eastAsia="zh-CN" w:bidi="ar-SA"/>
        </w:rPr>
        <w:t>评</w:t>
      </w:r>
      <w:r>
        <w:rPr>
          <w:rFonts w:hint="eastAsia" w:ascii="仿宋_GB2312" w:hAnsi="仿宋_GB2312" w:eastAsia="仿宋_GB2312" w:cs="仿宋_GB2312"/>
          <w:kern w:val="2"/>
          <w:sz w:val="32"/>
          <w:szCs w:val="32"/>
          <w:lang w:val="en-US" w:eastAsia="zh-CN" w:bidi="ar-SA"/>
        </w:rPr>
        <w:t>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10</w:t>
      </w:r>
      <w:r>
        <w:rPr>
          <w:rFonts w:hint="default" w:ascii="仿宋_GB2312" w:hAnsi="仿宋_GB2312" w:eastAsia="仿宋_GB2312" w:cs="仿宋_GB2312"/>
          <w:kern w:val="2"/>
          <w:sz w:val="32"/>
          <w:szCs w:val="32"/>
          <w:lang w:val="zh-CN" w:eastAsia="zh-CN" w:bidi="ar-SA"/>
        </w:rPr>
        <w:t xml:space="preserve">分  </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做好日常工作及后勤工作</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分）  </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完成情况：</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细心谋划，做好各项工作的后勤保障工作，完成</w:t>
      </w:r>
      <w:r>
        <w:rPr>
          <w:rFonts w:hint="default" w:ascii="仿宋_GB2312" w:hAnsi="仿宋_GB2312" w:eastAsia="仿宋_GB2312" w:cs="仿宋_GB2312"/>
          <w:kern w:val="2"/>
          <w:sz w:val="32"/>
          <w:szCs w:val="32"/>
          <w:lang w:val="zh-CN" w:eastAsia="zh-CN" w:bidi="ar-SA"/>
        </w:rPr>
        <w:t>接待任务</w:t>
      </w:r>
      <w:r>
        <w:rPr>
          <w:rFonts w:hint="eastAsia"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zh-CN" w:eastAsia="zh-CN" w:bidi="ar-SA"/>
        </w:rPr>
        <w:t>次，满意度达90%。</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分    </w:t>
      </w:r>
      <w:r>
        <w:rPr>
          <w:rFonts w:hint="default" w:ascii="仿宋_GB2312" w:hAnsi="仿宋_GB2312" w:eastAsia="仿宋_GB2312" w:cs="仿宋_GB2312"/>
          <w:kern w:val="2"/>
          <w:sz w:val="32"/>
          <w:szCs w:val="32"/>
          <w:lang w:val="en-US" w:eastAsia="zh-CN" w:bidi="ar-SA"/>
        </w:rPr>
        <w:t xml:space="preserve"> </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zh-CN" w:eastAsia="zh-CN" w:bidi="ar-SA"/>
        </w:rPr>
        <w:t>2. 预算管理（25分）</w:t>
      </w:r>
      <w:r>
        <w:rPr>
          <w:rFonts w:hint="default" w:ascii="仿宋_GB2312" w:hAnsi="仿宋_GB2312" w:eastAsia="仿宋_GB2312" w:cs="仿宋_GB2312"/>
          <w:kern w:val="2"/>
          <w:sz w:val="32"/>
          <w:szCs w:val="32"/>
          <w:lang w:val="en-US" w:eastAsia="zh-CN" w:bidi="ar-SA"/>
        </w:rPr>
        <w:t xml:space="preserve"> </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（1）预算编制质量（8分）  </w:t>
      </w:r>
    </w:p>
    <w:p>
      <w:pPr>
        <w:pStyle w:val="7"/>
        <w:keepNext w:val="0"/>
        <w:keepLines w:val="0"/>
        <w:pageBreakBefore w:val="0"/>
        <w:widowControl w:val="0"/>
        <w:kinsoku/>
        <w:wordWrap/>
        <w:overflowPunct/>
        <w:topLinePunct w:val="0"/>
        <w:autoSpaceDE/>
        <w:autoSpaceDN/>
        <w:bidi w:val="0"/>
        <w:adjustRightInd/>
        <w:snapToGrid/>
        <w:spacing w:after="0" w:line="576" w:lineRule="exact"/>
        <w:ind w:left="0" w:leftChars="0" w:firstLine="640"/>
        <w:textAlignment w:val="auto"/>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严格按照部门预算编制要求编制年初预算，统筹兼顾，科学谋划，较好的完成了202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年部门预算编制工作，但仍存在少量执行过程中部分经济支出科目无法预计调整的情况</w:t>
      </w:r>
      <w:r>
        <w:rPr>
          <w:rFonts w:hint="default" w:ascii="仿宋_GB2312" w:hAnsi="仿宋_GB2312" w:eastAsia="仿宋_GB2312" w:cs="仿宋_GB2312"/>
          <w:kern w:val="2"/>
          <w:sz w:val="32"/>
          <w:szCs w:val="32"/>
          <w:lang w:val="zh-CN" w:eastAsia="zh-CN" w:bidi="ar-SA"/>
        </w:rPr>
        <w:t>预算编制符合财政要求，</w:t>
      </w:r>
      <w:r>
        <w:rPr>
          <w:rFonts w:hint="default" w:ascii="仿宋_GB2312" w:hAnsi="仿宋_GB2312" w:eastAsia="仿宋_GB2312" w:cs="仿宋_GB2312"/>
          <w:kern w:val="2"/>
          <w:sz w:val="32"/>
          <w:szCs w:val="32"/>
          <w:lang w:val="en-US" w:eastAsia="zh-CN" w:bidi="ar-SA"/>
        </w:rPr>
        <w:t>部分科目</w:t>
      </w:r>
      <w:r>
        <w:rPr>
          <w:rFonts w:hint="default" w:ascii="仿宋_GB2312" w:hAnsi="仿宋_GB2312" w:eastAsia="仿宋_GB2312" w:cs="仿宋_GB2312"/>
          <w:kern w:val="2"/>
          <w:sz w:val="32"/>
          <w:szCs w:val="32"/>
          <w:lang w:val="zh-CN" w:eastAsia="zh-CN" w:bidi="ar-SA"/>
        </w:rPr>
        <w:t xml:space="preserve">未细化绩效目标。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7</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（2）单位收入统筹（</w:t>
      </w:r>
      <w:r>
        <w:rPr>
          <w:rFonts w:hint="default"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zh-CN" w:eastAsia="zh-CN" w:bidi="ar-SA"/>
        </w:rPr>
        <w:t xml:space="preserve">收入全部来自财政拨款，无其他收入来源，统筹效率较高。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（3）支出执行进度（</w:t>
      </w:r>
      <w:r>
        <w:rPr>
          <w:rFonts w:hint="default"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分析：全年支出进度</w:t>
      </w:r>
      <w:r>
        <w:rPr>
          <w:rFonts w:hint="eastAsia" w:ascii="仿宋_GB2312" w:hAnsi="仿宋_GB2312" w:eastAsia="仿宋_GB2312" w:cs="仿宋_GB2312"/>
          <w:kern w:val="2"/>
          <w:sz w:val="32"/>
          <w:szCs w:val="32"/>
          <w:lang w:val="en-US" w:eastAsia="zh-CN" w:bidi="ar-SA"/>
        </w:rPr>
        <w:t>86.46</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未达到100%原因为</w:t>
      </w:r>
      <w:r>
        <w:rPr>
          <w:rFonts w:hint="eastAsia" w:ascii="仿宋_GB2312" w:hAnsi="仿宋_GB2312" w:eastAsia="仿宋_GB2312" w:cs="仿宋_GB2312"/>
          <w:kern w:val="2"/>
          <w:sz w:val="32"/>
          <w:szCs w:val="32"/>
          <w:lang w:val="en-US" w:eastAsia="zh-CN" w:bidi="ar-SA"/>
        </w:rPr>
        <w:t>纪委业务用房改扩建项目资金未拔付完成</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（4）预算年终结余（</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预算年终结余</w:t>
      </w:r>
      <w:r>
        <w:rPr>
          <w:rFonts w:hint="eastAsia" w:ascii="仿宋_GB2312" w:hAnsi="仿宋_GB2312" w:eastAsia="仿宋_GB2312" w:cs="仿宋_GB2312"/>
          <w:kern w:val="2"/>
          <w:sz w:val="32"/>
          <w:szCs w:val="32"/>
          <w:lang w:val="en-US" w:eastAsia="zh-CN" w:bidi="ar-SA"/>
        </w:rPr>
        <w:t>343.33</w:t>
      </w:r>
      <w:r>
        <w:rPr>
          <w:rFonts w:hint="default" w:ascii="仿宋_GB2312" w:hAnsi="仿宋_GB2312" w:eastAsia="仿宋_GB2312" w:cs="仿宋_GB2312"/>
          <w:kern w:val="2"/>
          <w:sz w:val="32"/>
          <w:szCs w:val="32"/>
          <w:lang w:val="en-US" w:eastAsia="zh-CN" w:bidi="ar-SA"/>
        </w:rPr>
        <w:t>万元，执行率</w:t>
      </w:r>
      <w:r>
        <w:rPr>
          <w:rFonts w:hint="eastAsia" w:ascii="仿宋_GB2312" w:hAnsi="仿宋_GB2312" w:eastAsia="仿宋_GB2312" w:cs="仿宋_GB2312"/>
          <w:kern w:val="2"/>
          <w:sz w:val="32"/>
          <w:szCs w:val="32"/>
          <w:lang w:val="en-US" w:eastAsia="zh-CN" w:bidi="ar-SA"/>
        </w:rPr>
        <w:t>86.46</w:t>
      </w:r>
      <w:r>
        <w:rPr>
          <w:rFonts w:hint="default" w:ascii="仿宋_GB2312" w:hAnsi="仿宋_GB2312" w:eastAsia="仿宋_GB2312" w:cs="仿宋_GB2312"/>
          <w:kern w:val="2"/>
          <w:sz w:val="32"/>
          <w:szCs w:val="32"/>
          <w:lang w:val="en-US" w:eastAsia="zh-CN" w:bidi="ar-SA"/>
        </w:rPr>
        <w:t>%，主要结余为</w:t>
      </w:r>
      <w:r>
        <w:rPr>
          <w:rFonts w:hint="eastAsia" w:ascii="仿宋_GB2312" w:hAnsi="仿宋_GB2312" w:eastAsia="仿宋_GB2312" w:cs="仿宋_GB2312"/>
          <w:kern w:val="2"/>
          <w:sz w:val="32"/>
          <w:szCs w:val="32"/>
          <w:lang w:val="en-US" w:eastAsia="zh-CN" w:bidi="ar-SA"/>
        </w:rPr>
        <w:t>纪委业务用房改扩建项目资金</w:t>
      </w:r>
      <w:r>
        <w:rPr>
          <w:rFonts w:hint="default" w:ascii="仿宋_GB2312" w:hAnsi="仿宋_GB2312" w:eastAsia="仿宋_GB2312" w:cs="仿宋_GB2312"/>
          <w:kern w:val="2"/>
          <w:sz w:val="32"/>
          <w:szCs w:val="32"/>
          <w:lang w:val="en-US"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（5）严控一般性支出（</w:t>
      </w:r>
      <w:r>
        <w:rPr>
          <w:rFonts w:hint="default"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 xml:space="preserve"> 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按照节能型机关建设等要求，厉行节约、严控八项</w:t>
      </w:r>
      <w:r>
        <w:rPr>
          <w:rFonts w:hint="eastAsia" w:ascii="仿宋_GB2312" w:hAnsi="仿宋_GB2312" w:eastAsia="仿宋_GB2312" w:cs="仿宋_GB2312"/>
          <w:kern w:val="2"/>
          <w:sz w:val="32"/>
          <w:szCs w:val="32"/>
          <w:lang w:val="en-US" w:eastAsia="zh-CN" w:bidi="ar-SA"/>
        </w:rPr>
        <w:t>规定</w:t>
      </w:r>
      <w:r>
        <w:rPr>
          <w:rFonts w:hint="default" w:ascii="仿宋_GB2312" w:hAnsi="仿宋_GB2312" w:eastAsia="仿宋_GB2312" w:cs="仿宋_GB2312"/>
          <w:kern w:val="2"/>
          <w:sz w:val="32"/>
          <w:szCs w:val="32"/>
          <w:lang w:val="en-US" w:eastAsia="zh-CN" w:bidi="ar-SA"/>
        </w:rPr>
        <w:t>一般性支出，接待费等均未超出预算。较好的执行了一般性支出压减要求。</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eastAsia"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3. 财务管理（10分）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（1）财务管理制度健全性（4分）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分析：内控制度完善，涵盖预算、收支、采购等环节。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 xml:space="preserve">：4分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（2）财务岗位设置合规性（</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分析：会计、出纳岗位分离，职责明确。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（3）资金使用规范性（</w:t>
      </w:r>
      <w:r>
        <w:rPr>
          <w:rFonts w:hint="default"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资金严格按照资金使用办法及范围开支，不存在不按照财务管理制度规定违规使用资金的情况</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4. 资产管理（</w:t>
      </w:r>
      <w:r>
        <w:rPr>
          <w:rFonts w:hint="default" w:ascii="仿宋_GB2312" w:hAnsi="仿宋_GB2312" w:eastAsia="仿宋_GB2312" w:cs="仿宋_GB2312"/>
          <w:kern w:val="2"/>
          <w:sz w:val="32"/>
          <w:szCs w:val="32"/>
          <w:lang w:val="en-US" w:eastAsia="zh-CN" w:bidi="ar-SA"/>
        </w:rPr>
        <w:t>9</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（1）人均资产变化率（</w:t>
      </w: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w:t>
      </w:r>
      <w:r>
        <w:rPr>
          <w:rFonts w:hint="eastAsia" w:ascii="仿宋_GB2312" w:hAnsi="仿宋_GB2312" w:eastAsia="仿宋_GB2312" w:cs="仿宋_GB2312"/>
          <w:kern w:val="2"/>
          <w:sz w:val="32"/>
          <w:szCs w:val="32"/>
          <w:lang w:val="en-US" w:eastAsia="zh-CN" w:bidi="ar-SA"/>
        </w:rPr>
        <w:t>无</w:t>
      </w:r>
      <w:r>
        <w:rPr>
          <w:rFonts w:hint="default" w:ascii="仿宋_GB2312" w:hAnsi="仿宋_GB2312" w:eastAsia="仿宋_GB2312" w:cs="仿宋_GB2312"/>
          <w:kern w:val="2"/>
          <w:sz w:val="32"/>
          <w:szCs w:val="32"/>
          <w:lang w:val="en-US" w:eastAsia="zh-CN" w:bidi="ar-SA"/>
        </w:rPr>
        <w:t>新增固定资产</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我单位固定资产原值400.24元，</w:t>
      </w:r>
      <w:r>
        <w:rPr>
          <w:rFonts w:hint="default" w:ascii="仿宋_GB2312" w:hAnsi="仿宋_GB2312" w:eastAsia="仿宋_GB2312" w:cs="仿宋_GB2312"/>
          <w:kern w:val="2"/>
          <w:sz w:val="32"/>
          <w:szCs w:val="32"/>
          <w:lang w:val="en-US" w:eastAsia="zh-CN" w:bidi="ar-SA"/>
        </w:rPr>
        <w:t>其中，设备</w:t>
      </w:r>
      <w:r>
        <w:rPr>
          <w:rFonts w:hint="eastAsia" w:ascii="仿宋_GB2312" w:hAnsi="仿宋_GB2312" w:eastAsia="仿宋_GB2312" w:cs="仿宋_GB2312"/>
          <w:kern w:val="2"/>
          <w:sz w:val="32"/>
          <w:szCs w:val="32"/>
          <w:lang w:val="en-US" w:eastAsia="zh-CN" w:bidi="ar-SA"/>
        </w:rPr>
        <w:t>371.75</w:t>
      </w:r>
      <w:r>
        <w:rPr>
          <w:rFonts w:hint="default" w:ascii="仿宋_GB2312" w:hAnsi="仿宋_GB2312" w:eastAsia="仿宋_GB2312" w:cs="仿宋_GB2312"/>
          <w:kern w:val="2"/>
          <w:sz w:val="32"/>
          <w:szCs w:val="32"/>
          <w:lang w:val="en-US" w:eastAsia="zh-CN" w:bidi="ar-SA"/>
        </w:rPr>
        <w:t>万元，家具和用具</w:t>
      </w:r>
      <w:r>
        <w:rPr>
          <w:rFonts w:hint="eastAsia" w:ascii="仿宋_GB2312" w:hAnsi="仿宋_GB2312" w:eastAsia="仿宋_GB2312" w:cs="仿宋_GB2312"/>
          <w:kern w:val="2"/>
          <w:sz w:val="32"/>
          <w:szCs w:val="32"/>
          <w:lang w:val="en-US" w:eastAsia="zh-CN" w:bidi="ar-SA"/>
        </w:rPr>
        <w:t>24</w:t>
      </w:r>
      <w:r>
        <w:rPr>
          <w:rFonts w:hint="default" w:ascii="仿宋_GB2312" w:hAnsi="仿宋_GB2312" w:eastAsia="仿宋_GB2312" w:cs="仿宋_GB2312"/>
          <w:kern w:val="2"/>
          <w:sz w:val="32"/>
          <w:szCs w:val="32"/>
          <w:lang w:val="en-US" w:eastAsia="zh-CN" w:bidi="ar-SA"/>
        </w:rPr>
        <w:t>万元，无形资产</w:t>
      </w:r>
      <w:r>
        <w:rPr>
          <w:rFonts w:hint="eastAsia" w:ascii="仿宋_GB2312" w:hAnsi="仿宋_GB2312" w:eastAsia="仿宋_GB2312" w:cs="仿宋_GB2312"/>
          <w:kern w:val="2"/>
          <w:sz w:val="32"/>
          <w:szCs w:val="32"/>
          <w:lang w:val="en-US" w:eastAsia="zh-CN" w:bidi="ar-SA"/>
        </w:rPr>
        <w:t>4.5</w:t>
      </w:r>
      <w:r>
        <w:rPr>
          <w:rFonts w:hint="default" w:ascii="仿宋_GB2312" w:hAnsi="仿宋_GB2312" w:eastAsia="仿宋_GB2312" w:cs="仿宋_GB2312"/>
          <w:kern w:val="2"/>
          <w:sz w:val="32"/>
          <w:szCs w:val="32"/>
          <w:lang w:val="en-US" w:eastAsia="zh-CN" w:bidi="ar-SA"/>
        </w:rPr>
        <w:t>万元，</w:t>
      </w:r>
      <w:r>
        <w:rPr>
          <w:rFonts w:hint="eastAsia" w:ascii="仿宋_GB2312" w:hAnsi="仿宋_GB2312" w:eastAsia="仿宋_GB2312" w:cs="仿宋_GB2312"/>
          <w:kern w:val="2"/>
          <w:sz w:val="32"/>
          <w:szCs w:val="32"/>
          <w:lang w:val="en-US" w:eastAsia="zh-CN" w:bidi="ar-SA"/>
        </w:rPr>
        <w:t>本年累计折旧325.66万元，</w:t>
      </w:r>
      <w:r>
        <w:rPr>
          <w:rFonts w:hint="default" w:ascii="仿宋_GB2312" w:hAnsi="仿宋_GB2312" w:eastAsia="仿宋_GB2312" w:cs="仿宋_GB2312"/>
          <w:kern w:val="2"/>
          <w:sz w:val="32"/>
          <w:szCs w:val="32"/>
          <w:lang w:val="zh-CN" w:eastAsia="zh-CN" w:bidi="ar-SA"/>
        </w:rPr>
        <w:t xml:space="preserve">但未量化资产使用效率提升情况。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（2）资产利用率（3分）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分析：办公设备、车辆等使用正常，但未统计闲置率。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2.5</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（3）资产盘活率（3分）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年资产均在使用无闲置需要盘活的资产，资产使用率高</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5. 采购管理（</w:t>
      </w:r>
      <w:r>
        <w:rPr>
          <w:rFonts w:hint="default"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zh-CN" w:eastAsia="zh-CN" w:bidi="ar-SA"/>
        </w:rPr>
        <w:t xml:space="preserve">分） </w:t>
      </w:r>
      <w:r>
        <w:rPr>
          <w:rFonts w:hint="default"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（1）支持中小企业发展（3分）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分析：</w:t>
      </w: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年严格执行政府采购促进中小企业发展相关管理办法要求，采购均在中小企业。</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（2）采购执行（</w:t>
      </w: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分析：全年采购计划完成率100%，流程合规。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总体绩效自评得分汇总</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一级指标 | 分值 | 自评得分 | 得分率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履职效能 | 15   | 1</w:t>
      </w:r>
      <w:r>
        <w:rPr>
          <w:rFonts w:hint="eastAsia" w:ascii="仿宋_GB2312" w:hAnsi="仿宋_GB2312"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zh-CN" w:eastAsia="zh-CN" w:bidi="ar-SA"/>
        </w:rPr>
        <w:t xml:space="preserve">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 93.3%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 预算管理 | 25   | </w:t>
      </w:r>
      <w:r>
        <w:rPr>
          <w:rFonts w:hint="eastAsia" w:ascii="仿宋_GB2312" w:hAnsi="仿宋_GB2312" w:eastAsia="仿宋_GB2312" w:cs="仿宋_GB2312"/>
          <w:kern w:val="2"/>
          <w:sz w:val="32"/>
          <w:szCs w:val="32"/>
          <w:lang w:val="en-US" w:eastAsia="zh-CN" w:bidi="ar-SA"/>
        </w:rPr>
        <w:t>22.6</w:t>
      </w:r>
      <w:r>
        <w:rPr>
          <w:rFonts w:hint="default" w:ascii="仿宋_GB2312" w:hAnsi="仿宋_GB2312" w:eastAsia="仿宋_GB2312" w:cs="仿宋_GB2312"/>
          <w:kern w:val="2"/>
          <w:sz w:val="32"/>
          <w:szCs w:val="32"/>
          <w:lang w:val="zh-CN" w:eastAsia="zh-CN" w:bidi="ar-SA"/>
        </w:rPr>
        <w:t xml:space="preserve">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w:t>
      </w:r>
      <w:r>
        <w:rPr>
          <w:rFonts w:hint="default"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w:t>
      </w:r>
      <w:r>
        <w:rPr>
          <w:rFonts w:hint="default" w:ascii="仿宋_GB2312" w:hAnsi="仿宋_GB2312" w:eastAsia="仿宋_GB2312" w:cs="仿宋_GB2312"/>
          <w:kern w:val="2"/>
          <w:sz w:val="32"/>
          <w:szCs w:val="32"/>
          <w:lang w:val="en-US" w:eastAsia="zh-CN" w:bidi="ar-SA"/>
        </w:rPr>
        <w:t>8</w:t>
      </w:r>
      <w:r>
        <w:rPr>
          <w:rFonts w:hint="eastAsia" w:ascii="仿宋_GB2312" w:hAnsi="仿宋_GB2312" w:eastAsia="仿宋_GB2312" w:cs="仿宋_GB2312"/>
          <w:kern w:val="2"/>
          <w:sz w:val="32"/>
          <w:szCs w:val="32"/>
          <w:lang w:val="en-US" w:eastAsia="zh-CN" w:bidi="ar-SA"/>
        </w:rPr>
        <w:t>5.6</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 财务管理 | 10   | 10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 100%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 资产管理 | </w:t>
      </w:r>
      <w:r>
        <w:rPr>
          <w:rFonts w:hint="default" w:ascii="仿宋_GB2312" w:hAnsi="仿宋_GB2312" w:eastAsia="仿宋_GB2312" w:cs="仿宋_GB2312"/>
          <w:kern w:val="2"/>
          <w:sz w:val="32"/>
          <w:szCs w:val="32"/>
          <w:lang w:val="en-US" w:eastAsia="zh-CN" w:bidi="ar-SA"/>
        </w:rPr>
        <w:t xml:space="preserve">9   </w:t>
      </w:r>
      <w:r>
        <w:rPr>
          <w:rFonts w:hint="default" w:ascii="仿宋_GB2312" w:hAnsi="仿宋_GB2312" w:eastAsia="仿宋_GB2312" w:cs="仿宋_GB2312"/>
          <w:kern w:val="2"/>
          <w:sz w:val="32"/>
          <w:szCs w:val="32"/>
          <w:lang w:val="zh-CN" w:eastAsia="zh-CN" w:bidi="ar-SA"/>
        </w:rPr>
        <w:t xml:space="preserve"> | </w:t>
      </w:r>
      <w:r>
        <w:rPr>
          <w:rFonts w:hint="eastAsia" w:ascii="仿宋_GB2312" w:hAnsi="仿宋_GB2312" w:eastAsia="仿宋_GB2312" w:cs="仿宋_GB2312"/>
          <w:kern w:val="2"/>
          <w:sz w:val="32"/>
          <w:szCs w:val="32"/>
          <w:lang w:val="en-US" w:eastAsia="zh-CN" w:bidi="ar-SA"/>
        </w:rPr>
        <w:t>8.5</w:t>
      </w:r>
      <w:r>
        <w:rPr>
          <w:rFonts w:hint="default" w:ascii="仿宋_GB2312" w:hAnsi="仿宋_GB2312" w:eastAsia="仿宋_GB2312" w:cs="仿宋_GB2312"/>
          <w:kern w:val="2"/>
          <w:sz w:val="32"/>
          <w:szCs w:val="32"/>
          <w:lang w:val="zh-CN" w:eastAsia="zh-CN" w:bidi="ar-SA"/>
        </w:rPr>
        <w:t xml:space="preserve">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 </w:t>
      </w:r>
      <w:r>
        <w:rPr>
          <w:rFonts w:hint="eastAsia" w:ascii="仿宋_GB2312" w:hAnsi="仿宋_GB2312" w:eastAsia="仿宋_GB2312" w:cs="仿宋_GB2312"/>
          <w:kern w:val="2"/>
          <w:sz w:val="32"/>
          <w:szCs w:val="32"/>
          <w:lang w:val="en-US" w:eastAsia="zh-CN" w:bidi="ar-SA"/>
        </w:rPr>
        <w:t>83.3</w:t>
      </w:r>
      <w:r>
        <w:rPr>
          <w:rFonts w:hint="default" w:ascii="仿宋_GB2312" w:hAnsi="仿宋_GB2312" w:eastAsia="仿宋_GB2312" w:cs="仿宋_GB2312"/>
          <w:kern w:val="2"/>
          <w:sz w:val="32"/>
          <w:szCs w:val="32"/>
          <w:lang w:val="zh-CN" w:eastAsia="zh-CN" w:bidi="ar-SA"/>
        </w:rPr>
        <w:t>%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xml:space="preserve">| 采购管理 | </w:t>
      </w:r>
      <w:r>
        <w:rPr>
          <w:rFonts w:hint="default"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zh-CN" w:eastAsia="zh-CN" w:bidi="ar-SA"/>
        </w:rPr>
        <w:t xml:space="preserve">    | </w:t>
      </w:r>
      <w:r>
        <w:rPr>
          <w:rFonts w:hint="default"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zh-CN" w:eastAsia="zh-CN" w:bidi="ar-SA"/>
        </w:rPr>
        <w:t xml:space="preserve">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xml:space="preserve"> | </w:t>
      </w:r>
      <w:r>
        <w:rPr>
          <w:rFonts w:hint="default" w:ascii="仿宋_GB2312" w:hAnsi="仿宋_GB2312" w:eastAsia="仿宋_GB2312" w:cs="仿宋_GB2312"/>
          <w:kern w:val="2"/>
          <w:sz w:val="32"/>
          <w:szCs w:val="32"/>
          <w:lang w:val="en-US" w:eastAsia="zh-CN" w:bidi="ar-SA"/>
        </w:rPr>
        <w:t>100</w:t>
      </w:r>
      <w:r>
        <w:rPr>
          <w:rFonts w:hint="default" w:ascii="仿宋_GB2312" w:hAnsi="仿宋_GB2312" w:eastAsia="仿宋_GB2312" w:cs="仿宋_GB2312"/>
          <w:kern w:val="2"/>
          <w:sz w:val="32"/>
          <w:szCs w:val="32"/>
          <w:lang w:val="zh-CN" w:eastAsia="zh-CN" w:bidi="ar-SA"/>
        </w:rPr>
        <w:t>%  |</w:t>
      </w:r>
    </w:p>
    <w:p>
      <w:pPr>
        <w:pStyle w:val="7"/>
        <w:pageBreakBefore w:val="0"/>
        <w:kinsoku/>
        <w:wordWrap/>
        <w:overflowPunct/>
        <w:topLinePunct w:val="0"/>
        <w:autoSpaceDE/>
        <w:autoSpaceDN/>
        <w:bidi w:val="0"/>
        <w:spacing w:after="0" w:line="570" w:lineRule="exact"/>
        <w:ind w:left="64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 合</w:t>
      </w:r>
      <w:r>
        <w:rPr>
          <w:rFonts w:hint="default"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计| 6</w:t>
      </w:r>
      <w:r>
        <w:rPr>
          <w:rFonts w:hint="default" w:ascii="仿宋_GB2312" w:hAnsi="仿宋_GB2312" w:eastAsia="仿宋_GB2312" w:cs="仿宋_GB2312"/>
          <w:kern w:val="2"/>
          <w:sz w:val="32"/>
          <w:szCs w:val="32"/>
          <w:lang w:val="en-US" w:eastAsia="zh-CN" w:bidi="ar-SA"/>
        </w:rPr>
        <w:t xml:space="preserve">5  </w:t>
      </w:r>
      <w:r>
        <w:rPr>
          <w:rFonts w:hint="default" w:ascii="仿宋_GB2312" w:hAnsi="仿宋_GB2312" w:eastAsia="仿宋_GB2312" w:cs="仿宋_GB2312"/>
          <w:kern w:val="2"/>
          <w:sz w:val="32"/>
          <w:szCs w:val="32"/>
          <w:lang w:val="zh-CN" w:eastAsia="zh-CN" w:bidi="ar-SA"/>
        </w:rPr>
        <w:t xml:space="preserve"> |</w:t>
      </w:r>
      <w:r>
        <w:rPr>
          <w:rFonts w:hint="eastAsia" w:ascii="仿宋_GB2312" w:hAnsi="仿宋_GB2312" w:eastAsia="仿宋_GB2312" w:cs="仿宋_GB2312"/>
          <w:kern w:val="2"/>
          <w:sz w:val="32"/>
          <w:szCs w:val="32"/>
          <w:lang w:val="en-US" w:eastAsia="zh-CN" w:bidi="ar-SA"/>
        </w:rPr>
        <w:t>62.1</w:t>
      </w:r>
      <w:r>
        <w:rPr>
          <w:rFonts w:hint="default" w:ascii="仿宋_GB2312" w:hAnsi="仿宋_GB2312" w:eastAsia="仿宋_GB2312" w:cs="仿宋_GB2312"/>
          <w:kern w:val="2"/>
          <w:sz w:val="32"/>
          <w:szCs w:val="32"/>
          <w:lang w:val="en-US" w:eastAsia="zh-CN" w:bidi="ar-SA"/>
        </w:rPr>
        <w:t xml:space="preserve">      </w:t>
      </w:r>
      <w:r>
        <w:rPr>
          <w:rFonts w:hint="eastAsia"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 9</w:t>
      </w:r>
      <w:r>
        <w:rPr>
          <w:rFonts w:hint="eastAsia" w:ascii="仿宋_GB2312" w:hAnsi="仿宋_GB2312" w:eastAsia="仿宋_GB2312" w:cs="仿宋_GB2312"/>
          <w:kern w:val="2"/>
          <w:sz w:val="32"/>
          <w:szCs w:val="32"/>
          <w:lang w:val="en-US" w:eastAsia="zh-CN" w:bidi="ar-SA"/>
        </w:rPr>
        <w:t>5.54</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 xml:space="preserve"> </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主要问题与改进方向</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1.履职效能：继续加强各项工作的统筹协调、细化管理，更好的保障各项工作的顺利推进。</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w:t>
      </w:r>
      <w:bookmarkStart w:id="102" w:name="OLE_LINK4"/>
      <w:bookmarkStart w:id="103" w:name="OLE_LINK3"/>
      <w:r>
        <w:rPr>
          <w:rFonts w:hint="default" w:ascii="仿宋_GB2312" w:hAnsi="仿宋_GB2312" w:eastAsia="仿宋_GB2312" w:cs="仿宋_GB2312"/>
          <w:kern w:val="2"/>
          <w:sz w:val="32"/>
          <w:szCs w:val="32"/>
          <w:lang w:val="zh-CN" w:eastAsia="zh-CN" w:bidi="ar-SA"/>
        </w:rPr>
        <w:t>.</w:t>
      </w:r>
      <w:bookmarkEnd w:id="102"/>
      <w:bookmarkEnd w:id="103"/>
      <w:r>
        <w:rPr>
          <w:rFonts w:hint="default" w:ascii="仿宋_GB2312" w:hAnsi="仿宋_GB2312" w:eastAsia="仿宋_GB2312" w:cs="仿宋_GB2312"/>
          <w:kern w:val="2"/>
          <w:sz w:val="32"/>
          <w:szCs w:val="32"/>
          <w:lang w:val="zh-CN" w:eastAsia="zh-CN" w:bidi="ar-SA"/>
        </w:rPr>
        <w:t xml:space="preserve">预算管理：科学谋划，统筹兼顾，细化预算，编制更加精准的预算。   </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（二）部门预算项目绩效分析</w:t>
      </w:r>
    </w:p>
    <w:p>
      <w:pPr>
        <w:pageBreakBefore w:val="0"/>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en-US" w:eastAsia="zh-CN" w:bidi="ar-SA"/>
        </w:rPr>
        <w:t>常年项目绩效分析。</w:t>
      </w:r>
      <w:r>
        <w:rPr>
          <w:rFonts w:hint="default" w:ascii="仿宋_GB2312" w:hAnsi="仿宋_GB2312" w:eastAsia="仿宋_GB2312" w:cs="仿宋_GB2312"/>
          <w:kern w:val="2"/>
          <w:sz w:val="32"/>
          <w:szCs w:val="32"/>
          <w:lang w:val="zh-CN" w:eastAsia="zh-CN" w:bidi="ar-SA"/>
        </w:rPr>
        <w:t>该类项目总数</w:t>
      </w:r>
      <w:r>
        <w:rPr>
          <w:rFonts w:hint="eastAsia"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个，预算总金额</w:t>
      </w:r>
      <w:r>
        <w:rPr>
          <w:rFonts w:hint="eastAsia" w:ascii="仿宋_GB2312" w:hAnsi="仿宋_GB2312" w:eastAsia="仿宋_GB2312" w:cs="仿宋_GB2312"/>
          <w:kern w:val="2"/>
          <w:sz w:val="32"/>
          <w:szCs w:val="32"/>
          <w:lang w:val="en-US" w:eastAsia="zh-CN" w:bidi="ar-SA"/>
        </w:rPr>
        <w:t>30</w:t>
      </w:r>
      <w:r>
        <w:rPr>
          <w:rFonts w:hint="default" w:ascii="仿宋_GB2312" w:hAnsi="仿宋_GB2312" w:eastAsia="仿宋_GB2312" w:cs="仿宋_GB2312"/>
          <w:kern w:val="2"/>
          <w:sz w:val="32"/>
          <w:szCs w:val="32"/>
          <w:lang w:val="en-US" w:eastAsia="zh-CN" w:bidi="ar-SA"/>
        </w:rPr>
        <w:t>万元，1</w:t>
      </w:r>
      <w:r>
        <w:rPr>
          <w:rFonts w:hint="default" w:ascii="仿宋_GB2312" w:hAnsi="仿宋_GB2312" w:eastAsia="仿宋_GB2312" w:cs="仿宋_GB2312"/>
          <w:kern w:val="2"/>
          <w:sz w:val="32"/>
          <w:szCs w:val="32"/>
          <w:lang w:val="zh-CN" w:eastAsia="zh-CN" w:bidi="ar-SA"/>
        </w:rPr>
        <w:t>—1</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月预算执行总体进度为</w:t>
      </w:r>
      <w:r>
        <w:rPr>
          <w:rFonts w:hint="default" w:ascii="仿宋_GB2312" w:hAnsi="仿宋_GB2312" w:eastAsia="仿宋_GB2312" w:cs="仿宋_GB2312"/>
          <w:kern w:val="2"/>
          <w:sz w:val="32"/>
          <w:szCs w:val="32"/>
          <w:lang w:val="en-US" w:eastAsia="zh-CN" w:bidi="ar-SA"/>
        </w:rPr>
        <w:t>100</w:t>
      </w:r>
      <w:r>
        <w:rPr>
          <w:rFonts w:hint="default" w:ascii="仿宋_GB2312" w:hAnsi="仿宋_GB2312" w:eastAsia="仿宋_GB2312" w:cs="仿宋_GB2312"/>
          <w:kern w:val="2"/>
          <w:sz w:val="32"/>
          <w:szCs w:val="32"/>
          <w:lang w:val="zh-CN" w:eastAsia="zh-CN" w:bidi="ar-SA"/>
        </w:rPr>
        <w:t>%。</w:t>
      </w:r>
    </w:p>
    <w:p>
      <w:pPr>
        <w:pageBreakBefore w:val="0"/>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en-US" w:eastAsia="zh-CN" w:bidi="ar-SA"/>
        </w:rPr>
        <w:t>阶段（含一次性）项目绩效分析。</w:t>
      </w:r>
      <w:r>
        <w:rPr>
          <w:rFonts w:hint="default" w:ascii="仿宋_GB2312" w:hAnsi="仿宋_GB2312" w:eastAsia="仿宋_GB2312" w:cs="仿宋_GB2312"/>
          <w:kern w:val="2"/>
          <w:sz w:val="32"/>
          <w:szCs w:val="32"/>
          <w:lang w:val="zh-CN" w:eastAsia="zh-CN" w:bidi="ar-SA"/>
        </w:rPr>
        <w:t>该类项目总数</w:t>
      </w:r>
      <w:r>
        <w:rPr>
          <w:rFonts w:hint="eastAsia" w:ascii="仿宋_GB2312" w:hAnsi="仿宋_GB2312" w:eastAsia="仿宋_GB2312" w:cs="仿宋_GB2312"/>
          <w:kern w:val="2"/>
          <w:sz w:val="32"/>
          <w:szCs w:val="32"/>
          <w:lang w:val="en-US" w:eastAsia="zh-CN" w:bidi="ar-SA"/>
        </w:rPr>
        <w:t>8</w:t>
      </w:r>
      <w:r>
        <w:rPr>
          <w:rFonts w:hint="default" w:ascii="仿宋_GB2312" w:hAnsi="仿宋_GB2312" w:eastAsia="仿宋_GB2312" w:cs="仿宋_GB2312"/>
          <w:kern w:val="2"/>
          <w:sz w:val="32"/>
          <w:szCs w:val="32"/>
          <w:lang w:val="zh-CN" w:eastAsia="zh-CN" w:bidi="ar-SA"/>
        </w:rPr>
        <w:t>个，涉及预算总金额</w:t>
      </w:r>
      <w:r>
        <w:rPr>
          <w:rFonts w:hint="eastAsia" w:ascii="仿宋_GB2312" w:hAnsi="仿宋_GB2312" w:eastAsia="仿宋_GB2312" w:cs="仿宋_GB2312"/>
          <w:kern w:val="2"/>
          <w:sz w:val="32"/>
          <w:szCs w:val="32"/>
          <w:lang w:val="en-US" w:eastAsia="zh-CN" w:bidi="ar-SA"/>
        </w:rPr>
        <w:t>731.03</w:t>
      </w:r>
      <w:r>
        <w:rPr>
          <w:rFonts w:hint="default" w:ascii="仿宋_GB2312" w:hAnsi="仿宋_GB2312" w:eastAsia="仿宋_GB2312" w:cs="仿宋_GB2312"/>
          <w:kern w:val="2"/>
          <w:sz w:val="32"/>
          <w:szCs w:val="32"/>
          <w:lang w:val="zh-CN" w:eastAsia="zh-CN" w:bidi="ar-SA"/>
        </w:rPr>
        <w:t>万元，1—1</w:t>
      </w:r>
      <w:r>
        <w:rPr>
          <w:rFonts w:hint="default"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zh-CN" w:eastAsia="zh-CN" w:bidi="ar-SA"/>
        </w:rPr>
        <w:t>月预算执行总体进度为</w:t>
      </w:r>
      <w:r>
        <w:rPr>
          <w:rFonts w:hint="eastAsia" w:ascii="仿宋_GB2312" w:hAnsi="仿宋_GB2312" w:eastAsia="仿宋_GB2312" w:cs="仿宋_GB2312"/>
          <w:kern w:val="2"/>
          <w:sz w:val="32"/>
          <w:szCs w:val="32"/>
          <w:lang w:val="en-US" w:eastAsia="zh-CN" w:bidi="ar-SA"/>
        </w:rPr>
        <w:t>86.46</w:t>
      </w:r>
      <w:r>
        <w:rPr>
          <w:rFonts w:hint="default" w:ascii="仿宋_GB2312" w:hAnsi="仿宋_GB2312" w:eastAsia="仿宋_GB2312" w:cs="仿宋_GB2312"/>
          <w:kern w:val="2"/>
          <w:sz w:val="32"/>
          <w:szCs w:val="32"/>
          <w:lang w:val="zh-CN" w:eastAsia="zh-CN" w:bidi="ar-SA"/>
        </w:rPr>
        <w:t>%，其中：预算结余率大于</w:t>
      </w:r>
      <w:r>
        <w:rPr>
          <w:rFonts w:hint="default" w:ascii="仿宋_GB2312" w:hAnsi="仿宋_GB2312" w:eastAsia="仿宋_GB2312" w:cs="仿宋_GB2312"/>
          <w:kern w:val="2"/>
          <w:sz w:val="32"/>
          <w:szCs w:val="32"/>
          <w:lang w:val="en-US" w:eastAsia="zh-CN" w:bidi="ar-SA"/>
        </w:rPr>
        <w:t>10%</w:t>
      </w:r>
      <w:r>
        <w:rPr>
          <w:rFonts w:hint="default" w:ascii="仿宋_GB2312" w:hAnsi="仿宋_GB2312" w:eastAsia="仿宋_GB2312" w:cs="仿宋_GB2312"/>
          <w:kern w:val="2"/>
          <w:sz w:val="32"/>
          <w:szCs w:val="32"/>
          <w:lang w:val="zh-CN" w:eastAsia="zh-CN" w:bidi="ar-SA"/>
        </w:rPr>
        <w:t>的项目共计</w:t>
      </w:r>
      <w:r>
        <w:rPr>
          <w:rFonts w:hint="eastAsia" w:ascii="仿宋_GB2312" w:hAnsi="仿宋_GB2312" w:eastAsia="仿宋_GB2312" w:cs="仿宋_GB2312"/>
          <w:kern w:val="2"/>
          <w:sz w:val="32"/>
          <w:szCs w:val="32"/>
          <w:lang w:val="en-US" w:eastAsia="zh-CN" w:bidi="ar-SA"/>
        </w:rPr>
        <w:t>1</w:t>
      </w:r>
      <w:r>
        <w:rPr>
          <w:rFonts w:hint="default" w:ascii="仿宋_GB2312" w:hAnsi="仿宋_GB2312" w:eastAsia="仿宋_GB2312" w:cs="仿宋_GB2312"/>
          <w:kern w:val="2"/>
          <w:sz w:val="32"/>
          <w:szCs w:val="32"/>
          <w:lang w:val="zh-CN" w:eastAsia="zh-CN" w:bidi="ar-SA"/>
        </w:rPr>
        <w:t>个。</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 项目决策（</w:t>
      </w:r>
      <w:r>
        <w:rPr>
          <w:rFonts w:hint="default" w:ascii="仿宋_GB2312" w:hAnsi="仿宋_GB2312" w:eastAsia="仿宋_GB2312" w:cs="仿宋_GB2312"/>
          <w:kern w:val="2"/>
          <w:sz w:val="32"/>
          <w:szCs w:val="32"/>
          <w:lang w:val="en-US" w:eastAsia="zh-CN" w:bidi="ar-SA"/>
        </w:rPr>
        <w:t>12分</w:t>
      </w:r>
      <w:r>
        <w:rPr>
          <w:rFonts w:hint="default" w:ascii="仿宋_GB2312" w:hAnsi="仿宋_GB2312" w:eastAsia="仿宋_GB2312" w:cs="仿宋_GB2312"/>
          <w:kern w:val="2"/>
          <w:sz w:val="32"/>
          <w:szCs w:val="32"/>
          <w:lang w:val="zh-CN" w:eastAsia="zh-CN" w:bidi="ar-SA"/>
        </w:rPr>
        <w:t>）</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决策程序：项目立项符合部门规划，审批流程规范。（</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：3分</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目标设置：绩效目标清晰，</w:t>
      </w:r>
      <w:r>
        <w:rPr>
          <w:rFonts w:hint="default" w:ascii="仿宋_GB2312" w:hAnsi="仿宋_GB2312" w:eastAsia="仿宋_GB2312" w:cs="仿宋_GB2312"/>
          <w:kern w:val="2"/>
          <w:sz w:val="32"/>
          <w:szCs w:val="32"/>
          <w:lang w:val="en-US" w:eastAsia="zh-CN" w:bidi="ar-SA"/>
        </w:rPr>
        <w:t>均设置了一、二、三、级指标，</w:t>
      </w:r>
      <w:r>
        <w:rPr>
          <w:rFonts w:hint="default" w:ascii="仿宋_GB2312" w:hAnsi="仿宋_GB2312" w:eastAsia="仿宋_GB2312" w:cs="仿宋_GB2312"/>
          <w:kern w:val="2"/>
          <w:sz w:val="32"/>
          <w:szCs w:val="32"/>
          <w:lang w:val="zh-CN" w:eastAsia="zh-CN" w:bidi="ar-SA"/>
        </w:rPr>
        <w:t>但指标</w:t>
      </w:r>
      <w:r>
        <w:rPr>
          <w:rFonts w:hint="default" w:ascii="仿宋_GB2312" w:hAnsi="仿宋_GB2312" w:eastAsia="仿宋_GB2312" w:cs="仿宋_GB2312"/>
          <w:kern w:val="2"/>
          <w:sz w:val="32"/>
          <w:szCs w:val="32"/>
          <w:lang w:val="en-US" w:eastAsia="zh-CN" w:bidi="ar-SA"/>
        </w:rPr>
        <w:t>不够</w:t>
      </w:r>
      <w:r>
        <w:rPr>
          <w:rFonts w:hint="default" w:ascii="仿宋_GB2312" w:hAnsi="仿宋_GB2312" w:eastAsia="仿宋_GB2312" w:cs="仿宋_GB2312"/>
          <w:kern w:val="2"/>
          <w:sz w:val="32"/>
          <w:szCs w:val="32"/>
          <w:lang w:val="zh-CN" w:eastAsia="zh-CN" w:bidi="ar-SA"/>
        </w:rPr>
        <w:t>细化、</w:t>
      </w:r>
      <w:r>
        <w:rPr>
          <w:rFonts w:hint="default" w:ascii="仿宋_GB2312" w:hAnsi="仿宋_GB2312" w:eastAsia="仿宋_GB2312" w:cs="仿宋_GB2312"/>
          <w:kern w:val="2"/>
          <w:sz w:val="32"/>
          <w:szCs w:val="32"/>
          <w:lang w:val="en-US" w:eastAsia="zh-CN" w:bidi="ar-SA"/>
        </w:rPr>
        <w:t>完善</w:t>
      </w:r>
      <w:r>
        <w:rPr>
          <w:rFonts w:hint="default" w:ascii="仿宋_GB2312" w:hAnsi="仿宋_GB2312" w:eastAsia="仿宋_GB2312" w:cs="仿宋_GB2312"/>
          <w:kern w:val="2"/>
          <w:sz w:val="32"/>
          <w:szCs w:val="32"/>
          <w:lang w:val="zh-CN" w:eastAsia="zh-CN" w:bidi="ar-SA"/>
        </w:rPr>
        <w:t>。（</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en-US" w:eastAsia="zh-CN" w:bidi="ar-SA"/>
        </w:rPr>
        <w:t>分</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项目入库：均纳入财政项目库管理，入库资料完整。（</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 xml:space="preserve">） </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自评得分</w:t>
      </w:r>
      <w:r>
        <w:rPr>
          <w:rFonts w:hint="default"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4</w:t>
      </w:r>
      <w:r>
        <w:rPr>
          <w:rFonts w:hint="default" w:ascii="仿宋_GB2312" w:hAnsi="仿宋_GB2312" w:eastAsia="仿宋_GB2312" w:cs="仿宋_GB2312"/>
          <w:kern w:val="2"/>
          <w:sz w:val="32"/>
          <w:szCs w:val="32"/>
          <w:lang w:val="en-US" w:eastAsia="zh-CN" w:bidi="ar-SA"/>
        </w:rPr>
        <w:t>分</w:t>
      </w:r>
      <w:r>
        <w:rPr>
          <w:rFonts w:hint="default" w:ascii="仿宋_GB2312" w:hAnsi="仿宋_GB2312" w:eastAsia="仿宋_GB2312" w:cs="仿宋_GB2312"/>
          <w:kern w:val="2"/>
          <w:sz w:val="32"/>
          <w:szCs w:val="32"/>
          <w:lang w:val="zh-CN" w:eastAsia="zh-CN" w:bidi="ar-SA"/>
        </w:rPr>
        <w:t xml:space="preserve">  </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 项目执行（权重：</w:t>
      </w:r>
      <w:r>
        <w:rPr>
          <w:rFonts w:hint="default" w:ascii="仿宋_GB2312" w:hAnsi="仿宋_GB2312" w:eastAsia="仿宋_GB2312" w:cs="仿宋_GB2312"/>
          <w:kern w:val="2"/>
          <w:sz w:val="32"/>
          <w:szCs w:val="32"/>
          <w:lang w:val="en-US" w:eastAsia="zh-CN" w:bidi="ar-SA"/>
        </w:rPr>
        <w:t>12分</w:t>
      </w:r>
      <w:r>
        <w:rPr>
          <w:rFonts w:hint="default" w:ascii="仿宋_GB2312" w:hAnsi="仿宋_GB2312" w:eastAsia="仿宋_GB2312" w:cs="仿宋_GB2312"/>
          <w:kern w:val="2"/>
          <w:sz w:val="32"/>
          <w:szCs w:val="32"/>
          <w:lang w:val="zh-CN" w:eastAsia="zh-CN" w:bidi="ar-SA"/>
        </w:rPr>
        <w:t xml:space="preserve">） </w:t>
      </w:r>
    </w:p>
    <w:p>
      <w:pPr>
        <w:pageBreakBefore w:val="0"/>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（1）执行同向（</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委8</w:t>
      </w:r>
      <w:r>
        <w:rPr>
          <w:rFonts w:hint="default" w:ascii="仿宋_GB2312" w:hAnsi="仿宋_GB2312" w:eastAsia="仿宋_GB2312" w:cs="仿宋_GB2312"/>
          <w:kern w:val="2"/>
          <w:sz w:val="32"/>
          <w:szCs w:val="32"/>
          <w:lang w:val="en-US" w:eastAsia="zh-CN" w:bidi="ar-SA"/>
        </w:rPr>
        <w:t xml:space="preserve">个项目资金开支范围均符合绩效目标设置。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：4分</w:t>
      </w:r>
    </w:p>
    <w:p>
      <w:pPr>
        <w:pageBreakBefore w:val="0"/>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（2）项目调整（</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委8</w:t>
      </w:r>
      <w:r>
        <w:rPr>
          <w:rFonts w:hint="default" w:ascii="仿宋_GB2312" w:hAnsi="仿宋_GB2312" w:eastAsia="仿宋_GB2312" w:cs="仿宋_GB2312"/>
          <w:kern w:val="2"/>
          <w:sz w:val="32"/>
          <w:szCs w:val="32"/>
          <w:lang w:val="en-US" w:eastAsia="zh-CN" w:bidi="ar-SA"/>
        </w:rPr>
        <w:t>个项目均按照预算要求及绩效目标设置执行，不存在项目调整的情况。</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 </w:t>
      </w: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：4分</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zh-CN" w:eastAsia="zh-CN" w:bidi="ar-SA"/>
        </w:rPr>
        <w:t>（3）执行结果（</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委8</w:t>
      </w:r>
      <w:r>
        <w:rPr>
          <w:rFonts w:hint="default" w:ascii="仿宋_GB2312" w:hAnsi="仿宋_GB2312" w:eastAsia="仿宋_GB2312" w:cs="仿宋_GB2312"/>
          <w:kern w:val="2"/>
          <w:sz w:val="32"/>
          <w:szCs w:val="32"/>
          <w:lang w:val="en-US" w:eastAsia="zh-CN" w:bidi="ar-SA"/>
        </w:rPr>
        <w:t>个项目均按期支付，较好的实现了各项目标任务。</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 </w:t>
      </w: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：4分</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3.</w:t>
      </w:r>
      <w:r>
        <w:rPr>
          <w:rFonts w:hint="default" w:ascii="仿宋_GB2312" w:hAnsi="仿宋_GB2312" w:eastAsia="仿宋_GB2312" w:cs="仿宋_GB2312"/>
          <w:kern w:val="2"/>
          <w:sz w:val="32"/>
          <w:szCs w:val="32"/>
          <w:lang w:val="zh-CN" w:eastAsia="zh-CN" w:bidi="ar-SA"/>
        </w:rPr>
        <w:t xml:space="preserve"> 目标实现（</w:t>
      </w:r>
      <w:r>
        <w:rPr>
          <w:rFonts w:hint="default" w:ascii="仿宋_GB2312" w:hAnsi="仿宋_GB2312" w:eastAsia="仿宋_GB2312" w:cs="仿宋_GB2312"/>
          <w:kern w:val="2"/>
          <w:sz w:val="32"/>
          <w:szCs w:val="32"/>
          <w:lang w:val="en-US" w:eastAsia="zh-CN" w:bidi="ar-SA"/>
        </w:rPr>
        <w:t>11分</w:t>
      </w:r>
      <w:r>
        <w:rPr>
          <w:rFonts w:hint="default" w:ascii="仿宋_GB2312" w:hAnsi="仿宋_GB2312" w:eastAsia="仿宋_GB2312" w:cs="仿宋_GB2312"/>
          <w:kern w:val="2"/>
          <w:sz w:val="32"/>
          <w:szCs w:val="32"/>
          <w:lang w:val="zh-CN" w:eastAsia="zh-CN" w:bidi="ar-SA"/>
        </w:rPr>
        <w:t>）</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（1）目标完成（4分）</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委8</w:t>
      </w:r>
      <w:r>
        <w:rPr>
          <w:rFonts w:hint="default" w:ascii="仿宋_GB2312" w:hAnsi="仿宋_GB2312" w:eastAsia="仿宋_GB2312" w:cs="仿宋_GB2312"/>
          <w:kern w:val="2"/>
          <w:sz w:val="32"/>
          <w:szCs w:val="32"/>
          <w:lang w:val="en-US" w:eastAsia="zh-CN" w:bidi="ar-SA"/>
        </w:rPr>
        <w:t>个项目较好的完成了绩效目标，不存在偏离绩效指标的情况。</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：4分</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zh-CN" w:eastAsia="zh-CN" w:bidi="ar-SA"/>
        </w:rPr>
        <w:t>（2）目标偏离（</w:t>
      </w:r>
      <w:r>
        <w:rPr>
          <w:rFonts w:hint="default" w:ascii="仿宋_GB2312" w:hAnsi="仿宋_GB2312" w:eastAsia="仿宋_GB2312" w:cs="仿宋_GB2312"/>
          <w:kern w:val="2"/>
          <w:sz w:val="32"/>
          <w:szCs w:val="32"/>
          <w:lang w:val="en-US" w:eastAsia="zh-CN" w:bidi="ar-SA"/>
        </w:rPr>
        <w:t>4分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委8</w:t>
      </w:r>
      <w:r>
        <w:rPr>
          <w:rFonts w:hint="default" w:ascii="仿宋_GB2312" w:hAnsi="仿宋_GB2312" w:eastAsia="仿宋_GB2312" w:cs="仿宋_GB2312"/>
          <w:kern w:val="2"/>
          <w:sz w:val="32"/>
          <w:szCs w:val="32"/>
          <w:lang w:val="en-US" w:eastAsia="zh-CN" w:bidi="ar-SA"/>
        </w:rPr>
        <w:t>个项目较好的完成了数量绩效目标，不存在偏离绩效指标的情况。</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：4分</w:t>
      </w:r>
    </w:p>
    <w:p>
      <w:pPr>
        <w:pageBreakBefore w:val="0"/>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（3）实现效果（</w:t>
      </w:r>
      <w:r>
        <w:rPr>
          <w:rFonts w:hint="default" w:ascii="仿宋_GB2312" w:hAnsi="仿宋_GB2312" w:eastAsia="仿宋_GB2312" w:cs="仿宋_GB2312"/>
          <w:kern w:val="2"/>
          <w:sz w:val="32"/>
          <w:szCs w:val="32"/>
          <w:lang w:val="en-US" w:eastAsia="zh-CN" w:bidi="ar-SA"/>
        </w:rPr>
        <w:t>3分</w:t>
      </w:r>
      <w:r>
        <w:rPr>
          <w:rFonts w:hint="default" w:ascii="仿宋_GB2312" w:hAnsi="仿宋_GB2312" w:eastAsia="仿宋_GB2312" w:cs="仿宋_GB2312"/>
          <w:kern w:val="2"/>
          <w:sz w:val="32"/>
          <w:szCs w:val="32"/>
          <w:lang w:val="zh-CN" w:eastAsia="zh-CN" w:bidi="ar-SA"/>
        </w:rPr>
        <w:t>）</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年我</w:t>
      </w:r>
      <w:r>
        <w:rPr>
          <w:rFonts w:hint="eastAsia" w:ascii="仿宋_GB2312" w:hAnsi="仿宋_GB2312" w:eastAsia="仿宋_GB2312" w:cs="仿宋_GB2312"/>
          <w:kern w:val="2"/>
          <w:sz w:val="32"/>
          <w:szCs w:val="32"/>
          <w:lang w:val="en-US" w:eastAsia="zh-CN" w:bidi="ar-SA"/>
        </w:rPr>
        <w:t>委监督、执纪、巡察工作</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营造红原风清气正的工作作风，将腐败问题消灭在萌芽阶段</w:t>
      </w:r>
      <w:r>
        <w:rPr>
          <w:rFonts w:hint="default" w:ascii="仿宋_GB2312" w:hAnsi="仿宋_GB2312" w:eastAsia="仿宋_GB2312" w:cs="仿宋_GB2312"/>
          <w:kern w:val="2"/>
          <w:sz w:val="32"/>
          <w:szCs w:val="32"/>
          <w:lang w:val="en-US" w:eastAsia="zh-CN" w:bidi="ar-SA"/>
        </w:rPr>
        <w:t>，为红原县高质量发展做好政务服务工作。</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en-US" w:eastAsia="zh-CN" w:bidi="ar-SA"/>
        </w:rPr>
        <w:t>自评得分</w:t>
      </w:r>
      <w:r>
        <w:rPr>
          <w:rFonts w:hint="default" w:ascii="仿宋_GB2312" w:hAnsi="仿宋_GB2312" w:eastAsia="仿宋_GB2312" w:cs="仿宋_GB2312"/>
          <w:kern w:val="2"/>
          <w:sz w:val="32"/>
          <w:szCs w:val="32"/>
          <w:lang w:val="en-US" w:eastAsia="zh-CN" w:bidi="ar-SA"/>
        </w:rPr>
        <w:t>：3分</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楷体_GB2312" w:hAnsi="楷体_GB2312" w:eastAsia="楷体_GB2312" w:cs="楷体_GB2312"/>
          <w:b/>
          <w:sz w:val="32"/>
          <w:szCs w:val="32"/>
          <w:lang w:val="zh-CN" w:eastAsia="zh-CN"/>
        </w:rPr>
      </w:pPr>
      <w:r>
        <w:rPr>
          <w:rFonts w:hint="eastAsia" w:ascii="楷体_GB2312" w:hAnsi="楷体_GB2312" w:eastAsia="楷体_GB2312" w:cs="楷体_GB2312"/>
          <w:b/>
          <w:sz w:val="32"/>
          <w:szCs w:val="32"/>
          <w:lang w:val="zh-CN" w:eastAsia="zh-CN"/>
        </w:rPr>
        <w:t>（三）</w:t>
      </w:r>
      <w:r>
        <w:rPr>
          <w:rFonts w:hint="default" w:ascii="楷体_GB2312" w:hAnsi="楷体_GB2312" w:eastAsia="楷体_GB2312" w:cs="楷体_GB2312"/>
          <w:b/>
          <w:sz w:val="32"/>
          <w:szCs w:val="32"/>
          <w:lang w:val="zh-CN" w:eastAsia="zh-CN"/>
        </w:rPr>
        <w:t>绩效结果应用情况</w:t>
      </w:r>
    </w:p>
    <w:p>
      <w:pPr>
        <w:pageBreakBefore w:val="0"/>
        <w:kinsoku/>
        <w:wordWrap/>
        <w:overflowPunct/>
        <w:topLinePunct w:val="0"/>
        <w:autoSpaceDE/>
        <w:autoSpaceDN/>
        <w:bidi w:val="0"/>
        <w:snapToGrid w:val="0"/>
        <w:spacing w:line="570" w:lineRule="exact"/>
        <w:ind w:firstLine="640" w:firstLineChars="20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zh-CN" w:eastAsia="zh-CN" w:bidi="ar-SA"/>
        </w:rPr>
        <w:t>1.</w:t>
      </w:r>
      <w:r>
        <w:rPr>
          <w:rFonts w:hint="default" w:ascii="仿宋_GB2312" w:hAnsi="仿宋_GB2312" w:eastAsia="仿宋_GB2312" w:cs="仿宋_GB2312"/>
          <w:kern w:val="2"/>
          <w:sz w:val="32"/>
          <w:szCs w:val="32"/>
          <w:lang w:val="en-US" w:eastAsia="zh-CN" w:bidi="ar-SA"/>
        </w:rPr>
        <w:t xml:space="preserve">内部应用情况 </w:t>
      </w:r>
    </w:p>
    <w:p>
      <w:pPr>
        <w:pStyle w:val="8"/>
        <w:pageBreakBefore w:val="0"/>
        <w:kinsoku/>
        <w:wordWrap/>
        <w:overflowPunct/>
        <w:topLinePunct w:val="0"/>
        <w:autoSpaceDE/>
        <w:autoSpaceDN/>
        <w:bidi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通过绩效评价找准了病根，如预算编制精准度不够，绩效指标设置不够细化全面。我</w:t>
      </w:r>
      <w:r>
        <w:rPr>
          <w:rFonts w:hint="eastAsia" w:ascii="仿宋_GB2312" w:hAnsi="仿宋_GB2312" w:eastAsia="仿宋_GB2312" w:cs="仿宋_GB2312"/>
          <w:kern w:val="2"/>
          <w:sz w:val="32"/>
          <w:szCs w:val="32"/>
          <w:lang w:val="en-US" w:eastAsia="zh-CN" w:bidi="ar-SA"/>
        </w:rPr>
        <w:t>委</w:t>
      </w:r>
      <w:r>
        <w:rPr>
          <w:rFonts w:hint="default" w:ascii="仿宋_GB2312" w:hAnsi="仿宋_GB2312" w:eastAsia="仿宋_GB2312" w:cs="仿宋_GB2312"/>
          <w:kern w:val="2"/>
          <w:sz w:val="32"/>
          <w:szCs w:val="32"/>
          <w:lang w:val="en-US" w:eastAsia="zh-CN" w:bidi="ar-SA"/>
        </w:rPr>
        <w:t>通过全面掌握预算需求，细心测算预算需求等办法，逐年提高了预算编制的精准度；通过加强学习，提升业务能力等办法，2025年我局绩效目标设置更加细化、合理。</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2. 信息公开情况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公开范围：绩效自评报告、重点项目评价结果已在部门官</w:t>
      </w:r>
    </w:p>
    <w:p>
      <w:pPr>
        <w:pStyle w:val="7"/>
        <w:pageBreakBefore w:val="0"/>
        <w:kinsoku/>
        <w:wordWrap/>
        <w:overflowPunct/>
        <w:topLinePunct w:val="0"/>
        <w:autoSpaceDE/>
        <w:autoSpaceDN/>
        <w:bidi w:val="0"/>
        <w:spacing w:after="0" w:line="570" w:lineRule="exact"/>
        <w:ind w:left="0" w:leftChars="0" w:firstLine="0" w:firstLineChars="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网公示，但报告未细化至三级指标得分。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公开时效：按要求在预算批复后20日内公开。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3. 整改反馈情况  </w:t>
      </w:r>
    </w:p>
    <w:p>
      <w:pPr>
        <w:pStyle w:val="7"/>
        <w:pageBreakBefore w:val="0"/>
        <w:kinsoku/>
        <w:wordWrap/>
        <w:overflowPunct/>
        <w:topLinePunct w:val="0"/>
        <w:autoSpaceDE/>
        <w:autoSpaceDN/>
        <w:bidi w:val="0"/>
        <w:spacing w:after="0" w:line="570" w:lineRule="exact"/>
        <w:ind w:left="0" w:leftChars="0" w:firstLine="0" w:firstLineChars="0"/>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w:t>
      </w:r>
      <w:r>
        <w:rPr>
          <w:rFonts w:hint="default" w:ascii="仿宋_GB2312" w:hAnsi="仿宋_GB2312" w:eastAsia="仿宋_GB2312" w:cs="仿宋_GB2312"/>
          <w:kern w:val="2"/>
          <w:sz w:val="32"/>
          <w:szCs w:val="32"/>
          <w:lang w:val="en-US" w:eastAsia="zh-CN" w:bidi="ar-SA"/>
        </w:rPr>
        <w:t>问题整改：针对202</w:t>
      </w:r>
      <w:r>
        <w:rPr>
          <w:rFonts w:hint="eastAsia" w:eastAsia="仿宋_GB2312" w:cs="仿宋_GB2312"/>
          <w:kern w:val="2"/>
          <w:sz w:val="32"/>
          <w:szCs w:val="32"/>
          <w:lang w:val="en-US" w:eastAsia="zh-CN" w:bidi="ar-SA"/>
        </w:rPr>
        <w:t>5</w:t>
      </w:r>
      <w:r>
        <w:rPr>
          <w:rFonts w:hint="default" w:ascii="仿宋_GB2312" w:hAnsi="仿宋_GB2312" w:eastAsia="仿宋_GB2312" w:cs="仿宋_GB2312"/>
          <w:kern w:val="2"/>
          <w:sz w:val="32"/>
          <w:szCs w:val="32"/>
          <w:lang w:val="en-US" w:eastAsia="zh-CN" w:bidi="ar-SA"/>
        </w:rPr>
        <w:t>年</w:t>
      </w:r>
      <w:r>
        <w:rPr>
          <w:rFonts w:hint="eastAsia" w:ascii="仿宋_GB2312" w:hAnsi="仿宋_GB2312" w:eastAsia="仿宋_GB2312" w:cs="仿宋_GB2312"/>
          <w:kern w:val="2"/>
          <w:sz w:val="32"/>
          <w:szCs w:val="32"/>
          <w:lang w:val="en-US" w:eastAsia="zh-CN" w:bidi="ar-SA"/>
        </w:rPr>
        <w:t>无整改问题</w:t>
      </w:r>
      <w:r>
        <w:rPr>
          <w:rFonts w:hint="default" w:ascii="仿宋_GB2312" w:hAnsi="仿宋_GB2312" w:eastAsia="仿宋_GB2312" w:cs="仿宋_GB2312"/>
          <w:kern w:val="2"/>
          <w:sz w:val="32"/>
          <w:szCs w:val="32"/>
          <w:lang w:val="en-US" w:eastAsia="zh-CN" w:bidi="ar-SA"/>
        </w:rPr>
        <w:t xml:space="preserve">。  </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长效机制：建立“评价-反馈-整改-回头看”闭环管理流程，</w:t>
      </w:r>
    </w:p>
    <w:p>
      <w:pPr>
        <w:pStyle w:val="7"/>
        <w:pageBreakBefore w:val="0"/>
        <w:kinsoku/>
        <w:wordWrap/>
        <w:overflowPunct/>
        <w:topLinePunct w:val="0"/>
        <w:autoSpaceDE/>
        <w:autoSpaceDN/>
        <w:bidi w:val="0"/>
        <w:spacing w:after="0" w:line="570" w:lineRule="exact"/>
        <w:ind w:left="0" w:leftChars="0" w:firstLine="0" w:firstLineChars="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 xml:space="preserve">每季度开展执行督查。  </w:t>
      </w:r>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四、评价结论及建议</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（一）评价结论</w:t>
      </w:r>
    </w:p>
    <w:p>
      <w:pPr>
        <w:pageBreakBefore w:val="0"/>
        <w:widowControl/>
        <w:kinsoku/>
        <w:wordWrap/>
        <w:overflowPunct/>
        <w:topLinePunct w:val="0"/>
        <w:autoSpaceDE/>
        <w:autoSpaceDN/>
        <w:bidi w:val="0"/>
        <w:adjustRightInd w:val="0"/>
        <w:snapToGrid w:val="0"/>
        <w:spacing w:line="570" w:lineRule="exact"/>
        <w:ind w:firstLine="640" w:firstLineChars="200"/>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en-US" w:eastAsia="zh-CN" w:bidi="ar-SA"/>
        </w:rPr>
        <w:t>根据《红原县部门整体支出绩效评价指标体系》自查得分</w:t>
      </w:r>
      <w:r>
        <w:rPr>
          <w:rFonts w:hint="eastAsia" w:ascii="仿宋_GB2312" w:hAnsi="仿宋_GB2312" w:eastAsia="仿宋_GB2312" w:cs="仿宋_GB2312"/>
          <w:kern w:val="2"/>
          <w:sz w:val="32"/>
          <w:szCs w:val="32"/>
          <w:lang w:val="en-US" w:eastAsia="zh-CN" w:bidi="ar-SA"/>
        </w:rPr>
        <w:t>95.1</w:t>
      </w:r>
      <w:r>
        <w:rPr>
          <w:rFonts w:hint="default" w:ascii="仿宋_GB2312" w:hAnsi="仿宋_GB2312" w:eastAsia="仿宋_GB2312" w:cs="仿宋_GB2312"/>
          <w:kern w:val="2"/>
          <w:sz w:val="32"/>
          <w:szCs w:val="32"/>
          <w:lang w:val="en-US" w:eastAsia="zh-CN" w:bidi="ar-SA"/>
        </w:rPr>
        <w:t>分，总体评价较好。</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楷体_GB2312" w:hAnsi="楷体_GB2312" w:eastAsia="楷体_GB2312" w:cs="楷体_GB2312"/>
          <w:b/>
          <w:sz w:val="32"/>
          <w:szCs w:val="32"/>
          <w:lang w:val="zh-CN" w:eastAsia="zh-CN"/>
        </w:rPr>
      </w:pPr>
      <w:r>
        <w:rPr>
          <w:rFonts w:hint="default" w:ascii="楷体_GB2312" w:hAnsi="楷体_GB2312" w:eastAsia="楷体_GB2312" w:cs="楷体_GB2312"/>
          <w:b/>
          <w:sz w:val="32"/>
          <w:szCs w:val="32"/>
          <w:lang w:val="zh-CN" w:eastAsia="zh-CN"/>
        </w:rPr>
        <w:t>（二）存在问题</w:t>
      </w:r>
    </w:p>
    <w:p>
      <w:pPr>
        <w:pageBreakBefore w:val="0"/>
        <w:widowControl/>
        <w:kinsoku/>
        <w:wordWrap/>
        <w:overflowPunct/>
        <w:topLinePunct w:val="0"/>
        <w:autoSpaceDE/>
        <w:autoSpaceDN/>
        <w:bidi w:val="0"/>
        <w:adjustRightInd w:val="0"/>
        <w:snapToGrid w:val="0"/>
        <w:spacing w:line="570" w:lineRule="exact"/>
        <w:ind w:firstLine="640" w:firstLineChars="20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预算编制不够精准，绩效目标设置不够细化、合理。</w:t>
      </w:r>
    </w:p>
    <w:p>
      <w:pPr>
        <w:pageBreakBefore w:val="0"/>
        <w:kinsoku/>
        <w:wordWrap/>
        <w:overflowPunct/>
        <w:topLinePunct w:val="0"/>
        <w:autoSpaceDE/>
        <w:autoSpaceDN/>
        <w:bidi w:val="0"/>
        <w:adjustRightInd w:val="0"/>
        <w:snapToGrid w:val="0"/>
        <w:spacing w:line="570" w:lineRule="exact"/>
        <w:ind w:firstLine="643" w:firstLineChars="200"/>
        <w:contextualSpacing/>
        <w:jc w:val="left"/>
        <w:rPr>
          <w:rFonts w:hint="default" w:ascii="楷体_GB2312" w:hAnsi="楷体_GB2312" w:eastAsia="楷体_GB2312" w:cs="楷体_GB2312"/>
          <w:b/>
          <w:sz w:val="32"/>
          <w:szCs w:val="32"/>
          <w:lang w:val="zh-CN" w:eastAsia="zh-CN"/>
        </w:rPr>
      </w:pPr>
      <w:r>
        <w:rPr>
          <w:rFonts w:hint="eastAsia" w:ascii="楷体_GB2312" w:hAnsi="楷体_GB2312" w:eastAsia="楷体_GB2312" w:cs="楷体_GB2312"/>
          <w:b/>
          <w:sz w:val="32"/>
          <w:szCs w:val="32"/>
          <w:lang w:val="zh-CN" w:eastAsia="zh-CN"/>
        </w:rPr>
        <w:t>（三）</w:t>
      </w:r>
      <w:r>
        <w:rPr>
          <w:rFonts w:hint="default" w:ascii="楷体_GB2312" w:hAnsi="楷体_GB2312" w:eastAsia="楷体_GB2312" w:cs="楷体_GB2312"/>
          <w:b/>
          <w:sz w:val="32"/>
          <w:szCs w:val="32"/>
          <w:lang w:val="zh-CN" w:eastAsia="zh-CN"/>
        </w:rPr>
        <w:t>改进建议</w:t>
      </w:r>
      <w:bookmarkStart w:id="104" w:name="_Hlk110546638"/>
    </w:p>
    <w:p>
      <w:pPr>
        <w:pageBreakBefore w:val="0"/>
        <w:widowControl/>
        <w:kinsoku/>
        <w:wordWrap/>
        <w:overflowPunct/>
        <w:topLinePunct w:val="0"/>
        <w:autoSpaceDE/>
        <w:autoSpaceDN/>
        <w:bidi w:val="0"/>
        <w:adjustRightInd w:val="0"/>
        <w:snapToGrid w:val="0"/>
        <w:spacing w:line="570" w:lineRule="exact"/>
        <w:ind w:firstLine="640" w:firstLineChars="200"/>
        <w:contextualSpacing/>
        <w:jc w:val="left"/>
        <w:rPr>
          <w:rFonts w:hint="default" w:ascii="仿宋_GB2312" w:hAnsi="仿宋_GB2312" w:eastAsia="仿宋_GB2312" w:cs="仿宋_GB2312"/>
          <w:kern w:val="2"/>
          <w:sz w:val="32"/>
          <w:szCs w:val="32"/>
          <w:lang w:val="zh-CN" w:eastAsia="zh-CN" w:bidi="ar-SA"/>
        </w:rPr>
      </w:pPr>
      <w:r>
        <w:rPr>
          <w:rFonts w:hint="default" w:ascii="仿宋_GB2312" w:hAnsi="仿宋_GB2312" w:eastAsia="仿宋_GB2312" w:cs="仿宋_GB2312"/>
          <w:kern w:val="2"/>
          <w:sz w:val="32"/>
          <w:szCs w:val="32"/>
          <w:lang w:val="en-US" w:eastAsia="zh-CN" w:bidi="ar-SA"/>
        </w:rPr>
        <w:t>一是全面统筹规划，细心核算各项经济成本，提高预算</w:t>
      </w:r>
    </w:p>
    <w:p>
      <w:pPr>
        <w:pStyle w:val="7"/>
        <w:pageBreakBefore w:val="0"/>
        <w:kinsoku/>
        <w:wordWrap/>
        <w:overflowPunct/>
        <w:topLinePunct w:val="0"/>
        <w:autoSpaceDE/>
        <w:autoSpaceDN/>
        <w:bidi w:val="0"/>
        <w:spacing w:after="0" w:line="570" w:lineRule="exact"/>
        <w:ind w:left="0" w:leftChars="0" w:firstLine="640"/>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编制精准度。二是加强业务学习、培训，提升绩效管理应用能力。</w:t>
      </w:r>
    </w:p>
    <w:bookmarkEnd w:id="104"/>
    <w:p>
      <w:pPr>
        <w:pageBreakBefore w:val="0"/>
        <w:widowControl/>
        <w:kinsoku/>
        <w:wordWrap/>
        <w:overflowPunct/>
        <w:topLinePunct w:val="0"/>
        <w:bidi w:val="0"/>
        <w:spacing w:beforeAutospacing="0" w:afterAutospacing="0" w:line="576" w:lineRule="exact"/>
        <w:ind w:left="0" w:leftChars="0" w:right="0"/>
        <w:jc w:val="left"/>
        <w:rPr>
          <w:rFonts w:hint="eastAsia" w:ascii="仿宋_GB2312" w:hAnsi="仿宋_GB2312" w:eastAsia="仿宋_GB2312" w:cs="仿宋_GB2312"/>
          <w:sz w:val="44"/>
          <w:szCs w:val="44"/>
        </w:rPr>
      </w:pPr>
    </w:p>
    <w:p>
      <w:pPr>
        <w:pageBreakBefore w:val="0"/>
        <w:widowControl/>
        <w:kinsoku/>
        <w:wordWrap/>
        <w:overflowPunct/>
        <w:topLinePunct w:val="0"/>
        <w:bidi w:val="0"/>
        <w:spacing w:beforeAutospacing="0" w:afterAutospacing="0" w:line="576" w:lineRule="exact"/>
        <w:ind w:left="0" w:leftChars="0" w:right="0"/>
        <w:jc w:val="center"/>
        <w:rPr>
          <w:rStyle w:val="20"/>
          <w:rFonts w:hint="eastAsia" w:ascii="仿宋_GB2312" w:hAnsi="仿宋_GB2312" w:eastAsia="仿宋_GB2312" w:cs="仿宋_GB2312"/>
          <w:b w:val="0"/>
        </w:rPr>
      </w:pPr>
      <w:r>
        <w:rPr>
          <w:rFonts w:hint="eastAsia" w:ascii="方正小标宋简体" w:hAnsi="方正小标宋简体" w:eastAsia="方正小标宋简体" w:cs="方正小标宋简体"/>
          <w:sz w:val="44"/>
          <w:szCs w:val="44"/>
        </w:rPr>
        <w:t>第</w:t>
      </w:r>
      <w:r>
        <w:rPr>
          <w:rStyle w:val="20"/>
          <w:rFonts w:hint="eastAsia" w:ascii="方正小标宋简体" w:hAnsi="方正小标宋简体" w:eastAsia="方正小标宋简体" w:cs="方正小标宋简体"/>
          <w:b w:val="0"/>
          <w:sz w:val="44"/>
          <w:szCs w:val="44"/>
        </w:rPr>
        <w:t>五部分 附表</w:t>
      </w:r>
      <w:bookmarkEnd w:id="59"/>
      <w:bookmarkEnd w:id="100"/>
      <w:bookmarkEnd w:id="101"/>
      <w:bookmarkStart w:id="105" w:name="_Toc7114"/>
      <w:bookmarkStart w:id="106" w:name="_Toc9836"/>
      <w:bookmarkStart w:id="107" w:name="_Toc15396619"/>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rPr>
      </w:pPr>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rPr>
      </w:pPr>
      <w:r>
        <w:rPr>
          <w:rStyle w:val="21"/>
          <w:rFonts w:hint="eastAsia" w:ascii="仿宋_GB2312" w:hAnsi="仿宋_GB2312" w:eastAsia="仿宋_GB2312" w:cs="仿宋_GB2312"/>
        </w:rPr>
        <w:t>一、收入支出决算总表</w:t>
      </w:r>
      <w:bookmarkEnd w:id="105"/>
      <w:bookmarkEnd w:id="106"/>
      <w:bookmarkEnd w:id="107"/>
      <w:bookmarkStart w:id="108" w:name="_Toc5275"/>
      <w:bookmarkStart w:id="109" w:name="_Toc15396620"/>
      <w:bookmarkStart w:id="110" w:name="_Toc31850"/>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rPr>
      </w:pPr>
      <w:r>
        <w:rPr>
          <w:rStyle w:val="21"/>
          <w:rFonts w:hint="eastAsia" w:ascii="仿宋_GB2312" w:hAnsi="仿宋_GB2312" w:eastAsia="仿宋_GB2312" w:cs="仿宋_GB2312"/>
        </w:rPr>
        <w:t>二、收入决算表</w:t>
      </w:r>
      <w:bookmarkEnd w:id="108"/>
      <w:bookmarkEnd w:id="109"/>
      <w:bookmarkEnd w:id="110"/>
      <w:bookmarkStart w:id="111" w:name="_Toc22743"/>
      <w:bookmarkStart w:id="112" w:name="_Toc15396621"/>
      <w:bookmarkStart w:id="113" w:name="_Toc15012"/>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rPr>
      </w:pPr>
      <w:r>
        <w:rPr>
          <w:rStyle w:val="21"/>
          <w:rFonts w:hint="eastAsia" w:ascii="仿宋_GB2312" w:hAnsi="仿宋_GB2312" w:eastAsia="仿宋_GB2312" w:cs="仿宋_GB2312"/>
        </w:rPr>
        <w:t>三、支出决算表</w:t>
      </w:r>
      <w:bookmarkEnd w:id="111"/>
      <w:bookmarkEnd w:id="112"/>
      <w:bookmarkEnd w:id="113"/>
      <w:bookmarkStart w:id="114" w:name="_Toc2325"/>
      <w:bookmarkStart w:id="115" w:name="_Toc3319"/>
      <w:bookmarkStart w:id="116" w:name="_Toc15396622"/>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bCs w:val="0"/>
        </w:rPr>
      </w:pPr>
      <w:r>
        <w:rPr>
          <w:rStyle w:val="21"/>
          <w:rFonts w:hint="eastAsia" w:ascii="仿宋_GB2312" w:hAnsi="仿宋_GB2312" w:eastAsia="仿宋_GB2312" w:cs="仿宋_GB2312"/>
          <w:bCs w:val="0"/>
        </w:rPr>
        <w:t>四、财政拨款收入支出决算总表</w:t>
      </w:r>
      <w:bookmarkEnd w:id="114"/>
      <w:bookmarkEnd w:id="115"/>
      <w:bookmarkEnd w:id="116"/>
      <w:bookmarkStart w:id="117" w:name="_Toc9871"/>
      <w:bookmarkStart w:id="118" w:name="_Toc17946"/>
      <w:bookmarkStart w:id="119" w:name="_Toc15396623"/>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bCs w:val="0"/>
        </w:rPr>
      </w:pPr>
      <w:r>
        <w:rPr>
          <w:rStyle w:val="21"/>
          <w:rFonts w:hint="eastAsia" w:ascii="仿宋_GB2312" w:hAnsi="仿宋_GB2312" w:eastAsia="仿宋_GB2312" w:cs="仿宋_GB2312"/>
          <w:bCs w:val="0"/>
        </w:rPr>
        <w:t>五、</w:t>
      </w:r>
      <w:r>
        <w:rPr>
          <w:rStyle w:val="21"/>
          <w:rFonts w:hint="eastAsia" w:ascii="仿宋_GB2312" w:hAnsi="仿宋_GB2312" w:eastAsia="仿宋_GB2312" w:cs="仿宋_GB2312"/>
        </w:rPr>
        <w:t>财</w:t>
      </w:r>
      <w:r>
        <w:rPr>
          <w:rStyle w:val="21"/>
          <w:rFonts w:hint="eastAsia" w:ascii="仿宋_GB2312" w:hAnsi="仿宋_GB2312" w:eastAsia="仿宋_GB2312" w:cs="仿宋_GB2312"/>
          <w:bCs w:val="0"/>
        </w:rPr>
        <w:t>政拨款支出决算明细表</w:t>
      </w:r>
      <w:bookmarkEnd w:id="117"/>
      <w:bookmarkEnd w:id="118"/>
      <w:bookmarkEnd w:id="119"/>
      <w:bookmarkStart w:id="120" w:name="_Toc2800"/>
      <w:bookmarkStart w:id="121" w:name="_Toc15396624"/>
      <w:bookmarkStart w:id="122" w:name="_Toc20117"/>
    </w:p>
    <w:p>
      <w:pPr>
        <w:pageBreakBefore w:val="0"/>
        <w:widowControl/>
        <w:kinsoku/>
        <w:wordWrap/>
        <w:overflowPunct/>
        <w:topLinePunct w:val="0"/>
        <w:bidi w:val="0"/>
        <w:spacing w:beforeAutospacing="0" w:afterAutospacing="0" w:line="576" w:lineRule="exact"/>
        <w:ind w:left="0" w:leftChars="0" w:right="0"/>
        <w:jc w:val="left"/>
        <w:rPr>
          <w:rStyle w:val="21"/>
          <w:rFonts w:hint="eastAsia" w:ascii="仿宋_GB2312" w:hAnsi="仿宋_GB2312" w:eastAsia="仿宋_GB2312" w:cs="仿宋_GB2312"/>
        </w:rPr>
      </w:pPr>
      <w:r>
        <w:rPr>
          <w:rStyle w:val="21"/>
          <w:rFonts w:hint="eastAsia" w:ascii="仿宋_GB2312" w:hAnsi="仿宋_GB2312" w:eastAsia="仿宋_GB2312" w:cs="仿宋_GB2312"/>
          <w:bCs w:val="0"/>
        </w:rPr>
        <w:t>六、</w:t>
      </w:r>
      <w:r>
        <w:rPr>
          <w:rStyle w:val="21"/>
          <w:rFonts w:hint="eastAsia" w:ascii="仿宋_GB2312" w:hAnsi="仿宋_GB2312" w:eastAsia="仿宋_GB2312" w:cs="仿宋_GB2312"/>
          <w:b w:val="0"/>
        </w:rPr>
        <w:t>一</w:t>
      </w:r>
      <w:r>
        <w:rPr>
          <w:rStyle w:val="21"/>
          <w:rFonts w:hint="eastAsia" w:ascii="仿宋_GB2312" w:hAnsi="仿宋_GB2312" w:eastAsia="仿宋_GB2312" w:cs="仿宋_GB2312"/>
          <w:bCs w:val="0"/>
        </w:rPr>
        <w:t>般公共预算财政拨款支出决算表</w:t>
      </w:r>
      <w:bookmarkEnd w:id="120"/>
      <w:bookmarkEnd w:id="121"/>
      <w:bookmarkEnd w:id="122"/>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23" w:name="_Toc10733"/>
      <w:bookmarkStart w:id="124" w:name="_Toc29704"/>
      <w:bookmarkStart w:id="125" w:name="_Toc15396625"/>
      <w:r>
        <w:rPr>
          <w:rStyle w:val="21"/>
          <w:rFonts w:hint="eastAsia" w:ascii="仿宋_GB2312" w:hAnsi="仿宋_GB2312" w:eastAsia="仿宋_GB2312" w:cs="仿宋_GB2312"/>
          <w:b/>
          <w:bCs w:val="0"/>
        </w:rPr>
        <w:t>七、</w:t>
      </w:r>
      <w:r>
        <w:rPr>
          <w:rFonts w:hint="eastAsia" w:ascii="仿宋_GB2312" w:hAnsi="仿宋_GB2312" w:eastAsia="仿宋_GB2312" w:cs="仿宋_GB2312"/>
          <w:b w:val="0"/>
        </w:rPr>
        <w:t>一</w:t>
      </w:r>
      <w:r>
        <w:rPr>
          <w:rStyle w:val="21"/>
          <w:rFonts w:hint="eastAsia" w:ascii="仿宋_GB2312" w:hAnsi="仿宋_GB2312" w:eastAsia="仿宋_GB2312" w:cs="仿宋_GB2312"/>
          <w:b/>
          <w:bCs w:val="0"/>
        </w:rPr>
        <w:t>般公共预算财政拨款支出决算明细表</w:t>
      </w:r>
      <w:bookmarkEnd w:id="123"/>
      <w:bookmarkEnd w:id="124"/>
      <w:bookmarkEnd w:id="125"/>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26" w:name="_Toc15396626"/>
      <w:bookmarkStart w:id="127" w:name="_Toc8432"/>
      <w:bookmarkStart w:id="128" w:name="_Toc30543"/>
      <w:r>
        <w:rPr>
          <w:rStyle w:val="21"/>
          <w:rFonts w:hint="eastAsia" w:ascii="仿宋_GB2312" w:hAnsi="仿宋_GB2312" w:eastAsia="仿宋_GB2312" w:cs="仿宋_GB2312"/>
          <w:b/>
          <w:bCs w:val="0"/>
        </w:rPr>
        <w:t>八、</w:t>
      </w:r>
      <w:r>
        <w:rPr>
          <w:rFonts w:hint="eastAsia" w:ascii="仿宋_GB2312" w:hAnsi="仿宋_GB2312" w:eastAsia="仿宋_GB2312" w:cs="仿宋_GB2312"/>
          <w:b w:val="0"/>
        </w:rPr>
        <w:t>一</w:t>
      </w:r>
      <w:r>
        <w:rPr>
          <w:rStyle w:val="21"/>
          <w:rFonts w:hint="eastAsia" w:ascii="仿宋_GB2312" w:hAnsi="仿宋_GB2312" w:eastAsia="仿宋_GB2312" w:cs="仿宋_GB2312"/>
          <w:b/>
          <w:bCs w:val="0"/>
        </w:rPr>
        <w:t>般公共预算财政拨款基本支出决算表</w:t>
      </w:r>
      <w:bookmarkEnd w:id="126"/>
      <w:bookmarkEnd w:id="127"/>
      <w:bookmarkEnd w:id="128"/>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29" w:name="_Toc10916"/>
      <w:bookmarkStart w:id="130" w:name="_Toc15396627"/>
      <w:bookmarkStart w:id="131" w:name="_Toc28168"/>
      <w:r>
        <w:rPr>
          <w:rStyle w:val="21"/>
          <w:rFonts w:hint="eastAsia" w:ascii="仿宋_GB2312" w:hAnsi="仿宋_GB2312" w:eastAsia="仿宋_GB2312" w:cs="仿宋_GB2312"/>
          <w:b/>
          <w:bCs w:val="0"/>
        </w:rPr>
        <w:t>九、</w:t>
      </w:r>
      <w:r>
        <w:rPr>
          <w:rFonts w:hint="eastAsia" w:ascii="仿宋_GB2312" w:hAnsi="仿宋_GB2312" w:eastAsia="仿宋_GB2312" w:cs="仿宋_GB2312"/>
          <w:b w:val="0"/>
        </w:rPr>
        <w:t>一</w:t>
      </w:r>
      <w:r>
        <w:rPr>
          <w:rStyle w:val="21"/>
          <w:rFonts w:hint="eastAsia" w:ascii="仿宋_GB2312" w:hAnsi="仿宋_GB2312" w:eastAsia="仿宋_GB2312" w:cs="仿宋_GB2312"/>
          <w:b/>
          <w:bCs w:val="0"/>
        </w:rPr>
        <w:t>般公共预算财政拨款项目支出决算表</w:t>
      </w:r>
      <w:bookmarkEnd w:id="129"/>
      <w:bookmarkEnd w:id="130"/>
      <w:bookmarkEnd w:id="131"/>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32" w:name="_Toc15396628"/>
      <w:bookmarkStart w:id="133" w:name="_Toc13791"/>
      <w:bookmarkStart w:id="134" w:name="_Toc16699"/>
      <w:r>
        <w:rPr>
          <w:rStyle w:val="21"/>
          <w:rFonts w:hint="eastAsia" w:ascii="仿宋_GB2312" w:hAnsi="仿宋_GB2312" w:eastAsia="仿宋_GB2312" w:cs="仿宋_GB2312"/>
          <w:b/>
          <w:bCs w:val="0"/>
        </w:rPr>
        <w:t>十、</w:t>
      </w:r>
      <w:bookmarkEnd w:id="132"/>
      <w:r>
        <w:rPr>
          <w:rFonts w:hint="eastAsia" w:ascii="仿宋_GB2312" w:hAnsi="仿宋_GB2312" w:eastAsia="仿宋_GB2312" w:cs="仿宋_GB2312"/>
        </w:rPr>
        <w:t>政</w:t>
      </w:r>
      <w:r>
        <w:rPr>
          <w:rStyle w:val="21"/>
          <w:rFonts w:hint="eastAsia" w:ascii="仿宋_GB2312" w:hAnsi="仿宋_GB2312" w:eastAsia="仿宋_GB2312" w:cs="仿宋_GB2312"/>
          <w:b/>
          <w:bCs w:val="0"/>
        </w:rPr>
        <w:t>府性基金预算财政拨款收入支出决算表</w:t>
      </w:r>
      <w:bookmarkEnd w:id="133"/>
      <w:bookmarkEnd w:id="134"/>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35" w:name="_Toc15396629"/>
      <w:bookmarkStart w:id="136" w:name="_Toc8848"/>
      <w:bookmarkStart w:id="137" w:name="_Toc4423"/>
      <w:r>
        <w:rPr>
          <w:rStyle w:val="21"/>
          <w:rFonts w:hint="eastAsia" w:ascii="仿宋_GB2312" w:hAnsi="仿宋_GB2312" w:eastAsia="仿宋_GB2312" w:cs="仿宋_GB2312"/>
          <w:b/>
          <w:bCs w:val="0"/>
        </w:rPr>
        <w:t>十一、</w:t>
      </w:r>
      <w:bookmarkEnd w:id="135"/>
      <w:r>
        <w:rPr>
          <w:rFonts w:hint="eastAsia" w:ascii="仿宋_GB2312" w:hAnsi="仿宋_GB2312" w:eastAsia="仿宋_GB2312" w:cs="仿宋_GB2312"/>
        </w:rPr>
        <w:t>国</w:t>
      </w:r>
      <w:r>
        <w:rPr>
          <w:rStyle w:val="21"/>
          <w:rFonts w:hint="eastAsia" w:ascii="仿宋_GB2312" w:hAnsi="仿宋_GB2312" w:eastAsia="仿宋_GB2312" w:cs="仿宋_GB2312"/>
          <w:b/>
          <w:bCs w:val="0"/>
        </w:rPr>
        <w:t>有资本经营预算财政拨款收入支出决算表</w:t>
      </w:r>
      <w:bookmarkEnd w:id="136"/>
      <w:bookmarkEnd w:id="137"/>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38" w:name="_Toc15396630"/>
      <w:bookmarkStart w:id="139" w:name="_Toc375"/>
      <w:bookmarkStart w:id="140" w:name="_Toc3767"/>
      <w:r>
        <w:rPr>
          <w:rStyle w:val="21"/>
          <w:rFonts w:hint="eastAsia" w:ascii="仿宋_GB2312" w:hAnsi="仿宋_GB2312" w:eastAsia="仿宋_GB2312" w:cs="仿宋_GB2312"/>
          <w:b/>
          <w:bCs w:val="0"/>
        </w:rPr>
        <w:t>十二、</w:t>
      </w:r>
      <w:bookmarkEnd w:id="138"/>
      <w:r>
        <w:rPr>
          <w:rStyle w:val="21"/>
          <w:rFonts w:hint="eastAsia" w:ascii="仿宋_GB2312" w:hAnsi="仿宋_GB2312" w:eastAsia="仿宋_GB2312" w:cs="仿宋_GB2312"/>
          <w:b/>
          <w:bCs w:val="0"/>
        </w:rPr>
        <w:t>国有资本经营预算财政拨款支出决算表</w:t>
      </w:r>
      <w:bookmarkEnd w:id="139"/>
      <w:bookmarkEnd w:id="140"/>
    </w:p>
    <w:p>
      <w:pPr>
        <w:pStyle w:val="4"/>
        <w:pageBreakBefore w:val="0"/>
        <w:kinsoku/>
        <w:wordWrap/>
        <w:overflowPunct/>
        <w:topLinePunct w:val="0"/>
        <w:bidi w:val="0"/>
        <w:spacing w:before="0" w:beforeAutospacing="0" w:after="0" w:afterAutospacing="0" w:line="576" w:lineRule="exact"/>
        <w:ind w:left="0" w:leftChars="0" w:right="0"/>
        <w:rPr>
          <w:rFonts w:hint="eastAsia" w:ascii="仿宋_GB2312" w:hAnsi="仿宋_GB2312" w:eastAsia="仿宋_GB2312" w:cs="仿宋_GB2312"/>
          <w:b w:val="0"/>
        </w:rPr>
      </w:pPr>
      <w:bookmarkStart w:id="141" w:name="_Toc15396631"/>
      <w:bookmarkStart w:id="142" w:name="_Toc6173"/>
      <w:bookmarkStart w:id="143" w:name="_Toc23427"/>
      <w:r>
        <w:rPr>
          <w:rStyle w:val="21"/>
          <w:rFonts w:hint="eastAsia" w:ascii="仿宋_GB2312" w:hAnsi="仿宋_GB2312" w:eastAsia="仿宋_GB2312" w:cs="仿宋_GB2312"/>
          <w:b/>
          <w:bCs w:val="0"/>
        </w:rPr>
        <w:t>十三、</w:t>
      </w:r>
      <w:bookmarkEnd w:id="141"/>
      <w:r>
        <w:rPr>
          <w:rStyle w:val="21"/>
          <w:rFonts w:hint="eastAsia" w:ascii="仿宋_GB2312" w:hAnsi="仿宋_GB2312" w:eastAsia="仿宋_GB2312" w:cs="仿宋_GB2312"/>
          <w:b/>
          <w:bCs w:val="0"/>
        </w:rPr>
        <w:t>财政拨款“三公”经费支出决算表</w:t>
      </w:r>
      <w:bookmarkEnd w:id="142"/>
      <w:bookmarkEnd w:id="143"/>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41616354"/>
    </w:sdtPr>
    <w:sdtContent>
      <w:p>
        <w:pPr>
          <w:pStyle w:val="11"/>
          <w:jc w:val="center"/>
        </w:pPr>
        <w:r>
          <w:fldChar w:fldCharType="begin"/>
        </w:r>
        <w:r>
          <w:instrText xml:space="preserve">PAGE   \* MERGEFORMAT</w:instrText>
        </w:r>
        <w:r>
          <w:fldChar w:fldCharType="separate"/>
        </w:r>
        <w:r>
          <w:rPr>
            <w:lang w:val="zh-CN"/>
          </w:rPr>
          <w:t>41</w:t>
        </w:r>
        <w:r>
          <w:rPr>
            <w:lang w:val="zh-CN"/>
          </w:rP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56A62E"/>
    <w:multiLevelType w:val="singleLevel"/>
    <w:tmpl w:val="C556A62E"/>
    <w:lvl w:ilvl="0" w:tentative="0">
      <w:start w:val="10"/>
      <w:numFmt w:val="decimal"/>
      <w:lvlText w:val="%1."/>
      <w:lvlJc w:val="left"/>
      <w:pPr>
        <w:tabs>
          <w:tab w:val="left" w:pos="312"/>
        </w:tabs>
        <w:ind w:left="713" w:leftChars="0" w:firstLine="0" w:firstLineChars="0"/>
      </w:pPr>
    </w:lvl>
  </w:abstractNum>
  <w:abstractNum w:abstractNumId="1">
    <w:nsid w:val="355685C0"/>
    <w:multiLevelType w:val="singleLevel"/>
    <w:tmpl w:val="355685C0"/>
    <w:lvl w:ilvl="0" w:tentative="0">
      <w:start w:val="1"/>
      <w:numFmt w:val="chineseCounting"/>
      <w:suff w:val="nothing"/>
      <w:lvlText w:val="（%1）"/>
      <w:lvlJc w:val="left"/>
      <w:rPr>
        <w:rFonts w:hint="eastAsia"/>
      </w:rPr>
    </w:lvl>
  </w:abstractNum>
  <w:abstractNum w:abstractNumId="2">
    <w:nsid w:val="4B5E5050"/>
    <w:multiLevelType w:val="singleLevel"/>
    <w:tmpl w:val="4B5E5050"/>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MjcyOTYyZDA5NDY1NWNjNTFiMzMxYzU1MGI5OTMifQ=="/>
  </w:docVars>
  <w:rsids>
    <w:rsidRoot w:val="005346C9"/>
    <w:rsid w:val="000A2A85"/>
    <w:rsid w:val="0012553C"/>
    <w:rsid w:val="00132658"/>
    <w:rsid w:val="001662D7"/>
    <w:rsid w:val="00166AF0"/>
    <w:rsid w:val="00172F1F"/>
    <w:rsid w:val="002268D5"/>
    <w:rsid w:val="00281B0C"/>
    <w:rsid w:val="00287C0F"/>
    <w:rsid w:val="002974AB"/>
    <w:rsid w:val="002C1B69"/>
    <w:rsid w:val="002C46A8"/>
    <w:rsid w:val="00363A17"/>
    <w:rsid w:val="003648C3"/>
    <w:rsid w:val="003711DC"/>
    <w:rsid w:val="00376B42"/>
    <w:rsid w:val="00395B29"/>
    <w:rsid w:val="003C23B0"/>
    <w:rsid w:val="003F22F1"/>
    <w:rsid w:val="003F4E06"/>
    <w:rsid w:val="00433CE9"/>
    <w:rsid w:val="00467236"/>
    <w:rsid w:val="0048005A"/>
    <w:rsid w:val="004D6E15"/>
    <w:rsid w:val="005008E7"/>
    <w:rsid w:val="005346C9"/>
    <w:rsid w:val="00547990"/>
    <w:rsid w:val="0055022C"/>
    <w:rsid w:val="00586402"/>
    <w:rsid w:val="005A32FC"/>
    <w:rsid w:val="005B2993"/>
    <w:rsid w:val="006100A8"/>
    <w:rsid w:val="006F6D05"/>
    <w:rsid w:val="00741B8C"/>
    <w:rsid w:val="00787105"/>
    <w:rsid w:val="007A5135"/>
    <w:rsid w:val="007C6D18"/>
    <w:rsid w:val="007D5FBD"/>
    <w:rsid w:val="007F05C1"/>
    <w:rsid w:val="008509E5"/>
    <w:rsid w:val="00860AD7"/>
    <w:rsid w:val="00874302"/>
    <w:rsid w:val="00877593"/>
    <w:rsid w:val="0091548A"/>
    <w:rsid w:val="009348A7"/>
    <w:rsid w:val="00936682"/>
    <w:rsid w:val="009376E7"/>
    <w:rsid w:val="00937BAA"/>
    <w:rsid w:val="0099491A"/>
    <w:rsid w:val="0099706C"/>
    <w:rsid w:val="009A1ABB"/>
    <w:rsid w:val="009B63BE"/>
    <w:rsid w:val="00B04FEA"/>
    <w:rsid w:val="00BA29E1"/>
    <w:rsid w:val="00BD043A"/>
    <w:rsid w:val="00BD15AE"/>
    <w:rsid w:val="00C5407F"/>
    <w:rsid w:val="00C6299F"/>
    <w:rsid w:val="00CF0940"/>
    <w:rsid w:val="00D54107"/>
    <w:rsid w:val="00DA4586"/>
    <w:rsid w:val="00DE1488"/>
    <w:rsid w:val="00E21D63"/>
    <w:rsid w:val="00E54145"/>
    <w:rsid w:val="00EA28F2"/>
    <w:rsid w:val="00EA3B8B"/>
    <w:rsid w:val="00EB56EB"/>
    <w:rsid w:val="00F1191B"/>
    <w:rsid w:val="01C831F1"/>
    <w:rsid w:val="024A3003"/>
    <w:rsid w:val="02810A7C"/>
    <w:rsid w:val="02A824AD"/>
    <w:rsid w:val="02C16A01"/>
    <w:rsid w:val="02F072F1"/>
    <w:rsid w:val="0305345B"/>
    <w:rsid w:val="04261CDD"/>
    <w:rsid w:val="04522421"/>
    <w:rsid w:val="04966BE4"/>
    <w:rsid w:val="049F6D49"/>
    <w:rsid w:val="05253F5F"/>
    <w:rsid w:val="070F74CD"/>
    <w:rsid w:val="0808742E"/>
    <w:rsid w:val="081128A2"/>
    <w:rsid w:val="08E07D65"/>
    <w:rsid w:val="09890A21"/>
    <w:rsid w:val="09C13E54"/>
    <w:rsid w:val="0A281ACE"/>
    <w:rsid w:val="0A2824F5"/>
    <w:rsid w:val="0AEF5D5B"/>
    <w:rsid w:val="0B81081E"/>
    <w:rsid w:val="0C272694"/>
    <w:rsid w:val="0C804E47"/>
    <w:rsid w:val="0CA912FB"/>
    <w:rsid w:val="0CF602B9"/>
    <w:rsid w:val="0E4D5CB6"/>
    <w:rsid w:val="0E632100"/>
    <w:rsid w:val="0F2033CB"/>
    <w:rsid w:val="106B4B1A"/>
    <w:rsid w:val="106D2640"/>
    <w:rsid w:val="10900A00"/>
    <w:rsid w:val="114E0781"/>
    <w:rsid w:val="116352D6"/>
    <w:rsid w:val="116E3A5D"/>
    <w:rsid w:val="11B36B4A"/>
    <w:rsid w:val="11B7759C"/>
    <w:rsid w:val="122A4C8C"/>
    <w:rsid w:val="12A6008B"/>
    <w:rsid w:val="12EA7589"/>
    <w:rsid w:val="133E02C4"/>
    <w:rsid w:val="13A0454D"/>
    <w:rsid w:val="144E60BD"/>
    <w:rsid w:val="149B0E8A"/>
    <w:rsid w:val="15121A08"/>
    <w:rsid w:val="15EA48D8"/>
    <w:rsid w:val="16157E28"/>
    <w:rsid w:val="16AA2B82"/>
    <w:rsid w:val="18492692"/>
    <w:rsid w:val="18B659A4"/>
    <w:rsid w:val="19151713"/>
    <w:rsid w:val="196F1358"/>
    <w:rsid w:val="1A0758B3"/>
    <w:rsid w:val="1B9459B1"/>
    <w:rsid w:val="1BD16179"/>
    <w:rsid w:val="1BF965F2"/>
    <w:rsid w:val="1C212A2B"/>
    <w:rsid w:val="1C6012AB"/>
    <w:rsid w:val="1D0C6A66"/>
    <w:rsid w:val="1D234B0A"/>
    <w:rsid w:val="1DCB431F"/>
    <w:rsid w:val="1E2F362A"/>
    <w:rsid w:val="1ECB3486"/>
    <w:rsid w:val="1EEE287B"/>
    <w:rsid w:val="1F855C4C"/>
    <w:rsid w:val="1F952C7C"/>
    <w:rsid w:val="207F70B2"/>
    <w:rsid w:val="20B25954"/>
    <w:rsid w:val="20CB7707"/>
    <w:rsid w:val="20F93D46"/>
    <w:rsid w:val="217F6677"/>
    <w:rsid w:val="21B856E5"/>
    <w:rsid w:val="223C144D"/>
    <w:rsid w:val="243E6375"/>
    <w:rsid w:val="24445B2A"/>
    <w:rsid w:val="25693679"/>
    <w:rsid w:val="25FB1098"/>
    <w:rsid w:val="260C30F7"/>
    <w:rsid w:val="267234C7"/>
    <w:rsid w:val="276D1F43"/>
    <w:rsid w:val="27B54BA0"/>
    <w:rsid w:val="294250A3"/>
    <w:rsid w:val="2AA077A9"/>
    <w:rsid w:val="2AFA0B1C"/>
    <w:rsid w:val="2B393A98"/>
    <w:rsid w:val="2B8266EC"/>
    <w:rsid w:val="2BF233C5"/>
    <w:rsid w:val="2BFB4ED7"/>
    <w:rsid w:val="2C025EDA"/>
    <w:rsid w:val="2C351E0C"/>
    <w:rsid w:val="2C3F4B36"/>
    <w:rsid w:val="2C8608B9"/>
    <w:rsid w:val="2CB14C50"/>
    <w:rsid w:val="2D2752E4"/>
    <w:rsid w:val="2D855015"/>
    <w:rsid w:val="2E933FCD"/>
    <w:rsid w:val="2F0B5447"/>
    <w:rsid w:val="2FC11C09"/>
    <w:rsid w:val="2FEC353D"/>
    <w:rsid w:val="31495726"/>
    <w:rsid w:val="31CD6F8B"/>
    <w:rsid w:val="31D16A7B"/>
    <w:rsid w:val="31F40390"/>
    <w:rsid w:val="32015C68"/>
    <w:rsid w:val="32A44717"/>
    <w:rsid w:val="32F0738F"/>
    <w:rsid w:val="33920C6F"/>
    <w:rsid w:val="346C2A8B"/>
    <w:rsid w:val="35037A49"/>
    <w:rsid w:val="35290391"/>
    <w:rsid w:val="35B430FE"/>
    <w:rsid w:val="35EE6DF8"/>
    <w:rsid w:val="36A22794"/>
    <w:rsid w:val="36E93C13"/>
    <w:rsid w:val="370D7188"/>
    <w:rsid w:val="37203D70"/>
    <w:rsid w:val="3728247B"/>
    <w:rsid w:val="379F291A"/>
    <w:rsid w:val="38417D8A"/>
    <w:rsid w:val="384229D7"/>
    <w:rsid w:val="38896E55"/>
    <w:rsid w:val="38EE3768"/>
    <w:rsid w:val="38F452F3"/>
    <w:rsid w:val="39B27192"/>
    <w:rsid w:val="39DB3B32"/>
    <w:rsid w:val="39EA626D"/>
    <w:rsid w:val="3A72247D"/>
    <w:rsid w:val="3B16635B"/>
    <w:rsid w:val="3B313DD8"/>
    <w:rsid w:val="3C1D667F"/>
    <w:rsid w:val="3CF211DC"/>
    <w:rsid w:val="3DF63694"/>
    <w:rsid w:val="3E9207D0"/>
    <w:rsid w:val="3F1A6CC0"/>
    <w:rsid w:val="3F3B6DBC"/>
    <w:rsid w:val="3FA05836"/>
    <w:rsid w:val="40464190"/>
    <w:rsid w:val="41DF5F5B"/>
    <w:rsid w:val="41FD0E53"/>
    <w:rsid w:val="42122365"/>
    <w:rsid w:val="42A74A51"/>
    <w:rsid w:val="42FE4D96"/>
    <w:rsid w:val="43656137"/>
    <w:rsid w:val="439F7ECC"/>
    <w:rsid w:val="43DD305D"/>
    <w:rsid w:val="44911445"/>
    <w:rsid w:val="45326705"/>
    <w:rsid w:val="45523641"/>
    <w:rsid w:val="45EC57D9"/>
    <w:rsid w:val="470E79D1"/>
    <w:rsid w:val="47426C3D"/>
    <w:rsid w:val="47F46BC7"/>
    <w:rsid w:val="480A3961"/>
    <w:rsid w:val="49634005"/>
    <w:rsid w:val="49DF11B1"/>
    <w:rsid w:val="4A34329A"/>
    <w:rsid w:val="4AC00FE3"/>
    <w:rsid w:val="4AC150E1"/>
    <w:rsid w:val="4ACA3C0F"/>
    <w:rsid w:val="4B8A2DBB"/>
    <w:rsid w:val="4C5D11DF"/>
    <w:rsid w:val="4D1A3604"/>
    <w:rsid w:val="4D7F6F33"/>
    <w:rsid w:val="4DB024D0"/>
    <w:rsid w:val="4E4837C9"/>
    <w:rsid w:val="4E6E228E"/>
    <w:rsid w:val="4ECC5CC5"/>
    <w:rsid w:val="4F8C0F11"/>
    <w:rsid w:val="4FDD447E"/>
    <w:rsid w:val="50B0566A"/>
    <w:rsid w:val="50CA7228"/>
    <w:rsid w:val="5111753C"/>
    <w:rsid w:val="526F3736"/>
    <w:rsid w:val="53CF5879"/>
    <w:rsid w:val="53D845EF"/>
    <w:rsid w:val="544B0D60"/>
    <w:rsid w:val="5527753F"/>
    <w:rsid w:val="553C49D7"/>
    <w:rsid w:val="55E95CE9"/>
    <w:rsid w:val="5672635F"/>
    <w:rsid w:val="573D2390"/>
    <w:rsid w:val="579C35B7"/>
    <w:rsid w:val="580519B5"/>
    <w:rsid w:val="58577395"/>
    <w:rsid w:val="58B12A3E"/>
    <w:rsid w:val="591C792B"/>
    <w:rsid w:val="595349E6"/>
    <w:rsid w:val="59D32AE1"/>
    <w:rsid w:val="5A3A17F8"/>
    <w:rsid w:val="5A5654C0"/>
    <w:rsid w:val="5A673AE1"/>
    <w:rsid w:val="5A9D6525"/>
    <w:rsid w:val="5ADA7E9F"/>
    <w:rsid w:val="5AE94169"/>
    <w:rsid w:val="5AFC4F25"/>
    <w:rsid w:val="5B490B80"/>
    <w:rsid w:val="5B6F3FE4"/>
    <w:rsid w:val="5B77068B"/>
    <w:rsid w:val="5BA65138"/>
    <w:rsid w:val="5C0D1BAE"/>
    <w:rsid w:val="5CD94CAE"/>
    <w:rsid w:val="5D5F6439"/>
    <w:rsid w:val="5EC92704"/>
    <w:rsid w:val="5EE27322"/>
    <w:rsid w:val="5F357D99"/>
    <w:rsid w:val="5FF7243B"/>
    <w:rsid w:val="611D27A0"/>
    <w:rsid w:val="61954B1F"/>
    <w:rsid w:val="62314848"/>
    <w:rsid w:val="62E0626E"/>
    <w:rsid w:val="63A3408B"/>
    <w:rsid w:val="650773BA"/>
    <w:rsid w:val="65557D1B"/>
    <w:rsid w:val="657F5D22"/>
    <w:rsid w:val="65B61F12"/>
    <w:rsid w:val="66E2751B"/>
    <w:rsid w:val="67343515"/>
    <w:rsid w:val="67CB63B3"/>
    <w:rsid w:val="67F06526"/>
    <w:rsid w:val="691049E1"/>
    <w:rsid w:val="695452C0"/>
    <w:rsid w:val="69AA5C34"/>
    <w:rsid w:val="6A213895"/>
    <w:rsid w:val="6A226D8E"/>
    <w:rsid w:val="6BE7241B"/>
    <w:rsid w:val="6CEF6A2B"/>
    <w:rsid w:val="6D81111B"/>
    <w:rsid w:val="6DE85FD7"/>
    <w:rsid w:val="6E166FE8"/>
    <w:rsid w:val="6E1A4B6F"/>
    <w:rsid w:val="6E5354E0"/>
    <w:rsid w:val="6E612268"/>
    <w:rsid w:val="6FC7611F"/>
    <w:rsid w:val="6FE047F8"/>
    <w:rsid w:val="70493586"/>
    <w:rsid w:val="70C858DB"/>
    <w:rsid w:val="70F829D5"/>
    <w:rsid w:val="712579D1"/>
    <w:rsid w:val="7194581F"/>
    <w:rsid w:val="71E73B2D"/>
    <w:rsid w:val="73055389"/>
    <w:rsid w:val="735E04D7"/>
    <w:rsid w:val="736B3932"/>
    <w:rsid w:val="736C0702"/>
    <w:rsid w:val="73EC25BF"/>
    <w:rsid w:val="74DB737D"/>
    <w:rsid w:val="751B6FA3"/>
    <w:rsid w:val="75BA7A8F"/>
    <w:rsid w:val="76227AC4"/>
    <w:rsid w:val="76982FF6"/>
    <w:rsid w:val="785250C1"/>
    <w:rsid w:val="785B34E0"/>
    <w:rsid w:val="787F19EA"/>
    <w:rsid w:val="78D67AA0"/>
    <w:rsid w:val="795B3AF3"/>
    <w:rsid w:val="7960461C"/>
    <w:rsid w:val="79780B57"/>
    <w:rsid w:val="7981755F"/>
    <w:rsid w:val="7ADB75EF"/>
    <w:rsid w:val="7B570946"/>
    <w:rsid w:val="7BF16B54"/>
    <w:rsid w:val="7CC226B2"/>
    <w:rsid w:val="7D380D29"/>
    <w:rsid w:val="7D5617D0"/>
    <w:rsid w:val="7D71005D"/>
    <w:rsid w:val="7D853AE4"/>
    <w:rsid w:val="7DF32EA2"/>
    <w:rsid w:val="7E775881"/>
    <w:rsid w:val="7E8A5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0"/>
    <w:uiPriority w:val="0"/>
    <w:pPr>
      <w:keepNext/>
      <w:keepLines/>
      <w:spacing w:before="340" w:after="330" w:line="578" w:lineRule="auto"/>
      <w:outlineLvl w:val="0"/>
    </w:pPr>
    <w:rPr>
      <w:b/>
      <w:bCs/>
      <w:kern w:val="44"/>
      <w:sz w:val="44"/>
      <w:szCs w:val="44"/>
    </w:rPr>
  </w:style>
  <w:style w:type="paragraph" w:styleId="4">
    <w:name w:val="heading 2"/>
    <w:basedOn w:val="1"/>
    <w:next w:val="1"/>
    <w:link w:val="21"/>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0"/>
    <w:pPr>
      <w:spacing w:beforeLines="30"/>
    </w:pPr>
    <w:rPr>
      <w:rFonts w:ascii="仿宋_GB2312" w:eastAsia="仿宋_GB2312"/>
      <w:kern w:val="0"/>
      <w:sz w:val="30"/>
    </w:rPr>
  </w:style>
  <w:style w:type="paragraph" w:styleId="6">
    <w:name w:val="Body Text Indent"/>
    <w:basedOn w:val="1"/>
    <w:next w:val="7"/>
    <w:qFormat/>
    <w:uiPriority w:val="0"/>
    <w:pPr>
      <w:spacing w:after="120"/>
      <w:ind w:left="200" w:leftChars="200"/>
    </w:pPr>
    <w:rPr>
      <w:rFonts w:ascii="仿宋_GB2312" w:hAnsi="仿宋_GB2312"/>
      <w:szCs w:val="32"/>
    </w:rPr>
  </w:style>
  <w:style w:type="paragraph" w:styleId="7">
    <w:name w:val="Body Text First Indent 2"/>
    <w:basedOn w:val="6"/>
    <w:next w:val="8"/>
    <w:qFormat/>
    <w:uiPriority w:val="0"/>
    <w:pPr>
      <w:ind w:firstLine="200" w:firstLineChars="200"/>
    </w:pPr>
  </w:style>
  <w:style w:type="paragraph" w:styleId="8">
    <w:name w:val="Plain Text"/>
    <w:basedOn w:val="1"/>
    <w:unhideWhenUsed/>
    <w:qFormat/>
    <w:uiPriority w:val="99"/>
    <w:rPr>
      <w:rFonts w:ascii="宋体" w:hAnsi="Courier New"/>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next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39"/>
    <w:pPr>
      <w:tabs>
        <w:tab w:val="right" w:leader="dot" w:pos="8296"/>
      </w:tabs>
      <w:spacing w:before="93"/>
      <w:jc w:val="center"/>
    </w:pPr>
    <w:rPr>
      <w:rFonts w:ascii="仿宋" w:eastAsia="仿宋"/>
      <w:sz w:val="28"/>
      <w:szCs w:val="28"/>
    </w:rPr>
  </w:style>
  <w:style w:type="paragraph" w:styleId="14">
    <w:name w:val="toc 2"/>
    <w:basedOn w:val="1"/>
    <w:next w:val="1"/>
    <w:qFormat/>
    <w:uiPriority w:val="39"/>
    <w:pPr>
      <w:tabs>
        <w:tab w:val="right" w:leader="dot" w:pos="8296"/>
      </w:tabs>
      <w:ind w:left="200" w:leftChars="200"/>
    </w:pPr>
  </w:style>
  <w:style w:type="paragraph" w:styleId="15">
    <w:name w:val="Normal (Web)"/>
    <w:basedOn w:val="1"/>
    <w:qFormat/>
    <w:uiPriority w:val="99"/>
    <w:pPr>
      <w:spacing w:before="100" w:beforeAutospacing="1" w:after="100" w:afterAutospacing="1"/>
      <w:jc w:val="left"/>
    </w:pPr>
    <w:rPr>
      <w:kern w:val="0"/>
      <w:sz w:val="24"/>
    </w:rPr>
  </w:style>
  <w:style w:type="character" w:styleId="18">
    <w:name w:val="Strong"/>
    <w:basedOn w:val="17"/>
    <w:qFormat/>
    <w:uiPriority w:val="22"/>
    <w:rPr>
      <w:b/>
    </w:rPr>
  </w:style>
  <w:style w:type="character" w:styleId="19">
    <w:name w:val="Hyperlink"/>
    <w:basedOn w:val="17"/>
    <w:qFormat/>
    <w:uiPriority w:val="99"/>
    <w:rPr>
      <w:color w:val="0000FF"/>
      <w:u w:val="single"/>
    </w:rPr>
  </w:style>
  <w:style w:type="character" w:customStyle="1" w:styleId="20">
    <w:name w:val="标题 1 Char"/>
    <w:basedOn w:val="17"/>
    <w:link w:val="3"/>
    <w:qFormat/>
    <w:uiPriority w:val="0"/>
    <w:rPr>
      <w:rFonts w:ascii="Times New Roman" w:hAnsi="Times New Roman" w:eastAsia="宋体" w:cs="Times New Roman"/>
      <w:b/>
      <w:bCs/>
      <w:kern w:val="44"/>
      <w:sz w:val="44"/>
      <w:szCs w:val="44"/>
      <w:lang w:val="en-US" w:eastAsia="zh-CN" w:bidi="ar-SA"/>
    </w:rPr>
  </w:style>
  <w:style w:type="character" w:customStyle="1" w:styleId="21">
    <w:name w:val="标题 2 Char"/>
    <w:basedOn w:val="17"/>
    <w:link w:val="4"/>
    <w:qFormat/>
    <w:uiPriority w:val="0"/>
    <w:rPr>
      <w:rFonts w:ascii="Cambria" w:hAnsi="Cambria" w:eastAsia="宋体" w:cs="Times New Roman"/>
      <w:b/>
      <w:bCs/>
      <w:kern w:val="2"/>
      <w:sz w:val="32"/>
      <w:szCs w:val="32"/>
      <w:lang w:val="en-US" w:eastAsia="zh-CN" w:bidi="ar-SA"/>
    </w:rPr>
  </w:style>
  <w:style w:type="paragraph" w:customStyle="1" w:styleId="22">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3">
    <w:name w:val="Header Char"/>
    <w:basedOn w:val="17"/>
    <w:qFormat/>
    <w:uiPriority w:val="0"/>
    <w:rPr>
      <w:rFonts w:ascii="Times New Roman" w:hAnsi="Times New Roman"/>
      <w:sz w:val="18"/>
      <w:szCs w:val="18"/>
    </w:rPr>
  </w:style>
  <w:style w:type="character" w:customStyle="1" w:styleId="24">
    <w:name w:val="Footer Char"/>
    <w:basedOn w:val="17"/>
    <w:qFormat/>
    <w:uiPriority w:val="0"/>
    <w:rPr>
      <w:rFonts w:ascii="Times New Roman" w:hAnsi="Times New Roman"/>
      <w:sz w:val="18"/>
      <w:szCs w:val="18"/>
    </w:rPr>
  </w:style>
  <w:style w:type="character" w:customStyle="1" w:styleId="25">
    <w:name w:val="Body Text Char"/>
    <w:basedOn w:val="17"/>
    <w:qFormat/>
    <w:uiPriority w:val="0"/>
    <w:rPr>
      <w:rFonts w:ascii="Times New Roman" w:hAnsi="Times New Roman"/>
      <w:szCs w:val="24"/>
    </w:rPr>
  </w:style>
  <w:style w:type="paragraph" w:customStyle="1" w:styleId="26">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7">
    <w:name w:val="List Paragraph"/>
    <w:basedOn w:val="1"/>
    <w:qFormat/>
    <w:uiPriority w:val="0"/>
    <w:pPr>
      <w:ind w:firstLine="200" w:firstLineChars="200"/>
    </w:pPr>
  </w:style>
  <w:style w:type="paragraph" w:customStyle="1" w:styleId="28">
    <w:name w:val="TOC 标题1"/>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29">
    <w:name w:val="TOC 标题2"/>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0">
    <w:name w:val="四号正文"/>
    <w:basedOn w:val="1"/>
    <w:qFormat/>
    <w:uiPriority w:val="0"/>
    <w:pPr>
      <w:spacing w:line="360" w:lineRule="auto"/>
    </w:pPr>
    <w:rPr>
      <w:rFonts w:ascii="??" w:hAnsi="??"/>
      <w:color w:val="000000"/>
      <w:kern w:val="0"/>
      <w:sz w:val="28"/>
      <w:szCs w:val="21"/>
      <w:lang w:val="zh-CN"/>
    </w:rPr>
  </w:style>
  <w:style w:type="paragraph" w:customStyle="1" w:styleId="31">
    <w:name w:val="WPSOffice手动目录 1"/>
    <w:qFormat/>
    <w:uiPriority w:val="0"/>
    <w:rPr>
      <w:rFonts w:ascii="Times New Roman" w:hAnsi="Times New Roman" w:eastAsia="宋体" w:cs="Times New Roman"/>
      <w:lang w:val="en-US" w:eastAsia="zh-CN" w:bidi="ar-SA"/>
    </w:rPr>
  </w:style>
  <w:style w:type="paragraph" w:customStyle="1" w:styleId="3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3">
    <w:name w:val="Heading3"/>
    <w:basedOn w:val="1"/>
    <w:next w:val="1"/>
    <w:qFormat/>
    <w:uiPriority w:val="0"/>
    <w:pPr>
      <w:spacing w:before="104" w:after="104"/>
      <w:jc w:val="both"/>
      <w:textAlignment w:val="baseline"/>
    </w:pPr>
    <w:rPr>
      <w:rFonts w:ascii="Calibri" w:hAnsi="Calibri" w:eastAsia="黑体"/>
      <w:kern w:val="2"/>
      <w:sz w:val="21"/>
      <w:szCs w:val="24"/>
      <w:lang w:val="en-US" w:eastAsia="zh-CN" w:bidi="ar-SA"/>
    </w:rPr>
  </w:style>
  <w:style w:type="paragraph" w:customStyle="1" w:styleId="34">
    <w:name w:val="普通(网站) Char"/>
    <w:basedOn w:val="1"/>
    <w:qFormat/>
    <w:uiPriority w:val="99"/>
    <w:pPr>
      <w:spacing w:before="100" w:beforeAutospacing="1" w:after="100" w:afterAutospacing="1"/>
    </w:p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6.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2192.55</c:v>
                </c:pt>
                <c:pt idx="1">
                  <c:v>1985.2</c:v>
                </c:pt>
              </c:numCache>
            </c:numRef>
          </c:val>
        </c:ser>
        <c:ser>
          <c:idx val="1"/>
          <c:order val="1"/>
          <c:tx>
            <c:strRef>
              <c:f>Sheet1!$C$1</c:f>
              <c:strCache>
                <c:ptCount val="1"/>
                <c:pt idx="0">
                  <c:v>收入</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2192.55</c:v>
                </c:pt>
                <c:pt idx="1">
                  <c:v>1985.2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68373012"/>
        <c:axId val="972475545"/>
      </c:barChart>
      <c:catAx>
        <c:axId val="2683730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72475545"/>
        <c:crosses val="autoZero"/>
        <c:auto val="1"/>
        <c:lblAlgn val="ctr"/>
        <c:lblOffset val="100"/>
        <c:noMultiLvlLbl val="0"/>
      </c:catAx>
      <c:valAx>
        <c:axId val="97247554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8373012"/>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收入决算结构图</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其他收入</c:v>
                </c:pt>
                <c:pt idx="2">
                  <c:v>政府性基金预算财政拨款收入</c:v>
                </c:pt>
                <c:pt idx="3">
                  <c:v>国有资本经营预算财政拨款收入</c:v>
                </c:pt>
              </c:strCache>
            </c:strRef>
          </c:cat>
          <c:val>
            <c:numRef>
              <c:f>Sheet1!$B$2:$B$5</c:f>
              <c:numCache>
                <c:formatCode>General</c:formatCode>
                <c:ptCount val="4"/>
                <c:pt idx="0">
                  <c:v>1985.2</c:v>
                </c:pt>
                <c:pt idx="1">
                  <c:v>0</c:v>
                </c:pt>
                <c:pt idx="2">
                  <c:v>0</c:v>
                </c:pt>
                <c:pt idx="3">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支出决算结构图</a:t>
            </a:r>
          </a:p>
        </c:rich>
      </c:tx>
      <c:layout>
        <c:manualLayout>
          <c:xMode val="edge"/>
          <c:yMode val="edge"/>
          <c:x val="0.38"/>
          <c:y val="0.0215"/>
        </c:manualLayout>
      </c:layout>
      <c:overlay val="0"/>
      <c:spPr>
        <a:noFill/>
        <a:ln>
          <a:noFill/>
        </a:ln>
        <a:effectLst/>
      </c:sp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上缴上级支出</c:v>
                </c:pt>
                <c:pt idx="3">
                  <c:v>经营支出</c:v>
                </c:pt>
              </c:strCache>
            </c:strRef>
          </c:cat>
          <c:val>
            <c:numRef>
              <c:f>Sheet1!$B$2:$B$5</c:f>
              <c:numCache>
                <c:formatCode>General</c:formatCode>
                <c:ptCount val="4"/>
                <c:pt idx="0">
                  <c:v>1105.29</c:v>
                </c:pt>
                <c:pt idx="1">
                  <c:v>506.81</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财政拔款收支上下年变动图</a:t>
            </a:r>
          </a:p>
        </c:rich>
      </c:tx>
      <c:layout/>
      <c:overlay val="0"/>
      <c:spPr>
        <a:noFill/>
        <a:ln>
          <a:noFill/>
        </a:ln>
        <a:effectLst/>
      </c:spPr>
    </c:title>
    <c:autoTitleDeleted val="0"/>
    <c:plotArea>
      <c:layout>
        <c:manualLayout>
          <c:layoutTarget val="inner"/>
          <c:xMode val="edge"/>
          <c:yMode val="edge"/>
          <c:x val="0.0695500869997514"/>
          <c:y val="0.178988888888889"/>
          <c:w val="0.927925"/>
          <c:h val="0.716566666666667"/>
        </c:manualLayout>
      </c:layout>
      <c:barChart>
        <c:barDir val="col"/>
        <c:grouping val="clustered"/>
        <c:varyColors val="0"/>
        <c:ser>
          <c:idx val="0"/>
          <c:order val="0"/>
          <c:tx>
            <c:strRef>
              <c:f>Sheet1!$B$1</c:f>
              <c:strCache>
                <c:ptCount val="1"/>
                <c:pt idx="0">
                  <c:v>财政技款收入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2192.55</c:v>
                </c:pt>
                <c:pt idx="1">
                  <c:v>1985.2</c:v>
                </c:pt>
              </c:numCache>
            </c:numRef>
          </c:val>
        </c:ser>
        <c:ser>
          <c:idx val="1"/>
          <c:order val="1"/>
          <c:tx>
            <c:strRef>
              <c:f>Sheet1!$C$1</c:f>
              <c:strCache>
                <c:ptCount val="1"/>
                <c:pt idx="0">
                  <c:v>财政拔款支出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2192.55</c:v>
                </c:pt>
                <c:pt idx="1">
                  <c:v>1985.2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401664844"/>
        <c:axId val="307858798"/>
      </c:barChart>
      <c:catAx>
        <c:axId val="4016648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7858798"/>
        <c:crosses val="autoZero"/>
        <c:auto val="1"/>
        <c:lblAlgn val="ctr"/>
        <c:lblOffset val="100"/>
        <c:noMultiLvlLbl val="0"/>
      </c:catAx>
      <c:valAx>
        <c:axId val="30785879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1664844"/>
        <c:crosses val="autoZero"/>
        <c:crossBetween val="between"/>
      </c:valAx>
      <c:spPr>
        <a:noFill/>
        <a:ln>
          <a:noFill/>
        </a:ln>
        <a:effectLst/>
      </c:spPr>
    </c:plotArea>
    <c:legend>
      <c:legendPos val="b"/>
      <c:legendEntry>
        <c:idx val="2"/>
        <c:delete val="1"/>
      </c:legendEntry>
      <c:layout>
        <c:manualLayout>
          <c:xMode val="edge"/>
          <c:yMode val="edge"/>
          <c:x val="0.2890625"/>
          <c:y val="0.88955152671755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一般公共预算财政拔款支出上下年变动图</a:t>
            </a:r>
            <a:endParaRPr lang="en-US" altLang="zh-CN"/>
          </a:p>
        </c:rich>
      </c:tx>
      <c:layout/>
      <c:overlay val="0"/>
      <c:spPr>
        <a:noFill/>
        <a:ln>
          <a:noFill/>
        </a:ln>
        <a:effectLst/>
      </c:spPr>
    </c:title>
    <c:autoTitleDeleted val="0"/>
    <c:plotArea>
      <c:layout>
        <c:manualLayout>
          <c:layoutTarget val="inner"/>
          <c:xMode val="edge"/>
          <c:yMode val="edge"/>
          <c:x val="0.0884766722878021"/>
          <c:y val="0.212454212454212"/>
          <c:w val="0.880607082630691"/>
          <c:h val="0.521386306001691"/>
        </c:manualLayout>
      </c:layout>
      <c:barChart>
        <c:barDir val="col"/>
        <c:grouping val="clustered"/>
        <c:varyColors val="0"/>
        <c:ser>
          <c:idx val="0"/>
          <c:order val="0"/>
          <c:tx>
            <c:strRef>
              <c:f>Sheet1!#REF!</c:f>
              <c:strCache>
                <c:ptCount val="1"/>
                <c:pt idx="0">
                  <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1"/>
          <c:order val="1"/>
          <c:tx>
            <c:strRef>
              <c:f>Sheet1!$B$1</c:f>
              <c:strCache>
                <c:ptCount val="1"/>
                <c:pt idx="0">
                  <c:v>一般公共预算财政拔款支出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2192.55</c:v>
                </c:pt>
                <c:pt idx="1">
                  <c:v>1985.2</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02320549"/>
        <c:axId val="839141337"/>
      </c:barChart>
      <c:catAx>
        <c:axId val="70232054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9141337"/>
        <c:crosses val="autoZero"/>
        <c:auto val="1"/>
        <c:lblAlgn val="ctr"/>
        <c:lblOffset val="100"/>
        <c:noMultiLvlLbl val="0"/>
      </c:catAx>
      <c:valAx>
        <c:axId val="83914133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2320549"/>
        <c:crosses val="autoZero"/>
        <c:crossBetween val="between"/>
      </c:valAx>
      <c:spPr>
        <a:noFill/>
        <a:ln>
          <a:noFill/>
        </a:ln>
        <a:effectLst/>
      </c:spPr>
    </c:plotArea>
    <c:legend>
      <c:legendPos val="b"/>
      <c:legendEntry>
        <c:idx val="0"/>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一般公共预算财政拔款支出构成图</a:t>
            </a:r>
            <a:endParaRPr lang="en-US" altLang="zh-CN"/>
          </a:p>
        </c:rich>
      </c:tx>
      <c:layout/>
      <c:overlay val="0"/>
      <c:spPr>
        <a:noFill/>
        <a:ln>
          <a:noFill/>
        </a:ln>
        <a:effectLst/>
      </c:spPr>
    </c:title>
    <c:autoTitleDeleted val="0"/>
    <c:plotArea>
      <c:layout/>
      <c:pieChart>
        <c:varyColors val="1"/>
        <c:ser>
          <c:idx val="0"/>
          <c:order val="0"/>
          <c:tx>
            <c:strRef>
              <c:f>Sheet1!$B$1</c:f>
              <c:strCache>
                <c:ptCount val="1"/>
                <c:pt idx="0">
                  <c:v>一般公共预算财政拔款支出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一般公共服务（类）支出</c:v>
                </c:pt>
                <c:pt idx="1">
                  <c:v>社会保障和就业（类）支出</c:v>
                </c:pt>
                <c:pt idx="2">
                  <c:v>卫生健康支出</c:v>
                </c:pt>
                <c:pt idx="3">
                  <c:v>住房保障</c:v>
                </c:pt>
              </c:strCache>
            </c:strRef>
          </c:cat>
          <c:val>
            <c:numRef>
              <c:f>Sheet1!$B$2:$B$5</c:f>
              <c:numCache>
                <c:formatCode>General</c:formatCode>
                <c:ptCount val="4"/>
                <c:pt idx="0">
                  <c:v>1612.1</c:v>
                </c:pt>
                <c:pt idx="1">
                  <c:v>194.73</c:v>
                </c:pt>
                <c:pt idx="2">
                  <c:v>72.75</c:v>
                </c:pt>
                <c:pt idx="3">
                  <c:v>105.62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 财政拔款“三公”经费支出构成图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因公出国（境）费支出</c:v>
                </c:pt>
                <c:pt idx="1">
                  <c:v>公务用车购置及运行维护费支出</c:v>
                </c:pt>
                <c:pt idx="2">
                  <c:v>公务接待费支出</c:v>
                </c:pt>
              </c:strCache>
            </c:strRef>
          </c:cat>
          <c:val>
            <c:numRef>
              <c:f>Sheet1!$B$2:$B$4</c:f>
              <c:numCache>
                <c:formatCode>General</c:formatCode>
                <c:ptCount val="3"/>
                <c:pt idx="0">
                  <c:v>0</c:v>
                </c:pt>
                <c:pt idx="1">
                  <c:v>34.99</c:v>
                </c:pt>
                <c:pt idx="2">
                  <c:v>0.07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38</Pages>
  <Words>14425</Words>
  <Characters>15751</Characters>
  <Lines>159</Lines>
  <Paragraphs>44</Paragraphs>
  <TotalTime>824</TotalTime>
  <ScaleCrop>false</ScaleCrop>
  <LinksUpToDate>false</LinksUpToDate>
  <CharactersWithSpaces>15840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2023-10-26T11:12:00Z</dcterms:created>
  <dc:creator>曹颖</dc:creator>
  <cp:lastModifiedBy>Administrator</cp:lastModifiedBy>
  <cp:lastPrinted>2026-10-27T08:10:26Z</cp:lastPrinted>
  <dcterms:modified xsi:type="dcterms:W3CDTF">2026-10-27T08:15:41Z</dcterms:modified>
  <dc:title>四川省***</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EBBFD45271F7446B9CFB182048B5F291_13</vt:lpwstr>
  </property>
</Properties>
</file>