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84C01">
      <w:pPr>
        <w:spacing w:line="600" w:lineRule="exact"/>
        <w:jc w:val="center"/>
        <w:outlineLvl w:val="9"/>
        <w:rPr>
          <w:rFonts w:ascii="方正小标宋简体" w:hAnsi="宋体" w:eastAsia="方正小标宋简体"/>
          <w:color w:val="auto"/>
          <w:sz w:val="72"/>
          <w:szCs w:val="72"/>
        </w:rPr>
      </w:pPr>
      <w:bookmarkStart w:id="0" w:name="_Toc15377193"/>
      <w:bookmarkStart w:id="1" w:name="_Toc15378441"/>
      <w:bookmarkStart w:id="2" w:name="_Toc15396597"/>
      <w:bookmarkStart w:id="3" w:name="_Toc15377425"/>
      <w:bookmarkStart w:id="4" w:name="_Toc15396475"/>
      <w:bookmarkStart w:id="5" w:name="_Toc15306267"/>
    </w:p>
    <w:p w14:paraId="07A3A7D9">
      <w:pPr>
        <w:pStyle w:val="9"/>
        <w:spacing w:before="93"/>
        <w:rPr>
          <w:color w:val="auto"/>
        </w:rPr>
      </w:pPr>
    </w:p>
    <w:p w14:paraId="5A1A28E1">
      <w:pPr>
        <w:spacing w:line="600" w:lineRule="exact"/>
        <w:jc w:val="center"/>
        <w:outlineLvl w:val="9"/>
        <w:rPr>
          <w:rFonts w:ascii="方正小标宋简体" w:hAnsi="宋体" w:eastAsia="方正小标宋简体"/>
          <w:color w:val="auto"/>
          <w:sz w:val="72"/>
          <w:szCs w:val="72"/>
        </w:rPr>
      </w:pPr>
    </w:p>
    <w:p w14:paraId="20BBD351">
      <w:pPr>
        <w:spacing w:line="600" w:lineRule="exact"/>
        <w:jc w:val="center"/>
        <w:outlineLvl w:val="9"/>
        <w:rPr>
          <w:rFonts w:ascii="方正小标宋简体" w:hAnsi="宋体" w:eastAsia="方正小标宋简体"/>
          <w:color w:val="auto"/>
          <w:sz w:val="72"/>
          <w:szCs w:val="72"/>
        </w:rPr>
      </w:pPr>
    </w:p>
    <w:p w14:paraId="66B47A4B">
      <w:pPr>
        <w:adjustRightInd w:val="0"/>
        <w:snapToGrid w:val="0"/>
        <w:spacing w:line="360" w:lineRule="auto"/>
        <w:jc w:val="center"/>
        <w:outlineLvl w:val="0"/>
        <w:rPr>
          <w:rFonts w:ascii="方正小标宋简体" w:hAnsi="方正小标宋简体" w:eastAsia="方正小标宋简体" w:cs="方正小标宋简体"/>
          <w:color w:val="auto"/>
          <w:sz w:val="72"/>
          <w:szCs w:val="72"/>
        </w:rPr>
      </w:pPr>
      <w:bookmarkStart w:id="6" w:name="_Toc17648"/>
      <w:bookmarkStart w:id="7" w:name="_Toc2947"/>
      <w:bookmarkStart w:id="8" w:name="_Toc10884"/>
      <w:bookmarkStart w:id="9" w:name="_Toc22508"/>
      <w:r>
        <w:rPr>
          <w:rFonts w:hint="eastAsia" w:ascii="Times New Roman" w:hAnsi="Times New Roman" w:eastAsia="方正仿宋_GBK" w:cs="Times New Roman"/>
          <w:color w:val="auto"/>
          <w:kern w:val="0"/>
          <w:sz w:val="72"/>
          <w:szCs w:val="72"/>
          <w:shd w:val="clear" w:color="auto" w:fill="FFFFFF"/>
          <w:lang w:val="en-US" w:eastAsia="zh-CN" w:bidi="ar"/>
        </w:rPr>
        <w:t>202</w:t>
      </w:r>
      <w:r>
        <w:rPr>
          <w:rFonts w:hint="eastAsia" w:eastAsia="方正仿宋_GBK" w:cs="Times New Roman"/>
          <w:color w:val="auto"/>
          <w:kern w:val="0"/>
          <w:sz w:val="72"/>
          <w:szCs w:val="72"/>
          <w:shd w:val="clear" w:color="auto" w:fill="FFFFFF"/>
          <w:lang w:val="en-US" w:eastAsia="zh-CN" w:bidi="ar"/>
        </w:rPr>
        <w:t>5</w:t>
      </w:r>
      <w:r>
        <w:rPr>
          <w:rFonts w:hint="eastAsia" w:ascii="方正小标宋简体" w:hAnsi="方正小标宋简体" w:eastAsia="方正小标宋简体" w:cs="方正小标宋简体"/>
          <w:color w:val="auto"/>
          <w:sz w:val="72"/>
          <w:szCs w:val="72"/>
        </w:rPr>
        <w:t>年度</w:t>
      </w:r>
      <w:bookmarkEnd w:id="0"/>
      <w:bookmarkEnd w:id="1"/>
      <w:bookmarkEnd w:id="2"/>
      <w:bookmarkEnd w:id="3"/>
      <w:bookmarkEnd w:id="4"/>
      <w:bookmarkEnd w:id="6"/>
      <w:bookmarkEnd w:id="7"/>
      <w:bookmarkEnd w:id="8"/>
      <w:bookmarkEnd w:id="9"/>
    </w:p>
    <w:bookmarkEnd w:id="5"/>
    <w:p w14:paraId="4B60624E">
      <w:pPr>
        <w:adjustRightInd w:val="0"/>
        <w:snapToGrid w:val="0"/>
        <w:spacing w:line="360" w:lineRule="auto"/>
        <w:jc w:val="center"/>
        <w:outlineLvl w:val="0"/>
        <w:rPr>
          <w:rFonts w:hint="eastAsia" w:ascii="方正小标宋简体" w:hAnsi="方正小标宋简体" w:eastAsia="方正小标宋简体" w:cs="方正小标宋简体"/>
          <w:color w:val="auto"/>
          <w:sz w:val="72"/>
          <w:szCs w:val="72"/>
        </w:rPr>
      </w:pPr>
      <w:bookmarkStart w:id="10" w:name="_Toc15377194"/>
      <w:bookmarkStart w:id="11" w:name="_Toc15396476"/>
      <w:bookmarkStart w:id="12" w:name="_Toc24403"/>
      <w:bookmarkStart w:id="13" w:name="_Toc15306268"/>
      <w:bookmarkStart w:id="14" w:name="_Toc32015"/>
      <w:bookmarkStart w:id="15" w:name="_Toc15396598"/>
      <w:bookmarkStart w:id="16" w:name="_Toc32007"/>
      <w:bookmarkStart w:id="17" w:name="_Toc15378442"/>
      <w:bookmarkStart w:id="18" w:name="_Toc15377426"/>
      <w:bookmarkStart w:id="19" w:name="_Toc14646"/>
      <w:r>
        <w:rPr>
          <w:rFonts w:hint="eastAsia" w:ascii="方正小标宋简体" w:hAnsi="方正小标宋简体" w:eastAsia="方正小标宋简体" w:cs="方正小标宋简体"/>
          <w:color w:val="auto"/>
          <w:sz w:val="72"/>
          <w:szCs w:val="72"/>
          <w:lang w:eastAsia="zh-CN"/>
        </w:rPr>
        <w:t>中共红原县委员会宣传部</w:t>
      </w:r>
      <w:r>
        <w:rPr>
          <w:rFonts w:hint="eastAsia" w:ascii="方正小标宋简体" w:hAnsi="方正小标宋简体" w:eastAsia="方正小标宋简体" w:cs="方正小标宋简体"/>
          <w:color w:val="auto"/>
          <w:sz w:val="72"/>
          <w:szCs w:val="72"/>
        </w:rPr>
        <w:t>部门决算</w:t>
      </w:r>
      <w:bookmarkEnd w:id="10"/>
      <w:bookmarkEnd w:id="11"/>
      <w:bookmarkEnd w:id="12"/>
      <w:bookmarkEnd w:id="13"/>
      <w:bookmarkEnd w:id="14"/>
      <w:bookmarkEnd w:id="15"/>
      <w:bookmarkEnd w:id="16"/>
      <w:bookmarkEnd w:id="17"/>
      <w:bookmarkEnd w:id="18"/>
      <w:bookmarkEnd w:id="19"/>
    </w:p>
    <w:p w14:paraId="7EF43556">
      <w:pPr>
        <w:pStyle w:val="20"/>
        <w:rPr>
          <w:rFonts w:hint="eastAsia" w:ascii="方正小标宋简体" w:hAnsi="方正小标宋简体" w:eastAsia="方正小标宋简体" w:cs="方正小标宋简体"/>
          <w:color w:val="auto"/>
          <w:sz w:val="72"/>
          <w:szCs w:val="72"/>
        </w:rPr>
      </w:pPr>
    </w:p>
    <w:p w14:paraId="4AC4665B">
      <w:pPr>
        <w:pStyle w:val="12"/>
        <w:rPr>
          <w:rFonts w:hint="eastAsia" w:ascii="方正小标宋简体" w:hAnsi="方正小标宋简体" w:eastAsia="方正小标宋简体" w:cs="方正小标宋简体"/>
          <w:color w:val="auto"/>
          <w:sz w:val="72"/>
          <w:szCs w:val="72"/>
        </w:rPr>
      </w:pPr>
    </w:p>
    <w:p w14:paraId="6089539C">
      <w:pPr>
        <w:pStyle w:val="12"/>
        <w:rPr>
          <w:rFonts w:hint="eastAsia" w:ascii="方正小标宋简体" w:hAnsi="方正小标宋简体" w:eastAsia="方正小标宋简体" w:cs="方正小标宋简体"/>
          <w:color w:val="auto"/>
          <w:sz w:val="72"/>
          <w:szCs w:val="72"/>
        </w:rPr>
      </w:pPr>
    </w:p>
    <w:p w14:paraId="7CF99D64">
      <w:pPr>
        <w:pStyle w:val="12"/>
        <w:rPr>
          <w:rFonts w:hint="eastAsia" w:ascii="方正小标宋简体" w:hAnsi="方正小标宋简体" w:eastAsia="方正小标宋简体" w:cs="方正小标宋简体"/>
          <w:color w:val="auto"/>
          <w:sz w:val="72"/>
          <w:szCs w:val="72"/>
        </w:rPr>
      </w:pPr>
    </w:p>
    <w:p w14:paraId="617553AE">
      <w:pPr>
        <w:pStyle w:val="19"/>
        <w:wordWrap w:val="0"/>
        <w:spacing w:before="0" w:beforeAutospacing="0" w:after="0" w:afterAutospacing="0" w:line="576" w:lineRule="exact"/>
        <w:ind w:firstLine="640" w:firstLineChars="200"/>
        <w:rPr>
          <w:rFonts w:hint="eastAsia" w:ascii="方正仿宋_GBK" w:hAnsi="方正仿宋_GBK" w:eastAsia="方正仿宋_GBK" w:cs="方正仿宋_GBK"/>
          <w:color w:val="auto"/>
          <w:sz w:val="32"/>
          <w:szCs w:val="32"/>
          <w:shd w:val="clear" w:color="auto" w:fill="FFFFFF"/>
          <w:lang w:bidi="ar"/>
        </w:rPr>
      </w:pPr>
      <w:bookmarkStart w:id="20" w:name="_Toc3192"/>
      <w:bookmarkStart w:id="21" w:name="_Toc17477"/>
      <w:bookmarkStart w:id="22" w:name="_Toc8490"/>
      <w:bookmarkStart w:id="23" w:name="_Toc24061"/>
      <w:bookmarkStart w:id="24" w:name="_Toc30158"/>
      <w:bookmarkStart w:id="25" w:name="_Toc28746"/>
      <w:bookmarkStart w:id="26" w:name="_Toc10042"/>
      <w:bookmarkStart w:id="27" w:name="_Toc14521"/>
      <w:bookmarkStart w:id="28" w:name="_Toc13899"/>
      <w:r>
        <w:rPr>
          <w:rFonts w:hint="eastAsia" w:ascii="方正仿宋_GBK" w:hAnsi="方正仿宋_GBK" w:eastAsia="方正仿宋_GBK" w:cs="方正仿宋_GBK"/>
          <w:color w:val="auto"/>
          <w:sz w:val="32"/>
          <w:szCs w:val="32"/>
          <w:shd w:val="clear" w:color="auto" w:fill="FFFFFF"/>
          <w:lang w:val="en-US" w:eastAsia="zh-CN" w:bidi="ar"/>
        </w:rPr>
        <w:t>保密审查情况：已审查，内容审定</w:t>
      </w:r>
      <w:bookmarkEnd w:id="20"/>
      <w:bookmarkEnd w:id="21"/>
      <w:bookmarkEnd w:id="22"/>
      <w:bookmarkEnd w:id="23"/>
      <w:bookmarkEnd w:id="24"/>
      <w:bookmarkEnd w:id="25"/>
      <w:bookmarkEnd w:id="26"/>
      <w:bookmarkEnd w:id="27"/>
      <w:bookmarkEnd w:id="28"/>
    </w:p>
    <w:p w14:paraId="12BB600B">
      <w:pPr>
        <w:pStyle w:val="19"/>
        <w:wordWrap w:val="0"/>
        <w:spacing w:before="0" w:beforeAutospacing="0" w:after="0" w:afterAutospacing="0" w:line="576" w:lineRule="exact"/>
        <w:ind w:firstLine="640" w:firstLineChars="200"/>
        <w:rPr>
          <w:rFonts w:hint="eastAsia" w:ascii="方正仿宋_GBK" w:hAnsi="方正仿宋_GBK" w:eastAsia="方正仿宋_GBK" w:cs="方正仿宋_GBK"/>
          <w:color w:val="auto"/>
          <w:sz w:val="32"/>
          <w:szCs w:val="32"/>
          <w:shd w:val="clear" w:color="auto" w:fill="FFFFFF"/>
          <w:lang w:bidi="ar"/>
        </w:rPr>
      </w:pPr>
      <w:bookmarkStart w:id="29" w:name="_Toc23851"/>
      <w:bookmarkStart w:id="30" w:name="_Toc23196"/>
      <w:bookmarkStart w:id="31" w:name="_Toc32544"/>
      <w:bookmarkStart w:id="32" w:name="_Toc24561"/>
      <w:bookmarkStart w:id="33" w:name="_Toc2197"/>
      <w:bookmarkStart w:id="34" w:name="_Toc2420"/>
      <w:bookmarkStart w:id="35" w:name="_Toc631"/>
      <w:bookmarkStart w:id="36" w:name="_Toc10088"/>
      <w:bookmarkStart w:id="37" w:name="_Toc29906"/>
      <w:r>
        <w:rPr>
          <w:rFonts w:hint="eastAsia" w:ascii="方正仿宋_GBK" w:hAnsi="方正仿宋_GBK" w:eastAsia="方正仿宋_GBK" w:cs="方正仿宋_GBK"/>
          <w:color w:val="auto"/>
          <w:sz w:val="32"/>
          <w:szCs w:val="32"/>
          <w:shd w:val="clear" w:color="auto" w:fill="FFFFFF"/>
          <w:lang w:val="en-US" w:eastAsia="zh-CN" w:bidi="ar"/>
        </w:rPr>
        <w:t>部门主要负责人审签情况：已审签，同意对外公开</w:t>
      </w:r>
      <w:bookmarkEnd w:id="29"/>
      <w:bookmarkEnd w:id="30"/>
      <w:bookmarkEnd w:id="31"/>
      <w:bookmarkEnd w:id="32"/>
      <w:bookmarkEnd w:id="33"/>
      <w:bookmarkEnd w:id="34"/>
      <w:bookmarkEnd w:id="35"/>
      <w:bookmarkEnd w:id="36"/>
      <w:bookmarkEnd w:id="37"/>
    </w:p>
    <w:p w14:paraId="32FA1A8C">
      <w:pPr>
        <w:spacing w:before="0" w:beforeLines="0" w:after="0" w:afterLines="0" w:line="240" w:lineRule="auto"/>
        <w:ind w:left="0" w:leftChars="0" w:right="0" w:rightChars="0" w:firstLine="0" w:firstLineChars="0"/>
        <w:jc w:val="center"/>
        <w:rPr>
          <w:rFonts w:hint="eastAsia" w:ascii="黑体" w:hAnsi="黑体" w:eastAsia="黑体"/>
          <w:color w:val="auto"/>
          <w:sz w:val="48"/>
          <w:szCs w:val="48"/>
        </w:rPr>
      </w:pPr>
      <w:r>
        <w:rPr>
          <w:rFonts w:ascii="方正小标宋简体" w:hAnsi="宋体" w:eastAsia="方正小标宋简体"/>
          <w:color w:val="auto"/>
          <w:sz w:val="36"/>
          <w:szCs w:val="36"/>
        </w:rPr>
        <w:br w:type="page"/>
      </w:r>
      <w:r>
        <w:rPr>
          <w:rFonts w:hint="eastAsia" w:ascii="黑体" w:hAnsi="黑体" w:eastAsia="黑体"/>
          <w:color w:val="auto"/>
          <w:sz w:val="44"/>
          <w:szCs w:val="44"/>
        </w:rPr>
        <w:t>目录</w:t>
      </w:r>
    </w:p>
    <w:p w14:paraId="37A11586">
      <w:pPr>
        <w:spacing w:before="0" w:beforeLines="0" w:after="0" w:afterLines="0" w:line="240" w:lineRule="auto"/>
        <w:ind w:left="0" w:leftChars="0" w:right="0" w:rightChars="0" w:firstLine="0" w:firstLineChars="0"/>
        <w:jc w:val="center"/>
        <w:rPr>
          <w:color w:val="auto"/>
        </w:rPr>
      </w:pPr>
      <w:r>
        <w:rPr>
          <w:rFonts w:hint="eastAsia" w:ascii="方正仿宋_GBK" w:hAnsi="方正仿宋_GBK" w:eastAsia="方正仿宋_GBK" w:cs="方正仿宋_GBK"/>
          <w:color w:val="auto"/>
          <w:kern w:val="0"/>
          <w:sz w:val="32"/>
          <w:szCs w:val="32"/>
          <w:shd w:val="clear" w:color="auto" w:fill="FFFFFF"/>
          <w:lang w:val="en-US" w:eastAsia="zh-CN" w:bidi="ar"/>
        </w:rPr>
        <w:t>公开时间：</w:t>
      </w:r>
      <w:r>
        <w:rPr>
          <w:rFonts w:hint="eastAsia" w:ascii="Times New Roman" w:hAnsi="Times New Roman" w:eastAsia="方正仿宋_GBK" w:cs="Times New Roman"/>
          <w:color w:val="auto"/>
          <w:kern w:val="0"/>
          <w:sz w:val="32"/>
          <w:szCs w:val="32"/>
          <w:shd w:val="clear" w:color="auto" w:fill="FFFFFF"/>
          <w:lang w:val="en-US" w:eastAsia="zh-CN" w:bidi="ar"/>
        </w:rPr>
        <w:t>202</w:t>
      </w:r>
      <w:r>
        <w:rPr>
          <w:rFonts w:hint="eastAsia" w:eastAsia="方正仿宋_GBK" w:cs="Times New Roman"/>
          <w:color w:val="auto"/>
          <w:kern w:val="0"/>
          <w:sz w:val="32"/>
          <w:szCs w:val="32"/>
          <w:shd w:val="clear" w:color="auto" w:fill="FFFFFF"/>
          <w:lang w:val="en-US" w:eastAsia="zh-CN" w:bidi="ar"/>
        </w:rPr>
        <w:t>6</w:t>
      </w:r>
      <w:r>
        <w:rPr>
          <w:rFonts w:hint="eastAsia" w:ascii="方正仿宋_GBK" w:hAnsi="方正仿宋_GBK" w:eastAsia="方正仿宋_GBK" w:cs="方正仿宋_GBK"/>
          <w:color w:val="auto"/>
          <w:kern w:val="0"/>
          <w:sz w:val="32"/>
          <w:szCs w:val="32"/>
          <w:shd w:val="clear" w:color="auto" w:fill="FFFFFF"/>
          <w:lang w:val="en-US" w:eastAsia="zh-CN" w:bidi="ar"/>
        </w:rPr>
        <w:t>年</w:t>
      </w:r>
      <w:r>
        <w:rPr>
          <w:rFonts w:hint="eastAsia" w:eastAsia="方正仿宋_GBK" w:cs="Times New Roman"/>
          <w:color w:val="auto"/>
          <w:kern w:val="0"/>
          <w:sz w:val="32"/>
          <w:szCs w:val="32"/>
          <w:shd w:val="clear" w:color="auto" w:fill="FFFFFF"/>
          <w:lang w:val="en-US" w:eastAsia="zh-CN" w:bidi="ar"/>
        </w:rPr>
        <w:t>10</w:t>
      </w:r>
      <w:r>
        <w:rPr>
          <w:rFonts w:hint="eastAsia" w:ascii="方正仿宋_GBK" w:hAnsi="方正仿宋_GBK" w:eastAsia="方正仿宋_GBK" w:cs="方正仿宋_GBK"/>
          <w:color w:val="auto"/>
          <w:kern w:val="0"/>
          <w:sz w:val="32"/>
          <w:szCs w:val="32"/>
          <w:shd w:val="clear" w:color="auto" w:fill="FFFFFF"/>
          <w:lang w:val="en-US" w:eastAsia="zh-CN" w:bidi="ar"/>
        </w:rPr>
        <w:t>月</w:t>
      </w:r>
      <w:r>
        <w:rPr>
          <w:rFonts w:hint="eastAsia" w:eastAsia="方正仿宋_GBK" w:cs="Times New Roman"/>
          <w:color w:val="auto"/>
          <w:kern w:val="0"/>
          <w:sz w:val="32"/>
          <w:szCs w:val="32"/>
          <w:shd w:val="clear" w:color="auto" w:fill="FFFFFF"/>
          <w:lang w:val="en-US" w:eastAsia="zh-CN" w:bidi="ar"/>
        </w:rPr>
        <w:t>14</w:t>
      </w:r>
      <w:r>
        <w:rPr>
          <w:rFonts w:hint="eastAsia" w:ascii="方正仿宋_GBK" w:hAnsi="方正仿宋_GBK" w:eastAsia="方正仿宋_GBK" w:cs="方正仿宋_GBK"/>
          <w:color w:val="auto"/>
          <w:kern w:val="0"/>
          <w:sz w:val="32"/>
          <w:szCs w:val="32"/>
          <w:shd w:val="clear" w:color="auto" w:fill="FFFFFF"/>
          <w:lang w:val="en-US" w:eastAsia="zh-CN" w:bidi="ar"/>
        </w:rPr>
        <w:t>日</w:t>
      </w:r>
    </w:p>
    <w:sdt>
      <w:sdtPr>
        <w:rPr>
          <w:rFonts w:ascii="宋体" w:hAnsi="宋体" w:eastAsia="宋体" w:cs="Times New Roman"/>
          <w:color w:val="auto"/>
          <w:kern w:val="2"/>
          <w:sz w:val="21"/>
          <w:szCs w:val="24"/>
          <w:lang w:val="en-US" w:eastAsia="zh-CN" w:bidi="ar-SA"/>
        </w:rPr>
        <w:id w:val="147456938"/>
        <w15:color w:val="DBDBDB"/>
        <w:docPartObj>
          <w:docPartGallery w:val="Table of Contents"/>
          <w:docPartUnique/>
        </w:docPartObj>
      </w:sdtPr>
      <w:sdtEndPr>
        <w:rPr>
          <w:rFonts w:hint="eastAsia" w:ascii="宋体" w:hAnsi="宋体" w:eastAsia="宋体" w:cs="Courier New"/>
          <w:color w:val="auto"/>
          <w:kern w:val="0"/>
          <w:sz w:val="24"/>
          <w:szCs w:val="24"/>
          <w:lang w:val="en-US" w:eastAsia="zh-CN" w:bidi="ar"/>
        </w:rPr>
      </w:sdtEndPr>
      <w:sdtContent>
        <w:p w14:paraId="049EA9AC">
          <w:pPr>
            <w:spacing w:before="0" w:beforeLines="0" w:after="0" w:afterLines="0" w:line="240" w:lineRule="auto"/>
            <w:ind w:left="0" w:leftChars="0" w:right="0" w:rightChars="0" w:firstLine="0" w:firstLineChars="0"/>
            <w:jc w:val="center"/>
            <w:rPr>
              <w:color w:val="auto"/>
            </w:rPr>
          </w:pPr>
        </w:p>
        <w:p w14:paraId="055CA80A">
          <w:pPr>
            <w:pStyle w:val="16"/>
            <w:tabs>
              <w:tab w:val="right" w:leader="dot" w:pos="8306"/>
              <w:tab w:val="clear" w:pos="8296"/>
            </w:tabs>
            <w:rPr>
              <w:rFonts w:hint="eastAsia" w:ascii="方正仿宋_GBK" w:hAnsi="方正仿宋_GBK" w:eastAsia="方正仿宋_GBK" w:cs="方正仿宋_GBK"/>
              <w:color w:val="auto"/>
              <w:sz w:val="32"/>
              <w:szCs w:val="32"/>
            </w:rPr>
          </w:pPr>
          <w:r>
            <w:rPr>
              <w:rFonts w:hint="eastAsia" w:ascii="宋体" w:hAnsi="宋体" w:eastAsia="宋体" w:cs="Courier New"/>
              <w:b/>
              <w:color w:val="auto"/>
              <w:kern w:val="0"/>
              <w:sz w:val="24"/>
              <w:szCs w:val="24"/>
              <w:lang w:val="en-US" w:eastAsia="zh-CN" w:bidi="ar"/>
            </w:rPr>
            <w:fldChar w:fldCharType="begin"/>
          </w:r>
          <w:r>
            <w:rPr>
              <w:rFonts w:hint="eastAsia" w:ascii="宋体" w:hAnsi="宋体" w:eastAsia="宋体" w:cs="Courier New"/>
              <w:b/>
              <w:color w:val="auto"/>
              <w:kern w:val="0"/>
              <w:sz w:val="24"/>
              <w:szCs w:val="24"/>
              <w:lang w:val="en-US" w:eastAsia="zh-CN" w:bidi="ar"/>
            </w:rPr>
            <w:instrText xml:space="preserve">TOC \o "1-2" \h \u </w:instrText>
          </w:r>
          <w:r>
            <w:rPr>
              <w:rFonts w:hint="eastAsia" w:ascii="宋体" w:hAnsi="宋体" w:eastAsia="宋体" w:cs="Courier New"/>
              <w:b/>
              <w:color w:val="auto"/>
              <w:kern w:val="0"/>
              <w:sz w:val="24"/>
              <w:szCs w:val="24"/>
              <w:lang w:val="en-US" w:eastAsia="zh-CN" w:bidi="ar"/>
            </w:rPr>
            <w:fldChar w:fldCharType="separate"/>
          </w: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_Toc2947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kern w:val="0"/>
              <w:sz w:val="32"/>
              <w:szCs w:val="32"/>
              <w:shd w:val="clear" w:color="auto" w:fill="FFFFFF"/>
              <w:lang w:val="en-US" w:eastAsia="zh-CN" w:bidi="ar"/>
            </w:rPr>
            <w:t>2025</w:t>
          </w:r>
          <w:r>
            <w:rPr>
              <w:rFonts w:hint="eastAsia" w:ascii="方正仿宋_GBK" w:hAnsi="方正仿宋_GBK" w:eastAsia="方正仿宋_GBK" w:cs="方正仿宋_GBK"/>
              <w:color w:val="auto"/>
              <w:sz w:val="32"/>
              <w:szCs w:val="32"/>
            </w:rPr>
            <w:t>年度</w:t>
          </w:r>
          <w:r>
            <w:rPr>
              <w:rFonts w:hint="eastAsia" w:ascii="方正仿宋_GBK" w:hAnsi="方正仿宋_GBK" w:eastAsia="方正仿宋_GBK" w:cs="方正仿宋_GBK"/>
              <w:color w:val="auto"/>
              <w:kern w:val="0"/>
              <w:sz w:val="32"/>
              <w:szCs w:val="32"/>
              <w:lang w:val="en-US" w:eastAsia="zh-CN" w:bidi="ar"/>
            </w:rPr>
            <w:fldChar w:fldCharType="end"/>
          </w: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_Toc14646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lang w:eastAsia="zh-CN"/>
            </w:rPr>
            <w:t>中共红原县委员会宣传部</w:t>
          </w:r>
          <w:r>
            <w:rPr>
              <w:rFonts w:hint="eastAsia" w:ascii="方正仿宋_GBK" w:hAnsi="方正仿宋_GBK" w:eastAsia="方正仿宋_GBK" w:cs="方正仿宋_GBK"/>
              <w:color w:val="auto"/>
              <w:sz w:val="32"/>
              <w:szCs w:val="32"/>
            </w:rPr>
            <w:t>部门决算</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_Toc14646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09DD2339">
          <w:pPr>
            <w:pStyle w:val="16"/>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_Toc31165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b/>
              <w:bCs/>
              <w:color w:val="auto"/>
              <w:sz w:val="32"/>
              <w:szCs w:val="32"/>
            </w:rPr>
            <w:t>第一部分 部门概况</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_Toc31165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6E1B0817">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_Toc7991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shd w:val="clear" w:color="auto" w:fill="FFFFFF"/>
            </w:rPr>
            <w:t>一、部门职责</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_Toc7991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6F77C7F2">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_Toc28106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shd w:val="clear" w:color="auto" w:fill="FFFFFF"/>
              <w:lang w:eastAsia="zh-CN"/>
            </w:rPr>
            <w:t>二、</w:t>
          </w:r>
          <w:r>
            <w:rPr>
              <w:rFonts w:hint="eastAsia" w:ascii="方正仿宋_GBK" w:hAnsi="方正仿宋_GBK" w:eastAsia="方正仿宋_GBK" w:cs="方正仿宋_GBK"/>
              <w:color w:val="auto"/>
              <w:sz w:val="32"/>
              <w:szCs w:val="32"/>
              <w:shd w:val="clear" w:color="auto" w:fill="FFFFFF"/>
            </w:rPr>
            <w:t>当年取得的主要事业成效。</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_Toc28106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1DEB5C39">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_Toc10362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shd w:val="clear" w:color="auto" w:fill="FFFFFF"/>
              <w:lang w:eastAsia="zh-CN"/>
            </w:rPr>
            <w:t>三、机构设置</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_Toc10362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4CFC14A0">
          <w:pPr>
            <w:pStyle w:val="16"/>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_Toc6878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b/>
              <w:bCs/>
              <w:color w:val="auto"/>
              <w:sz w:val="32"/>
              <w:szCs w:val="32"/>
            </w:rPr>
            <w:t xml:space="preserve">第二部分 </w:t>
          </w:r>
          <w:r>
            <w:rPr>
              <w:rFonts w:hint="eastAsia" w:ascii="方正仿宋_GBK" w:hAnsi="方正仿宋_GBK" w:eastAsia="方正仿宋_GBK" w:cs="方正仿宋_GBK"/>
              <w:b/>
              <w:bCs/>
              <w:color w:val="auto"/>
              <w:sz w:val="32"/>
              <w:szCs w:val="32"/>
              <w:lang w:val="en-US" w:eastAsia="zh-CN"/>
            </w:rPr>
            <w:t>2025</w:t>
          </w:r>
          <w:r>
            <w:rPr>
              <w:rFonts w:hint="eastAsia" w:ascii="方正仿宋_GBK" w:hAnsi="方正仿宋_GBK" w:eastAsia="方正仿宋_GBK" w:cs="方正仿宋_GBK"/>
              <w:b/>
              <w:bCs/>
              <w:color w:val="auto"/>
              <w:sz w:val="32"/>
              <w:szCs w:val="32"/>
            </w:rPr>
            <w:t>年度部门决算情况说明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_Toc6878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6</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2ADBF58C">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_Toc23369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收入支出决算总体情况说明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_Toc23369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6</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06C42EAF">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_Toc5747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收入决算情况说明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_Toc5747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7</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2A789962">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_Toc26149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支出决算情况说明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_Toc26149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8</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3AF0A573">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_Toc20529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lang w:eastAsia="zh-CN"/>
            </w:rPr>
            <w:t>四、</w:t>
          </w:r>
          <w:r>
            <w:rPr>
              <w:rFonts w:hint="eastAsia" w:ascii="方正仿宋_GBK" w:hAnsi="方正仿宋_GBK" w:eastAsia="方正仿宋_GBK" w:cs="方正仿宋_GBK"/>
              <w:color w:val="auto"/>
              <w:sz w:val="32"/>
              <w:szCs w:val="32"/>
            </w:rPr>
            <w:t>财政拨款收入支出决算总体情况说明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_Toc20529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8</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44C76132">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_Toc12440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highlight w:val="none"/>
            </w:rPr>
            <w:t>五、一般公共预算财政拨款支出决算情况说明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_Toc12440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9</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31B57B29">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_Toc30193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rPr>
            <w:t>六、一般公共预算财政拨款基本支出决算情况说明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_Toc30193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12</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264F2485">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_Toc27561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rPr>
            <w:t>七、财政拨款“三公”经费支出决算情况说明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_Toc27561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12</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69F35D4E">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_Toc3308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rPr>
            <w:t>八、政府性基金预算支出决算情况说明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_Toc3308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14</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6BFB12A4">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_Toc26317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rPr>
            <w:t>九、 国有资本经营预算支出决算情况说明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_Toc26317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14</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5A8A345F">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_Toc4444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rPr>
            <w:t>十、 其他重要事项的情况说明</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_Toc4444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14</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6D7AD161">
          <w:pPr>
            <w:pStyle w:val="16"/>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_Toc21900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b/>
              <w:bCs/>
              <w:color w:val="auto"/>
              <w:sz w:val="32"/>
              <w:szCs w:val="32"/>
            </w:rPr>
            <w:t>第三部分 名词解释</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_Toc21900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15</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10A9509A">
          <w:pPr>
            <w:pStyle w:val="16"/>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_Toc14352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b/>
              <w:bCs/>
              <w:color w:val="auto"/>
              <w:sz w:val="32"/>
              <w:szCs w:val="32"/>
            </w:rPr>
            <w:t>第四部分 附件</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_Toc14352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17</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62817416">
          <w:pPr>
            <w:pStyle w:val="18"/>
            <w:tabs>
              <w:tab w:val="right" w:leader="dot" w:pos="8306"/>
              <w:tab w:val="clear" w:pos="8296"/>
            </w:tabs>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_Toc21307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color w:val="auto"/>
              <w:sz w:val="32"/>
              <w:szCs w:val="32"/>
            </w:rPr>
            <w:t>附件1</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_Toc21307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17</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789CD988">
          <w:pPr>
            <w:pStyle w:val="16"/>
            <w:tabs>
              <w:tab w:val="right" w:leader="dot" w:pos="8306"/>
              <w:tab w:val="clear" w:pos="8296"/>
            </w:tabs>
            <w:rPr>
              <w:color w:val="auto"/>
            </w:rPr>
          </w:pPr>
          <w:r>
            <w:rPr>
              <w:rFonts w:hint="eastAsia" w:ascii="方正仿宋_GBK" w:hAnsi="方正仿宋_GBK" w:eastAsia="方正仿宋_GBK" w:cs="方正仿宋_GBK"/>
              <w:color w:val="auto"/>
              <w:kern w:val="0"/>
              <w:sz w:val="32"/>
              <w:szCs w:val="32"/>
              <w:lang w:val="en-US" w:eastAsia="zh-CN" w:bidi="ar"/>
            </w:rPr>
            <w:fldChar w:fldCharType="begin"/>
          </w:r>
          <w:r>
            <w:rPr>
              <w:rFonts w:hint="eastAsia" w:ascii="方正仿宋_GBK" w:hAnsi="方正仿宋_GBK" w:eastAsia="方正仿宋_GBK" w:cs="方正仿宋_GBK"/>
              <w:color w:val="auto"/>
              <w:kern w:val="0"/>
              <w:sz w:val="32"/>
              <w:szCs w:val="32"/>
              <w:lang w:val="en-US" w:eastAsia="zh-CN" w:bidi="ar"/>
            </w:rPr>
            <w:instrText xml:space="preserve"> HYPERLINK \l _Toc26592 </w:instrText>
          </w:r>
          <w:r>
            <w:rPr>
              <w:rFonts w:hint="eastAsia" w:ascii="方正仿宋_GBK" w:hAnsi="方正仿宋_GBK" w:eastAsia="方正仿宋_GBK" w:cs="方正仿宋_GBK"/>
              <w:color w:val="auto"/>
              <w:kern w:val="0"/>
              <w:sz w:val="32"/>
              <w:szCs w:val="32"/>
              <w:lang w:val="en-US" w:eastAsia="zh-CN" w:bidi="ar"/>
            </w:rPr>
            <w:fldChar w:fldCharType="separate"/>
          </w:r>
          <w:r>
            <w:rPr>
              <w:rFonts w:hint="eastAsia" w:ascii="方正仿宋_GBK" w:hAnsi="方正仿宋_GBK" w:eastAsia="方正仿宋_GBK" w:cs="方正仿宋_GBK"/>
              <w:b/>
              <w:bCs/>
              <w:color w:val="auto"/>
              <w:sz w:val="32"/>
              <w:szCs w:val="32"/>
            </w:rPr>
            <w:t>附表</w:t>
          </w:r>
          <w:r>
            <w:rPr>
              <w:rFonts w:hint="eastAsia" w:ascii="方正仿宋_GBK" w:hAnsi="方正仿宋_GBK" w:eastAsia="方正仿宋_GBK" w:cs="方正仿宋_GBK"/>
              <w:color w:val="auto"/>
              <w:sz w:val="32"/>
              <w:szCs w:val="32"/>
            </w:rPr>
            <w:tab/>
          </w:r>
          <w:r>
            <w:rPr>
              <w:rFonts w:hint="eastAsia" w:ascii="方正仿宋_GBK" w:hAnsi="方正仿宋_GBK" w:eastAsia="方正仿宋_GBK" w:cs="方正仿宋_GBK"/>
              <w:color w:val="auto"/>
              <w:sz w:val="32"/>
              <w:szCs w:val="32"/>
            </w:rPr>
            <w:fldChar w:fldCharType="begin"/>
          </w:r>
          <w:r>
            <w:rPr>
              <w:rFonts w:hint="eastAsia" w:ascii="方正仿宋_GBK" w:hAnsi="方正仿宋_GBK" w:eastAsia="方正仿宋_GBK" w:cs="方正仿宋_GBK"/>
              <w:color w:val="auto"/>
              <w:sz w:val="32"/>
              <w:szCs w:val="32"/>
            </w:rPr>
            <w:instrText xml:space="preserve"> PAGEREF _Toc26592 \h </w:instrText>
          </w:r>
          <w:r>
            <w:rPr>
              <w:rFonts w:hint="eastAsia" w:ascii="方正仿宋_GBK" w:hAnsi="方正仿宋_GBK" w:eastAsia="方正仿宋_GBK" w:cs="方正仿宋_GBK"/>
              <w:color w:val="auto"/>
              <w:sz w:val="32"/>
              <w:szCs w:val="32"/>
            </w:rPr>
            <w:fldChar w:fldCharType="separate"/>
          </w:r>
          <w:r>
            <w:rPr>
              <w:rFonts w:hint="eastAsia" w:ascii="方正仿宋_GBK" w:hAnsi="方正仿宋_GBK" w:eastAsia="方正仿宋_GBK" w:cs="方正仿宋_GBK"/>
              <w:color w:val="auto"/>
              <w:sz w:val="32"/>
              <w:szCs w:val="32"/>
            </w:rPr>
            <w:t>24</w:t>
          </w:r>
          <w:r>
            <w:rPr>
              <w:rFonts w:hint="eastAsia" w:ascii="方正仿宋_GBK" w:hAnsi="方正仿宋_GBK" w:eastAsia="方正仿宋_GBK" w:cs="方正仿宋_GBK"/>
              <w:color w:val="auto"/>
              <w:sz w:val="32"/>
              <w:szCs w:val="32"/>
            </w:rPr>
            <w:fldChar w:fldCharType="end"/>
          </w:r>
          <w:r>
            <w:rPr>
              <w:rFonts w:hint="eastAsia" w:ascii="方正仿宋_GBK" w:hAnsi="方正仿宋_GBK" w:eastAsia="方正仿宋_GBK" w:cs="方正仿宋_GBK"/>
              <w:color w:val="auto"/>
              <w:kern w:val="0"/>
              <w:sz w:val="32"/>
              <w:szCs w:val="32"/>
              <w:lang w:val="en-US" w:eastAsia="zh-CN" w:bidi="ar"/>
            </w:rPr>
            <w:fldChar w:fldCharType="end"/>
          </w:r>
        </w:p>
        <w:p w14:paraId="48CAC52F">
          <w:pPr>
            <w:pStyle w:val="12"/>
            <w:rPr>
              <w:rFonts w:hint="eastAsia" w:ascii="宋体" w:hAnsi="宋体" w:eastAsia="宋体" w:cs="Courier New"/>
              <w:color w:val="auto"/>
              <w:kern w:val="0"/>
              <w:szCs w:val="24"/>
              <w:lang w:val="en-US" w:eastAsia="zh-CN" w:bidi="ar"/>
            </w:rPr>
          </w:pPr>
          <w:r>
            <w:rPr>
              <w:rFonts w:hint="eastAsia" w:ascii="宋体" w:hAnsi="宋体" w:eastAsia="宋体" w:cs="Courier New"/>
              <w:color w:val="auto"/>
              <w:kern w:val="0"/>
              <w:szCs w:val="24"/>
              <w:lang w:val="en-US" w:eastAsia="zh-CN" w:bidi="ar"/>
            </w:rPr>
            <w:fldChar w:fldCharType="end"/>
          </w:r>
        </w:p>
        <w:p w14:paraId="39531D88">
          <w:pPr>
            <w:pStyle w:val="12"/>
            <w:rPr>
              <w:rFonts w:hint="eastAsia" w:ascii="宋体" w:hAnsi="宋体" w:eastAsia="宋体" w:cs="Courier New"/>
              <w:color w:val="auto"/>
              <w:kern w:val="0"/>
              <w:szCs w:val="24"/>
              <w:lang w:val="en-US" w:eastAsia="zh-CN" w:bidi="ar"/>
            </w:rPr>
          </w:pPr>
        </w:p>
        <w:p w14:paraId="3676CE99">
          <w:pPr>
            <w:pStyle w:val="12"/>
            <w:rPr>
              <w:rFonts w:hint="eastAsia" w:ascii="宋体" w:hAnsi="宋体" w:eastAsia="宋体" w:cs="Courier New"/>
              <w:color w:val="auto"/>
              <w:kern w:val="0"/>
              <w:szCs w:val="24"/>
              <w:lang w:val="en-US" w:eastAsia="zh-CN" w:bidi="ar"/>
            </w:rPr>
          </w:pPr>
        </w:p>
        <w:p w14:paraId="0FE511E4">
          <w:pPr>
            <w:pStyle w:val="12"/>
            <w:rPr>
              <w:rFonts w:hint="eastAsia" w:ascii="宋体" w:hAnsi="宋体" w:eastAsia="宋体" w:cs="Courier New"/>
              <w:color w:val="auto"/>
              <w:kern w:val="0"/>
              <w:sz w:val="24"/>
              <w:szCs w:val="24"/>
              <w:lang w:val="en-US" w:eastAsia="zh-CN" w:bidi="ar"/>
            </w:rPr>
          </w:pPr>
        </w:p>
      </w:sdtContent>
    </w:sdt>
    <w:p w14:paraId="1A7BA59A">
      <w:pPr>
        <w:pStyle w:val="3"/>
        <w:jc w:val="center"/>
        <w:rPr>
          <w:rStyle w:val="44"/>
          <w:rFonts w:hint="eastAsia" w:ascii="黑体" w:eastAsia="黑体"/>
          <w:b w:val="0"/>
          <w:bCs w:val="0"/>
          <w:color w:val="auto"/>
        </w:rPr>
      </w:pPr>
      <w:bookmarkStart w:id="38" w:name="_Toc31165"/>
    </w:p>
    <w:p w14:paraId="52CF93C0">
      <w:pPr>
        <w:pStyle w:val="3"/>
        <w:jc w:val="center"/>
        <w:rPr>
          <w:rStyle w:val="44"/>
          <w:rFonts w:hint="eastAsia" w:ascii="黑体" w:eastAsia="黑体"/>
          <w:b w:val="0"/>
          <w:bCs w:val="0"/>
          <w:color w:val="auto"/>
        </w:rPr>
      </w:pPr>
      <w:r>
        <w:rPr>
          <w:rStyle w:val="44"/>
          <w:rFonts w:hint="eastAsia" w:ascii="黑体" w:eastAsia="黑体"/>
          <w:b w:val="0"/>
          <w:bCs w:val="0"/>
          <w:color w:val="auto"/>
        </w:rPr>
        <w:t>第一部分 部门概况</w:t>
      </w:r>
      <w:bookmarkEnd w:id="38"/>
    </w:p>
    <w:p w14:paraId="4838D2CC">
      <w:pPr>
        <w:pStyle w:val="18"/>
        <w:keepNext w:val="0"/>
        <w:keepLines w:val="0"/>
        <w:pageBreakBefore w:val="0"/>
        <w:kinsoku/>
        <w:overflowPunct/>
        <w:topLinePunct w:val="0"/>
        <w:autoSpaceDE/>
        <w:autoSpaceDN/>
        <w:bidi w:val="0"/>
        <w:adjustRightInd w:val="0"/>
        <w:snapToGrid w:val="0"/>
        <w:spacing w:line="554" w:lineRule="exact"/>
        <w:ind w:left="0" w:leftChars="0" w:firstLine="0" w:firstLineChars="0"/>
        <w:jc w:val="left"/>
        <w:textAlignment w:val="auto"/>
        <w:outlineLvl w:val="1"/>
        <w:rPr>
          <w:rStyle w:val="42"/>
          <w:rFonts w:hint="eastAsia" w:ascii="仿宋" w:hAnsi="仿宋" w:eastAsia="仿宋" w:cs="仿宋"/>
          <w:color w:val="auto"/>
          <w:sz w:val="30"/>
          <w:szCs w:val="30"/>
          <w:shd w:val="clear" w:color="auto" w:fill="FFFFFF"/>
        </w:rPr>
      </w:pPr>
      <w:bookmarkStart w:id="39" w:name="_Toc7991"/>
      <w:r>
        <w:rPr>
          <w:rStyle w:val="42"/>
          <w:rFonts w:hint="eastAsia" w:ascii="仿宋" w:hAnsi="仿宋" w:eastAsia="仿宋" w:cs="仿宋"/>
          <w:color w:val="auto"/>
          <w:sz w:val="30"/>
          <w:szCs w:val="30"/>
          <w:shd w:val="clear" w:color="auto" w:fill="FFFFFF"/>
        </w:rPr>
        <w:t>一、部门职责</w:t>
      </w:r>
      <w:bookmarkEnd w:id="39"/>
    </w:p>
    <w:p w14:paraId="49DD08B9">
      <w:pPr>
        <w:pStyle w:val="19"/>
        <w:keepNext w:val="0"/>
        <w:keepLines w:val="0"/>
        <w:pageBreakBefore w:val="0"/>
        <w:kinsoku/>
        <w:wordWrap w:val="0"/>
        <w:overflowPunct/>
        <w:topLinePunct w:val="0"/>
        <w:autoSpaceDE/>
        <w:autoSpaceDN/>
        <w:bidi w:val="0"/>
        <w:spacing w:before="0" w:beforeAutospacing="0" w:after="0" w:afterAutospacing="0" w:line="554" w:lineRule="exact"/>
        <w:ind w:firstLine="640" w:firstLineChars="200"/>
        <w:textAlignment w:val="auto"/>
        <w:rPr>
          <w:rFonts w:hint="eastAsia" w:ascii="方正仿宋_GBK" w:hAnsi="方正仿宋_GBK" w:eastAsia="方正仿宋_GBK" w:cs="方正仿宋_GBK"/>
          <w:color w:val="auto"/>
          <w:sz w:val="32"/>
          <w:szCs w:val="32"/>
          <w:shd w:val="clear" w:color="auto" w:fill="FFFFFF"/>
          <w:lang w:bidi="ar"/>
        </w:rPr>
      </w:pPr>
      <w:r>
        <w:rPr>
          <w:rFonts w:hint="eastAsia" w:ascii="方正仿宋_GBK" w:hAnsi="方正仿宋_GBK" w:eastAsia="方正仿宋_GBK" w:cs="方正仿宋_GBK"/>
          <w:color w:val="auto"/>
          <w:sz w:val="32"/>
          <w:szCs w:val="32"/>
          <w:shd w:val="clear" w:color="auto" w:fill="FFFFFF"/>
          <w:lang w:bidi="ar"/>
        </w:rPr>
        <w:t>县委宣传部是县委主管意识形态方面工作的综合职能部门。主要职责是：</w:t>
      </w:r>
    </w:p>
    <w:p w14:paraId="3F882B24">
      <w:pPr>
        <w:pStyle w:val="9"/>
        <w:adjustRightInd w:val="0"/>
        <w:snapToGrid w:val="0"/>
        <w:spacing w:before="93" w:line="600" w:lineRule="exact"/>
        <w:ind w:firstLine="640" w:firstLineChars="200"/>
        <w:outlineLvl w:val="2"/>
        <w:rPr>
          <w:rFonts w:hint="eastAsia" w:ascii="仿宋_GB2312" w:hAnsi="仿宋_GB2312" w:eastAsia="仿宋_GB2312" w:cs="仿宋_GB2312"/>
          <w:bCs/>
          <w:color w:val="auto"/>
          <w:sz w:val="32"/>
          <w:szCs w:val="32"/>
        </w:rPr>
      </w:pPr>
      <w:r>
        <w:rPr>
          <w:rFonts w:hint="eastAsia" w:hAnsi="仿宋_GB2312" w:cs="仿宋_GB2312"/>
          <w:bCs/>
          <w:color w:val="auto"/>
          <w:sz w:val="32"/>
          <w:szCs w:val="32"/>
          <w:lang w:val="en-US" w:eastAsia="zh-CN"/>
        </w:rPr>
        <w:t>一是</w:t>
      </w:r>
      <w:r>
        <w:rPr>
          <w:rFonts w:hint="eastAsia" w:ascii="仿宋_GB2312" w:hAnsi="仿宋_GB2312" w:eastAsia="仿宋_GB2312" w:cs="仿宋_GB2312"/>
          <w:bCs/>
          <w:color w:val="auto"/>
          <w:sz w:val="32"/>
          <w:szCs w:val="32"/>
        </w:rPr>
        <w:t>负责组织、指导全县的理论研究、理论学习和理论宣传工作。</w:t>
      </w:r>
      <w:r>
        <w:rPr>
          <w:rFonts w:hint="eastAsia" w:hAnsi="仿宋_GB2312" w:cs="仿宋_GB2312"/>
          <w:bCs/>
          <w:color w:val="auto"/>
          <w:sz w:val="32"/>
          <w:szCs w:val="32"/>
          <w:lang w:val="en-US" w:eastAsia="zh-CN"/>
        </w:rPr>
        <w:t>二是</w:t>
      </w:r>
      <w:r>
        <w:rPr>
          <w:rFonts w:hint="eastAsia" w:ascii="仿宋_GB2312" w:hAnsi="仿宋_GB2312" w:eastAsia="仿宋_GB2312" w:cs="仿宋_GB2312"/>
          <w:bCs/>
          <w:color w:val="auto"/>
          <w:sz w:val="32"/>
          <w:szCs w:val="32"/>
        </w:rPr>
        <w:t>负责引导社会舆论，指导协调新闻、出版部门的工作。对县广播电视局、县文化体育局、县新闻出版工作实施方案方针政策指导，管理县记者协会，并在政治方向和方针政策方面实施领导。</w:t>
      </w:r>
      <w:r>
        <w:rPr>
          <w:rFonts w:hint="eastAsia" w:hAnsi="仿宋_GB2312" w:cs="仿宋_GB2312"/>
          <w:bCs/>
          <w:color w:val="auto"/>
          <w:sz w:val="32"/>
          <w:szCs w:val="32"/>
          <w:lang w:val="en-US" w:eastAsia="zh-CN"/>
        </w:rPr>
        <w:t>三是</w:t>
      </w:r>
      <w:r>
        <w:rPr>
          <w:rFonts w:hint="eastAsia" w:ascii="仿宋_GB2312" w:hAnsi="仿宋_GB2312" w:eastAsia="仿宋_GB2312" w:cs="仿宋_GB2312"/>
          <w:bCs/>
          <w:color w:val="auto"/>
          <w:sz w:val="32"/>
          <w:szCs w:val="32"/>
        </w:rPr>
        <w:t>负责规划、部署全局性的思想政治工作任务，会同有关部门研究和改进群众思想教育工作。</w:t>
      </w:r>
      <w:r>
        <w:rPr>
          <w:rFonts w:hint="eastAsia" w:hAnsi="仿宋_GB2312" w:cs="仿宋_GB2312"/>
          <w:bCs/>
          <w:color w:val="auto"/>
          <w:sz w:val="32"/>
          <w:szCs w:val="32"/>
          <w:lang w:val="en-US" w:eastAsia="zh-CN"/>
        </w:rPr>
        <w:t>四是</w:t>
      </w:r>
      <w:r>
        <w:rPr>
          <w:rFonts w:hint="eastAsia" w:ascii="仿宋_GB2312" w:hAnsi="仿宋_GB2312" w:eastAsia="仿宋_GB2312" w:cs="仿宋_GB2312"/>
          <w:bCs/>
          <w:color w:val="auto"/>
          <w:sz w:val="32"/>
          <w:szCs w:val="32"/>
        </w:rPr>
        <w:t>负责指导、协调全县精神文明建设活动的开展。</w:t>
      </w:r>
      <w:r>
        <w:rPr>
          <w:rFonts w:hint="eastAsia" w:hAnsi="仿宋_GB2312" w:cs="仿宋_GB2312"/>
          <w:bCs/>
          <w:color w:val="auto"/>
          <w:sz w:val="32"/>
          <w:szCs w:val="32"/>
          <w:lang w:val="en-US" w:eastAsia="zh-CN"/>
        </w:rPr>
        <w:t>五是</w:t>
      </w:r>
      <w:r>
        <w:rPr>
          <w:rFonts w:hint="eastAsia" w:ascii="仿宋_GB2312" w:hAnsi="仿宋_GB2312" w:eastAsia="仿宋_GB2312" w:cs="仿宋_GB2312"/>
          <w:bCs/>
          <w:color w:val="auto"/>
          <w:sz w:val="32"/>
          <w:szCs w:val="32"/>
        </w:rPr>
        <w:t>配合县委组织部做好党员教育工作；负责编审党员教育教材；指导全县党员学习。</w:t>
      </w:r>
      <w:r>
        <w:rPr>
          <w:rFonts w:hint="eastAsia" w:hAnsi="仿宋_GB2312" w:cs="仿宋_GB2312"/>
          <w:bCs/>
          <w:color w:val="auto"/>
          <w:sz w:val="32"/>
          <w:szCs w:val="32"/>
          <w:lang w:val="en-US" w:eastAsia="zh-CN"/>
        </w:rPr>
        <w:t>六是</w:t>
      </w:r>
      <w:r>
        <w:rPr>
          <w:rFonts w:hint="eastAsia" w:ascii="仿宋_GB2312" w:hAnsi="仿宋_GB2312" w:eastAsia="仿宋_GB2312" w:cs="仿宋_GB2312"/>
          <w:bCs/>
          <w:color w:val="auto"/>
          <w:sz w:val="32"/>
          <w:szCs w:val="32"/>
        </w:rPr>
        <w:t>负责从宏观上指导全县各级各类学校的德育、政治理论教学和思想政治工作。</w:t>
      </w:r>
      <w:r>
        <w:rPr>
          <w:rFonts w:hint="eastAsia" w:hAnsi="仿宋_GB2312" w:cs="仿宋_GB2312"/>
          <w:bCs/>
          <w:color w:val="auto"/>
          <w:sz w:val="32"/>
          <w:szCs w:val="32"/>
          <w:lang w:val="en-US" w:eastAsia="zh-CN"/>
        </w:rPr>
        <w:t>七是</w:t>
      </w:r>
      <w:r>
        <w:rPr>
          <w:rFonts w:hint="eastAsia" w:ascii="仿宋_GB2312" w:hAnsi="仿宋_GB2312" w:eastAsia="仿宋_GB2312" w:cs="仿宋_GB2312"/>
          <w:bCs/>
          <w:color w:val="auto"/>
          <w:sz w:val="32"/>
          <w:szCs w:val="32"/>
        </w:rPr>
        <w:t>负责全县对外和港澳台的宣传工作；指导协调全县对外文化交流工作。</w:t>
      </w:r>
      <w:r>
        <w:rPr>
          <w:rFonts w:hint="eastAsia" w:hAnsi="仿宋_GB2312" w:cs="仿宋_GB2312"/>
          <w:bCs/>
          <w:color w:val="auto"/>
          <w:sz w:val="32"/>
          <w:szCs w:val="32"/>
          <w:lang w:val="en-US" w:eastAsia="zh-CN"/>
        </w:rPr>
        <w:t>八是</w:t>
      </w:r>
      <w:r>
        <w:rPr>
          <w:rFonts w:hint="eastAsia" w:ascii="仿宋_GB2312" w:hAnsi="仿宋_GB2312" w:eastAsia="仿宋_GB2312" w:cs="仿宋_GB2312"/>
          <w:bCs/>
          <w:color w:val="auto"/>
          <w:sz w:val="32"/>
          <w:szCs w:val="32"/>
        </w:rPr>
        <w:t>受县委委托，会同县委管理县级新闻、文化、出版等部门的领导干部，指导这些部门领导班子的建设；对宣</w:t>
      </w:r>
      <w:bookmarkStart w:id="93" w:name="_GoBack"/>
      <w:bookmarkEnd w:id="93"/>
      <w:r>
        <w:rPr>
          <w:rFonts w:hint="eastAsia" w:ascii="仿宋_GB2312" w:hAnsi="仿宋_GB2312" w:eastAsia="仿宋_GB2312" w:cs="仿宋_GB2312"/>
          <w:bCs/>
          <w:color w:val="auto"/>
          <w:sz w:val="32"/>
          <w:szCs w:val="32"/>
        </w:rPr>
        <w:t>传文化广电系统科股室干部的任免提出意见；制定培训计划并组织对全县知识分子工作和理论、新闻、出版、文艺等方面优秀人才的选拔、培养工作。</w:t>
      </w:r>
      <w:r>
        <w:rPr>
          <w:rFonts w:hint="eastAsia" w:hAnsi="仿宋_GB2312" w:cs="仿宋_GB2312"/>
          <w:bCs/>
          <w:color w:val="auto"/>
          <w:sz w:val="32"/>
          <w:szCs w:val="32"/>
          <w:lang w:val="en-US" w:eastAsia="zh-CN"/>
        </w:rPr>
        <w:t>九是</w:t>
      </w:r>
      <w:r>
        <w:rPr>
          <w:rFonts w:hint="eastAsia" w:ascii="仿宋_GB2312" w:hAnsi="仿宋_GB2312" w:eastAsia="仿宋_GB2312" w:cs="仿宋_GB2312"/>
          <w:bCs/>
          <w:color w:val="auto"/>
          <w:sz w:val="32"/>
          <w:szCs w:val="32"/>
        </w:rPr>
        <w:t>负责提出全县宣传文化事业发展的指导方针；指导宣传文化系统制定政策、法规；按照县委的工作部署，对宣传文化系统各部门之间的工作进行协调。</w:t>
      </w:r>
      <w:r>
        <w:rPr>
          <w:rFonts w:hint="eastAsia" w:hAnsi="仿宋_GB2312" w:cs="仿宋_GB2312"/>
          <w:bCs/>
          <w:color w:val="auto"/>
          <w:sz w:val="32"/>
          <w:szCs w:val="32"/>
          <w:lang w:val="en-US" w:eastAsia="zh-CN"/>
        </w:rPr>
        <w:t>十是</w:t>
      </w:r>
      <w:r>
        <w:rPr>
          <w:rFonts w:hint="eastAsia" w:ascii="仿宋_GB2312" w:hAnsi="仿宋_GB2312" w:eastAsia="仿宋_GB2312" w:cs="仿宋_GB2312"/>
          <w:bCs/>
          <w:color w:val="auto"/>
          <w:sz w:val="32"/>
          <w:szCs w:val="32"/>
        </w:rPr>
        <w:t>根据州，县宣传报道要点，组织采写稿件，并向《阿坝日报》、《四川日报》等各级办刊推荐。</w:t>
      </w:r>
    </w:p>
    <w:p w14:paraId="42111A08">
      <w:pPr>
        <w:pStyle w:val="18"/>
        <w:keepNext w:val="0"/>
        <w:keepLines w:val="0"/>
        <w:pageBreakBefore w:val="0"/>
        <w:kinsoku/>
        <w:overflowPunct/>
        <w:topLinePunct w:val="0"/>
        <w:autoSpaceDE/>
        <w:autoSpaceDN/>
        <w:bidi w:val="0"/>
        <w:adjustRightInd w:val="0"/>
        <w:snapToGrid w:val="0"/>
        <w:spacing w:line="554" w:lineRule="exact"/>
        <w:ind w:left="0" w:leftChars="0" w:firstLine="0" w:firstLineChars="0"/>
        <w:jc w:val="left"/>
        <w:textAlignment w:val="auto"/>
        <w:outlineLvl w:val="1"/>
        <w:rPr>
          <w:rStyle w:val="42"/>
          <w:rFonts w:hint="eastAsia" w:ascii="仿宋" w:hAnsi="仿宋" w:eastAsia="仿宋" w:cs="仿宋"/>
          <w:color w:val="auto"/>
          <w:sz w:val="30"/>
          <w:szCs w:val="30"/>
          <w:highlight w:val="none"/>
          <w:shd w:val="clear" w:color="auto" w:fill="FFFFFF"/>
        </w:rPr>
      </w:pPr>
      <w:bookmarkStart w:id="40" w:name="_Toc28106"/>
      <w:r>
        <w:rPr>
          <w:rStyle w:val="42"/>
          <w:rFonts w:hint="eastAsia" w:ascii="仿宋" w:hAnsi="仿宋" w:eastAsia="仿宋" w:cs="仿宋"/>
          <w:color w:val="auto"/>
          <w:sz w:val="30"/>
          <w:szCs w:val="30"/>
          <w:highlight w:val="none"/>
          <w:shd w:val="clear" w:color="auto" w:fill="FFFFFF"/>
          <w:lang w:eastAsia="zh-CN"/>
        </w:rPr>
        <w:t>二、</w:t>
      </w:r>
      <w:r>
        <w:rPr>
          <w:rStyle w:val="42"/>
          <w:rFonts w:hint="eastAsia" w:ascii="仿宋" w:hAnsi="仿宋" w:eastAsia="仿宋" w:cs="仿宋"/>
          <w:color w:val="auto"/>
          <w:sz w:val="30"/>
          <w:szCs w:val="30"/>
          <w:highlight w:val="none"/>
          <w:shd w:val="clear" w:color="auto" w:fill="FFFFFF"/>
        </w:rPr>
        <w:t>当年取得的主要事业成效。</w:t>
      </w:r>
      <w:bookmarkEnd w:id="40"/>
    </w:p>
    <w:p w14:paraId="1FD8DFA5">
      <w:pPr>
        <w:spacing w:line="540" w:lineRule="exact"/>
        <w:ind w:firstLine="602" w:firstLineChars="200"/>
        <w:rPr>
          <w:rFonts w:hint="eastAsia" w:ascii="Times New Roman" w:hAnsi="Times New Roman" w:eastAsia="方正仿宋_GBK"/>
          <w:color w:val="auto"/>
          <w:sz w:val="32"/>
          <w:szCs w:val="32"/>
        </w:rPr>
      </w:pPr>
      <w:bookmarkStart w:id="41" w:name="_Toc10362"/>
      <w:r>
        <w:rPr>
          <w:rFonts w:ascii="仿宋" w:hAnsi="仿宋" w:eastAsia="仿宋" w:cs="仿宋"/>
          <w:b/>
          <w:bCs/>
          <w:color w:val="auto"/>
          <w:kern w:val="0"/>
          <w:sz w:val="30"/>
          <w:szCs w:val="30"/>
          <w:shd w:val="clear" w:color="auto" w:fill="FFFFFF"/>
          <w:lang w:bidi="ar"/>
        </w:rPr>
        <w:t>一是抓实党委（党组）中心组学习。</w:t>
      </w:r>
      <w:r>
        <w:rPr>
          <w:rFonts w:ascii="Times New Roman" w:hAnsi="Times New Roman" w:eastAsia="方正仿宋_GBK"/>
          <w:color w:val="auto"/>
          <w:sz w:val="32"/>
          <w:szCs w:val="32"/>
        </w:rPr>
        <w:t>严格落实党委（党组）理论学习中心组学习制度，制发《红原县2025年党委（党组）理论学习中心组专题学习</w:t>
      </w:r>
      <w:r>
        <w:rPr>
          <w:rFonts w:hint="eastAsia" w:ascii="Times New Roman" w:hAnsi="Times New Roman" w:eastAsia="方正仿宋_GBK"/>
          <w:color w:val="auto"/>
          <w:sz w:val="32"/>
          <w:szCs w:val="32"/>
        </w:rPr>
        <w:t>计划</w:t>
      </w:r>
      <w:r>
        <w:rPr>
          <w:rFonts w:ascii="Times New Roman" w:hAnsi="Times New Roman" w:eastAsia="方正仿宋_GBK"/>
          <w:color w:val="auto"/>
          <w:sz w:val="32"/>
          <w:szCs w:val="32"/>
        </w:rPr>
        <w:t>安排》</w:t>
      </w:r>
      <w:r>
        <w:rPr>
          <w:rFonts w:hint="eastAsia" w:ascii="Times New Roman" w:hAnsi="Times New Roman" w:eastAsia="方正仿宋_GBK"/>
          <w:color w:val="auto"/>
          <w:sz w:val="32"/>
          <w:szCs w:val="32"/>
        </w:rPr>
        <w:t>《县委理论学习中心组2025年学习计划》</w:t>
      </w:r>
      <w:r>
        <w:rPr>
          <w:rFonts w:ascii="Times New Roman" w:hAnsi="Times New Roman" w:eastAsia="方正仿宋_GBK"/>
          <w:color w:val="auto"/>
          <w:sz w:val="32"/>
          <w:szCs w:val="32"/>
        </w:rPr>
        <w:t>，组织县委</w:t>
      </w:r>
      <w:r>
        <w:rPr>
          <w:rFonts w:hint="eastAsia" w:ascii="Times New Roman" w:hAnsi="Times New Roman" w:eastAsia="方正仿宋_GBK"/>
          <w:color w:val="auto"/>
          <w:sz w:val="32"/>
          <w:szCs w:val="32"/>
        </w:rPr>
        <w:t>理论学习</w:t>
      </w:r>
      <w:r>
        <w:rPr>
          <w:rFonts w:ascii="Times New Roman" w:hAnsi="Times New Roman" w:eastAsia="方正仿宋_GBK"/>
          <w:color w:val="auto"/>
          <w:sz w:val="32"/>
          <w:szCs w:val="32"/>
        </w:rPr>
        <w:t>中心组</w:t>
      </w:r>
      <w:r>
        <w:rPr>
          <w:rFonts w:hint="eastAsia" w:ascii="Times New Roman" w:hAnsi="Times New Roman" w:eastAsia="方正仿宋_GBK"/>
          <w:color w:val="auto"/>
          <w:sz w:val="32"/>
          <w:szCs w:val="32"/>
        </w:rPr>
        <w:t>集中</w:t>
      </w:r>
      <w:r>
        <w:rPr>
          <w:rFonts w:ascii="Times New Roman" w:hAnsi="Times New Roman" w:eastAsia="方正仿宋_GBK"/>
          <w:color w:val="auto"/>
          <w:sz w:val="32"/>
          <w:szCs w:val="32"/>
        </w:rPr>
        <w:t>学习</w:t>
      </w:r>
      <w:r>
        <w:rPr>
          <w:rFonts w:hint="eastAsia" w:ascii="Times New Roman" w:hAnsi="Times New Roman" w:eastAsia="方正仿宋_GBK"/>
          <w:color w:val="auto"/>
          <w:sz w:val="32"/>
          <w:szCs w:val="32"/>
        </w:rPr>
        <w:t>研讨7</w:t>
      </w:r>
      <w:r>
        <w:rPr>
          <w:rFonts w:ascii="Times New Roman" w:hAnsi="Times New Roman" w:eastAsia="方正仿宋_GBK"/>
          <w:color w:val="auto"/>
          <w:sz w:val="32"/>
          <w:szCs w:val="32"/>
        </w:rPr>
        <w:t>次</w:t>
      </w:r>
      <w:r>
        <w:rPr>
          <w:rFonts w:ascii="仿宋" w:hAnsi="仿宋" w:eastAsia="仿宋" w:cs="仿宋"/>
          <w:color w:val="auto"/>
          <w:kern w:val="0"/>
          <w:sz w:val="30"/>
          <w:szCs w:val="30"/>
          <w:shd w:val="clear" w:color="auto" w:fill="FFFFFF"/>
          <w:lang w:bidi="ar"/>
        </w:rPr>
        <w:t>。</w:t>
      </w:r>
      <w:r>
        <w:rPr>
          <w:rFonts w:ascii="仿宋" w:hAnsi="仿宋" w:eastAsia="仿宋" w:cs="仿宋"/>
          <w:b/>
          <w:bCs/>
          <w:color w:val="auto"/>
          <w:kern w:val="0"/>
          <w:sz w:val="30"/>
          <w:szCs w:val="30"/>
          <w:shd w:val="clear" w:color="auto" w:fill="FFFFFF"/>
          <w:lang w:bidi="ar"/>
        </w:rPr>
        <w:t>二是广泛开展理论宣讲。</w:t>
      </w:r>
      <w:r>
        <w:rPr>
          <w:rFonts w:ascii="Times New Roman" w:hAnsi="Times New Roman" w:eastAsia="方正仿宋_GBK"/>
          <w:color w:val="auto"/>
          <w:sz w:val="32"/>
          <w:szCs w:val="32"/>
        </w:rPr>
        <w:t>召开全县群众工作“石榴籽”工程宣传教育工作推进会，制发</w:t>
      </w:r>
      <w:r>
        <w:rPr>
          <w:rFonts w:hint="eastAsia" w:ascii="Times New Roman" w:hAnsi="Times New Roman" w:eastAsia="方正仿宋_GBK"/>
          <w:color w:val="auto"/>
          <w:sz w:val="32"/>
          <w:szCs w:val="32"/>
        </w:rPr>
        <w:t>《</w:t>
      </w:r>
      <w:r>
        <w:rPr>
          <w:rFonts w:ascii="Times New Roman" w:hAnsi="Times New Roman" w:eastAsia="方正仿宋_GBK"/>
          <w:color w:val="auto"/>
          <w:sz w:val="32"/>
          <w:szCs w:val="32"/>
        </w:rPr>
        <w:t>宣讲</w:t>
      </w:r>
      <w:r>
        <w:rPr>
          <w:rFonts w:hint="eastAsia" w:ascii="Times New Roman" w:hAnsi="Times New Roman" w:eastAsia="方正仿宋_GBK"/>
          <w:color w:val="auto"/>
          <w:sz w:val="32"/>
          <w:szCs w:val="32"/>
        </w:rPr>
        <w:t>工作</w:t>
      </w:r>
      <w:r>
        <w:rPr>
          <w:rFonts w:ascii="Times New Roman" w:hAnsi="Times New Roman" w:eastAsia="方正仿宋_GBK"/>
          <w:color w:val="auto"/>
          <w:sz w:val="32"/>
          <w:szCs w:val="32"/>
        </w:rPr>
        <w:t>方案</w:t>
      </w:r>
      <w:r>
        <w:rPr>
          <w:rFonts w:hint="eastAsia" w:ascii="Times New Roman" w:hAnsi="Times New Roman" w:eastAsia="方正仿宋_GBK"/>
          <w:color w:val="auto"/>
          <w:sz w:val="32"/>
          <w:szCs w:val="32"/>
        </w:rPr>
        <w:t>》等文件</w:t>
      </w:r>
      <w:r>
        <w:rPr>
          <w:rFonts w:ascii="Times New Roman" w:hAnsi="Times New Roman" w:eastAsia="方正仿宋_GBK"/>
          <w:color w:val="auto"/>
          <w:sz w:val="32"/>
          <w:szCs w:val="32"/>
        </w:rPr>
        <w:t>，精心组织宣讲员专题培训会6场、核心内容解读专题讲座2轮，累计培训县乡骨干宣讲员</w:t>
      </w:r>
      <w:r>
        <w:rPr>
          <w:rFonts w:hint="eastAsia" w:ascii="Times New Roman" w:hAnsi="Times New Roman" w:eastAsia="方正仿宋_GBK"/>
          <w:color w:val="auto"/>
          <w:sz w:val="32"/>
          <w:szCs w:val="32"/>
        </w:rPr>
        <w:t>4</w:t>
      </w:r>
      <w:r>
        <w:rPr>
          <w:rFonts w:ascii="Times New Roman" w:hAnsi="Times New Roman" w:eastAsia="方正仿宋_GBK"/>
          <w:color w:val="auto"/>
          <w:sz w:val="32"/>
          <w:szCs w:val="32"/>
        </w:rPr>
        <w:t>00余人次。</w:t>
      </w:r>
      <w:r>
        <w:rPr>
          <w:rFonts w:hint="eastAsia" w:ascii="Times New Roman" w:hAnsi="Times New Roman" w:eastAsia="方正仿宋_GBK"/>
          <w:color w:val="auto"/>
          <w:sz w:val="32"/>
          <w:szCs w:val="32"/>
        </w:rPr>
        <w:t>依托</w:t>
      </w:r>
      <w:r>
        <w:rPr>
          <w:rFonts w:ascii="Times New Roman" w:hAnsi="Times New Roman" w:eastAsia="方正仿宋_GBK"/>
          <w:color w:val="auto"/>
          <w:sz w:val="32"/>
          <w:szCs w:val="32"/>
        </w:rPr>
        <w:t>“1+10+9+5+N”</w:t>
      </w:r>
      <w:r>
        <w:rPr>
          <w:rFonts w:hint="eastAsia" w:ascii="Times New Roman" w:hAnsi="Times New Roman" w:eastAsia="方正仿宋_GBK"/>
          <w:color w:val="auto"/>
          <w:sz w:val="32"/>
          <w:szCs w:val="32"/>
        </w:rPr>
        <w:t>红色草原理论</w:t>
      </w:r>
      <w:r>
        <w:rPr>
          <w:rFonts w:ascii="Times New Roman" w:hAnsi="Times New Roman" w:eastAsia="方正仿宋_GBK"/>
          <w:color w:val="auto"/>
          <w:sz w:val="32"/>
          <w:szCs w:val="32"/>
        </w:rPr>
        <w:t>宣讲矩阵</w:t>
      </w:r>
      <w:r>
        <w:rPr>
          <w:rFonts w:hint="eastAsia" w:ascii="Times New Roman" w:hAnsi="Times New Roman" w:eastAsia="方正仿宋_GBK"/>
          <w:color w:val="auto"/>
          <w:sz w:val="32"/>
          <w:szCs w:val="32"/>
        </w:rPr>
        <w:t>，结合创新开展群众大会、村（社区）坝坝会、“远牧点微党课”、“流动宣讲车+入户普法”、“民俗+普法”等特色宣教模式，有效破解“最后一公里”难题，推动党的方针政策和“三个意识”要求直达基层、深入人心。截至目前，分层分类开展各类宣讲活动420</w:t>
      </w:r>
      <w:r>
        <w:rPr>
          <w:rFonts w:ascii="Times New Roman" w:hAnsi="Times New Roman" w:eastAsia="方正仿宋_GBK"/>
          <w:color w:val="auto"/>
          <w:sz w:val="32"/>
          <w:szCs w:val="32"/>
        </w:rPr>
        <w:t>场</w:t>
      </w:r>
      <w:r>
        <w:rPr>
          <w:rFonts w:hint="eastAsia" w:ascii="Times New Roman" w:hAnsi="Times New Roman" w:eastAsia="方正仿宋_GBK"/>
          <w:color w:val="auto"/>
          <w:sz w:val="32"/>
          <w:szCs w:val="32"/>
        </w:rPr>
        <w:t>84468</w:t>
      </w:r>
      <w:r>
        <w:rPr>
          <w:rFonts w:ascii="Times New Roman" w:hAnsi="Times New Roman" w:eastAsia="方正仿宋_GBK"/>
          <w:color w:val="auto"/>
          <w:sz w:val="32"/>
          <w:szCs w:val="32"/>
        </w:rPr>
        <w:t>人，入户宣讲</w:t>
      </w:r>
      <w:r>
        <w:rPr>
          <w:rFonts w:hint="eastAsia" w:ascii="Times New Roman" w:hAnsi="Times New Roman" w:eastAsia="方正仿宋_GBK"/>
          <w:color w:val="auto"/>
          <w:sz w:val="32"/>
          <w:szCs w:val="32"/>
        </w:rPr>
        <w:t>9196</w:t>
      </w:r>
      <w:r>
        <w:rPr>
          <w:rFonts w:ascii="Times New Roman" w:hAnsi="Times New Roman" w:eastAsia="方正仿宋_GBK"/>
          <w:color w:val="auto"/>
          <w:sz w:val="32"/>
          <w:szCs w:val="32"/>
        </w:rPr>
        <w:t>次，</w:t>
      </w:r>
      <w:r>
        <w:rPr>
          <w:rFonts w:hint="eastAsia" w:ascii="Times New Roman" w:hAnsi="Times New Roman" w:eastAsia="方正仿宋_GBK"/>
          <w:color w:val="auto"/>
          <w:sz w:val="32"/>
          <w:szCs w:val="32"/>
        </w:rPr>
        <w:t>覆盖干部群众6.2万余人次，</w:t>
      </w:r>
      <w:r>
        <w:rPr>
          <w:rFonts w:ascii="Times New Roman" w:hAnsi="Times New Roman" w:eastAsia="方正仿宋_GBK"/>
          <w:color w:val="auto"/>
          <w:sz w:val="32"/>
          <w:szCs w:val="32"/>
        </w:rPr>
        <w:t>“微红原”视频号创新推出“石榴籽”大讲堂</w:t>
      </w:r>
      <w:r>
        <w:rPr>
          <w:rFonts w:hint="eastAsia" w:ascii="Times New Roman" w:hAnsi="Times New Roman" w:eastAsia="方正仿宋_GBK"/>
          <w:color w:val="auto"/>
          <w:sz w:val="32"/>
          <w:szCs w:val="32"/>
        </w:rPr>
        <w:t>5期</w:t>
      </w:r>
      <w:r>
        <w:rPr>
          <w:rFonts w:ascii="Times New Roman" w:hAnsi="Times New Roman" w:eastAsia="方正仿宋_GBK"/>
          <w:color w:val="auto"/>
          <w:sz w:val="32"/>
          <w:szCs w:val="32"/>
        </w:rPr>
        <w:t>，浏览量突破30万+。发放《“三个意识”教育活动（新旧对比图册）》及《干部群众辅导读本》</w:t>
      </w:r>
      <w:r>
        <w:rPr>
          <w:rFonts w:hint="eastAsia" w:ascii="Times New Roman" w:hAnsi="Times New Roman" w:eastAsia="方正仿宋_GBK"/>
          <w:color w:val="auto"/>
          <w:sz w:val="32"/>
          <w:szCs w:val="32"/>
        </w:rPr>
        <w:t>4</w:t>
      </w:r>
      <w:r>
        <w:rPr>
          <w:rFonts w:ascii="Times New Roman" w:hAnsi="Times New Roman" w:eastAsia="方正仿宋_GBK"/>
          <w:color w:val="auto"/>
          <w:sz w:val="32"/>
          <w:szCs w:val="32"/>
        </w:rPr>
        <w:t>00余套</w:t>
      </w:r>
      <w:r>
        <w:rPr>
          <w:rFonts w:hint="eastAsia" w:ascii="Times New Roman" w:hAnsi="Times New Roman" w:eastAsia="方正仿宋_GBK"/>
          <w:color w:val="auto"/>
          <w:sz w:val="32"/>
          <w:szCs w:val="32"/>
        </w:rPr>
        <w:t>，群众对党的政策知晓率、认同感和对“三个意识”的理解持续提升，感党恩、听党话、跟党走的思想自觉和行动自觉显著增强。</w:t>
      </w:r>
      <w:r>
        <w:rPr>
          <w:rFonts w:ascii="Times New Roman" w:hAnsi="Times New Roman" w:eastAsia="方正仿宋_GBK"/>
          <w:b/>
          <w:bCs/>
          <w:color w:val="auto"/>
          <w:sz w:val="32"/>
          <w:szCs w:val="32"/>
        </w:rPr>
        <w:t>三是全力拓展社会宣传。</w:t>
      </w:r>
      <w:r>
        <w:rPr>
          <w:rFonts w:ascii="Times New Roman" w:hAnsi="Times New Roman" w:eastAsia="方正仿宋_GBK"/>
          <w:color w:val="auto"/>
          <w:sz w:val="32"/>
          <w:szCs w:val="32"/>
        </w:rPr>
        <w:t>制发《广告牌专项整治工作方案》，全覆盖</w:t>
      </w:r>
      <w:r>
        <w:rPr>
          <w:rFonts w:hint="eastAsia" w:ascii="Times New Roman" w:hAnsi="Times New Roman" w:eastAsia="方正仿宋_GBK"/>
          <w:color w:val="auto"/>
          <w:sz w:val="32"/>
          <w:szCs w:val="32"/>
        </w:rPr>
        <w:t>集中</w:t>
      </w:r>
      <w:r>
        <w:rPr>
          <w:rFonts w:ascii="Times New Roman" w:hAnsi="Times New Roman" w:eastAsia="方正仿宋_GBK"/>
          <w:color w:val="auto"/>
          <w:sz w:val="32"/>
          <w:szCs w:val="32"/>
        </w:rPr>
        <w:t>整治广告牌</w:t>
      </w:r>
      <w:r>
        <w:rPr>
          <w:rFonts w:hint="eastAsia" w:ascii="Times New Roman" w:hAnsi="Times New Roman" w:eastAsia="方正仿宋_GBK"/>
          <w:color w:val="auto"/>
          <w:sz w:val="32"/>
          <w:szCs w:val="32"/>
        </w:rPr>
        <w:t>8</w:t>
      </w:r>
      <w:r>
        <w:rPr>
          <w:rFonts w:ascii="Times New Roman" w:hAnsi="Times New Roman" w:eastAsia="方正仿宋_GBK"/>
          <w:color w:val="auto"/>
          <w:sz w:val="32"/>
          <w:szCs w:val="32"/>
        </w:rPr>
        <w:t>轮次，整改问题</w:t>
      </w:r>
      <w:r>
        <w:rPr>
          <w:rFonts w:hint="eastAsia" w:ascii="Times New Roman" w:hAnsi="Times New Roman" w:eastAsia="方正仿宋_GBK"/>
          <w:color w:val="auto"/>
          <w:sz w:val="32"/>
          <w:szCs w:val="32"/>
        </w:rPr>
        <w:t>120</w:t>
      </w:r>
      <w:r>
        <w:rPr>
          <w:rFonts w:ascii="Times New Roman" w:hAnsi="Times New Roman" w:eastAsia="方正仿宋_GBK"/>
          <w:color w:val="auto"/>
          <w:sz w:val="32"/>
          <w:szCs w:val="32"/>
        </w:rPr>
        <w:t>个，清理整治破旧损坏设施600余处</w:t>
      </w:r>
      <w:r>
        <w:rPr>
          <w:rFonts w:hint="eastAsia" w:ascii="Times New Roman" w:hAnsi="Times New Roman" w:eastAsia="方正仿宋_GBK"/>
          <w:color w:val="auto"/>
          <w:sz w:val="32"/>
          <w:szCs w:val="32"/>
        </w:rPr>
        <w:t>。</w:t>
      </w:r>
      <w:r>
        <w:rPr>
          <w:rFonts w:ascii="Times New Roman" w:hAnsi="Times New Roman" w:eastAsia="方正仿宋_GBK"/>
          <w:color w:val="auto"/>
          <w:sz w:val="32"/>
          <w:szCs w:val="32"/>
        </w:rPr>
        <w:t>精准投放大型主题公益广告80余幅、体现民族团结和“石榴籽工程”内容的道旗440余幅</w:t>
      </w:r>
      <w:r>
        <w:rPr>
          <w:rFonts w:hint="eastAsia" w:ascii="Times New Roman" w:hAnsi="Times New Roman" w:eastAsia="方正仿宋_GBK"/>
          <w:color w:val="auto"/>
          <w:sz w:val="32"/>
          <w:szCs w:val="32"/>
        </w:rPr>
        <w:t>、宣传栏60余幅</w:t>
      </w:r>
      <w:r>
        <w:rPr>
          <w:rFonts w:ascii="Times New Roman" w:hAnsi="Times New Roman" w:eastAsia="方正仿宋_GBK"/>
          <w:color w:val="auto"/>
          <w:sz w:val="32"/>
          <w:szCs w:val="32"/>
        </w:rPr>
        <w:t>。通过户外广告牌、LED显示屏持续展播“党在我心中”“时代楷模”、“三个意识”教育等微视频和相关公益广告、标语</w:t>
      </w:r>
      <w:r>
        <w:rPr>
          <w:rFonts w:hint="eastAsia" w:ascii="Times New Roman" w:hAnsi="Times New Roman" w:eastAsia="方正仿宋_GBK"/>
          <w:color w:val="auto"/>
          <w:sz w:val="32"/>
          <w:szCs w:val="32"/>
        </w:rPr>
        <w:t>9000余条次</w:t>
      </w:r>
      <w:r>
        <w:rPr>
          <w:rFonts w:ascii="Times New Roman" w:hAnsi="Times New Roman" w:eastAsia="方正仿宋_GBK"/>
          <w:color w:val="auto"/>
          <w:sz w:val="32"/>
          <w:szCs w:val="32"/>
        </w:rPr>
        <w:t>，潜移默化引导群众树立国家意识、主人翁意识，与党同心、与党同向</w:t>
      </w:r>
      <w:r>
        <w:rPr>
          <w:rFonts w:hint="eastAsia" w:ascii="Times New Roman" w:hAnsi="Times New Roman" w:eastAsia="方正仿宋_GBK"/>
          <w:color w:val="auto"/>
          <w:sz w:val="32"/>
          <w:szCs w:val="32"/>
        </w:rPr>
        <w:t>。</w:t>
      </w:r>
      <w:r>
        <w:rPr>
          <w:rFonts w:hint="eastAsia" w:ascii="Times New Roman" w:hAnsi="Times New Roman" w:eastAsia="方正仿宋_GBK"/>
          <w:b/>
          <w:bCs/>
          <w:color w:val="auto"/>
          <w:sz w:val="32"/>
          <w:szCs w:val="32"/>
        </w:rPr>
        <w:t>四是</w:t>
      </w:r>
      <w:r>
        <w:rPr>
          <w:rFonts w:ascii="Times New Roman" w:hAnsi="Times New Roman" w:eastAsia="方正仿宋_GBK"/>
          <w:b/>
          <w:bCs/>
          <w:color w:val="auto"/>
          <w:sz w:val="32"/>
          <w:szCs w:val="32"/>
        </w:rPr>
        <w:t>做大做强正面宣传。</w:t>
      </w:r>
      <w:r>
        <w:rPr>
          <w:rFonts w:ascii="Times New Roman" w:hAnsi="Times New Roman" w:eastAsia="方正仿宋_GBK"/>
          <w:color w:val="auto"/>
          <w:sz w:val="32"/>
          <w:szCs w:val="32"/>
        </w:rPr>
        <w:t>围绕县委、县政府中心工作，组织县内媒体和广大新闻工作者深入基层一线，开展主题宣传、典型宣传</w:t>
      </w:r>
      <w:r>
        <w:rPr>
          <w:rFonts w:hint="eastAsia" w:ascii="Times New Roman" w:hAnsi="Times New Roman" w:eastAsia="方正仿宋_GBK"/>
          <w:color w:val="auto"/>
          <w:sz w:val="32"/>
          <w:szCs w:val="32"/>
        </w:rPr>
        <w:t>42</w:t>
      </w:r>
      <w:r>
        <w:rPr>
          <w:rFonts w:ascii="Times New Roman" w:hAnsi="Times New Roman" w:eastAsia="方正仿宋_GBK"/>
          <w:color w:val="auto"/>
          <w:sz w:val="32"/>
          <w:szCs w:val="32"/>
        </w:rPr>
        <w:t>场次。在中央、省、州主流媒体发表新闻稿件6</w:t>
      </w:r>
      <w:r>
        <w:rPr>
          <w:rFonts w:hint="eastAsia" w:ascii="Times New Roman" w:hAnsi="Times New Roman" w:eastAsia="方正仿宋_GBK"/>
          <w:color w:val="auto"/>
          <w:sz w:val="32"/>
          <w:szCs w:val="32"/>
        </w:rPr>
        <w:t>8</w:t>
      </w:r>
      <w:r>
        <w:rPr>
          <w:rFonts w:ascii="Times New Roman" w:hAnsi="Times New Roman" w:eastAsia="方正仿宋_GBK"/>
          <w:color w:val="auto"/>
          <w:sz w:val="32"/>
          <w:szCs w:val="32"/>
        </w:rPr>
        <w:t>0篇</w:t>
      </w:r>
      <w:r>
        <w:rPr>
          <w:rFonts w:hint="eastAsia" w:ascii="Times New Roman" w:hAnsi="Times New Roman" w:eastAsia="方正仿宋_GBK"/>
          <w:color w:val="auto"/>
          <w:sz w:val="32"/>
          <w:szCs w:val="32"/>
        </w:rPr>
        <w:t>次</w:t>
      </w:r>
      <w:r>
        <w:rPr>
          <w:rFonts w:ascii="Times New Roman" w:hAnsi="Times New Roman" w:eastAsia="方正仿宋_GBK"/>
          <w:color w:val="auto"/>
          <w:sz w:val="32"/>
          <w:szCs w:val="32"/>
        </w:rPr>
        <w:t>，其中在《人民日报》《光明日报》《经济日报》等中央级媒体发表稿件</w:t>
      </w:r>
      <w:r>
        <w:rPr>
          <w:rFonts w:hint="eastAsia" w:ascii="Times New Roman" w:hAnsi="Times New Roman" w:eastAsia="方正仿宋_GBK"/>
          <w:color w:val="auto"/>
          <w:sz w:val="32"/>
          <w:szCs w:val="32"/>
        </w:rPr>
        <w:t>160余</w:t>
      </w:r>
      <w:r>
        <w:rPr>
          <w:rFonts w:ascii="Times New Roman" w:hAnsi="Times New Roman" w:eastAsia="方正仿宋_GBK"/>
          <w:color w:val="auto"/>
          <w:sz w:val="32"/>
          <w:szCs w:val="32"/>
        </w:rPr>
        <w:t>篇</w:t>
      </w:r>
      <w:r>
        <w:rPr>
          <w:rFonts w:hint="eastAsia" w:ascii="Times New Roman" w:hAnsi="Times New Roman" w:eastAsia="方正仿宋_GBK"/>
          <w:color w:val="auto"/>
          <w:sz w:val="32"/>
          <w:szCs w:val="32"/>
        </w:rPr>
        <w:t>次</w:t>
      </w:r>
      <w:r>
        <w:rPr>
          <w:rFonts w:ascii="Times New Roman" w:hAnsi="Times New Roman" w:eastAsia="方正仿宋_GBK"/>
          <w:color w:val="auto"/>
          <w:sz w:val="32"/>
          <w:szCs w:val="32"/>
        </w:rPr>
        <w:t>。县融媒体精心策划推出《“群众工作‘石榴籽’工程进行时”》《树牢三个意识 凝聚思想共识》等系列专栏，专栏累计阅读量626.5万，转发50万+、点赞300万+</w:t>
      </w:r>
      <w:r>
        <w:rPr>
          <w:rFonts w:hint="eastAsia" w:ascii="Times New Roman" w:hAnsi="Times New Roman" w:eastAsia="方正仿宋_GBK"/>
          <w:color w:val="auto"/>
          <w:sz w:val="32"/>
          <w:szCs w:val="32"/>
        </w:rPr>
        <w:t>。</w:t>
      </w:r>
      <w:r>
        <w:rPr>
          <w:rFonts w:hint="eastAsia" w:ascii="Times New Roman" w:hAnsi="Times New Roman" w:eastAsia="方正仿宋_GBK"/>
          <w:b/>
          <w:bCs/>
          <w:color w:val="auto"/>
          <w:sz w:val="32"/>
          <w:szCs w:val="32"/>
        </w:rPr>
        <w:t>五是深化文明培育。</w:t>
      </w:r>
      <w:r>
        <w:rPr>
          <w:rFonts w:hint="eastAsia" w:ascii="Times New Roman" w:hAnsi="Times New Roman" w:eastAsia="方正仿宋_GBK"/>
          <w:color w:val="auto"/>
          <w:sz w:val="32"/>
          <w:szCs w:val="32"/>
        </w:rPr>
        <w:t>结合实施群众工作“石榴籽”工程，大力开展社会主义核心价值观教育，有序推进第五届“敬信勤新”红原新民风培树活动和“户户传家训、家家立家规”家风家教建设工作，评选出20名“敬信勤新”先进个人，选树报送“身边好人”5人。聚焦关键环节、精准发力、宣传引导，全力推动“四好家庭”评选活动，确保340户“四好家庭”培树质量，真正选出群众认可、事迹过硬、具有示范意义的先进家庭，让先进家庭典型的选树更贴合民心、更具示范力。</w:t>
      </w:r>
      <w:r>
        <w:rPr>
          <w:rFonts w:hint="eastAsia" w:ascii="Times New Roman" w:hAnsi="Times New Roman" w:eastAsia="方正仿宋_GBK"/>
          <w:b/>
          <w:bCs/>
          <w:color w:val="auto"/>
          <w:sz w:val="32"/>
          <w:szCs w:val="32"/>
        </w:rPr>
        <w:t>六是深化文明实践。</w:t>
      </w:r>
      <w:r>
        <w:rPr>
          <w:rFonts w:hint="eastAsia" w:ascii="Times New Roman" w:hAnsi="Times New Roman" w:eastAsia="方正仿宋_GBK"/>
          <w:color w:val="auto"/>
          <w:sz w:val="32"/>
          <w:szCs w:val="32"/>
        </w:rPr>
        <w:t>积极组织“学雷锋”志愿服务、“书香红原·全民阅读”</w:t>
      </w:r>
      <w:r>
        <w:rPr>
          <w:rFonts w:ascii="Times New Roman" w:hAnsi="Times New Roman" w:eastAsia="方正仿宋_GBK"/>
          <w:color w:val="auto"/>
          <w:sz w:val="32"/>
          <w:szCs w:val="32"/>
        </w:rPr>
        <w:t>、青少年书画传习大会</w:t>
      </w:r>
      <w:r>
        <w:rPr>
          <w:rFonts w:hint="eastAsia" w:ascii="Times New Roman" w:hAnsi="Times New Roman" w:eastAsia="方正仿宋_GBK"/>
          <w:color w:val="auto"/>
          <w:sz w:val="32"/>
          <w:szCs w:val="32"/>
        </w:rPr>
        <w:t>等各类活动400余场次，参与3.1万人次</w:t>
      </w:r>
      <w:r>
        <w:rPr>
          <w:rFonts w:ascii="Times New Roman" w:hAnsi="Times New Roman" w:eastAsia="方正仿宋_GBK"/>
          <w:color w:val="auto"/>
          <w:sz w:val="32"/>
          <w:szCs w:val="32"/>
        </w:rPr>
        <w:t>。</w:t>
      </w:r>
      <w:r>
        <w:rPr>
          <w:rFonts w:hint="eastAsia" w:ascii="Times New Roman" w:hAnsi="Times New Roman" w:eastAsia="方正仿宋_GBK"/>
          <w:color w:val="auto"/>
          <w:sz w:val="32"/>
          <w:szCs w:val="32"/>
        </w:rPr>
        <w:t>规范提升35个村（社区）综合文化活动室、农家书屋和宣传橱窗，科学化、规范化、制度化建设管理宣传阵地。充分利用丰富红色文化资源，推动中小学开展“行走的思政课”11批次覆盖师生1100余人次，让中华民族共同体意识深入人心。</w:t>
      </w:r>
      <w:r>
        <w:rPr>
          <w:rFonts w:hint="eastAsia" w:ascii="Times New Roman" w:hAnsi="Times New Roman" w:eastAsia="方正仿宋_GBK"/>
          <w:b/>
          <w:bCs/>
          <w:color w:val="auto"/>
          <w:sz w:val="32"/>
          <w:szCs w:val="32"/>
        </w:rPr>
        <w:t>七是深化文明供给。</w:t>
      </w:r>
      <w:r>
        <w:rPr>
          <w:rFonts w:hint="eastAsia" w:ascii="Times New Roman" w:hAnsi="Times New Roman" w:eastAsia="方正仿宋_GBK"/>
          <w:color w:val="auto"/>
          <w:sz w:val="32"/>
          <w:szCs w:val="32"/>
        </w:rPr>
        <w:t>推动各级文明单位创建，刷经寺镇三家寨村成功创建全国文明村。以“骑着骏马游草原·跟着音乐去旅行”为核心IP，精心、精致、精彩筹办雅克系列重大文旅赛事和活动，全面生动展示文化繁荣的万千气象，不断凝聚全县上下同心奋力建设阿坝牧区高质量发展红原典范的信心和决心。</w:t>
      </w:r>
    </w:p>
    <w:p w14:paraId="1F1BE79F">
      <w:pPr>
        <w:pStyle w:val="18"/>
        <w:keepNext w:val="0"/>
        <w:keepLines w:val="0"/>
        <w:pageBreakBefore w:val="0"/>
        <w:widowControl w:val="0"/>
        <w:kinsoku/>
        <w:overflowPunct/>
        <w:topLinePunct w:val="0"/>
        <w:autoSpaceDE/>
        <w:autoSpaceDN/>
        <w:bidi w:val="0"/>
        <w:adjustRightInd w:val="0"/>
        <w:snapToGrid w:val="0"/>
        <w:spacing w:line="576" w:lineRule="exact"/>
        <w:ind w:left="0" w:leftChars="0" w:firstLine="0" w:firstLineChars="0"/>
        <w:jc w:val="left"/>
        <w:textAlignment w:val="auto"/>
        <w:outlineLvl w:val="1"/>
        <w:rPr>
          <w:rStyle w:val="42"/>
          <w:rFonts w:hint="eastAsia" w:ascii="仿宋" w:hAnsi="仿宋" w:eastAsia="仿宋" w:cs="仿宋"/>
          <w:color w:val="auto"/>
          <w:sz w:val="30"/>
          <w:szCs w:val="30"/>
          <w:shd w:val="clear" w:color="auto" w:fill="FFFFFF"/>
          <w:lang w:eastAsia="zh-CN"/>
        </w:rPr>
      </w:pPr>
      <w:r>
        <w:rPr>
          <w:rStyle w:val="42"/>
          <w:rFonts w:hint="eastAsia" w:ascii="仿宋" w:hAnsi="仿宋" w:eastAsia="仿宋" w:cs="仿宋"/>
          <w:color w:val="auto"/>
          <w:sz w:val="30"/>
          <w:szCs w:val="30"/>
          <w:shd w:val="clear" w:color="auto" w:fill="FFFFFF"/>
          <w:lang w:eastAsia="zh-CN"/>
        </w:rPr>
        <w:t>三、机构设置</w:t>
      </w:r>
      <w:bookmarkEnd w:id="41"/>
    </w:p>
    <w:p w14:paraId="1A7A1332">
      <w:pPr>
        <w:pStyle w:val="19"/>
        <w:keepNext w:val="0"/>
        <w:keepLines w:val="0"/>
        <w:pageBreakBefore w:val="0"/>
        <w:widowControl w:val="0"/>
        <w:kinsoku/>
        <w:wordWrap w:val="0"/>
        <w:overflowPunct/>
        <w:topLinePunct w:val="0"/>
        <w:autoSpaceDE/>
        <w:autoSpaceDN/>
        <w:bidi w:val="0"/>
        <w:spacing w:before="0" w:beforeAutospacing="0" w:after="0" w:afterAutospacing="0" w:line="576" w:lineRule="exact"/>
        <w:ind w:firstLine="640" w:firstLineChars="200"/>
        <w:textAlignment w:val="auto"/>
        <w:rPr>
          <w:rFonts w:hint="eastAsia" w:ascii="方正仿宋_GBK" w:hAnsi="方正仿宋_GBK" w:eastAsia="方正仿宋_GBK" w:cs="方正仿宋_GBK"/>
          <w:color w:val="auto"/>
          <w:sz w:val="32"/>
          <w:szCs w:val="32"/>
          <w:shd w:val="clear" w:color="auto" w:fill="FFFFFF"/>
          <w:lang w:val="en-US" w:eastAsia="zh-CN" w:bidi="ar"/>
        </w:rPr>
      </w:pPr>
      <w:r>
        <w:rPr>
          <w:rFonts w:hint="default" w:ascii="Times New Roman" w:hAnsi="Times New Roman" w:eastAsia="方正仿宋_GBK" w:cs="Times New Roman"/>
          <w:color w:val="auto"/>
          <w:sz w:val="32"/>
          <w:szCs w:val="32"/>
          <w:shd w:val="clear" w:color="auto" w:fill="FFFFFF"/>
          <w:lang w:val="en-US" w:eastAsia="zh-CN" w:bidi="ar"/>
        </w:rPr>
        <w:t>本单位本年度纳入本套决算编制范围的独立编制机构数共2个，比上年增加0个；独立核算机构数共2个，比上年增加0个。</w:t>
      </w:r>
    </w:p>
    <w:p w14:paraId="028E4CE8">
      <w:pPr>
        <w:pStyle w:val="3"/>
        <w:jc w:val="center"/>
        <w:rPr>
          <w:rStyle w:val="44"/>
          <w:rFonts w:hint="eastAsia" w:ascii="黑体" w:eastAsia="黑体"/>
          <w:b w:val="0"/>
          <w:bCs w:val="0"/>
          <w:color w:val="auto"/>
        </w:rPr>
      </w:pPr>
      <w:bookmarkStart w:id="42" w:name="_Toc6878"/>
      <w:r>
        <w:rPr>
          <w:rStyle w:val="44"/>
          <w:rFonts w:hint="eastAsia" w:ascii="黑体" w:eastAsia="黑体"/>
          <w:b w:val="0"/>
          <w:bCs w:val="0"/>
          <w:color w:val="auto"/>
        </w:rPr>
        <w:t xml:space="preserve">第二部分 </w:t>
      </w:r>
      <w:r>
        <w:rPr>
          <w:rStyle w:val="44"/>
          <w:rFonts w:hint="eastAsia" w:ascii="黑体" w:eastAsia="黑体"/>
          <w:b w:val="0"/>
          <w:bCs w:val="0"/>
          <w:color w:val="auto"/>
          <w:lang w:val="en-US" w:eastAsia="zh-CN"/>
        </w:rPr>
        <w:t>2025</w:t>
      </w:r>
      <w:r>
        <w:rPr>
          <w:rStyle w:val="44"/>
          <w:rFonts w:hint="eastAsia" w:ascii="黑体" w:eastAsia="黑体"/>
          <w:b w:val="0"/>
          <w:bCs w:val="0"/>
          <w:color w:val="auto"/>
        </w:rPr>
        <w:t>年度部门决算情况说明</w:t>
      </w:r>
      <w:bookmarkEnd w:id="42"/>
    </w:p>
    <w:p w14:paraId="48787BDD">
      <w:pPr>
        <w:spacing w:line="600" w:lineRule="exact"/>
        <w:ind w:firstLine="640" w:firstLineChars="200"/>
        <w:outlineLvl w:val="1"/>
        <w:rPr>
          <w:rStyle w:val="34"/>
          <w:rFonts w:hint="eastAsia" w:ascii="黑体" w:hAnsi="黑体" w:eastAsia="黑体"/>
          <w:b w:val="0"/>
          <w:color w:val="auto"/>
          <w:highlight w:val="none"/>
        </w:rPr>
      </w:pPr>
      <w:bookmarkStart w:id="43" w:name="_Toc23369"/>
      <w:r>
        <w:rPr>
          <w:rStyle w:val="34"/>
          <w:rFonts w:hint="eastAsia" w:ascii="黑体" w:hAnsi="黑体" w:eastAsia="黑体"/>
          <w:b w:val="0"/>
          <w:color w:val="auto"/>
          <w:highlight w:val="none"/>
          <w:lang w:eastAsia="zh-CN"/>
        </w:rPr>
        <w:t>一、</w:t>
      </w:r>
      <w:r>
        <w:rPr>
          <w:rStyle w:val="34"/>
          <w:rFonts w:hint="eastAsia" w:ascii="黑体" w:hAnsi="黑体" w:eastAsia="黑体"/>
          <w:b w:val="0"/>
          <w:color w:val="auto"/>
          <w:highlight w:val="none"/>
        </w:rPr>
        <w:t>收入支出决算总体情况说明</w:t>
      </w:r>
      <w:bookmarkEnd w:id="43"/>
    </w:p>
    <w:p w14:paraId="534DCFA4">
      <w:pPr>
        <w:pStyle w:val="40"/>
        <w:widowControl/>
        <w:snapToGrid w:val="0"/>
        <w:spacing w:before="0" w:beforeAutospacing="0"/>
        <w:ind w:firstLine="640" w:firstLineChars="200"/>
        <w:rPr>
          <w:rFonts w:ascii="Times New Roman" w:hAnsi="Times New Roman" w:eastAsia="方正仿宋_GBK"/>
          <w:color w:val="auto"/>
          <w:kern w:val="2"/>
          <w:sz w:val="32"/>
          <w:szCs w:val="32"/>
        </w:rPr>
      </w:pPr>
      <w:r>
        <w:rPr>
          <w:rFonts w:hint="eastAsia" w:ascii="Times New Roman" w:hAnsi="Times New Roman" w:eastAsia="方正仿宋_GBK" w:cs="Times New Roman"/>
          <w:color w:val="auto"/>
          <w:sz w:val="32"/>
          <w:szCs w:val="32"/>
          <w:shd w:val="clear" w:color="auto" w:fill="FFFFFF"/>
          <w:lang w:val="en-US" w:eastAsia="zh-CN" w:bidi="ar"/>
        </w:rPr>
        <w:t>本单位本年度总收入为918万元。</w:t>
      </w:r>
      <w:r>
        <w:rPr>
          <w:rFonts w:hint="default" w:ascii="Times New Roman" w:hAnsi="Times New Roman" w:eastAsia="方正仿宋_GBK"/>
          <w:color w:val="auto"/>
          <w:kern w:val="2"/>
          <w:sz w:val="32"/>
          <w:szCs w:val="32"/>
        </w:rPr>
        <w:t>其中：一般公共预算财政拨款收入为</w:t>
      </w:r>
      <w:r>
        <w:rPr>
          <w:rFonts w:ascii="Times New Roman" w:hAnsi="Times New Roman" w:eastAsia="方正仿宋_GBK"/>
          <w:color w:val="auto"/>
          <w:kern w:val="2"/>
          <w:sz w:val="32"/>
          <w:szCs w:val="32"/>
        </w:rPr>
        <w:t>918.00</w:t>
      </w:r>
      <w:r>
        <w:rPr>
          <w:rFonts w:hint="default" w:ascii="Times New Roman" w:hAnsi="Times New Roman" w:eastAsia="方正仿宋_GBK"/>
          <w:color w:val="auto"/>
          <w:kern w:val="2"/>
          <w:sz w:val="32"/>
          <w:szCs w:val="32"/>
        </w:rPr>
        <w:t>万元，占比100%；本年度总支出为</w:t>
      </w:r>
      <w:r>
        <w:rPr>
          <w:rFonts w:ascii="Times New Roman" w:hAnsi="Times New Roman" w:eastAsia="方正仿宋_GBK"/>
          <w:color w:val="auto"/>
          <w:kern w:val="2"/>
          <w:sz w:val="32"/>
          <w:szCs w:val="32"/>
        </w:rPr>
        <w:t>918.00</w:t>
      </w:r>
      <w:r>
        <w:rPr>
          <w:rFonts w:hint="default" w:ascii="Times New Roman" w:hAnsi="Times New Roman" w:eastAsia="方正仿宋_GBK"/>
          <w:color w:val="auto"/>
          <w:kern w:val="2"/>
          <w:sz w:val="32"/>
          <w:szCs w:val="32"/>
        </w:rPr>
        <w:t>万元。其中：一般公共服务支出为</w:t>
      </w:r>
      <w:r>
        <w:rPr>
          <w:rFonts w:ascii="Times New Roman" w:hAnsi="Times New Roman" w:eastAsia="方正仿宋_GBK"/>
          <w:color w:val="auto"/>
          <w:kern w:val="2"/>
          <w:sz w:val="32"/>
          <w:szCs w:val="32"/>
        </w:rPr>
        <w:t>656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71.46</w:t>
      </w:r>
      <w:r>
        <w:rPr>
          <w:rFonts w:hint="default" w:ascii="Times New Roman" w:hAnsi="Times New Roman" w:eastAsia="方正仿宋_GBK"/>
          <w:color w:val="auto"/>
          <w:kern w:val="2"/>
          <w:sz w:val="32"/>
          <w:szCs w:val="32"/>
        </w:rPr>
        <w:t>%；文化旅游体育与传媒支出为</w:t>
      </w:r>
      <w:r>
        <w:rPr>
          <w:rFonts w:ascii="Times New Roman" w:hAnsi="Times New Roman" w:eastAsia="方正仿宋_GBK"/>
          <w:color w:val="auto"/>
          <w:kern w:val="2"/>
          <w:sz w:val="32"/>
          <w:szCs w:val="32"/>
        </w:rPr>
        <w:t>104.66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11.4</w:t>
      </w:r>
      <w:r>
        <w:rPr>
          <w:rFonts w:hint="default" w:ascii="Times New Roman" w:hAnsi="Times New Roman" w:eastAsia="方正仿宋_GBK"/>
          <w:color w:val="auto"/>
          <w:kern w:val="2"/>
          <w:sz w:val="32"/>
          <w:szCs w:val="32"/>
        </w:rPr>
        <w:t>%；社会保障和就业支出为</w:t>
      </w:r>
      <w:r>
        <w:rPr>
          <w:rFonts w:ascii="Times New Roman" w:hAnsi="Times New Roman" w:eastAsia="方正仿宋_GBK"/>
          <w:color w:val="auto"/>
          <w:kern w:val="2"/>
          <w:sz w:val="32"/>
          <w:szCs w:val="32"/>
        </w:rPr>
        <w:t>66.34</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7.23</w:t>
      </w:r>
      <w:r>
        <w:rPr>
          <w:rFonts w:hint="default" w:ascii="Times New Roman" w:hAnsi="Times New Roman" w:eastAsia="方正仿宋_GBK"/>
          <w:color w:val="auto"/>
          <w:kern w:val="2"/>
          <w:sz w:val="32"/>
          <w:szCs w:val="32"/>
        </w:rPr>
        <w:t>%；卫生健康支出为</w:t>
      </w:r>
      <w:r>
        <w:rPr>
          <w:rFonts w:ascii="Times New Roman" w:hAnsi="Times New Roman" w:eastAsia="方正仿宋_GBK"/>
          <w:color w:val="auto"/>
          <w:kern w:val="2"/>
          <w:sz w:val="32"/>
          <w:szCs w:val="32"/>
        </w:rPr>
        <w:t>29.52</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3.22</w:t>
      </w:r>
      <w:r>
        <w:rPr>
          <w:rFonts w:hint="default" w:ascii="Times New Roman" w:hAnsi="Times New Roman" w:eastAsia="方正仿宋_GBK"/>
          <w:color w:val="auto"/>
          <w:kern w:val="2"/>
          <w:sz w:val="32"/>
          <w:szCs w:val="32"/>
        </w:rPr>
        <w:t>%；住房保障支出为</w:t>
      </w:r>
      <w:r>
        <w:rPr>
          <w:rFonts w:ascii="Times New Roman" w:hAnsi="Times New Roman" w:eastAsia="方正仿宋_GBK"/>
          <w:color w:val="auto"/>
          <w:kern w:val="2"/>
          <w:sz w:val="32"/>
          <w:szCs w:val="32"/>
        </w:rPr>
        <w:t>35.96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3.92</w:t>
      </w:r>
      <w:r>
        <w:rPr>
          <w:rFonts w:hint="default" w:ascii="Times New Roman" w:hAnsi="Times New Roman" w:eastAsia="方正仿宋_GBK"/>
          <w:color w:val="auto"/>
          <w:kern w:val="2"/>
          <w:sz w:val="32"/>
          <w:szCs w:val="32"/>
        </w:rPr>
        <w:t>%</w:t>
      </w:r>
      <w:r>
        <w:rPr>
          <w:rFonts w:ascii="Times New Roman" w:hAnsi="Times New Roman" w:eastAsia="方正仿宋_GBK"/>
          <w:color w:val="auto"/>
          <w:kern w:val="2"/>
          <w:sz w:val="32"/>
          <w:szCs w:val="32"/>
        </w:rPr>
        <w:t>；农林水支出25.52万元，占比2.78%。</w:t>
      </w:r>
    </w:p>
    <w:p w14:paraId="131B9C1D">
      <w:pPr>
        <w:pStyle w:val="19"/>
        <w:keepNext w:val="0"/>
        <w:keepLines w:val="0"/>
        <w:pageBreakBefore w:val="0"/>
        <w:widowControl w:val="0"/>
        <w:kinsoku/>
        <w:wordWrap w:val="0"/>
        <w:overflowPunct/>
        <w:topLinePunct w:val="0"/>
        <w:autoSpaceDE/>
        <w:autoSpaceDN/>
        <w:bidi w:val="0"/>
        <w:spacing w:before="0" w:beforeAutospacing="0" w:after="0" w:afterAutospacing="0" w:line="576" w:lineRule="exact"/>
        <w:ind w:firstLine="640" w:firstLineChars="200"/>
        <w:textAlignment w:val="auto"/>
        <w:rPr>
          <w:rFonts w:hint="eastAsia" w:ascii="Times New Roman" w:hAnsi="Times New Roman" w:eastAsia="方正仿宋_GBK" w:cs="Times New Roman"/>
          <w:color w:val="auto"/>
          <w:sz w:val="32"/>
          <w:szCs w:val="32"/>
          <w:shd w:val="clear" w:color="auto" w:fill="FFFFFF"/>
          <w:lang w:val="en-US" w:eastAsia="zh-CN" w:bidi="ar"/>
        </w:rPr>
      </w:pPr>
    </w:p>
    <w:p w14:paraId="6FA20D18">
      <w:pPr>
        <w:pStyle w:val="6"/>
        <w:ind w:left="0" w:leftChars="0" w:firstLine="0" w:firstLineChars="0"/>
        <w:rPr>
          <w:rFonts w:hint="eastAsia"/>
          <w:color w:val="auto"/>
          <w:lang w:val="en-US" w:eastAsia="zh-CN"/>
        </w:rPr>
      </w:pPr>
      <w:r>
        <w:rPr>
          <w:color w:val="auto"/>
        </w:rPr>
        <w:drawing>
          <wp:inline distT="0" distB="0" distL="114300" distR="114300">
            <wp:extent cx="5246370" cy="2564130"/>
            <wp:effectExtent l="4445" t="4445" r="6985" b="222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27FA71A">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w:t>
      </w:r>
      <w:r>
        <w:rPr>
          <w:rFonts w:hint="eastAsia" w:ascii="Times New Roman" w:hAnsi="Times New Roman" w:eastAsia="方正仿宋_GBK" w:cs="Times New Roman"/>
          <w:color w:val="auto"/>
          <w:kern w:val="0"/>
          <w:sz w:val="32"/>
          <w:szCs w:val="32"/>
          <w:shd w:val="clear" w:color="auto" w:fill="FFFFFF"/>
          <w:lang w:val="en-US" w:eastAsia="zh-CN" w:bidi="ar"/>
        </w:rPr>
        <w:t>图</w:t>
      </w:r>
      <w:r>
        <w:rPr>
          <w:rFonts w:hint="default" w:ascii="Times New Roman" w:hAnsi="Times New Roman" w:eastAsia="方正仿宋_GBK" w:cs="Times New Roman"/>
          <w:color w:val="auto"/>
          <w:kern w:val="0"/>
          <w:sz w:val="32"/>
          <w:szCs w:val="32"/>
          <w:shd w:val="clear" w:color="auto" w:fill="FFFFFF"/>
          <w:lang w:val="en-US" w:eastAsia="zh-CN" w:bidi="ar"/>
        </w:rPr>
        <w:t>1</w:t>
      </w:r>
      <w:r>
        <w:rPr>
          <w:rFonts w:hint="eastAsia" w:ascii="Times New Roman" w:hAnsi="Times New Roman" w:eastAsia="方正仿宋_GBK" w:cs="Times New Roman"/>
          <w:color w:val="auto"/>
          <w:kern w:val="0"/>
          <w:sz w:val="32"/>
          <w:szCs w:val="32"/>
          <w:shd w:val="clear" w:color="auto" w:fill="FFFFFF"/>
          <w:lang w:val="en-US" w:eastAsia="zh-CN" w:bidi="ar"/>
        </w:rPr>
        <w:t>：</w:t>
      </w:r>
      <w:r>
        <w:rPr>
          <w:rFonts w:hint="eastAsia" w:eastAsia="方正仿宋_GBK" w:cs="Times New Roman"/>
          <w:color w:val="auto"/>
          <w:kern w:val="0"/>
          <w:sz w:val="32"/>
          <w:szCs w:val="32"/>
          <w:shd w:val="clear" w:color="auto" w:fill="FFFFFF"/>
          <w:lang w:val="en-US" w:eastAsia="zh-CN" w:bidi="ar"/>
        </w:rPr>
        <w:t>收入支出结构分析</w:t>
      </w:r>
      <w:r>
        <w:rPr>
          <w:rFonts w:hint="eastAsia" w:ascii="仿宋" w:hAnsi="仿宋" w:eastAsia="仿宋"/>
          <w:color w:val="auto"/>
          <w:sz w:val="32"/>
          <w:szCs w:val="32"/>
        </w:rPr>
        <w:t>情况图）（</w:t>
      </w:r>
      <w:r>
        <w:rPr>
          <w:rFonts w:hint="eastAsia" w:ascii="仿宋" w:hAnsi="仿宋" w:eastAsia="仿宋"/>
          <w:color w:val="auto"/>
          <w:sz w:val="32"/>
          <w:szCs w:val="32"/>
          <w:lang w:eastAsia="zh-CN"/>
        </w:rPr>
        <w:t>饼状</w:t>
      </w:r>
      <w:r>
        <w:rPr>
          <w:rFonts w:hint="eastAsia" w:ascii="仿宋" w:hAnsi="仿宋" w:eastAsia="仿宋"/>
          <w:color w:val="auto"/>
          <w:sz w:val="32"/>
          <w:szCs w:val="32"/>
        </w:rPr>
        <w:t>图）</w:t>
      </w:r>
    </w:p>
    <w:p w14:paraId="18B86491">
      <w:pPr>
        <w:pStyle w:val="6"/>
        <w:jc w:val="left"/>
        <w:rPr>
          <w:rFonts w:hint="eastAsia"/>
          <w:color w:val="auto"/>
          <w:lang w:val="en-US" w:eastAsia="zh-CN"/>
        </w:rPr>
      </w:pPr>
    </w:p>
    <w:p w14:paraId="354EB21A">
      <w:pPr>
        <w:spacing w:line="600" w:lineRule="exact"/>
        <w:ind w:firstLine="640" w:firstLineChars="200"/>
        <w:outlineLvl w:val="1"/>
        <w:rPr>
          <w:rStyle w:val="34"/>
          <w:rFonts w:hint="eastAsia" w:ascii="黑体" w:hAnsi="黑体" w:eastAsia="黑体"/>
          <w:b w:val="0"/>
          <w:color w:val="auto"/>
        </w:rPr>
      </w:pPr>
      <w:bookmarkStart w:id="44" w:name="_Toc5747"/>
      <w:r>
        <w:rPr>
          <w:rStyle w:val="34"/>
          <w:rFonts w:hint="eastAsia" w:ascii="黑体" w:hAnsi="黑体" w:eastAsia="黑体"/>
          <w:b w:val="0"/>
          <w:color w:val="auto"/>
          <w:lang w:eastAsia="zh-CN"/>
        </w:rPr>
        <w:t>二、</w:t>
      </w:r>
      <w:r>
        <w:rPr>
          <w:rStyle w:val="34"/>
          <w:rFonts w:hint="eastAsia" w:ascii="黑体" w:hAnsi="黑体" w:eastAsia="黑体"/>
          <w:b w:val="0"/>
          <w:color w:val="auto"/>
        </w:rPr>
        <w:t>收入决算情况说明</w:t>
      </w:r>
      <w:bookmarkEnd w:id="44"/>
    </w:p>
    <w:p w14:paraId="1724750F">
      <w:pPr>
        <w:pStyle w:val="19"/>
        <w:keepNext w:val="0"/>
        <w:keepLines w:val="0"/>
        <w:pageBreakBefore w:val="0"/>
        <w:kinsoku/>
        <w:wordWrap w:val="0"/>
        <w:overflowPunct/>
        <w:topLinePunct w:val="0"/>
        <w:autoSpaceDE/>
        <w:autoSpaceDN/>
        <w:bidi w:val="0"/>
        <w:spacing w:before="0" w:beforeAutospacing="0" w:after="0" w:afterAutospacing="0" w:line="554" w:lineRule="exact"/>
        <w:ind w:firstLine="640" w:firstLineChars="200"/>
        <w:textAlignment w:val="auto"/>
        <w:rPr>
          <w:rFonts w:hint="default" w:ascii="Times New Roman" w:hAnsi="Times New Roman" w:eastAsia="方正仿宋_GBK" w:cs="Times New Roman"/>
          <w:color w:val="auto"/>
          <w:sz w:val="32"/>
          <w:szCs w:val="32"/>
          <w:shd w:val="clear" w:color="auto" w:fill="FFFFFF"/>
          <w:lang w:val="en-US" w:eastAsia="zh-CN" w:bidi="ar"/>
        </w:rPr>
      </w:pPr>
      <w:bookmarkStart w:id="45" w:name="_Toc12589"/>
      <w:bookmarkStart w:id="46" w:name="_Toc27591"/>
      <w:r>
        <w:rPr>
          <w:rFonts w:hint="default" w:ascii="Times New Roman" w:hAnsi="Times New Roman" w:eastAsia="方正仿宋_GBK" w:cs="Times New Roman"/>
          <w:color w:val="auto"/>
          <w:sz w:val="32"/>
          <w:szCs w:val="32"/>
          <w:shd w:val="clear" w:color="auto" w:fill="FFFFFF"/>
          <w:lang w:val="en-US" w:eastAsia="zh-CN" w:bidi="ar"/>
        </w:rPr>
        <w:t>本年收入合计</w:t>
      </w:r>
      <w:r>
        <w:rPr>
          <w:rFonts w:hint="eastAsia" w:ascii="Times New Roman" w:hAnsi="Times New Roman" w:eastAsia="方正仿宋_GBK" w:cs="Times New Roman"/>
          <w:color w:val="auto"/>
          <w:sz w:val="32"/>
          <w:szCs w:val="32"/>
          <w:shd w:val="clear" w:color="auto" w:fill="FFFFFF"/>
          <w:lang w:val="en-US" w:eastAsia="zh-CN" w:bidi="ar"/>
        </w:rPr>
        <w:t>918</w:t>
      </w:r>
      <w:r>
        <w:rPr>
          <w:rFonts w:hint="default" w:ascii="Times New Roman" w:hAnsi="Times New Roman" w:eastAsia="方正仿宋_GBK" w:cs="Times New Roman"/>
          <w:color w:val="auto"/>
          <w:sz w:val="32"/>
          <w:szCs w:val="32"/>
          <w:shd w:val="clear" w:color="auto" w:fill="FFFFFF"/>
          <w:lang w:val="en-US" w:eastAsia="zh-CN" w:bidi="ar"/>
        </w:rPr>
        <w:t>万元，其中：</w:t>
      </w:r>
      <w:bookmarkEnd w:id="45"/>
      <w:r>
        <w:rPr>
          <w:rFonts w:hint="default" w:ascii="Times New Roman" w:hAnsi="Times New Roman" w:eastAsia="方正仿宋_GBK" w:cs="Times New Roman"/>
          <w:color w:val="auto"/>
          <w:sz w:val="32"/>
          <w:szCs w:val="32"/>
          <w:shd w:val="clear" w:color="auto" w:fill="FFFFFF"/>
          <w:lang w:val="en-US" w:eastAsia="zh-CN" w:bidi="ar"/>
        </w:rPr>
        <w:t>其中：一般公共预算财政拨款收入为</w:t>
      </w:r>
      <w:r>
        <w:rPr>
          <w:rFonts w:hint="eastAsia" w:ascii="Times New Roman" w:hAnsi="Times New Roman" w:eastAsia="方正仿宋_GBK" w:cs="Times New Roman"/>
          <w:color w:val="auto"/>
          <w:sz w:val="32"/>
          <w:szCs w:val="32"/>
          <w:shd w:val="clear" w:color="auto" w:fill="FFFFFF"/>
          <w:lang w:val="en-US" w:eastAsia="zh-CN" w:bidi="ar"/>
        </w:rPr>
        <w:t>918</w:t>
      </w:r>
      <w:r>
        <w:rPr>
          <w:rFonts w:hint="default" w:ascii="Times New Roman" w:hAnsi="Times New Roman" w:eastAsia="方正仿宋_GBK" w:cs="Times New Roman"/>
          <w:color w:val="auto"/>
          <w:sz w:val="32"/>
          <w:szCs w:val="32"/>
          <w:shd w:val="clear" w:color="auto" w:fill="FFFFFF"/>
          <w:lang w:val="en-US" w:eastAsia="zh-CN" w:bidi="ar"/>
        </w:rPr>
        <w:t>万元，占比100%</w:t>
      </w:r>
      <w:bookmarkEnd w:id="46"/>
      <w:r>
        <w:rPr>
          <w:rFonts w:hint="eastAsia" w:ascii="Times New Roman" w:hAnsi="Times New Roman" w:eastAsia="方正仿宋_GBK" w:cs="Times New Roman"/>
          <w:color w:val="auto"/>
          <w:sz w:val="32"/>
          <w:szCs w:val="32"/>
          <w:shd w:val="clear" w:color="auto" w:fill="FFFFFF"/>
          <w:lang w:val="en-US" w:eastAsia="zh-CN" w:bidi="ar"/>
        </w:rPr>
        <w:t>。</w:t>
      </w:r>
    </w:p>
    <w:p w14:paraId="0195DEF1">
      <w:pPr>
        <w:pStyle w:val="20"/>
        <w:rPr>
          <w:color w:val="auto"/>
        </w:rPr>
      </w:pPr>
      <w:r>
        <w:rPr>
          <w:color w:val="auto"/>
        </w:rPr>
        <w:drawing>
          <wp:inline distT="0" distB="0" distL="114300" distR="114300">
            <wp:extent cx="4826000" cy="1911350"/>
            <wp:effectExtent l="4445" t="4445" r="8255" b="825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36EF440">
      <w:pPr>
        <w:spacing w:line="600" w:lineRule="exact"/>
        <w:ind w:firstLine="640" w:firstLineChars="200"/>
        <w:jc w:val="center"/>
        <w:rPr>
          <w:color w:val="auto"/>
        </w:rPr>
      </w:pPr>
      <w:r>
        <w:rPr>
          <w:rFonts w:hint="eastAsia" w:ascii="Times New Roman" w:hAnsi="Times New Roman" w:eastAsia="方正仿宋_GBK" w:cs="Times New Roman"/>
          <w:color w:val="auto"/>
          <w:kern w:val="0"/>
          <w:sz w:val="32"/>
          <w:szCs w:val="32"/>
          <w:shd w:val="clear" w:color="auto" w:fill="FFFFFF"/>
          <w:lang w:val="en-US" w:eastAsia="zh-CN" w:bidi="ar"/>
        </w:rPr>
        <w:t>（图2：</w:t>
      </w:r>
      <w:r>
        <w:rPr>
          <w:rFonts w:hint="eastAsia" w:ascii="仿宋" w:hAnsi="仿宋" w:eastAsia="仿宋"/>
          <w:color w:val="auto"/>
          <w:sz w:val="32"/>
          <w:szCs w:val="32"/>
        </w:rPr>
        <w:t>收入决算结构图）（饼状图）</w:t>
      </w:r>
    </w:p>
    <w:p w14:paraId="4C84F622">
      <w:pPr>
        <w:spacing w:line="600" w:lineRule="exact"/>
        <w:ind w:firstLine="640" w:firstLineChars="200"/>
        <w:outlineLvl w:val="1"/>
        <w:rPr>
          <w:rStyle w:val="34"/>
          <w:rFonts w:hint="eastAsia" w:ascii="黑体" w:hAnsi="黑体" w:eastAsia="黑体"/>
          <w:b w:val="0"/>
          <w:color w:val="auto"/>
        </w:rPr>
      </w:pPr>
      <w:bookmarkStart w:id="47" w:name="_Toc26149"/>
      <w:r>
        <w:rPr>
          <w:rStyle w:val="34"/>
          <w:rFonts w:hint="eastAsia" w:ascii="黑体" w:hAnsi="黑体" w:eastAsia="黑体"/>
          <w:b w:val="0"/>
          <w:color w:val="auto"/>
          <w:lang w:eastAsia="zh-CN"/>
        </w:rPr>
        <w:t>三、</w:t>
      </w:r>
      <w:r>
        <w:rPr>
          <w:rStyle w:val="34"/>
          <w:rFonts w:hint="eastAsia" w:ascii="黑体" w:hAnsi="黑体" w:eastAsia="黑体"/>
          <w:b w:val="0"/>
          <w:color w:val="auto"/>
        </w:rPr>
        <w:t>支出决算情况说明</w:t>
      </w:r>
      <w:bookmarkEnd w:id="47"/>
    </w:p>
    <w:p w14:paraId="0B6148A3">
      <w:pPr>
        <w:pStyle w:val="19"/>
        <w:keepNext w:val="0"/>
        <w:keepLines w:val="0"/>
        <w:pageBreakBefore w:val="0"/>
        <w:kinsoku/>
        <w:wordWrap w:val="0"/>
        <w:overflowPunct/>
        <w:topLinePunct w:val="0"/>
        <w:autoSpaceDE/>
        <w:autoSpaceDN/>
        <w:bidi w:val="0"/>
        <w:spacing w:before="0" w:beforeAutospacing="0" w:after="0" w:afterAutospacing="0" w:line="554" w:lineRule="exact"/>
        <w:ind w:firstLine="640" w:firstLineChars="200"/>
        <w:textAlignment w:val="auto"/>
        <w:rPr>
          <w:rFonts w:hint="default" w:ascii="Times New Roman" w:hAnsi="Times New Roman" w:eastAsia="方正仿宋_GBK" w:cs="Times New Roman"/>
          <w:color w:val="auto"/>
          <w:sz w:val="32"/>
          <w:szCs w:val="32"/>
          <w:shd w:val="clear" w:color="auto" w:fill="FFFFFF"/>
          <w:lang w:val="en-US" w:eastAsia="zh-CN" w:bidi="ar"/>
        </w:rPr>
      </w:pPr>
      <w:bookmarkStart w:id="48" w:name="_Toc4879"/>
      <w:r>
        <w:rPr>
          <w:rFonts w:hint="default" w:ascii="Times New Roman" w:hAnsi="Times New Roman" w:eastAsia="方正仿宋_GBK" w:cs="Times New Roman"/>
          <w:color w:val="auto"/>
          <w:sz w:val="32"/>
          <w:szCs w:val="32"/>
          <w:shd w:val="clear" w:color="auto" w:fill="FFFFFF"/>
          <w:lang w:val="en-US" w:eastAsia="zh-CN" w:bidi="ar"/>
        </w:rPr>
        <w:t>本年度总支出为</w:t>
      </w:r>
      <w:r>
        <w:rPr>
          <w:rFonts w:hint="eastAsia" w:ascii="Times New Roman" w:hAnsi="Times New Roman" w:eastAsia="方正仿宋_GBK" w:cs="Times New Roman"/>
          <w:color w:val="auto"/>
          <w:sz w:val="32"/>
          <w:szCs w:val="32"/>
          <w:shd w:val="clear" w:color="auto" w:fill="FFFFFF"/>
          <w:lang w:val="en-US" w:eastAsia="zh-CN" w:bidi="ar"/>
        </w:rPr>
        <w:t>918</w:t>
      </w:r>
      <w:r>
        <w:rPr>
          <w:rFonts w:hint="default" w:ascii="Times New Roman" w:hAnsi="Times New Roman" w:eastAsia="方正仿宋_GBK" w:cs="Times New Roman"/>
          <w:color w:val="auto"/>
          <w:sz w:val="32"/>
          <w:szCs w:val="32"/>
          <w:shd w:val="clear" w:color="auto" w:fill="FFFFFF"/>
          <w:lang w:val="en-US" w:eastAsia="zh-CN" w:bidi="ar"/>
        </w:rPr>
        <w:t>万元。其中：</w:t>
      </w:r>
      <w:bookmarkEnd w:id="48"/>
      <w:r>
        <w:rPr>
          <w:rFonts w:hint="eastAsia" w:ascii="Times New Roman" w:hAnsi="Times New Roman" w:eastAsia="方正仿宋_GBK" w:cs="Times New Roman"/>
          <w:color w:val="auto"/>
          <w:sz w:val="32"/>
          <w:szCs w:val="32"/>
          <w:shd w:val="clear" w:color="auto" w:fill="FFFFFF"/>
          <w:lang w:val="en-US" w:eastAsia="zh-CN" w:bidi="ar"/>
        </w:rPr>
        <w:t>其中：</w:t>
      </w:r>
      <w:r>
        <w:rPr>
          <w:rFonts w:hint="default" w:ascii="Times New Roman" w:hAnsi="Times New Roman" w:eastAsia="方正仿宋_GBK"/>
          <w:color w:val="auto"/>
          <w:kern w:val="2"/>
          <w:sz w:val="32"/>
          <w:szCs w:val="32"/>
        </w:rPr>
        <w:t>一般公共服务支出为</w:t>
      </w:r>
      <w:r>
        <w:rPr>
          <w:rFonts w:ascii="Times New Roman" w:hAnsi="Times New Roman" w:eastAsia="方正仿宋_GBK"/>
          <w:color w:val="auto"/>
          <w:kern w:val="2"/>
          <w:sz w:val="32"/>
          <w:szCs w:val="32"/>
        </w:rPr>
        <w:t>656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71.46</w:t>
      </w:r>
      <w:r>
        <w:rPr>
          <w:rFonts w:hint="default" w:ascii="Times New Roman" w:hAnsi="Times New Roman" w:eastAsia="方正仿宋_GBK"/>
          <w:color w:val="auto"/>
          <w:kern w:val="2"/>
          <w:sz w:val="32"/>
          <w:szCs w:val="32"/>
        </w:rPr>
        <w:t>%；文化旅游体育与传媒支出为</w:t>
      </w:r>
      <w:r>
        <w:rPr>
          <w:rFonts w:ascii="Times New Roman" w:hAnsi="Times New Roman" w:eastAsia="方正仿宋_GBK"/>
          <w:color w:val="auto"/>
          <w:kern w:val="2"/>
          <w:sz w:val="32"/>
          <w:szCs w:val="32"/>
        </w:rPr>
        <w:t>104.66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11.4</w:t>
      </w:r>
      <w:r>
        <w:rPr>
          <w:rFonts w:hint="default" w:ascii="Times New Roman" w:hAnsi="Times New Roman" w:eastAsia="方正仿宋_GBK"/>
          <w:color w:val="auto"/>
          <w:kern w:val="2"/>
          <w:sz w:val="32"/>
          <w:szCs w:val="32"/>
        </w:rPr>
        <w:t>%；社会保障和就业支出为</w:t>
      </w:r>
      <w:r>
        <w:rPr>
          <w:rFonts w:ascii="Times New Roman" w:hAnsi="Times New Roman" w:eastAsia="方正仿宋_GBK"/>
          <w:color w:val="auto"/>
          <w:kern w:val="2"/>
          <w:sz w:val="32"/>
          <w:szCs w:val="32"/>
        </w:rPr>
        <w:t>66.34</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7.23</w:t>
      </w:r>
      <w:r>
        <w:rPr>
          <w:rFonts w:hint="default" w:ascii="Times New Roman" w:hAnsi="Times New Roman" w:eastAsia="方正仿宋_GBK"/>
          <w:color w:val="auto"/>
          <w:kern w:val="2"/>
          <w:sz w:val="32"/>
          <w:szCs w:val="32"/>
        </w:rPr>
        <w:t>%；卫生健康支出为</w:t>
      </w:r>
      <w:r>
        <w:rPr>
          <w:rFonts w:ascii="Times New Roman" w:hAnsi="Times New Roman" w:eastAsia="方正仿宋_GBK"/>
          <w:color w:val="auto"/>
          <w:kern w:val="2"/>
          <w:sz w:val="32"/>
          <w:szCs w:val="32"/>
        </w:rPr>
        <w:t>29.52</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3.22</w:t>
      </w:r>
      <w:r>
        <w:rPr>
          <w:rFonts w:hint="default" w:ascii="Times New Roman" w:hAnsi="Times New Roman" w:eastAsia="方正仿宋_GBK"/>
          <w:color w:val="auto"/>
          <w:kern w:val="2"/>
          <w:sz w:val="32"/>
          <w:szCs w:val="32"/>
        </w:rPr>
        <w:t>%；住房保障支出为</w:t>
      </w:r>
      <w:r>
        <w:rPr>
          <w:rFonts w:ascii="Times New Roman" w:hAnsi="Times New Roman" w:eastAsia="方正仿宋_GBK"/>
          <w:color w:val="auto"/>
          <w:kern w:val="2"/>
          <w:sz w:val="32"/>
          <w:szCs w:val="32"/>
        </w:rPr>
        <w:t>35.96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3.92</w:t>
      </w:r>
      <w:r>
        <w:rPr>
          <w:rFonts w:hint="default" w:ascii="Times New Roman" w:hAnsi="Times New Roman" w:eastAsia="方正仿宋_GBK"/>
          <w:color w:val="auto"/>
          <w:kern w:val="2"/>
          <w:sz w:val="32"/>
          <w:szCs w:val="32"/>
        </w:rPr>
        <w:t>%</w:t>
      </w:r>
      <w:r>
        <w:rPr>
          <w:rFonts w:ascii="Times New Roman" w:hAnsi="Times New Roman" w:eastAsia="方正仿宋_GBK"/>
          <w:color w:val="auto"/>
          <w:kern w:val="2"/>
          <w:sz w:val="32"/>
          <w:szCs w:val="32"/>
        </w:rPr>
        <w:t>；农林水支出25.52万元，占比2.78%。</w:t>
      </w:r>
    </w:p>
    <w:p w14:paraId="54452D43">
      <w:pPr>
        <w:pStyle w:val="19"/>
        <w:keepNext w:val="0"/>
        <w:keepLines w:val="0"/>
        <w:pageBreakBefore w:val="0"/>
        <w:kinsoku/>
        <w:wordWrap w:val="0"/>
        <w:overflowPunct/>
        <w:topLinePunct w:val="0"/>
        <w:autoSpaceDE/>
        <w:autoSpaceDN/>
        <w:bidi w:val="0"/>
        <w:spacing w:before="0" w:beforeAutospacing="0" w:after="0" w:afterAutospacing="0" w:line="554" w:lineRule="exact"/>
        <w:ind w:firstLine="480" w:firstLineChars="200"/>
        <w:jc w:val="center"/>
        <w:textAlignment w:val="auto"/>
        <w:rPr>
          <w:rFonts w:hint="default" w:ascii="Times New Roman" w:hAnsi="Times New Roman" w:eastAsia="方正仿宋_GBK" w:cs="Times New Roman"/>
          <w:color w:val="auto"/>
          <w:sz w:val="32"/>
          <w:szCs w:val="32"/>
          <w:shd w:val="clear" w:color="auto" w:fill="FFFFFF"/>
          <w:lang w:val="en-US" w:eastAsia="zh-CN" w:bidi="ar"/>
        </w:rPr>
      </w:pPr>
      <w:r>
        <w:rPr>
          <w:color w:val="auto"/>
        </w:rPr>
        <w:drawing>
          <wp:anchor distT="0" distB="0" distL="114300" distR="114300" simplePos="0" relativeHeight="251659264" behindDoc="0" locked="0" layoutInCell="1" allowOverlap="1">
            <wp:simplePos x="0" y="0"/>
            <wp:positionH relativeFrom="column">
              <wp:posOffset>346075</wp:posOffset>
            </wp:positionH>
            <wp:positionV relativeFrom="paragraph">
              <wp:posOffset>308610</wp:posOffset>
            </wp:positionV>
            <wp:extent cx="4826000" cy="1971675"/>
            <wp:effectExtent l="4445" t="4445" r="8255" b="5080"/>
            <wp:wrapTopAndBottom/>
            <wp:docPr id="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Times New Roman" w:hAnsi="Times New Roman" w:eastAsia="方正仿宋_GBK" w:cs="Times New Roman"/>
          <w:color w:val="auto"/>
          <w:sz w:val="32"/>
          <w:szCs w:val="32"/>
          <w:shd w:val="clear" w:color="auto" w:fill="FFFFFF"/>
          <w:lang w:val="en-US" w:eastAsia="zh-CN" w:bidi="ar"/>
        </w:rPr>
        <w:t>（图3：支出情况分析）（饼状图）</w:t>
      </w:r>
    </w:p>
    <w:p w14:paraId="6A3EEFCF">
      <w:pPr>
        <w:spacing w:line="600" w:lineRule="exact"/>
        <w:ind w:firstLine="640" w:firstLineChars="200"/>
        <w:outlineLvl w:val="1"/>
        <w:rPr>
          <w:rStyle w:val="34"/>
          <w:rFonts w:hint="eastAsia" w:ascii="黑体" w:hAnsi="黑体" w:eastAsia="黑体"/>
          <w:b w:val="0"/>
          <w:color w:val="auto"/>
        </w:rPr>
      </w:pPr>
      <w:bookmarkStart w:id="49" w:name="_Toc20529"/>
      <w:r>
        <w:rPr>
          <w:rStyle w:val="34"/>
          <w:rFonts w:hint="eastAsia" w:ascii="黑体" w:hAnsi="黑体" w:eastAsia="黑体"/>
          <w:b w:val="0"/>
          <w:color w:val="auto"/>
          <w:lang w:eastAsia="zh-CN"/>
        </w:rPr>
        <w:t>四、</w:t>
      </w:r>
      <w:r>
        <w:rPr>
          <w:rStyle w:val="34"/>
          <w:rFonts w:hint="eastAsia" w:ascii="黑体" w:hAnsi="黑体" w:eastAsia="黑体"/>
          <w:b w:val="0"/>
          <w:color w:val="auto"/>
        </w:rPr>
        <w:t>财政拨款收入支出决算总体情况说明</w:t>
      </w:r>
      <w:bookmarkEnd w:id="49"/>
    </w:p>
    <w:p w14:paraId="24776B71">
      <w:pPr>
        <w:pStyle w:val="19"/>
        <w:keepNext w:val="0"/>
        <w:keepLines w:val="0"/>
        <w:pageBreakBefore w:val="0"/>
        <w:kinsoku/>
        <w:wordWrap w:val="0"/>
        <w:overflowPunct/>
        <w:topLinePunct w:val="0"/>
        <w:autoSpaceDE/>
        <w:autoSpaceDN/>
        <w:bidi w:val="0"/>
        <w:spacing w:before="0" w:beforeAutospacing="0" w:after="0" w:afterAutospacing="0" w:line="554" w:lineRule="exact"/>
        <w:ind w:firstLine="640" w:firstLineChars="200"/>
        <w:jc w:val="left"/>
        <w:textAlignment w:val="auto"/>
        <w:rPr>
          <w:rFonts w:hint="default" w:ascii="Times New Roman" w:hAnsi="Times New Roman" w:eastAsia="方正仿宋_GBK" w:cs="Times New Roman"/>
          <w:color w:val="auto"/>
          <w:sz w:val="32"/>
          <w:szCs w:val="32"/>
          <w:shd w:val="clear" w:color="auto" w:fill="FFFFFF"/>
          <w:lang w:val="en-US" w:eastAsia="zh-CN" w:bidi="ar"/>
        </w:rPr>
      </w:pPr>
      <w:bookmarkStart w:id="50" w:name="_Toc12396"/>
      <w:r>
        <w:rPr>
          <w:rFonts w:hint="default" w:ascii="Times New Roman" w:hAnsi="Times New Roman" w:eastAsia="方正仿宋_GBK" w:cs="Times New Roman"/>
          <w:color w:val="auto"/>
          <w:sz w:val="32"/>
          <w:szCs w:val="32"/>
          <w:shd w:val="clear" w:color="auto" w:fill="FFFFFF"/>
          <w:lang w:val="en-US" w:eastAsia="zh-CN" w:bidi="ar"/>
        </w:rPr>
        <w:t>本年度财政拨款收入总金额为</w:t>
      </w:r>
      <w:r>
        <w:rPr>
          <w:rFonts w:hint="eastAsia" w:ascii="Times New Roman" w:hAnsi="Times New Roman" w:eastAsia="方正仿宋_GBK" w:cs="Times New Roman"/>
          <w:color w:val="auto"/>
          <w:sz w:val="32"/>
          <w:szCs w:val="32"/>
          <w:shd w:val="clear" w:color="auto" w:fill="FFFFFF"/>
          <w:lang w:val="en-US" w:eastAsia="zh-CN" w:bidi="ar"/>
        </w:rPr>
        <w:t>918</w:t>
      </w:r>
      <w:r>
        <w:rPr>
          <w:rFonts w:hint="default" w:ascii="Times New Roman" w:hAnsi="Times New Roman" w:eastAsia="方正仿宋_GBK" w:cs="Times New Roman"/>
          <w:color w:val="auto"/>
          <w:sz w:val="32"/>
          <w:szCs w:val="32"/>
          <w:shd w:val="clear" w:color="auto" w:fill="FFFFFF"/>
          <w:lang w:val="en-US" w:eastAsia="zh-CN" w:bidi="ar"/>
        </w:rPr>
        <w:t>万元，较上年度</w:t>
      </w:r>
      <w:r>
        <w:rPr>
          <w:rFonts w:hint="eastAsia" w:ascii="Times New Roman" w:hAnsi="Times New Roman" w:eastAsia="方正仿宋_GBK" w:cs="Times New Roman"/>
          <w:color w:val="auto"/>
          <w:sz w:val="32"/>
          <w:szCs w:val="32"/>
          <w:shd w:val="clear" w:color="auto" w:fill="FFFFFF"/>
          <w:lang w:val="en-US" w:eastAsia="zh-CN" w:bidi="ar"/>
        </w:rPr>
        <w:t>1095.32万元减少177.32</w:t>
      </w:r>
      <w:r>
        <w:rPr>
          <w:rFonts w:hint="default" w:ascii="Times New Roman" w:hAnsi="Times New Roman" w:eastAsia="方正仿宋_GBK" w:cs="Times New Roman"/>
          <w:color w:val="auto"/>
          <w:sz w:val="32"/>
          <w:szCs w:val="32"/>
          <w:shd w:val="clear" w:color="auto" w:fill="FFFFFF"/>
          <w:lang w:val="en-US" w:eastAsia="zh-CN" w:bidi="ar"/>
        </w:rPr>
        <w:t>万元。其中：一般公共服务支出为</w:t>
      </w:r>
      <w:r>
        <w:rPr>
          <w:rFonts w:hint="eastAsia" w:ascii="Times New Roman" w:hAnsi="Times New Roman" w:eastAsia="方正仿宋_GBK" w:cs="Times New Roman"/>
          <w:color w:val="auto"/>
          <w:sz w:val="32"/>
          <w:szCs w:val="32"/>
          <w:shd w:val="clear" w:color="auto" w:fill="FFFFFF"/>
          <w:lang w:val="en-US" w:eastAsia="zh-CN" w:bidi="ar"/>
        </w:rPr>
        <w:t>656</w:t>
      </w:r>
      <w:r>
        <w:rPr>
          <w:rFonts w:hint="default" w:ascii="Times New Roman" w:hAnsi="Times New Roman" w:eastAsia="方正仿宋_GBK" w:cs="Times New Roman"/>
          <w:color w:val="auto"/>
          <w:sz w:val="32"/>
          <w:szCs w:val="32"/>
          <w:shd w:val="clear" w:color="auto" w:fill="FFFFFF"/>
          <w:lang w:val="en-US" w:eastAsia="zh-CN" w:bidi="ar"/>
        </w:rPr>
        <w:t>万元，相比上年度</w:t>
      </w:r>
      <w:r>
        <w:rPr>
          <w:rFonts w:hint="eastAsia" w:ascii="Times New Roman" w:hAnsi="Times New Roman" w:eastAsia="方正仿宋_GBK" w:cs="Times New Roman"/>
          <w:color w:val="auto"/>
          <w:sz w:val="32"/>
          <w:szCs w:val="32"/>
          <w:shd w:val="clear" w:color="auto" w:fill="FFFFFF"/>
          <w:lang w:val="en-US" w:eastAsia="zh-CN" w:bidi="ar"/>
        </w:rPr>
        <w:t>817.14减少161.14</w:t>
      </w:r>
      <w:r>
        <w:rPr>
          <w:rFonts w:hint="default" w:ascii="Times New Roman" w:hAnsi="Times New Roman" w:eastAsia="方正仿宋_GBK" w:cs="Times New Roman"/>
          <w:color w:val="auto"/>
          <w:sz w:val="32"/>
          <w:szCs w:val="32"/>
          <w:shd w:val="clear" w:color="auto" w:fill="FFFFFF"/>
          <w:lang w:val="en-US" w:eastAsia="zh-CN" w:bidi="ar"/>
        </w:rPr>
        <w:t>万元；文化旅游体育与传媒支出</w:t>
      </w:r>
      <w:r>
        <w:rPr>
          <w:rFonts w:hint="eastAsia" w:ascii="Times New Roman" w:hAnsi="Times New Roman" w:eastAsia="方正仿宋_GBK" w:cs="Times New Roman"/>
          <w:color w:val="auto"/>
          <w:sz w:val="32"/>
          <w:szCs w:val="32"/>
          <w:shd w:val="clear" w:color="auto" w:fill="FFFFFF"/>
          <w:lang w:val="en-US" w:eastAsia="zh-CN" w:bidi="ar"/>
        </w:rPr>
        <w:t>104.66</w:t>
      </w:r>
      <w:r>
        <w:rPr>
          <w:rFonts w:hint="default" w:ascii="Times New Roman" w:hAnsi="Times New Roman" w:eastAsia="方正仿宋_GBK" w:cs="Times New Roman"/>
          <w:color w:val="auto"/>
          <w:sz w:val="32"/>
          <w:szCs w:val="32"/>
          <w:shd w:val="clear" w:color="auto" w:fill="FFFFFF"/>
          <w:lang w:val="en-US" w:eastAsia="zh-CN" w:bidi="ar"/>
        </w:rPr>
        <w:t>万元，相比上年度</w:t>
      </w:r>
      <w:r>
        <w:rPr>
          <w:rFonts w:hint="eastAsia" w:ascii="Times New Roman" w:hAnsi="Times New Roman" w:eastAsia="方正仿宋_GBK" w:cs="Times New Roman"/>
          <w:color w:val="auto"/>
          <w:sz w:val="32"/>
          <w:szCs w:val="32"/>
          <w:shd w:val="clear" w:color="auto" w:fill="FFFFFF"/>
          <w:lang w:val="en-US" w:eastAsia="zh-CN" w:bidi="ar"/>
        </w:rPr>
        <w:t>50.6万元</w:t>
      </w:r>
      <w:r>
        <w:rPr>
          <w:rFonts w:hint="default" w:ascii="Times New Roman" w:hAnsi="Times New Roman" w:eastAsia="方正仿宋_GBK" w:cs="Times New Roman"/>
          <w:color w:val="auto"/>
          <w:sz w:val="32"/>
          <w:szCs w:val="32"/>
          <w:shd w:val="clear" w:color="auto" w:fill="FFFFFF"/>
          <w:lang w:val="en-US" w:eastAsia="zh-CN" w:bidi="ar"/>
        </w:rPr>
        <w:t>增加</w:t>
      </w:r>
      <w:r>
        <w:rPr>
          <w:rFonts w:hint="eastAsia" w:ascii="Times New Roman" w:hAnsi="Times New Roman" w:eastAsia="方正仿宋_GBK" w:cs="Times New Roman"/>
          <w:color w:val="auto"/>
          <w:sz w:val="32"/>
          <w:szCs w:val="32"/>
          <w:shd w:val="clear" w:color="auto" w:fill="FFFFFF"/>
          <w:lang w:val="en-US" w:eastAsia="zh-CN" w:bidi="ar"/>
        </w:rPr>
        <w:t>54.06</w:t>
      </w:r>
      <w:r>
        <w:rPr>
          <w:rFonts w:hint="default" w:ascii="Times New Roman" w:hAnsi="Times New Roman" w:eastAsia="方正仿宋_GBK" w:cs="Times New Roman"/>
          <w:color w:val="auto"/>
          <w:sz w:val="32"/>
          <w:szCs w:val="32"/>
          <w:shd w:val="clear" w:color="auto" w:fill="FFFFFF"/>
          <w:lang w:val="en-US" w:eastAsia="zh-CN" w:bidi="ar"/>
        </w:rPr>
        <w:t>万元；社会保障和就业支出</w:t>
      </w:r>
      <w:r>
        <w:rPr>
          <w:rFonts w:hint="eastAsia" w:ascii="Times New Roman" w:hAnsi="Times New Roman" w:eastAsia="方正仿宋_GBK" w:cs="Times New Roman"/>
          <w:color w:val="auto"/>
          <w:sz w:val="32"/>
          <w:szCs w:val="32"/>
          <w:shd w:val="clear" w:color="auto" w:fill="FFFFFF"/>
          <w:lang w:val="en-US" w:eastAsia="zh-CN" w:bidi="ar"/>
        </w:rPr>
        <w:t>66.34</w:t>
      </w:r>
      <w:r>
        <w:rPr>
          <w:rFonts w:hint="default" w:ascii="Times New Roman" w:hAnsi="Times New Roman" w:eastAsia="方正仿宋_GBK" w:cs="Times New Roman"/>
          <w:color w:val="auto"/>
          <w:sz w:val="32"/>
          <w:szCs w:val="32"/>
          <w:shd w:val="clear" w:color="auto" w:fill="FFFFFF"/>
          <w:lang w:val="en-US" w:eastAsia="zh-CN" w:bidi="ar"/>
        </w:rPr>
        <w:t>万元，相比上年度</w:t>
      </w:r>
      <w:r>
        <w:rPr>
          <w:rFonts w:hint="eastAsia" w:ascii="Times New Roman" w:hAnsi="Times New Roman" w:eastAsia="方正仿宋_GBK" w:cs="Times New Roman"/>
          <w:color w:val="auto"/>
          <w:sz w:val="32"/>
          <w:szCs w:val="32"/>
          <w:shd w:val="clear" w:color="auto" w:fill="FFFFFF"/>
          <w:lang w:val="en-US" w:eastAsia="zh-CN" w:bidi="ar"/>
        </w:rPr>
        <w:t>59.15万元</w:t>
      </w:r>
      <w:r>
        <w:rPr>
          <w:rFonts w:hint="default" w:ascii="Times New Roman" w:hAnsi="Times New Roman" w:eastAsia="方正仿宋_GBK" w:cs="Times New Roman"/>
          <w:color w:val="auto"/>
          <w:sz w:val="32"/>
          <w:szCs w:val="32"/>
          <w:shd w:val="clear" w:color="auto" w:fill="FFFFFF"/>
          <w:lang w:val="en-US" w:eastAsia="zh-CN" w:bidi="ar"/>
        </w:rPr>
        <w:t>增加</w:t>
      </w:r>
      <w:r>
        <w:rPr>
          <w:rFonts w:hint="eastAsia" w:ascii="Times New Roman" w:hAnsi="Times New Roman" w:eastAsia="方正仿宋_GBK" w:cs="Times New Roman"/>
          <w:color w:val="auto"/>
          <w:sz w:val="32"/>
          <w:szCs w:val="32"/>
          <w:shd w:val="clear" w:color="auto" w:fill="FFFFFF"/>
          <w:lang w:val="en-US" w:eastAsia="zh-CN" w:bidi="ar"/>
        </w:rPr>
        <w:t>7.19</w:t>
      </w:r>
      <w:r>
        <w:rPr>
          <w:rFonts w:hint="default" w:ascii="Times New Roman" w:hAnsi="Times New Roman" w:eastAsia="方正仿宋_GBK" w:cs="Times New Roman"/>
          <w:color w:val="auto"/>
          <w:sz w:val="32"/>
          <w:szCs w:val="32"/>
          <w:shd w:val="clear" w:color="auto" w:fill="FFFFFF"/>
          <w:lang w:val="en-US" w:eastAsia="zh-CN" w:bidi="ar"/>
        </w:rPr>
        <w:t>万元；卫生健康支出</w:t>
      </w:r>
      <w:r>
        <w:rPr>
          <w:rFonts w:hint="eastAsia" w:ascii="Times New Roman" w:hAnsi="Times New Roman" w:eastAsia="方正仿宋_GBK" w:cs="Times New Roman"/>
          <w:color w:val="auto"/>
          <w:sz w:val="32"/>
          <w:szCs w:val="32"/>
          <w:shd w:val="clear" w:color="auto" w:fill="FFFFFF"/>
          <w:lang w:val="en-US" w:eastAsia="zh-CN" w:bidi="ar"/>
        </w:rPr>
        <w:t>29.52</w:t>
      </w:r>
      <w:r>
        <w:rPr>
          <w:rFonts w:hint="default" w:ascii="Times New Roman" w:hAnsi="Times New Roman" w:eastAsia="方正仿宋_GBK" w:cs="Times New Roman"/>
          <w:color w:val="auto"/>
          <w:sz w:val="32"/>
          <w:szCs w:val="32"/>
          <w:shd w:val="clear" w:color="auto" w:fill="FFFFFF"/>
          <w:lang w:val="en-US" w:eastAsia="zh-CN" w:bidi="ar"/>
        </w:rPr>
        <w:t>万元，相比上年度</w:t>
      </w:r>
      <w:r>
        <w:rPr>
          <w:rFonts w:hint="eastAsia" w:ascii="Times New Roman" w:hAnsi="Times New Roman" w:eastAsia="方正仿宋_GBK" w:cs="Times New Roman"/>
          <w:color w:val="auto"/>
          <w:sz w:val="32"/>
          <w:szCs w:val="32"/>
          <w:shd w:val="clear" w:color="auto" w:fill="FFFFFF"/>
          <w:lang w:val="en-US" w:eastAsia="zh-CN" w:bidi="ar"/>
        </w:rPr>
        <w:t>24.82</w:t>
      </w:r>
      <w:r>
        <w:rPr>
          <w:rFonts w:hint="default" w:ascii="Times New Roman" w:hAnsi="Times New Roman" w:eastAsia="方正仿宋_GBK" w:cs="Times New Roman"/>
          <w:color w:val="auto"/>
          <w:sz w:val="32"/>
          <w:szCs w:val="32"/>
          <w:shd w:val="clear" w:color="auto" w:fill="FFFFFF"/>
          <w:lang w:val="en-US" w:eastAsia="zh-CN" w:bidi="ar"/>
        </w:rPr>
        <w:t>万元</w:t>
      </w:r>
      <w:r>
        <w:rPr>
          <w:rFonts w:hint="eastAsia" w:ascii="Times New Roman" w:hAnsi="Times New Roman" w:eastAsia="方正仿宋_GBK" w:cs="Times New Roman"/>
          <w:color w:val="auto"/>
          <w:sz w:val="32"/>
          <w:szCs w:val="32"/>
          <w:shd w:val="clear" w:color="auto" w:fill="FFFFFF"/>
          <w:lang w:val="en-US" w:eastAsia="zh-CN" w:bidi="ar"/>
        </w:rPr>
        <w:t>增加4.7</w:t>
      </w:r>
      <w:r>
        <w:rPr>
          <w:rFonts w:hint="default" w:ascii="Times New Roman" w:hAnsi="Times New Roman" w:eastAsia="方正仿宋_GBK" w:cs="Times New Roman"/>
          <w:color w:val="auto"/>
          <w:sz w:val="32"/>
          <w:szCs w:val="32"/>
          <w:shd w:val="clear" w:color="auto" w:fill="FFFFFF"/>
          <w:lang w:val="en-US" w:eastAsia="zh-CN" w:bidi="ar"/>
        </w:rPr>
        <w:t>万元；住房保障支出</w:t>
      </w:r>
      <w:r>
        <w:rPr>
          <w:rFonts w:hint="eastAsia" w:ascii="Times New Roman" w:hAnsi="Times New Roman" w:eastAsia="方正仿宋_GBK" w:cs="Times New Roman"/>
          <w:color w:val="auto"/>
          <w:sz w:val="32"/>
          <w:szCs w:val="32"/>
          <w:shd w:val="clear" w:color="auto" w:fill="FFFFFF"/>
          <w:lang w:val="en-US" w:eastAsia="zh-CN" w:bidi="ar"/>
        </w:rPr>
        <w:t>35.96</w:t>
      </w:r>
      <w:r>
        <w:rPr>
          <w:rFonts w:hint="default" w:ascii="Times New Roman" w:hAnsi="Times New Roman" w:eastAsia="方正仿宋_GBK" w:cs="Times New Roman"/>
          <w:color w:val="auto"/>
          <w:sz w:val="32"/>
          <w:szCs w:val="32"/>
          <w:shd w:val="clear" w:color="auto" w:fill="FFFFFF"/>
          <w:lang w:val="en-US" w:eastAsia="zh-CN" w:bidi="ar"/>
        </w:rPr>
        <w:t>万元，相比上年度</w:t>
      </w:r>
      <w:r>
        <w:rPr>
          <w:rFonts w:hint="eastAsia" w:ascii="Times New Roman" w:hAnsi="Times New Roman" w:eastAsia="方正仿宋_GBK" w:cs="Times New Roman"/>
          <w:color w:val="auto"/>
          <w:sz w:val="32"/>
          <w:szCs w:val="32"/>
          <w:shd w:val="clear" w:color="auto" w:fill="FFFFFF"/>
          <w:lang w:val="en-US" w:eastAsia="zh-CN" w:bidi="ar"/>
        </w:rPr>
        <w:t>32.67万元</w:t>
      </w:r>
      <w:r>
        <w:rPr>
          <w:rFonts w:hint="default" w:ascii="Times New Roman" w:hAnsi="Times New Roman" w:eastAsia="方正仿宋_GBK" w:cs="Times New Roman"/>
          <w:color w:val="auto"/>
          <w:sz w:val="32"/>
          <w:szCs w:val="32"/>
          <w:shd w:val="clear" w:color="auto" w:fill="FFFFFF"/>
          <w:lang w:val="en-US" w:eastAsia="zh-CN" w:bidi="ar"/>
        </w:rPr>
        <w:t>增加</w:t>
      </w:r>
      <w:r>
        <w:rPr>
          <w:rFonts w:hint="eastAsia" w:ascii="Times New Roman" w:hAnsi="Times New Roman" w:eastAsia="方正仿宋_GBK" w:cs="Times New Roman"/>
          <w:color w:val="auto"/>
          <w:sz w:val="32"/>
          <w:szCs w:val="32"/>
          <w:shd w:val="clear" w:color="auto" w:fill="FFFFFF"/>
          <w:lang w:val="en-US" w:eastAsia="zh-CN" w:bidi="ar"/>
        </w:rPr>
        <w:t>3.29</w:t>
      </w:r>
      <w:r>
        <w:rPr>
          <w:rFonts w:hint="default" w:ascii="Times New Roman" w:hAnsi="Times New Roman" w:eastAsia="方正仿宋_GBK" w:cs="Times New Roman"/>
          <w:color w:val="auto"/>
          <w:sz w:val="32"/>
          <w:szCs w:val="32"/>
          <w:shd w:val="clear" w:color="auto" w:fill="FFFFFF"/>
          <w:lang w:val="en-US" w:eastAsia="zh-CN" w:bidi="ar"/>
        </w:rPr>
        <w:t>万元</w:t>
      </w:r>
      <w:r>
        <w:rPr>
          <w:rFonts w:hint="eastAsia" w:ascii="Times New Roman" w:hAnsi="Times New Roman" w:eastAsia="方正仿宋_GBK" w:cs="Times New Roman"/>
          <w:color w:val="auto"/>
          <w:sz w:val="32"/>
          <w:szCs w:val="32"/>
          <w:shd w:val="clear" w:color="auto" w:fill="FFFFFF"/>
          <w:lang w:val="en-US" w:eastAsia="zh-CN" w:bidi="ar"/>
        </w:rPr>
        <w:t>；农林水支出支出为25.52万元，</w:t>
      </w:r>
      <w:r>
        <w:rPr>
          <w:rFonts w:hint="default" w:ascii="Times New Roman" w:hAnsi="Times New Roman" w:eastAsia="方正仿宋_GBK" w:cs="Times New Roman"/>
          <w:color w:val="auto"/>
          <w:sz w:val="32"/>
          <w:szCs w:val="32"/>
          <w:shd w:val="clear" w:color="auto" w:fill="FFFFFF"/>
          <w:lang w:val="en-US" w:eastAsia="zh-CN" w:bidi="ar"/>
        </w:rPr>
        <w:t>相比上年度</w:t>
      </w:r>
      <w:r>
        <w:rPr>
          <w:rFonts w:hint="eastAsia" w:ascii="Times New Roman" w:hAnsi="Times New Roman" w:eastAsia="方正仿宋_GBK" w:cs="Times New Roman"/>
          <w:color w:val="auto"/>
          <w:sz w:val="32"/>
          <w:szCs w:val="32"/>
          <w:shd w:val="clear" w:color="auto" w:fill="FFFFFF"/>
          <w:lang w:val="en-US" w:eastAsia="zh-CN" w:bidi="ar"/>
        </w:rPr>
        <w:t>110.95减少85.43万元</w:t>
      </w:r>
      <w:r>
        <w:rPr>
          <w:rFonts w:hint="default" w:ascii="Times New Roman" w:hAnsi="Times New Roman" w:eastAsia="方正仿宋_GBK" w:cs="Times New Roman"/>
          <w:color w:val="auto"/>
          <w:sz w:val="32"/>
          <w:szCs w:val="32"/>
          <w:shd w:val="clear" w:color="auto" w:fill="FFFFFF"/>
          <w:lang w:val="en-US" w:eastAsia="zh-CN" w:bidi="ar"/>
        </w:rPr>
        <w:t>。</w:t>
      </w:r>
      <w:bookmarkEnd w:id="50"/>
    </w:p>
    <w:p w14:paraId="2024C75F">
      <w:pPr>
        <w:spacing w:line="240" w:lineRule="auto"/>
        <w:ind w:firstLine="0" w:firstLineChars="0"/>
        <w:outlineLvl w:val="9"/>
        <w:rPr>
          <w:color w:val="auto"/>
        </w:rPr>
      </w:pPr>
      <w:r>
        <w:rPr>
          <w:color w:val="auto"/>
        </w:rPr>
        <w:drawing>
          <wp:inline distT="0" distB="0" distL="114300" distR="114300">
            <wp:extent cx="4826000" cy="2743200"/>
            <wp:effectExtent l="4445" t="4445" r="8255" b="14605"/>
            <wp:docPr id="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9AC48FF">
      <w:pPr>
        <w:spacing w:line="600" w:lineRule="exact"/>
        <w:ind w:firstLine="640" w:firstLineChars="200"/>
        <w:rPr>
          <w:rFonts w:hint="eastAsia"/>
          <w:color w:val="auto"/>
        </w:rPr>
      </w:pPr>
      <w:r>
        <w:rPr>
          <w:rFonts w:hint="eastAsia" w:ascii="仿宋" w:hAnsi="仿宋" w:eastAsia="仿宋"/>
          <w:color w:val="auto"/>
          <w:sz w:val="32"/>
          <w:szCs w:val="32"/>
        </w:rPr>
        <w:t>（图</w:t>
      </w:r>
      <w:r>
        <w:rPr>
          <w:rFonts w:hint="eastAsia" w:ascii="Times New Roman" w:hAnsi="Times New Roman" w:eastAsia="方正仿宋_GBK" w:cs="Times New Roman"/>
          <w:color w:val="auto"/>
          <w:kern w:val="0"/>
          <w:sz w:val="32"/>
          <w:szCs w:val="32"/>
          <w:shd w:val="clear" w:color="auto" w:fill="FFFFFF"/>
          <w:lang w:val="en-US" w:eastAsia="zh-CN" w:bidi="ar"/>
        </w:rPr>
        <w:t>4</w:t>
      </w:r>
      <w:r>
        <w:rPr>
          <w:rFonts w:hint="eastAsia" w:ascii="仿宋" w:hAnsi="仿宋" w:eastAsia="仿宋"/>
          <w:color w:val="auto"/>
          <w:sz w:val="32"/>
          <w:szCs w:val="32"/>
        </w:rPr>
        <w:t>：财政拨款收、支决算总计变动情况）（柱状图）</w:t>
      </w:r>
    </w:p>
    <w:p w14:paraId="62DCD153">
      <w:pPr>
        <w:spacing w:line="600" w:lineRule="exact"/>
        <w:ind w:firstLine="640" w:firstLineChars="200"/>
        <w:outlineLvl w:val="1"/>
        <w:rPr>
          <w:rStyle w:val="34"/>
          <w:rFonts w:ascii="黑体" w:hAnsi="黑体" w:eastAsia="黑体"/>
          <w:b w:val="0"/>
          <w:color w:val="auto"/>
          <w:highlight w:val="none"/>
        </w:rPr>
      </w:pPr>
      <w:bookmarkStart w:id="51" w:name="_Toc15377209"/>
      <w:bookmarkStart w:id="52" w:name="_Toc15396607"/>
      <w:bookmarkStart w:id="53" w:name="_Toc12440"/>
      <w:r>
        <w:rPr>
          <w:rFonts w:hint="eastAsia" w:ascii="黑体" w:hAnsi="黑体" w:eastAsia="黑体"/>
          <w:color w:val="auto"/>
          <w:sz w:val="32"/>
          <w:szCs w:val="32"/>
          <w:highlight w:val="none"/>
        </w:rPr>
        <w:t>五、</w:t>
      </w:r>
      <w:r>
        <w:rPr>
          <w:rFonts w:hint="eastAsia" w:ascii="黑体" w:hAnsi="黑体" w:eastAsia="黑体"/>
          <w:b/>
          <w:color w:val="auto"/>
          <w:sz w:val="32"/>
          <w:szCs w:val="32"/>
          <w:highlight w:val="none"/>
        </w:rPr>
        <w:t>一</w:t>
      </w:r>
      <w:r>
        <w:rPr>
          <w:rStyle w:val="34"/>
          <w:rFonts w:hint="eastAsia" w:ascii="黑体" w:hAnsi="黑体" w:eastAsia="黑体"/>
          <w:b w:val="0"/>
          <w:color w:val="auto"/>
          <w:highlight w:val="none"/>
        </w:rPr>
        <w:t>般公共预算财政拨款支出决算情况说明</w:t>
      </w:r>
      <w:bookmarkEnd w:id="51"/>
      <w:bookmarkEnd w:id="52"/>
      <w:bookmarkEnd w:id="53"/>
    </w:p>
    <w:p w14:paraId="1AA223B0">
      <w:pPr>
        <w:spacing w:line="600" w:lineRule="exact"/>
        <w:ind w:firstLine="643" w:firstLineChars="200"/>
        <w:outlineLvl w:val="2"/>
        <w:rPr>
          <w:rFonts w:ascii="仿宋" w:hAnsi="仿宋" w:eastAsia="仿宋"/>
          <w:b/>
          <w:color w:val="auto"/>
          <w:sz w:val="32"/>
          <w:szCs w:val="32"/>
          <w:highlight w:val="yellow"/>
        </w:rPr>
      </w:pPr>
      <w:bookmarkStart w:id="54" w:name="_Toc15377210"/>
      <w:r>
        <w:rPr>
          <w:rFonts w:hint="eastAsia" w:ascii="仿宋" w:hAnsi="仿宋" w:eastAsia="仿宋"/>
          <w:b/>
          <w:color w:val="auto"/>
          <w:sz w:val="32"/>
          <w:szCs w:val="32"/>
          <w:highlight w:val="none"/>
        </w:rPr>
        <w:t>（一）一般公共预算财政拨款支出决算总体情况</w:t>
      </w:r>
      <w:bookmarkEnd w:id="54"/>
    </w:p>
    <w:p w14:paraId="75C81022">
      <w:pPr>
        <w:pStyle w:val="19"/>
        <w:keepNext w:val="0"/>
        <w:keepLines w:val="0"/>
        <w:pageBreakBefore w:val="0"/>
        <w:kinsoku/>
        <w:wordWrap w:val="0"/>
        <w:overflowPunct/>
        <w:topLinePunct w:val="0"/>
        <w:autoSpaceDE/>
        <w:autoSpaceDN/>
        <w:bidi w:val="0"/>
        <w:spacing w:before="0" w:beforeAutospacing="0" w:after="0" w:afterAutospacing="0" w:line="554" w:lineRule="exact"/>
        <w:ind w:firstLine="640" w:firstLineChars="200"/>
        <w:textAlignment w:val="auto"/>
        <w:rPr>
          <w:rFonts w:hint="default" w:ascii="Times New Roman" w:hAnsi="Times New Roman" w:eastAsia="方正仿宋_GBK" w:cs="Times New Roman"/>
          <w:color w:val="auto"/>
          <w:sz w:val="32"/>
          <w:szCs w:val="32"/>
          <w:shd w:val="clear" w:color="auto" w:fill="FFFFFF"/>
          <w:lang w:val="en-US" w:eastAsia="zh-CN" w:bidi="ar"/>
        </w:rPr>
      </w:pPr>
      <w:r>
        <w:rPr>
          <w:rFonts w:hint="eastAsia" w:ascii="Times New Roman" w:hAnsi="Times New Roman" w:eastAsia="方正仿宋_GBK" w:cs="Times New Roman"/>
          <w:color w:val="auto"/>
          <w:sz w:val="32"/>
          <w:szCs w:val="32"/>
          <w:shd w:val="clear" w:color="auto" w:fill="FFFFFF"/>
          <w:lang w:val="en-US" w:eastAsia="zh-CN" w:bidi="ar"/>
        </w:rPr>
        <w:t>本</w:t>
      </w:r>
      <w:r>
        <w:rPr>
          <w:rFonts w:hint="default" w:ascii="Times New Roman" w:hAnsi="Times New Roman" w:eastAsia="方正仿宋_GBK" w:cs="Times New Roman"/>
          <w:color w:val="auto"/>
          <w:sz w:val="32"/>
          <w:szCs w:val="32"/>
          <w:shd w:val="clear" w:color="auto" w:fill="FFFFFF"/>
          <w:lang w:val="en-US" w:eastAsia="zh-CN" w:bidi="ar"/>
        </w:rPr>
        <w:t>年度一般公共预算财政拨款支出</w:t>
      </w:r>
      <w:r>
        <w:rPr>
          <w:rFonts w:hint="eastAsia" w:ascii="Times New Roman" w:hAnsi="Times New Roman" w:eastAsia="方正仿宋_GBK" w:cs="Times New Roman"/>
          <w:color w:val="auto"/>
          <w:sz w:val="32"/>
          <w:szCs w:val="32"/>
          <w:shd w:val="clear" w:color="auto" w:fill="FFFFFF"/>
          <w:lang w:val="en-US" w:eastAsia="zh-CN" w:bidi="ar"/>
        </w:rPr>
        <w:t>918</w:t>
      </w:r>
      <w:r>
        <w:rPr>
          <w:rFonts w:hint="default" w:ascii="Times New Roman" w:hAnsi="Times New Roman" w:eastAsia="方正仿宋_GBK" w:cs="Times New Roman"/>
          <w:color w:val="auto"/>
          <w:sz w:val="32"/>
          <w:szCs w:val="32"/>
          <w:shd w:val="clear" w:color="auto" w:fill="FFFFFF"/>
          <w:lang w:val="en-US" w:eastAsia="zh-CN" w:bidi="ar"/>
        </w:rPr>
        <w:t>万元，占本年支出合计的100%。与</w:t>
      </w:r>
      <w:r>
        <w:rPr>
          <w:rFonts w:hint="eastAsia" w:ascii="Times New Roman" w:hAnsi="Times New Roman" w:eastAsia="方正仿宋_GBK" w:cs="Times New Roman"/>
          <w:color w:val="auto"/>
          <w:sz w:val="32"/>
          <w:szCs w:val="32"/>
          <w:shd w:val="clear" w:color="auto" w:fill="FFFFFF"/>
          <w:lang w:val="en-US" w:eastAsia="zh-CN" w:bidi="ar"/>
        </w:rPr>
        <w:t>上</w:t>
      </w:r>
      <w:r>
        <w:rPr>
          <w:rFonts w:hint="default" w:ascii="Times New Roman" w:hAnsi="Times New Roman" w:eastAsia="方正仿宋_GBK" w:cs="Times New Roman"/>
          <w:color w:val="auto"/>
          <w:sz w:val="32"/>
          <w:szCs w:val="32"/>
          <w:shd w:val="clear" w:color="auto" w:fill="FFFFFF"/>
          <w:lang w:val="en-US" w:eastAsia="zh-CN" w:bidi="ar"/>
        </w:rPr>
        <w:t>年度</w:t>
      </w:r>
      <w:r>
        <w:rPr>
          <w:rFonts w:hint="eastAsia" w:ascii="Times New Roman" w:hAnsi="Times New Roman" w:eastAsia="方正仿宋_GBK" w:cs="Times New Roman"/>
          <w:color w:val="auto"/>
          <w:sz w:val="32"/>
          <w:szCs w:val="32"/>
          <w:shd w:val="clear" w:color="auto" w:fill="FFFFFF"/>
          <w:lang w:val="en-US" w:eastAsia="zh-CN" w:bidi="ar"/>
        </w:rPr>
        <w:t>1095.32</w:t>
      </w:r>
      <w:r>
        <w:rPr>
          <w:rFonts w:hint="default" w:ascii="Times New Roman" w:hAnsi="Times New Roman" w:eastAsia="方正仿宋_GBK" w:cs="Times New Roman"/>
          <w:color w:val="auto"/>
          <w:sz w:val="32"/>
          <w:szCs w:val="32"/>
          <w:shd w:val="clear" w:color="auto" w:fill="FFFFFF"/>
          <w:lang w:val="en-US" w:eastAsia="zh-CN" w:bidi="ar"/>
        </w:rPr>
        <w:t>万元相比，</w:t>
      </w:r>
      <w:r>
        <w:rPr>
          <w:rFonts w:hint="eastAsia" w:ascii="Times New Roman" w:hAnsi="Times New Roman" w:eastAsia="方正仿宋_GBK" w:cs="Times New Roman"/>
          <w:color w:val="auto"/>
          <w:sz w:val="32"/>
          <w:szCs w:val="32"/>
          <w:shd w:val="clear" w:color="auto" w:fill="FFFFFF"/>
          <w:lang w:val="en-US" w:eastAsia="zh-CN" w:bidi="ar"/>
        </w:rPr>
        <w:t>减少177.32万元，</w:t>
      </w:r>
      <w:r>
        <w:rPr>
          <w:rFonts w:hint="default" w:ascii="Times New Roman" w:hAnsi="Times New Roman" w:eastAsia="方正仿宋_GBK" w:cs="Times New Roman"/>
          <w:color w:val="auto"/>
          <w:sz w:val="32"/>
          <w:szCs w:val="32"/>
          <w:shd w:val="clear" w:color="auto" w:fill="FFFFFF"/>
          <w:lang w:val="en-US" w:eastAsia="zh-CN" w:bidi="ar"/>
        </w:rPr>
        <w:t>主要变动原因是本年度</w:t>
      </w:r>
      <w:r>
        <w:rPr>
          <w:rFonts w:hint="eastAsia" w:ascii="Times New Roman" w:hAnsi="Times New Roman" w:eastAsia="方正仿宋_GBK" w:cs="Times New Roman"/>
          <w:color w:val="auto"/>
          <w:sz w:val="32"/>
          <w:szCs w:val="32"/>
          <w:shd w:val="clear" w:color="auto" w:fill="FFFFFF"/>
          <w:lang w:val="en-US" w:eastAsia="zh-CN" w:bidi="ar"/>
        </w:rPr>
        <w:t>减少专项资金支出。</w:t>
      </w:r>
    </w:p>
    <w:p w14:paraId="40A0CECD">
      <w:pPr>
        <w:spacing w:line="600" w:lineRule="exact"/>
        <w:ind w:firstLine="420" w:firstLineChars="200"/>
        <w:rPr>
          <w:rFonts w:hint="eastAsia" w:ascii="Times New Roman" w:hAnsi="Times New Roman" w:eastAsia="方正仿宋_GBK" w:cs="Times New Roman"/>
          <w:color w:val="auto"/>
          <w:kern w:val="0"/>
          <w:sz w:val="32"/>
          <w:szCs w:val="32"/>
          <w:shd w:val="clear" w:color="auto" w:fill="FFFFFF"/>
          <w:lang w:val="en-US" w:eastAsia="zh-CN" w:bidi="ar"/>
        </w:rPr>
      </w:pPr>
      <w:r>
        <w:rPr>
          <w:color w:val="auto"/>
        </w:rPr>
        <w:drawing>
          <wp:anchor distT="0" distB="0" distL="114300" distR="114300" simplePos="0" relativeHeight="251660288" behindDoc="0" locked="0" layoutInCell="1" allowOverlap="1">
            <wp:simplePos x="0" y="0"/>
            <wp:positionH relativeFrom="column">
              <wp:posOffset>271145</wp:posOffset>
            </wp:positionH>
            <wp:positionV relativeFrom="paragraph">
              <wp:posOffset>-329565</wp:posOffset>
            </wp:positionV>
            <wp:extent cx="4826000" cy="2162810"/>
            <wp:effectExtent l="4445" t="4445" r="8255" b="23495"/>
            <wp:wrapTopAndBottom/>
            <wp:docPr id="8"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color w:val="auto"/>
          <w:lang w:val="en-US" w:eastAsia="zh-CN"/>
        </w:rPr>
        <w:t xml:space="preserve"> </w:t>
      </w:r>
      <w:r>
        <w:rPr>
          <w:rFonts w:hint="eastAsia" w:ascii="Times New Roman" w:hAnsi="Times New Roman" w:eastAsia="方正仿宋_GBK" w:cs="Times New Roman"/>
          <w:color w:val="auto"/>
          <w:kern w:val="0"/>
          <w:sz w:val="32"/>
          <w:szCs w:val="32"/>
          <w:shd w:val="clear" w:color="auto" w:fill="FFFFFF"/>
          <w:lang w:val="en-US" w:eastAsia="zh-CN" w:bidi="ar"/>
        </w:rPr>
        <w:t>（图5：一般公共预算财政拨款支出决算变动情况）（条形图）</w:t>
      </w:r>
    </w:p>
    <w:p w14:paraId="4A3345F6">
      <w:pPr>
        <w:spacing w:line="600" w:lineRule="exact"/>
        <w:ind w:firstLine="420" w:firstLineChars="200"/>
        <w:outlineLvl w:val="2"/>
        <w:rPr>
          <w:rFonts w:ascii="仿宋" w:hAnsi="仿宋" w:eastAsia="仿宋"/>
          <w:b/>
          <w:color w:val="auto"/>
          <w:sz w:val="32"/>
          <w:szCs w:val="32"/>
          <w:highlight w:val="none"/>
        </w:rPr>
      </w:pPr>
      <w:bookmarkStart w:id="55" w:name="_Toc15377211"/>
      <w:r>
        <w:rPr>
          <w:color w:val="auto"/>
        </w:rPr>
        <w:drawing>
          <wp:anchor distT="0" distB="0" distL="114300" distR="114300" simplePos="0" relativeHeight="251661312" behindDoc="0" locked="0" layoutInCell="1" allowOverlap="1">
            <wp:simplePos x="0" y="0"/>
            <wp:positionH relativeFrom="column">
              <wp:posOffset>353695</wp:posOffset>
            </wp:positionH>
            <wp:positionV relativeFrom="paragraph">
              <wp:posOffset>2620010</wp:posOffset>
            </wp:positionV>
            <wp:extent cx="5246370" cy="2564130"/>
            <wp:effectExtent l="4445" t="4445" r="6985" b="2222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仿宋" w:hAnsi="仿宋" w:eastAsia="仿宋"/>
          <w:b/>
          <w:color w:val="auto"/>
          <w:sz w:val="32"/>
          <w:szCs w:val="32"/>
          <w:highlight w:val="none"/>
        </w:rPr>
        <w:t>（二）一般公共预算财政拨款支出决算结构情况</w:t>
      </w:r>
      <w:bookmarkEnd w:id="55"/>
    </w:p>
    <w:p w14:paraId="748286BE">
      <w:pPr>
        <w:pStyle w:val="19"/>
        <w:keepNext w:val="0"/>
        <w:keepLines w:val="0"/>
        <w:pageBreakBefore w:val="0"/>
        <w:kinsoku/>
        <w:wordWrap w:val="0"/>
        <w:overflowPunct/>
        <w:topLinePunct w:val="0"/>
        <w:autoSpaceDE/>
        <w:autoSpaceDN/>
        <w:bidi w:val="0"/>
        <w:spacing w:before="0" w:beforeAutospacing="0" w:after="0" w:afterAutospacing="0" w:line="554" w:lineRule="exact"/>
        <w:ind w:firstLine="640" w:firstLineChars="200"/>
        <w:textAlignment w:val="auto"/>
        <w:rPr>
          <w:rFonts w:hint="default" w:ascii="Times New Roman" w:hAnsi="Times New Roman" w:eastAsia="方正仿宋_GBK" w:cs="Times New Roman"/>
          <w:color w:val="auto"/>
          <w:sz w:val="32"/>
          <w:szCs w:val="32"/>
          <w:shd w:val="clear" w:color="auto" w:fill="FFFFFF"/>
          <w:lang w:val="en-US" w:eastAsia="zh-CN" w:bidi="ar"/>
        </w:rPr>
      </w:pPr>
      <w:r>
        <w:rPr>
          <w:rFonts w:hint="eastAsia" w:ascii="Times New Roman" w:hAnsi="Times New Roman"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年度一般公共预算财政拨款支出</w:t>
      </w:r>
      <w:r>
        <w:rPr>
          <w:rFonts w:hint="eastAsia" w:eastAsia="方正仿宋_GBK" w:cs="Times New Roman"/>
          <w:color w:val="auto"/>
          <w:sz w:val="32"/>
          <w:szCs w:val="32"/>
          <w:lang w:val="en-US" w:eastAsia="zh-CN"/>
        </w:rPr>
        <w:t>918</w:t>
      </w:r>
      <w:r>
        <w:rPr>
          <w:rFonts w:hint="default" w:ascii="Times New Roman" w:hAnsi="Times New Roman" w:eastAsia="方正仿宋_GBK" w:cs="Times New Roman"/>
          <w:color w:val="auto"/>
          <w:kern w:val="0"/>
          <w:sz w:val="32"/>
          <w:szCs w:val="32"/>
          <w:shd w:val="clear" w:color="auto" w:fill="FFFFFF"/>
          <w:lang w:val="en-US" w:eastAsia="zh-CN" w:bidi="ar"/>
        </w:rPr>
        <w:t>万元，主要用于以下方面:</w:t>
      </w:r>
      <w:r>
        <w:rPr>
          <w:rFonts w:hint="default" w:ascii="Times New Roman" w:hAnsi="Times New Roman" w:eastAsia="方正仿宋_GBK"/>
          <w:color w:val="auto"/>
          <w:kern w:val="2"/>
          <w:sz w:val="32"/>
          <w:szCs w:val="32"/>
        </w:rPr>
        <w:t>一般公共服务支出为</w:t>
      </w:r>
      <w:r>
        <w:rPr>
          <w:rFonts w:ascii="Times New Roman" w:hAnsi="Times New Roman" w:eastAsia="方正仿宋_GBK"/>
          <w:color w:val="auto"/>
          <w:kern w:val="2"/>
          <w:sz w:val="32"/>
          <w:szCs w:val="32"/>
        </w:rPr>
        <w:t>656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71.46</w:t>
      </w:r>
      <w:r>
        <w:rPr>
          <w:rFonts w:hint="default" w:ascii="Times New Roman" w:hAnsi="Times New Roman" w:eastAsia="方正仿宋_GBK"/>
          <w:color w:val="auto"/>
          <w:kern w:val="2"/>
          <w:sz w:val="32"/>
          <w:szCs w:val="32"/>
        </w:rPr>
        <w:t>%；文化旅游体育与传媒支出为</w:t>
      </w:r>
      <w:r>
        <w:rPr>
          <w:rFonts w:ascii="Times New Roman" w:hAnsi="Times New Roman" w:eastAsia="方正仿宋_GBK"/>
          <w:color w:val="auto"/>
          <w:kern w:val="2"/>
          <w:sz w:val="32"/>
          <w:szCs w:val="32"/>
        </w:rPr>
        <w:t>104.66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11.4</w:t>
      </w:r>
      <w:r>
        <w:rPr>
          <w:rFonts w:hint="default" w:ascii="Times New Roman" w:hAnsi="Times New Roman" w:eastAsia="方正仿宋_GBK"/>
          <w:color w:val="auto"/>
          <w:kern w:val="2"/>
          <w:sz w:val="32"/>
          <w:szCs w:val="32"/>
        </w:rPr>
        <w:t>%；社会保障和就业支出为</w:t>
      </w:r>
      <w:r>
        <w:rPr>
          <w:rFonts w:ascii="Times New Roman" w:hAnsi="Times New Roman" w:eastAsia="方正仿宋_GBK"/>
          <w:color w:val="auto"/>
          <w:kern w:val="2"/>
          <w:sz w:val="32"/>
          <w:szCs w:val="32"/>
        </w:rPr>
        <w:t>66.34</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7.23</w:t>
      </w:r>
      <w:r>
        <w:rPr>
          <w:rFonts w:hint="default" w:ascii="Times New Roman" w:hAnsi="Times New Roman" w:eastAsia="方正仿宋_GBK"/>
          <w:color w:val="auto"/>
          <w:kern w:val="2"/>
          <w:sz w:val="32"/>
          <w:szCs w:val="32"/>
        </w:rPr>
        <w:t>%；卫生健康支出为</w:t>
      </w:r>
      <w:r>
        <w:rPr>
          <w:rFonts w:ascii="Times New Roman" w:hAnsi="Times New Roman" w:eastAsia="方正仿宋_GBK"/>
          <w:color w:val="auto"/>
          <w:kern w:val="2"/>
          <w:sz w:val="32"/>
          <w:szCs w:val="32"/>
        </w:rPr>
        <w:t>29.52</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3.22</w:t>
      </w:r>
      <w:r>
        <w:rPr>
          <w:rFonts w:hint="default" w:ascii="Times New Roman" w:hAnsi="Times New Roman" w:eastAsia="方正仿宋_GBK"/>
          <w:color w:val="auto"/>
          <w:kern w:val="2"/>
          <w:sz w:val="32"/>
          <w:szCs w:val="32"/>
        </w:rPr>
        <w:t>%；住房保障支出为</w:t>
      </w:r>
      <w:r>
        <w:rPr>
          <w:rFonts w:ascii="Times New Roman" w:hAnsi="Times New Roman" w:eastAsia="方正仿宋_GBK"/>
          <w:color w:val="auto"/>
          <w:kern w:val="2"/>
          <w:sz w:val="32"/>
          <w:szCs w:val="32"/>
        </w:rPr>
        <w:t>35.96</w:t>
      </w:r>
      <w:r>
        <w:rPr>
          <w:rFonts w:hint="default" w:ascii="Times New Roman" w:hAnsi="Times New Roman" w:eastAsia="方正仿宋_GBK"/>
          <w:color w:val="auto"/>
          <w:kern w:val="2"/>
          <w:sz w:val="32"/>
          <w:szCs w:val="32"/>
        </w:rPr>
        <w:t>万元，占比</w:t>
      </w:r>
      <w:r>
        <w:rPr>
          <w:rFonts w:ascii="Times New Roman" w:hAnsi="Times New Roman" w:eastAsia="方正仿宋_GBK"/>
          <w:color w:val="auto"/>
          <w:kern w:val="2"/>
          <w:sz w:val="32"/>
          <w:szCs w:val="32"/>
        </w:rPr>
        <w:t>3.92</w:t>
      </w:r>
      <w:r>
        <w:rPr>
          <w:rFonts w:hint="default" w:ascii="Times New Roman" w:hAnsi="Times New Roman" w:eastAsia="方正仿宋_GBK"/>
          <w:color w:val="auto"/>
          <w:kern w:val="2"/>
          <w:sz w:val="32"/>
          <w:szCs w:val="32"/>
        </w:rPr>
        <w:t>%</w:t>
      </w:r>
      <w:r>
        <w:rPr>
          <w:rFonts w:ascii="Times New Roman" w:hAnsi="Times New Roman" w:eastAsia="方正仿宋_GBK"/>
          <w:color w:val="auto"/>
          <w:kern w:val="2"/>
          <w:sz w:val="32"/>
          <w:szCs w:val="32"/>
        </w:rPr>
        <w:t>；农林水支出25.52万元，占比2.78%。</w:t>
      </w:r>
    </w:p>
    <w:p w14:paraId="10563AE4">
      <w:pPr>
        <w:keepNext w:val="0"/>
        <w:keepLines w:val="0"/>
        <w:pageBreakBefore w:val="0"/>
        <w:widowControl w:val="0"/>
        <w:kinsoku/>
        <w:wordWrap/>
        <w:overflowPunct/>
        <w:topLinePunct w:val="0"/>
        <w:autoSpaceDE/>
        <w:autoSpaceDN/>
        <w:bidi w:val="0"/>
        <w:adjustRightInd/>
        <w:snapToGrid/>
        <w:spacing w:line="460" w:lineRule="exact"/>
        <w:ind w:firstLine="641"/>
        <w:textAlignment w:val="auto"/>
        <w:rPr>
          <w:rFonts w:hint="default" w:ascii="Times New Roman" w:hAnsi="Times New Roman" w:eastAsia="方正仿宋_GBK" w:cs="Times New Roman"/>
          <w:color w:val="auto"/>
          <w:kern w:val="0"/>
          <w:sz w:val="32"/>
          <w:szCs w:val="32"/>
          <w:shd w:val="clear" w:color="auto" w:fill="FFFFFF"/>
          <w:lang w:val="en-US" w:eastAsia="zh-CN" w:bidi="ar"/>
        </w:rPr>
      </w:pPr>
    </w:p>
    <w:p w14:paraId="296E3C56">
      <w:pPr>
        <w:keepNext w:val="0"/>
        <w:keepLines w:val="0"/>
        <w:pageBreakBefore w:val="0"/>
        <w:widowControl w:val="0"/>
        <w:kinsoku/>
        <w:wordWrap/>
        <w:overflowPunct/>
        <w:topLinePunct w:val="0"/>
        <w:autoSpaceDE/>
        <w:autoSpaceDN/>
        <w:bidi w:val="0"/>
        <w:adjustRightInd/>
        <w:snapToGrid/>
        <w:spacing w:line="460" w:lineRule="exact"/>
        <w:ind w:firstLine="641"/>
        <w:textAlignment w:val="auto"/>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（图6：一般公共预算财政拨款支出决算结构）（饼状图）</w:t>
      </w:r>
    </w:p>
    <w:p w14:paraId="14A76E9B">
      <w:pPr>
        <w:spacing w:line="600" w:lineRule="exact"/>
        <w:ind w:firstLine="643" w:firstLineChars="200"/>
        <w:outlineLvl w:val="2"/>
        <w:rPr>
          <w:rFonts w:hint="default" w:ascii="Times New Roman" w:hAnsi="Times New Roman" w:eastAsia="仿宋" w:cs="Times New Roman"/>
          <w:b/>
          <w:color w:val="auto"/>
          <w:sz w:val="32"/>
          <w:szCs w:val="32"/>
          <w:highlight w:val="none"/>
        </w:rPr>
      </w:pPr>
      <w:bookmarkStart w:id="56" w:name="_Toc15377212"/>
      <w:r>
        <w:rPr>
          <w:rFonts w:hint="default" w:ascii="Times New Roman" w:hAnsi="Times New Roman" w:eastAsia="仿宋" w:cs="Times New Roman"/>
          <w:b/>
          <w:color w:val="auto"/>
          <w:sz w:val="32"/>
          <w:szCs w:val="32"/>
          <w:highlight w:val="none"/>
        </w:rPr>
        <w:t>（三）一般公共预算财政拨款支出决算具体情况</w:t>
      </w:r>
      <w:bookmarkEnd w:id="56"/>
    </w:p>
    <w:p w14:paraId="4F0EE885">
      <w:pPr>
        <w:numPr>
          <w:ilvl w:val="0"/>
          <w:numId w:val="0"/>
        </w:numPr>
        <w:spacing w:line="600" w:lineRule="exact"/>
        <w:ind w:firstLine="640" w:firstLineChars="200"/>
        <w:rPr>
          <w:rFonts w:hint="default" w:ascii="Times New Roman" w:hAnsi="Times New Roman" w:eastAsia="方正仿宋_GBK" w:cs="Times New Roman"/>
          <w:color w:val="auto"/>
          <w:kern w:val="0"/>
          <w:sz w:val="32"/>
          <w:szCs w:val="32"/>
          <w:shd w:val="clear" w:color="auto" w:fill="FFFFFF"/>
          <w:lang w:val="en-US" w:eastAsia="zh-CN" w:bidi="ar"/>
        </w:rPr>
      </w:pPr>
      <w:bookmarkStart w:id="57" w:name="_Toc15377444"/>
      <w:bookmarkStart w:id="58" w:name="_Toc18926"/>
      <w:bookmarkStart w:id="59" w:name="_Toc15283"/>
      <w:bookmarkStart w:id="60" w:name="_Toc15378460"/>
      <w:bookmarkStart w:id="61" w:name="_Toc15377213"/>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年度一般公共预算支出决算数为</w:t>
      </w:r>
      <w:r>
        <w:rPr>
          <w:rFonts w:hint="eastAsia" w:eastAsia="方正仿宋_GBK" w:cs="Times New Roman"/>
          <w:color w:val="auto"/>
          <w:kern w:val="0"/>
          <w:sz w:val="32"/>
          <w:szCs w:val="32"/>
          <w:shd w:val="clear" w:color="auto" w:fill="FFFFFF"/>
          <w:lang w:val="en-US" w:eastAsia="zh-CN" w:bidi="ar"/>
        </w:rPr>
        <w:t>918</w:t>
      </w:r>
      <w:r>
        <w:rPr>
          <w:rFonts w:hint="eastAsia" w:ascii="Times New Roman" w:hAnsi="Times New Roman" w:eastAsia="方正仿宋_GBK" w:cs="Times New Roman"/>
          <w:color w:val="auto"/>
          <w:kern w:val="0"/>
          <w:sz w:val="32"/>
          <w:szCs w:val="32"/>
          <w:shd w:val="clear" w:color="auto" w:fill="FFFFFF"/>
          <w:lang w:val="en-US" w:eastAsia="zh-CN" w:bidi="ar"/>
        </w:rPr>
        <w:t>万元</w:t>
      </w:r>
      <w:r>
        <w:rPr>
          <w:rFonts w:hint="default" w:ascii="Times New Roman" w:hAnsi="Times New Roman" w:eastAsia="方正仿宋_GBK" w:cs="Times New Roman"/>
          <w:color w:val="auto"/>
          <w:kern w:val="0"/>
          <w:sz w:val="32"/>
          <w:szCs w:val="32"/>
          <w:shd w:val="clear" w:color="auto" w:fill="FFFFFF"/>
          <w:lang w:val="en-US" w:eastAsia="zh-CN" w:bidi="ar"/>
        </w:rPr>
        <w:t>，完成预算100%。其中：</w:t>
      </w:r>
      <w:bookmarkEnd w:id="57"/>
      <w:bookmarkEnd w:id="58"/>
      <w:bookmarkEnd w:id="59"/>
      <w:bookmarkEnd w:id="60"/>
      <w:bookmarkEnd w:id="61"/>
    </w:p>
    <w:p w14:paraId="73EE87DA">
      <w:pPr>
        <w:numPr>
          <w:ilvl w:val="0"/>
          <w:numId w:val="0"/>
        </w:numPr>
        <w:spacing w:line="600" w:lineRule="exact"/>
        <w:ind w:firstLine="643"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Style w:val="23"/>
          <w:rFonts w:hint="default" w:ascii="Times New Roman" w:hAnsi="Times New Roman" w:eastAsia="仿宋" w:cs="Times New Roman"/>
          <w:bCs/>
          <w:color w:val="auto"/>
          <w:sz w:val="32"/>
          <w:szCs w:val="32"/>
          <w:lang w:val="en-US" w:eastAsia="zh-CN"/>
        </w:rPr>
        <w:t>1</w:t>
      </w:r>
      <w:r>
        <w:rPr>
          <w:rStyle w:val="23"/>
          <w:rFonts w:hint="default" w:ascii="Times New Roman" w:hAnsi="Times New Roman" w:eastAsia="仿宋" w:cs="Times New Roman"/>
          <w:b/>
          <w:bCs w:val="0"/>
          <w:color w:val="auto"/>
          <w:sz w:val="32"/>
          <w:szCs w:val="32"/>
          <w:lang w:val="en-US" w:eastAsia="zh-CN"/>
        </w:rPr>
        <w:t>.</w:t>
      </w:r>
      <w:r>
        <w:rPr>
          <w:rStyle w:val="23"/>
          <w:rFonts w:hint="default" w:ascii="Times New Roman" w:hAnsi="Times New Roman" w:eastAsia="仿宋" w:cs="Times New Roman"/>
          <w:b/>
          <w:bCs w:val="0"/>
          <w:color w:val="auto"/>
          <w:sz w:val="32"/>
          <w:szCs w:val="32"/>
        </w:rPr>
        <w:t>201一般公共服务支出</w:t>
      </w:r>
      <w:r>
        <w:rPr>
          <w:rFonts w:hint="eastAsia" w:eastAsia="方正仿宋_GBK" w:cs="Times New Roman"/>
          <w:color w:val="auto"/>
          <w:kern w:val="0"/>
          <w:sz w:val="32"/>
          <w:szCs w:val="32"/>
          <w:shd w:val="clear" w:color="auto" w:fill="FFFFFF"/>
          <w:lang w:val="en-US" w:eastAsia="zh-CN" w:bidi="ar"/>
        </w:rPr>
        <w:t>656</w:t>
      </w:r>
      <w:r>
        <w:rPr>
          <w:rFonts w:hint="default" w:ascii="Times New Roman" w:hAnsi="Times New Roman" w:eastAsia="方正仿宋_GBK" w:cs="Times New Roman"/>
          <w:color w:val="auto"/>
          <w:kern w:val="0"/>
          <w:sz w:val="32"/>
          <w:szCs w:val="32"/>
          <w:shd w:val="clear" w:color="auto" w:fill="FFFFFF"/>
          <w:lang w:val="en-US" w:eastAsia="zh-CN" w:bidi="ar"/>
        </w:rPr>
        <w:t>万元,完成预算100%。其中:2013301行政运行支出</w:t>
      </w:r>
      <w:r>
        <w:rPr>
          <w:rFonts w:hint="eastAsia" w:eastAsia="方正仿宋_GBK" w:cs="Times New Roman"/>
          <w:color w:val="auto"/>
          <w:kern w:val="0"/>
          <w:sz w:val="32"/>
          <w:szCs w:val="32"/>
          <w:shd w:val="clear" w:color="auto" w:fill="FFFFFF"/>
          <w:lang w:val="en-US" w:eastAsia="zh-CN" w:bidi="ar"/>
        </w:rPr>
        <w:t>210.61</w:t>
      </w:r>
      <w:r>
        <w:rPr>
          <w:rFonts w:hint="default" w:ascii="Times New Roman" w:hAnsi="Times New Roman" w:eastAsia="方正仿宋_GBK" w:cs="Times New Roman"/>
          <w:color w:val="auto"/>
          <w:kern w:val="0"/>
          <w:sz w:val="32"/>
          <w:szCs w:val="32"/>
          <w:shd w:val="clear" w:color="auto" w:fill="FFFFFF"/>
          <w:lang w:val="en-US" w:eastAsia="zh-CN" w:bidi="ar"/>
        </w:rPr>
        <w:t>万元；2013302一般行政管理事务支出</w:t>
      </w:r>
      <w:r>
        <w:rPr>
          <w:rFonts w:hint="eastAsia" w:eastAsia="方正仿宋_GBK" w:cs="Times New Roman"/>
          <w:color w:val="auto"/>
          <w:kern w:val="0"/>
          <w:sz w:val="32"/>
          <w:szCs w:val="32"/>
          <w:shd w:val="clear" w:color="auto" w:fill="FFFFFF"/>
          <w:lang w:val="en-US" w:eastAsia="zh-CN" w:bidi="ar"/>
        </w:rPr>
        <w:t>180.57</w:t>
      </w:r>
      <w:r>
        <w:rPr>
          <w:rFonts w:hint="default" w:ascii="Times New Roman" w:hAnsi="Times New Roman" w:eastAsia="方正仿宋_GBK" w:cs="Times New Roman"/>
          <w:color w:val="auto"/>
          <w:kern w:val="0"/>
          <w:sz w:val="32"/>
          <w:szCs w:val="32"/>
          <w:shd w:val="clear" w:color="auto" w:fill="FFFFFF"/>
          <w:lang w:val="en-US" w:eastAsia="zh-CN" w:bidi="ar"/>
        </w:rPr>
        <w:t>万元；2013304宣传管理支出</w:t>
      </w:r>
      <w:r>
        <w:rPr>
          <w:rFonts w:hint="eastAsia" w:eastAsia="方正仿宋_GBK" w:cs="Times New Roman"/>
          <w:color w:val="auto"/>
          <w:kern w:val="0"/>
          <w:sz w:val="32"/>
          <w:szCs w:val="32"/>
          <w:shd w:val="clear" w:color="auto" w:fill="FFFFFF"/>
          <w:lang w:val="en-US" w:eastAsia="zh-CN" w:bidi="ar"/>
        </w:rPr>
        <w:t>95.18</w:t>
      </w:r>
      <w:r>
        <w:rPr>
          <w:rFonts w:hint="default" w:ascii="Times New Roman" w:hAnsi="Times New Roman" w:eastAsia="方正仿宋_GBK" w:cs="Times New Roman"/>
          <w:color w:val="auto"/>
          <w:kern w:val="0"/>
          <w:sz w:val="32"/>
          <w:szCs w:val="32"/>
          <w:shd w:val="clear" w:color="auto" w:fill="FFFFFF"/>
          <w:lang w:val="en-US" w:eastAsia="zh-CN" w:bidi="ar"/>
        </w:rPr>
        <w:t>万元；2013350事业运行支出</w:t>
      </w:r>
      <w:r>
        <w:rPr>
          <w:rFonts w:hint="eastAsia" w:eastAsia="方正仿宋_GBK" w:cs="Times New Roman"/>
          <w:color w:val="auto"/>
          <w:kern w:val="0"/>
          <w:sz w:val="32"/>
          <w:szCs w:val="32"/>
          <w:shd w:val="clear" w:color="auto" w:fill="FFFFFF"/>
          <w:lang w:val="en-US" w:eastAsia="zh-CN" w:bidi="ar"/>
        </w:rPr>
        <w:t>151.71</w:t>
      </w:r>
      <w:r>
        <w:rPr>
          <w:rFonts w:hint="default" w:ascii="Times New Roman" w:hAnsi="Times New Roman" w:eastAsia="方正仿宋_GBK" w:cs="Times New Roman"/>
          <w:color w:val="auto"/>
          <w:kern w:val="0"/>
          <w:sz w:val="32"/>
          <w:szCs w:val="32"/>
          <w:shd w:val="clear" w:color="auto" w:fill="FFFFFF"/>
          <w:lang w:val="en-US" w:eastAsia="zh-CN" w:bidi="ar"/>
        </w:rPr>
        <w:t>万元；2013399其他宣传事务支出</w:t>
      </w:r>
      <w:r>
        <w:rPr>
          <w:rFonts w:hint="eastAsia" w:eastAsia="方正仿宋_GBK" w:cs="Times New Roman"/>
          <w:color w:val="auto"/>
          <w:kern w:val="0"/>
          <w:sz w:val="32"/>
          <w:szCs w:val="32"/>
          <w:shd w:val="clear" w:color="auto" w:fill="FFFFFF"/>
          <w:lang w:val="en-US" w:eastAsia="zh-CN" w:bidi="ar"/>
        </w:rPr>
        <w:t>17.93</w:t>
      </w:r>
      <w:r>
        <w:rPr>
          <w:rFonts w:hint="default" w:ascii="Times New Roman" w:hAnsi="Times New Roman" w:eastAsia="方正仿宋_GBK" w:cs="Times New Roman"/>
          <w:color w:val="auto"/>
          <w:kern w:val="0"/>
          <w:sz w:val="32"/>
          <w:szCs w:val="32"/>
          <w:shd w:val="clear" w:color="auto" w:fill="FFFFFF"/>
          <w:lang w:val="en-US" w:eastAsia="zh-CN" w:bidi="ar"/>
        </w:rPr>
        <w:t>万元。</w:t>
      </w:r>
    </w:p>
    <w:p w14:paraId="74240263">
      <w:pPr>
        <w:spacing w:line="600" w:lineRule="exact"/>
        <w:ind w:firstLine="643" w:firstLineChars="200"/>
        <w:rPr>
          <w:rFonts w:hint="eastAsia" w:eastAsia="方正仿宋_GBK" w:cs="Times New Roman"/>
          <w:color w:val="auto"/>
          <w:kern w:val="0"/>
          <w:sz w:val="32"/>
          <w:szCs w:val="32"/>
          <w:shd w:val="clear" w:color="auto" w:fill="FFFFFF"/>
          <w:lang w:val="en-US" w:eastAsia="zh-CN" w:bidi="ar"/>
        </w:rPr>
      </w:pPr>
      <w:r>
        <w:rPr>
          <w:rStyle w:val="23"/>
          <w:rFonts w:hint="default" w:ascii="Times New Roman" w:hAnsi="Times New Roman" w:eastAsia="仿宋" w:cs="Times New Roman"/>
          <w:bCs/>
          <w:color w:val="auto"/>
          <w:sz w:val="32"/>
          <w:szCs w:val="32"/>
          <w:lang w:val="en-US" w:eastAsia="zh-CN"/>
        </w:rPr>
        <w:t>2</w:t>
      </w:r>
      <w:r>
        <w:rPr>
          <w:rStyle w:val="23"/>
          <w:rFonts w:hint="default" w:ascii="Times New Roman" w:hAnsi="Times New Roman" w:eastAsia="仿宋" w:cs="Times New Roman"/>
          <w:bCs/>
          <w:color w:val="auto"/>
          <w:sz w:val="32"/>
          <w:szCs w:val="32"/>
        </w:rPr>
        <w:t>.207文化旅游体育与传媒支出</w:t>
      </w:r>
      <w:r>
        <w:rPr>
          <w:rFonts w:hint="eastAsia" w:eastAsia="方正仿宋_GBK" w:cs="Times New Roman"/>
          <w:color w:val="auto"/>
          <w:kern w:val="0"/>
          <w:sz w:val="32"/>
          <w:szCs w:val="32"/>
          <w:shd w:val="clear" w:color="auto" w:fill="FFFFFF"/>
          <w:lang w:val="en-US" w:eastAsia="zh-CN" w:bidi="ar"/>
        </w:rPr>
        <w:t>104.66</w:t>
      </w:r>
      <w:r>
        <w:rPr>
          <w:rFonts w:hint="default" w:ascii="Times New Roman" w:hAnsi="Times New Roman" w:eastAsia="方正仿宋_GBK" w:cs="Times New Roman"/>
          <w:color w:val="auto"/>
          <w:kern w:val="0"/>
          <w:sz w:val="32"/>
          <w:szCs w:val="32"/>
          <w:shd w:val="clear" w:color="auto" w:fill="FFFFFF"/>
          <w:lang w:val="en-US" w:eastAsia="zh-CN" w:bidi="ar"/>
        </w:rPr>
        <w:t>万元，完成预算100%。其中：</w:t>
      </w:r>
      <w:r>
        <w:rPr>
          <w:rFonts w:hint="eastAsia" w:eastAsia="方正仿宋_GBK" w:cs="Times New Roman"/>
          <w:color w:val="auto"/>
          <w:kern w:val="0"/>
          <w:sz w:val="32"/>
          <w:szCs w:val="32"/>
          <w:shd w:val="clear" w:color="auto" w:fill="FFFFFF"/>
          <w:lang w:val="en-US" w:eastAsia="zh-CN" w:bidi="ar"/>
        </w:rPr>
        <w:t>2070108文化活动支出58.97万元；</w:t>
      </w:r>
      <w:r>
        <w:rPr>
          <w:rFonts w:hint="default" w:ascii="Times New Roman" w:hAnsi="Times New Roman" w:eastAsia="方正仿宋_GBK" w:cs="Times New Roman"/>
          <w:color w:val="auto"/>
          <w:kern w:val="0"/>
          <w:sz w:val="32"/>
          <w:szCs w:val="32"/>
          <w:shd w:val="clear" w:color="auto" w:fill="FFFFFF"/>
          <w:lang w:val="en-US" w:eastAsia="zh-CN" w:bidi="ar"/>
        </w:rPr>
        <w:t>2079999其他文化旅游体育与传媒支出</w:t>
      </w:r>
      <w:r>
        <w:rPr>
          <w:rFonts w:hint="eastAsia" w:eastAsia="方正仿宋_GBK" w:cs="Times New Roman"/>
          <w:color w:val="auto"/>
          <w:kern w:val="0"/>
          <w:sz w:val="32"/>
          <w:szCs w:val="32"/>
          <w:shd w:val="clear" w:color="auto" w:fill="FFFFFF"/>
          <w:lang w:val="en-US" w:eastAsia="zh-CN" w:bidi="ar"/>
        </w:rPr>
        <w:t>45.69</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w:t>
      </w:r>
    </w:p>
    <w:p w14:paraId="189B9B37">
      <w:pPr>
        <w:spacing w:line="600" w:lineRule="exact"/>
        <w:ind w:firstLine="643" w:firstLineChars="200"/>
        <w:rPr>
          <w:rStyle w:val="23"/>
          <w:rFonts w:hint="default" w:ascii="Times New Roman" w:hAnsi="Times New Roman" w:eastAsia="仿宋" w:cs="Times New Roman"/>
          <w:b w:val="0"/>
          <w:bCs/>
          <w:color w:val="auto"/>
          <w:sz w:val="32"/>
          <w:szCs w:val="32"/>
          <w:lang w:eastAsia="zh-CN"/>
        </w:rPr>
      </w:pPr>
      <w:r>
        <w:rPr>
          <w:rStyle w:val="23"/>
          <w:rFonts w:hint="default" w:ascii="Times New Roman" w:hAnsi="Times New Roman" w:eastAsia="仿宋" w:cs="Times New Roman"/>
          <w:bCs/>
          <w:color w:val="auto"/>
          <w:sz w:val="32"/>
          <w:szCs w:val="32"/>
          <w:lang w:val="en-US" w:eastAsia="zh-CN"/>
        </w:rPr>
        <w:t>3</w:t>
      </w:r>
      <w:r>
        <w:rPr>
          <w:rStyle w:val="23"/>
          <w:rFonts w:hint="default" w:ascii="Times New Roman" w:hAnsi="Times New Roman" w:eastAsia="仿宋" w:cs="Times New Roman"/>
          <w:bCs/>
          <w:color w:val="auto"/>
          <w:sz w:val="32"/>
          <w:szCs w:val="32"/>
        </w:rPr>
        <w:t>.208社会保障和就业支出</w:t>
      </w:r>
      <w:r>
        <w:rPr>
          <w:rFonts w:hint="eastAsia" w:eastAsia="方正仿宋_GBK" w:cs="Times New Roman"/>
          <w:color w:val="auto"/>
          <w:kern w:val="0"/>
          <w:sz w:val="32"/>
          <w:szCs w:val="32"/>
          <w:shd w:val="clear" w:color="auto" w:fill="FFFFFF"/>
          <w:lang w:val="en-US" w:eastAsia="zh-CN" w:bidi="ar"/>
        </w:rPr>
        <w:t>66.34</w:t>
      </w:r>
      <w:r>
        <w:rPr>
          <w:rFonts w:hint="default" w:ascii="Times New Roman" w:hAnsi="Times New Roman" w:eastAsia="方正仿宋_GBK" w:cs="Times New Roman"/>
          <w:color w:val="auto"/>
          <w:kern w:val="0"/>
          <w:sz w:val="32"/>
          <w:szCs w:val="32"/>
          <w:shd w:val="clear" w:color="auto" w:fill="FFFFFF"/>
          <w:lang w:val="en-US" w:eastAsia="zh-CN" w:bidi="ar"/>
        </w:rPr>
        <w:t>万元，完成预算100%。其中：2080505</w:t>
      </w:r>
      <w:r>
        <w:rPr>
          <w:rFonts w:hint="default" w:ascii="Times New Roman" w:hAnsi="Times New Roman" w:eastAsia="方正仿宋_GBK" w:cs="Times New Roman"/>
          <w:color w:val="auto"/>
          <w:kern w:val="0"/>
          <w:sz w:val="32"/>
          <w:szCs w:val="32"/>
          <w:shd w:val="clear" w:color="auto" w:fill="FFFFFF"/>
          <w:lang w:val="en-US" w:eastAsia="zh-CN" w:bidi="ar"/>
        </w:rPr>
        <w:tab/>
      </w:r>
      <w:r>
        <w:rPr>
          <w:rFonts w:hint="default" w:ascii="Times New Roman" w:hAnsi="Times New Roman" w:eastAsia="方正仿宋_GBK" w:cs="Times New Roman"/>
          <w:color w:val="auto"/>
          <w:kern w:val="0"/>
          <w:sz w:val="32"/>
          <w:szCs w:val="32"/>
          <w:shd w:val="clear" w:color="auto" w:fill="FFFFFF"/>
          <w:lang w:val="en-US" w:eastAsia="zh-CN" w:bidi="ar"/>
        </w:rPr>
        <w:t>机关事业单位基本养老保险缴费支出</w:t>
      </w:r>
      <w:r>
        <w:rPr>
          <w:rFonts w:hint="eastAsia" w:eastAsia="方正仿宋_GBK" w:cs="Times New Roman"/>
          <w:color w:val="auto"/>
          <w:kern w:val="0"/>
          <w:sz w:val="32"/>
          <w:szCs w:val="32"/>
          <w:shd w:val="clear" w:color="auto" w:fill="FFFFFF"/>
          <w:lang w:val="en-US" w:eastAsia="zh-CN" w:bidi="ar"/>
        </w:rPr>
        <w:t>44.23</w:t>
      </w:r>
      <w:r>
        <w:rPr>
          <w:rFonts w:hint="default" w:ascii="Times New Roman" w:hAnsi="Times New Roman" w:eastAsia="方正仿宋_GBK" w:cs="Times New Roman"/>
          <w:color w:val="auto"/>
          <w:kern w:val="0"/>
          <w:sz w:val="32"/>
          <w:szCs w:val="32"/>
          <w:shd w:val="clear" w:color="auto" w:fill="FFFFFF"/>
          <w:lang w:val="en-US" w:eastAsia="zh-CN" w:bidi="ar"/>
        </w:rPr>
        <w:t>万元；2080506机关事业单位职业年金缴费支出</w:t>
      </w:r>
      <w:r>
        <w:rPr>
          <w:rFonts w:hint="eastAsia" w:eastAsia="方正仿宋_GBK" w:cs="Times New Roman"/>
          <w:color w:val="auto"/>
          <w:kern w:val="0"/>
          <w:sz w:val="32"/>
          <w:szCs w:val="32"/>
          <w:shd w:val="clear" w:color="auto" w:fill="FFFFFF"/>
          <w:lang w:val="en-US" w:eastAsia="zh-CN" w:bidi="ar"/>
        </w:rPr>
        <w:t>22.11</w:t>
      </w:r>
      <w:r>
        <w:rPr>
          <w:rFonts w:hint="default" w:ascii="Times New Roman" w:hAnsi="Times New Roman" w:eastAsia="方正仿宋_GBK" w:cs="Times New Roman"/>
          <w:color w:val="auto"/>
          <w:kern w:val="0"/>
          <w:sz w:val="32"/>
          <w:szCs w:val="32"/>
          <w:shd w:val="clear" w:color="auto" w:fill="FFFFFF"/>
          <w:lang w:val="en-US" w:eastAsia="zh-CN" w:bidi="ar"/>
        </w:rPr>
        <w:t>万元。</w:t>
      </w:r>
    </w:p>
    <w:p w14:paraId="1A8CF49D">
      <w:pPr>
        <w:keepNext w:val="0"/>
        <w:keepLines w:val="0"/>
        <w:pageBreakBefore w:val="0"/>
        <w:widowControl w:val="0"/>
        <w:kinsoku/>
        <w:wordWrap w:val="0"/>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color w:val="auto"/>
          <w:kern w:val="0"/>
          <w:sz w:val="32"/>
          <w:szCs w:val="32"/>
          <w:shd w:val="clear" w:color="auto" w:fill="FFFFFF"/>
          <w:lang w:val="en-US" w:eastAsia="zh-CN" w:bidi="ar"/>
        </w:rPr>
      </w:pPr>
      <w:r>
        <w:rPr>
          <w:rStyle w:val="23"/>
          <w:rFonts w:hint="default" w:ascii="Times New Roman" w:hAnsi="Times New Roman" w:eastAsia="仿宋" w:cs="Times New Roman"/>
          <w:bCs/>
          <w:color w:val="auto"/>
          <w:sz w:val="32"/>
          <w:szCs w:val="32"/>
          <w:lang w:val="en-US" w:eastAsia="zh-CN"/>
        </w:rPr>
        <w:t>4</w:t>
      </w:r>
      <w:r>
        <w:rPr>
          <w:rStyle w:val="23"/>
          <w:rFonts w:hint="default" w:ascii="Times New Roman" w:hAnsi="Times New Roman" w:eastAsia="仿宋" w:cs="Times New Roman"/>
          <w:bCs/>
          <w:color w:val="auto"/>
          <w:sz w:val="32"/>
          <w:szCs w:val="32"/>
        </w:rPr>
        <w:t>.210卫生健康支出</w:t>
      </w:r>
      <w:r>
        <w:rPr>
          <w:rFonts w:hint="eastAsia" w:eastAsia="方正仿宋_GBK" w:cs="Times New Roman"/>
          <w:color w:val="auto"/>
          <w:kern w:val="0"/>
          <w:sz w:val="32"/>
          <w:szCs w:val="32"/>
          <w:shd w:val="clear" w:color="auto" w:fill="FFFFFF"/>
          <w:lang w:val="en-US" w:eastAsia="zh-CN" w:bidi="ar"/>
        </w:rPr>
        <w:t>29.52</w:t>
      </w:r>
      <w:r>
        <w:rPr>
          <w:rFonts w:hint="default" w:ascii="Times New Roman" w:hAnsi="Times New Roman" w:eastAsia="方正仿宋_GBK" w:cs="Times New Roman"/>
          <w:color w:val="auto"/>
          <w:kern w:val="0"/>
          <w:sz w:val="32"/>
          <w:szCs w:val="32"/>
          <w:shd w:val="clear" w:color="auto" w:fill="FFFFFF"/>
          <w:lang w:val="en-US" w:eastAsia="zh-CN" w:bidi="ar"/>
        </w:rPr>
        <w:t>万元，完成预算100%。其中：2100409重大公共卫生服务</w:t>
      </w:r>
      <w:r>
        <w:rPr>
          <w:rFonts w:hint="eastAsia" w:eastAsia="方正仿宋_GBK" w:cs="Times New Roman"/>
          <w:color w:val="auto"/>
          <w:kern w:val="0"/>
          <w:sz w:val="32"/>
          <w:szCs w:val="32"/>
          <w:shd w:val="clear" w:color="auto" w:fill="FFFFFF"/>
          <w:lang w:val="en-US" w:eastAsia="zh-CN" w:bidi="ar"/>
        </w:rPr>
        <w:t>4.93万元；</w:t>
      </w:r>
      <w:r>
        <w:rPr>
          <w:rFonts w:hint="default" w:ascii="Times New Roman" w:hAnsi="Times New Roman" w:eastAsia="方正仿宋_GBK" w:cs="Times New Roman"/>
          <w:color w:val="auto"/>
          <w:kern w:val="0"/>
          <w:sz w:val="32"/>
          <w:szCs w:val="32"/>
          <w:shd w:val="clear" w:color="auto" w:fill="FFFFFF"/>
          <w:lang w:val="en-US" w:eastAsia="zh-CN" w:bidi="ar"/>
        </w:rPr>
        <w:t>2101101行政单位医疗</w:t>
      </w:r>
      <w:r>
        <w:rPr>
          <w:rFonts w:hint="eastAsia" w:eastAsia="方正仿宋_GBK" w:cs="Times New Roman"/>
          <w:color w:val="auto"/>
          <w:kern w:val="0"/>
          <w:sz w:val="32"/>
          <w:szCs w:val="32"/>
          <w:shd w:val="clear" w:color="auto" w:fill="FFFFFF"/>
          <w:lang w:val="en-US" w:eastAsia="zh-CN" w:bidi="ar"/>
        </w:rPr>
        <w:t>11.32</w:t>
      </w:r>
      <w:r>
        <w:rPr>
          <w:rFonts w:hint="default" w:ascii="Times New Roman" w:hAnsi="Times New Roman" w:eastAsia="方正仿宋_GBK" w:cs="Times New Roman"/>
          <w:color w:val="auto"/>
          <w:kern w:val="0"/>
          <w:sz w:val="32"/>
          <w:szCs w:val="32"/>
          <w:shd w:val="clear" w:color="auto" w:fill="FFFFFF"/>
          <w:lang w:val="en-US" w:eastAsia="zh-CN" w:bidi="ar"/>
        </w:rPr>
        <w:t>万元；2101102事业单位医疗</w:t>
      </w:r>
      <w:r>
        <w:rPr>
          <w:rFonts w:hint="eastAsia" w:eastAsia="方正仿宋_GBK" w:cs="Times New Roman"/>
          <w:color w:val="auto"/>
          <w:kern w:val="0"/>
          <w:sz w:val="32"/>
          <w:szCs w:val="32"/>
          <w:shd w:val="clear" w:color="auto" w:fill="FFFFFF"/>
          <w:lang w:val="en-US" w:eastAsia="zh-CN" w:bidi="ar"/>
        </w:rPr>
        <w:t>8.71</w:t>
      </w:r>
      <w:r>
        <w:rPr>
          <w:rFonts w:hint="default" w:ascii="Times New Roman" w:hAnsi="Times New Roman" w:eastAsia="方正仿宋_GBK" w:cs="Times New Roman"/>
          <w:color w:val="auto"/>
          <w:kern w:val="0"/>
          <w:sz w:val="32"/>
          <w:szCs w:val="32"/>
          <w:shd w:val="clear" w:color="auto" w:fill="FFFFFF"/>
          <w:lang w:val="en-US" w:eastAsia="zh-CN" w:bidi="ar"/>
        </w:rPr>
        <w:t>万元；2101103公务员医疗补助3.</w:t>
      </w:r>
      <w:r>
        <w:rPr>
          <w:rFonts w:hint="eastAsia" w:eastAsia="方正仿宋_GBK" w:cs="Times New Roman"/>
          <w:color w:val="auto"/>
          <w:kern w:val="0"/>
          <w:sz w:val="32"/>
          <w:szCs w:val="32"/>
          <w:shd w:val="clear" w:color="auto" w:fill="FFFFFF"/>
          <w:lang w:val="en-US" w:eastAsia="zh-CN" w:bidi="ar"/>
        </w:rPr>
        <w:t>05</w:t>
      </w:r>
      <w:r>
        <w:rPr>
          <w:rFonts w:hint="default" w:ascii="Times New Roman" w:hAnsi="Times New Roman" w:eastAsia="方正仿宋_GBK" w:cs="Times New Roman"/>
          <w:color w:val="auto"/>
          <w:kern w:val="0"/>
          <w:sz w:val="32"/>
          <w:szCs w:val="32"/>
          <w:shd w:val="clear" w:color="auto" w:fill="FFFFFF"/>
          <w:lang w:val="en-US" w:eastAsia="zh-CN" w:bidi="ar"/>
        </w:rPr>
        <w:t>万元；2101199其他行政事业单位医疗支出</w:t>
      </w:r>
      <w:r>
        <w:rPr>
          <w:rFonts w:hint="eastAsia" w:eastAsia="方正仿宋_GBK" w:cs="Times New Roman"/>
          <w:color w:val="auto"/>
          <w:kern w:val="0"/>
          <w:sz w:val="32"/>
          <w:szCs w:val="32"/>
          <w:shd w:val="clear" w:color="auto" w:fill="FFFFFF"/>
          <w:lang w:val="en-US" w:eastAsia="zh-CN" w:bidi="ar"/>
        </w:rPr>
        <w:t>1.5</w:t>
      </w:r>
      <w:r>
        <w:rPr>
          <w:rFonts w:hint="default" w:ascii="Times New Roman" w:hAnsi="Times New Roman" w:eastAsia="方正仿宋_GBK" w:cs="Times New Roman"/>
          <w:color w:val="auto"/>
          <w:kern w:val="0"/>
          <w:sz w:val="32"/>
          <w:szCs w:val="32"/>
          <w:shd w:val="clear" w:color="auto" w:fill="FFFFFF"/>
          <w:lang w:val="en-US" w:eastAsia="zh-CN" w:bidi="ar"/>
        </w:rPr>
        <w:t>万元。</w:t>
      </w:r>
    </w:p>
    <w:p w14:paraId="2B2BE0FB">
      <w:pPr>
        <w:spacing w:line="600" w:lineRule="exact"/>
        <w:ind w:firstLine="643"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Style w:val="23"/>
          <w:rFonts w:hint="default" w:ascii="Times New Roman" w:hAnsi="Times New Roman" w:eastAsia="仿宋" w:cs="Times New Roman"/>
          <w:bCs/>
          <w:color w:val="auto"/>
          <w:sz w:val="32"/>
          <w:szCs w:val="32"/>
          <w:lang w:val="en-US" w:eastAsia="zh-CN"/>
        </w:rPr>
        <w:t>5.221住房保障支出</w:t>
      </w:r>
      <w:r>
        <w:rPr>
          <w:rFonts w:hint="eastAsia" w:eastAsia="方正仿宋_GBK" w:cs="Times New Roman"/>
          <w:color w:val="auto"/>
          <w:kern w:val="0"/>
          <w:sz w:val="32"/>
          <w:szCs w:val="32"/>
          <w:shd w:val="clear" w:color="auto" w:fill="FFFFFF"/>
          <w:lang w:val="en-US" w:eastAsia="zh-CN" w:bidi="ar"/>
        </w:rPr>
        <w:t>32.67</w:t>
      </w:r>
      <w:r>
        <w:rPr>
          <w:rFonts w:hint="default" w:ascii="Times New Roman" w:hAnsi="Times New Roman" w:eastAsia="方正仿宋_GBK" w:cs="Times New Roman"/>
          <w:color w:val="auto"/>
          <w:kern w:val="0"/>
          <w:sz w:val="32"/>
          <w:szCs w:val="32"/>
          <w:shd w:val="clear" w:color="auto" w:fill="FFFFFF"/>
          <w:lang w:val="en-US" w:eastAsia="zh-CN" w:bidi="ar"/>
        </w:rPr>
        <w:t>万元，完成预算100%。其中：2210201住房公积金</w:t>
      </w:r>
      <w:r>
        <w:rPr>
          <w:rFonts w:hint="default" w:ascii="Times New Roman" w:hAnsi="Times New Roman" w:eastAsia="方正仿宋_GBK" w:cs="Times New Roman"/>
          <w:color w:val="auto"/>
          <w:kern w:val="0"/>
          <w:sz w:val="32"/>
          <w:szCs w:val="32"/>
          <w:shd w:val="clear" w:color="auto" w:fill="FFFFFF"/>
          <w:lang w:val="en-US" w:eastAsia="zh-CN" w:bidi="ar"/>
        </w:rPr>
        <w:tab/>
      </w:r>
      <w:r>
        <w:rPr>
          <w:rFonts w:hint="eastAsia" w:eastAsia="方正仿宋_GBK" w:cs="Times New Roman"/>
          <w:color w:val="auto"/>
          <w:kern w:val="0"/>
          <w:sz w:val="32"/>
          <w:szCs w:val="32"/>
          <w:shd w:val="clear" w:color="auto" w:fill="FFFFFF"/>
          <w:lang w:val="en-US" w:eastAsia="zh-CN" w:bidi="ar"/>
        </w:rPr>
        <w:t>35.96</w:t>
      </w:r>
      <w:r>
        <w:rPr>
          <w:rFonts w:hint="default" w:ascii="Times New Roman" w:hAnsi="Times New Roman" w:eastAsia="方正仿宋_GBK" w:cs="Times New Roman"/>
          <w:color w:val="auto"/>
          <w:kern w:val="0"/>
          <w:sz w:val="32"/>
          <w:szCs w:val="32"/>
          <w:shd w:val="clear" w:color="auto" w:fill="FFFFFF"/>
          <w:lang w:val="en-US" w:eastAsia="zh-CN" w:bidi="ar"/>
        </w:rPr>
        <w:t>万元。</w:t>
      </w:r>
    </w:p>
    <w:p w14:paraId="55789644">
      <w:pPr>
        <w:pStyle w:val="20"/>
        <w:ind w:left="0" w:leftChars="0" w:firstLine="643" w:firstLineChars="200"/>
        <w:rPr>
          <w:rFonts w:hint="default"/>
          <w:color w:val="auto"/>
          <w:lang w:val="en-US" w:eastAsia="zh-CN"/>
        </w:rPr>
      </w:pPr>
      <w:r>
        <w:rPr>
          <w:rStyle w:val="23"/>
          <w:rFonts w:hint="eastAsia" w:ascii="Times New Roman" w:hAnsi="Times New Roman" w:eastAsia="仿宋" w:cs="Times New Roman"/>
          <w:bCs/>
          <w:color w:val="auto"/>
          <w:kern w:val="2"/>
          <w:sz w:val="32"/>
          <w:szCs w:val="32"/>
          <w:lang w:val="en-US" w:eastAsia="zh-CN" w:bidi="ar-SA"/>
        </w:rPr>
        <w:t>6.213农林水支出</w:t>
      </w:r>
      <w:r>
        <w:rPr>
          <w:rStyle w:val="23"/>
          <w:rFonts w:hint="eastAsia" w:ascii="Times New Roman" w:eastAsia="仿宋" w:cs="Times New Roman"/>
          <w:bCs/>
          <w:color w:val="auto"/>
          <w:kern w:val="2"/>
          <w:sz w:val="32"/>
          <w:szCs w:val="32"/>
          <w:lang w:val="en-US" w:eastAsia="zh-CN" w:bidi="ar-SA"/>
        </w:rPr>
        <w:t>25.52</w:t>
      </w:r>
      <w:r>
        <w:rPr>
          <w:rStyle w:val="23"/>
          <w:rFonts w:hint="eastAsia" w:ascii="Times New Roman" w:hAnsi="Times New Roman" w:eastAsia="仿宋" w:cs="Times New Roman"/>
          <w:bCs/>
          <w:color w:val="auto"/>
          <w:kern w:val="2"/>
          <w:sz w:val="32"/>
          <w:szCs w:val="32"/>
          <w:lang w:val="en-US" w:eastAsia="zh-CN" w:bidi="ar-SA"/>
        </w:rPr>
        <w:t>万元，</w:t>
      </w:r>
      <w:r>
        <w:rPr>
          <w:rFonts w:hint="eastAsia" w:ascii="Times New Roman" w:eastAsia="方正仿宋_GBK" w:cs="Times New Roman"/>
          <w:color w:val="auto"/>
          <w:kern w:val="0"/>
          <w:sz w:val="32"/>
          <w:szCs w:val="32"/>
          <w:shd w:val="clear" w:color="auto" w:fill="FFFFFF"/>
          <w:lang w:val="en-US" w:eastAsia="zh-CN" w:bidi="ar"/>
        </w:rPr>
        <w:t>完成</w:t>
      </w:r>
      <w:r>
        <w:rPr>
          <w:rFonts w:hint="default" w:ascii="Times New Roman" w:hAnsi="Times New Roman" w:eastAsia="方正仿宋_GBK" w:cs="Times New Roman"/>
          <w:color w:val="auto"/>
          <w:kern w:val="0"/>
          <w:sz w:val="32"/>
          <w:szCs w:val="32"/>
          <w:shd w:val="clear" w:color="auto" w:fill="FFFFFF"/>
          <w:lang w:val="en-US" w:eastAsia="zh-CN" w:bidi="ar"/>
        </w:rPr>
        <w:t>成预算100%。其中：</w:t>
      </w:r>
      <w:r>
        <w:rPr>
          <w:rFonts w:hint="eastAsia" w:ascii="Times New Roman" w:eastAsia="方正仿宋_GBK" w:cs="Times New Roman"/>
          <w:color w:val="auto"/>
          <w:kern w:val="0"/>
          <w:sz w:val="32"/>
          <w:szCs w:val="32"/>
          <w:shd w:val="clear" w:color="auto" w:fill="FFFFFF"/>
          <w:lang w:val="en-US" w:eastAsia="zh-CN" w:bidi="ar"/>
        </w:rPr>
        <w:t>2130122农业生产发展20万元；2130506社会发展5.52万元。</w:t>
      </w:r>
    </w:p>
    <w:p w14:paraId="54E6B4B9">
      <w:pPr>
        <w:tabs>
          <w:tab w:val="right" w:pos="8306"/>
        </w:tabs>
        <w:spacing w:line="600" w:lineRule="exact"/>
        <w:ind w:firstLine="640"/>
        <w:outlineLvl w:val="1"/>
        <w:rPr>
          <w:rStyle w:val="34"/>
          <w:rFonts w:hint="default" w:ascii="Times New Roman" w:hAnsi="Times New Roman" w:cs="Times New Roman"/>
          <w:color w:val="auto"/>
        </w:rPr>
      </w:pPr>
      <w:bookmarkStart w:id="62" w:name="_Toc30193"/>
      <w:bookmarkStart w:id="63" w:name="_Toc15396608"/>
      <w:bookmarkStart w:id="64" w:name="_Toc15377214"/>
      <w:r>
        <w:rPr>
          <w:rFonts w:hint="default" w:ascii="Times New Roman" w:hAnsi="Times New Roman" w:eastAsia="黑体" w:cs="Times New Roman"/>
          <w:color w:val="auto"/>
          <w:sz w:val="32"/>
          <w:szCs w:val="32"/>
        </w:rPr>
        <w:t>六</w:t>
      </w:r>
      <w:r>
        <w:rPr>
          <w:rFonts w:hint="default" w:ascii="Times New Roman" w:hAnsi="Times New Roman" w:eastAsia="黑体" w:cs="Times New Roman"/>
          <w:b/>
          <w:color w:val="auto"/>
          <w:sz w:val="32"/>
          <w:szCs w:val="32"/>
        </w:rPr>
        <w:t>、一</w:t>
      </w:r>
      <w:r>
        <w:rPr>
          <w:rStyle w:val="34"/>
          <w:rFonts w:hint="default" w:ascii="Times New Roman" w:hAnsi="Times New Roman" w:eastAsia="黑体" w:cs="Times New Roman"/>
          <w:b w:val="0"/>
          <w:color w:val="auto"/>
        </w:rPr>
        <w:t>般公共预算财政拨款基本支出决算情况说明</w:t>
      </w:r>
      <w:bookmarkEnd w:id="62"/>
      <w:bookmarkEnd w:id="63"/>
      <w:bookmarkEnd w:id="64"/>
      <w:r>
        <w:rPr>
          <w:rStyle w:val="34"/>
          <w:rFonts w:hint="default" w:ascii="Times New Roman" w:hAnsi="Times New Roman" w:eastAsia="黑体" w:cs="Times New Roman"/>
          <w:b w:val="0"/>
          <w:color w:val="auto"/>
        </w:rPr>
        <w:tab/>
      </w:r>
    </w:p>
    <w:p w14:paraId="0F39A1C8">
      <w:pPr>
        <w:spacing w:line="600" w:lineRule="exact"/>
        <w:ind w:firstLine="640"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年度一般公共预算财政拨款基本支出</w:t>
      </w:r>
      <w:r>
        <w:rPr>
          <w:rFonts w:hint="eastAsia" w:eastAsia="方正仿宋_GBK" w:cs="Times New Roman"/>
          <w:color w:val="auto"/>
          <w:kern w:val="0"/>
          <w:sz w:val="32"/>
          <w:szCs w:val="32"/>
          <w:shd w:val="clear" w:color="auto" w:fill="FFFFFF"/>
          <w:lang w:val="en-US" w:eastAsia="zh-CN" w:bidi="ar"/>
        </w:rPr>
        <w:t>489.21</w:t>
      </w:r>
      <w:r>
        <w:rPr>
          <w:rFonts w:hint="default" w:ascii="Times New Roman" w:hAnsi="Times New Roman" w:eastAsia="方正仿宋_GBK" w:cs="Times New Roman"/>
          <w:color w:val="auto"/>
          <w:kern w:val="0"/>
          <w:sz w:val="32"/>
          <w:szCs w:val="32"/>
          <w:shd w:val="clear" w:color="auto" w:fill="FFFFFF"/>
          <w:lang w:val="en-US" w:eastAsia="zh-CN" w:bidi="ar"/>
        </w:rPr>
        <w:t>万元，其中：</w:t>
      </w:r>
    </w:p>
    <w:p w14:paraId="62FE47D9">
      <w:pPr>
        <w:spacing w:line="600" w:lineRule="exact"/>
        <w:ind w:firstLine="640"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人员经费</w:t>
      </w:r>
      <w:r>
        <w:rPr>
          <w:rFonts w:hint="eastAsia" w:eastAsia="方正仿宋_GBK" w:cs="Times New Roman"/>
          <w:color w:val="auto"/>
          <w:kern w:val="0"/>
          <w:sz w:val="32"/>
          <w:szCs w:val="32"/>
          <w:shd w:val="clear" w:color="auto" w:fill="FFFFFF"/>
          <w:lang w:val="en-US" w:eastAsia="zh-CN" w:bidi="ar"/>
        </w:rPr>
        <w:t>447.70</w:t>
      </w:r>
      <w:r>
        <w:rPr>
          <w:rFonts w:hint="default" w:ascii="Times New Roman" w:hAnsi="Times New Roman" w:eastAsia="方正仿宋_GBK" w:cs="Times New Roman"/>
          <w:color w:val="auto"/>
          <w:kern w:val="0"/>
          <w:sz w:val="32"/>
          <w:szCs w:val="32"/>
          <w:shd w:val="clear" w:color="auto" w:fill="FFFFFF"/>
          <w:lang w:val="en-US" w:eastAsia="zh-CN" w:bidi="ar"/>
        </w:rPr>
        <w:t>万元，主要包括：基本工资</w:t>
      </w:r>
      <w:r>
        <w:rPr>
          <w:rFonts w:hint="eastAsia" w:eastAsia="方正仿宋_GBK" w:cs="Times New Roman"/>
          <w:color w:val="auto"/>
          <w:kern w:val="0"/>
          <w:sz w:val="32"/>
          <w:szCs w:val="32"/>
          <w:shd w:val="clear" w:color="auto" w:fill="FFFFFF"/>
          <w:lang w:val="en-US" w:eastAsia="zh-CN" w:bidi="ar"/>
        </w:rPr>
        <w:t>92.02</w:t>
      </w:r>
      <w:r>
        <w:rPr>
          <w:rFonts w:hint="default" w:ascii="Times New Roman" w:hAnsi="Times New Roman" w:eastAsia="方正仿宋_GBK" w:cs="Times New Roman"/>
          <w:color w:val="auto"/>
          <w:kern w:val="0"/>
          <w:sz w:val="32"/>
          <w:szCs w:val="32"/>
          <w:shd w:val="clear" w:color="auto" w:fill="FFFFFF"/>
          <w:lang w:val="en-US" w:eastAsia="zh-CN" w:bidi="ar"/>
        </w:rPr>
        <w:t>万元、津贴补贴</w:t>
      </w:r>
      <w:r>
        <w:rPr>
          <w:rFonts w:hint="eastAsia" w:eastAsia="方正仿宋_GBK" w:cs="Times New Roman"/>
          <w:color w:val="auto"/>
          <w:kern w:val="0"/>
          <w:sz w:val="32"/>
          <w:szCs w:val="32"/>
          <w:shd w:val="clear" w:color="auto" w:fill="FFFFFF"/>
          <w:lang w:val="en-US" w:eastAsia="zh-CN" w:bidi="ar"/>
        </w:rPr>
        <w:t>95.03</w:t>
      </w:r>
      <w:r>
        <w:rPr>
          <w:rFonts w:hint="default" w:ascii="Times New Roman" w:hAnsi="Times New Roman" w:eastAsia="方正仿宋_GBK" w:cs="Times New Roman"/>
          <w:color w:val="auto"/>
          <w:kern w:val="0"/>
          <w:sz w:val="32"/>
          <w:szCs w:val="32"/>
          <w:shd w:val="clear" w:color="auto" w:fill="FFFFFF"/>
          <w:lang w:val="en-US" w:eastAsia="zh-CN" w:bidi="ar"/>
        </w:rPr>
        <w:t>万元、奖金</w:t>
      </w:r>
      <w:r>
        <w:rPr>
          <w:rFonts w:hint="eastAsia" w:eastAsia="方正仿宋_GBK" w:cs="Times New Roman"/>
          <w:color w:val="auto"/>
          <w:kern w:val="0"/>
          <w:sz w:val="32"/>
          <w:szCs w:val="32"/>
          <w:shd w:val="clear" w:color="auto" w:fill="FFFFFF"/>
          <w:lang w:val="en-US" w:eastAsia="zh-CN" w:bidi="ar"/>
        </w:rPr>
        <w:t>95.70</w:t>
      </w:r>
      <w:r>
        <w:rPr>
          <w:rFonts w:hint="default" w:ascii="Times New Roman" w:hAnsi="Times New Roman" w:eastAsia="方正仿宋_GBK" w:cs="Times New Roman"/>
          <w:color w:val="auto"/>
          <w:kern w:val="0"/>
          <w:sz w:val="32"/>
          <w:szCs w:val="32"/>
          <w:shd w:val="clear" w:color="auto" w:fill="FFFFFF"/>
          <w:lang w:val="en-US" w:eastAsia="zh-CN" w:bidi="ar"/>
        </w:rPr>
        <w:t>万元、绩效工资</w:t>
      </w:r>
      <w:r>
        <w:rPr>
          <w:rFonts w:hint="eastAsia" w:eastAsia="方正仿宋_GBK" w:cs="Times New Roman"/>
          <w:color w:val="auto"/>
          <w:kern w:val="0"/>
          <w:sz w:val="32"/>
          <w:szCs w:val="32"/>
          <w:shd w:val="clear" w:color="auto" w:fill="FFFFFF"/>
          <w:lang w:val="en-US" w:eastAsia="zh-CN" w:bidi="ar"/>
        </w:rPr>
        <w:t>24.99</w:t>
      </w:r>
      <w:r>
        <w:rPr>
          <w:rFonts w:hint="default" w:ascii="Times New Roman" w:hAnsi="Times New Roman" w:eastAsia="方正仿宋_GBK" w:cs="Times New Roman"/>
          <w:color w:val="auto"/>
          <w:kern w:val="0"/>
          <w:sz w:val="32"/>
          <w:szCs w:val="32"/>
          <w:shd w:val="clear" w:color="auto" w:fill="FFFFFF"/>
          <w:lang w:val="en-US" w:eastAsia="zh-CN" w:bidi="ar"/>
        </w:rPr>
        <w:t>万元、机关事业单位基本养老保险缴费</w:t>
      </w:r>
      <w:r>
        <w:rPr>
          <w:rFonts w:hint="eastAsia" w:eastAsia="方正仿宋_GBK" w:cs="Times New Roman"/>
          <w:color w:val="auto"/>
          <w:kern w:val="0"/>
          <w:sz w:val="32"/>
          <w:szCs w:val="32"/>
          <w:shd w:val="clear" w:color="auto" w:fill="FFFFFF"/>
          <w:lang w:val="en-US" w:eastAsia="zh-CN" w:bidi="ar"/>
        </w:rPr>
        <w:t>44.23</w:t>
      </w:r>
      <w:r>
        <w:rPr>
          <w:rFonts w:hint="default" w:ascii="Times New Roman" w:hAnsi="Times New Roman" w:eastAsia="方正仿宋_GBK" w:cs="Times New Roman"/>
          <w:color w:val="auto"/>
          <w:kern w:val="0"/>
          <w:sz w:val="32"/>
          <w:szCs w:val="32"/>
          <w:shd w:val="clear" w:color="auto" w:fill="FFFFFF"/>
          <w:lang w:val="en-US" w:eastAsia="zh-CN" w:bidi="ar"/>
        </w:rPr>
        <w:t>万元、职业年金缴费</w:t>
      </w:r>
      <w:r>
        <w:rPr>
          <w:rFonts w:hint="eastAsia" w:eastAsia="方正仿宋_GBK" w:cs="Times New Roman"/>
          <w:color w:val="auto"/>
          <w:kern w:val="0"/>
          <w:sz w:val="32"/>
          <w:szCs w:val="32"/>
          <w:shd w:val="clear" w:color="auto" w:fill="FFFFFF"/>
          <w:lang w:val="en-US" w:eastAsia="zh-CN" w:bidi="ar"/>
        </w:rPr>
        <w:t>22.11</w:t>
      </w:r>
      <w:r>
        <w:rPr>
          <w:rFonts w:hint="default" w:ascii="Times New Roman" w:hAnsi="Times New Roman" w:eastAsia="方正仿宋_GBK" w:cs="Times New Roman"/>
          <w:color w:val="auto"/>
          <w:kern w:val="0"/>
          <w:sz w:val="32"/>
          <w:szCs w:val="32"/>
          <w:shd w:val="clear" w:color="auto" w:fill="FFFFFF"/>
          <w:lang w:val="en-US" w:eastAsia="zh-CN" w:bidi="ar"/>
        </w:rPr>
        <w:t>万元、职工基本医疗保险缴费</w:t>
      </w:r>
      <w:r>
        <w:rPr>
          <w:rFonts w:hint="eastAsia" w:eastAsia="方正仿宋_GBK" w:cs="Times New Roman"/>
          <w:color w:val="auto"/>
          <w:kern w:val="0"/>
          <w:sz w:val="32"/>
          <w:szCs w:val="32"/>
          <w:shd w:val="clear" w:color="auto" w:fill="FFFFFF"/>
          <w:lang w:val="en-US" w:eastAsia="zh-CN" w:bidi="ar"/>
        </w:rPr>
        <w:t>20.03</w:t>
      </w:r>
      <w:r>
        <w:rPr>
          <w:rFonts w:hint="default" w:ascii="Times New Roman" w:hAnsi="Times New Roman" w:eastAsia="方正仿宋_GBK" w:cs="Times New Roman"/>
          <w:color w:val="auto"/>
          <w:kern w:val="0"/>
          <w:sz w:val="32"/>
          <w:szCs w:val="32"/>
          <w:shd w:val="clear" w:color="auto" w:fill="FFFFFF"/>
          <w:lang w:val="en-US" w:eastAsia="zh-CN" w:bidi="ar"/>
        </w:rPr>
        <w:t>万元、公务员医疗补助缴费</w:t>
      </w:r>
      <w:r>
        <w:rPr>
          <w:rFonts w:hint="eastAsia" w:eastAsia="方正仿宋_GBK" w:cs="Times New Roman"/>
          <w:color w:val="auto"/>
          <w:kern w:val="0"/>
          <w:sz w:val="32"/>
          <w:szCs w:val="32"/>
          <w:shd w:val="clear" w:color="auto" w:fill="FFFFFF"/>
          <w:lang w:val="en-US" w:eastAsia="zh-CN" w:bidi="ar"/>
        </w:rPr>
        <w:t>4.56</w:t>
      </w:r>
      <w:r>
        <w:rPr>
          <w:rFonts w:hint="default" w:ascii="Times New Roman" w:hAnsi="Times New Roman" w:eastAsia="方正仿宋_GBK" w:cs="Times New Roman"/>
          <w:color w:val="auto"/>
          <w:kern w:val="0"/>
          <w:sz w:val="32"/>
          <w:szCs w:val="32"/>
          <w:shd w:val="clear" w:color="auto" w:fill="FFFFFF"/>
          <w:lang w:val="en-US" w:eastAsia="zh-CN" w:bidi="ar"/>
        </w:rPr>
        <w:t>万元、其他社会保障缴费</w:t>
      </w:r>
      <w:r>
        <w:rPr>
          <w:rFonts w:hint="eastAsia" w:eastAsia="方正仿宋_GBK" w:cs="Times New Roman"/>
          <w:color w:val="auto"/>
          <w:kern w:val="0"/>
          <w:sz w:val="32"/>
          <w:szCs w:val="32"/>
          <w:shd w:val="clear" w:color="auto" w:fill="FFFFFF"/>
          <w:lang w:val="en-US" w:eastAsia="zh-CN" w:bidi="ar"/>
        </w:rPr>
        <w:t>1.23</w:t>
      </w:r>
      <w:r>
        <w:rPr>
          <w:rFonts w:hint="default" w:ascii="Times New Roman" w:hAnsi="Times New Roman" w:eastAsia="方正仿宋_GBK" w:cs="Times New Roman"/>
          <w:color w:val="auto"/>
          <w:kern w:val="0"/>
          <w:sz w:val="32"/>
          <w:szCs w:val="32"/>
          <w:shd w:val="clear" w:color="auto" w:fill="FFFFFF"/>
          <w:lang w:val="en-US" w:eastAsia="zh-CN" w:bidi="ar"/>
        </w:rPr>
        <w:t>万元、  住房公积金</w:t>
      </w:r>
      <w:r>
        <w:rPr>
          <w:rFonts w:hint="eastAsia" w:eastAsia="方正仿宋_GBK" w:cs="Times New Roman"/>
          <w:color w:val="auto"/>
          <w:kern w:val="0"/>
          <w:sz w:val="32"/>
          <w:szCs w:val="32"/>
          <w:shd w:val="clear" w:color="auto" w:fill="FFFFFF"/>
          <w:lang w:val="en-US" w:eastAsia="zh-CN" w:bidi="ar"/>
        </w:rPr>
        <w:t>35.96</w:t>
      </w:r>
      <w:r>
        <w:rPr>
          <w:rFonts w:hint="default" w:ascii="Times New Roman" w:hAnsi="Times New Roman" w:eastAsia="方正仿宋_GBK" w:cs="Times New Roman"/>
          <w:color w:val="auto"/>
          <w:kern w:val="0"/>
          <w:sz w:val="32"/>
          <w:szCs w:val="32"/>
          <w:shd w:val="clear" w:color="auto" w:fill="FFFFFF"/>
          <w:lang w:val="en-US" w:eastAsia="zh-CN" w:bidi="ar"/>
        </w:rPr>
        <w:t>万元、医疗费</w:t>
      </w:r>
      <w:r>
        <w:rPr>
          <w:rFonts w:hint="eastAsia" w:eastAsia="方正仿宋_GBK" w:cs="Times New Roman"/>
          <w:color w:val="auto"/>
          <w:kern w:val="0"/>
          <w:sz w:val="32"/>
          <w:szCs w:val="32"/>
          <w:shd w:val="clear" w:color="auto" w:fill="FFFFFF"/>
          <w:lang w:val="en-US" w:eastAsia="zh-CN" w:bidi="ar"/>
        </w:rPr>
        <w:t>2.76</w:t>
      </w:r>
      <w:r>
        <w:rPr>
          <w:rFonts w:hint="default" w:ascii="Times New Roman" w:hAnsi="Times New Roman" w:eastAsia="方正仿宋_GBK" w:cs="Times New Roman"/>
          <w:color w:val="auto"/>
          <w:kern w:val="0"/>
          <w:sz w:val="32"/>
          <w:szCs w:val="32"/>
          <w:shd w:val="clear" w:color="auto" w:fill="FFFFFF"/>
          <w:lang w:val="en-US" w:eastAsia="zh-CN" w:bidi="ar"/>
        </w:rPr>
        <w:t>万元、生活补助</w:t>
      </w:r>
      <w:r>
        <w:rPr>
          <w:rFonts w:hint="eastAsia" w:eastAsia="方正仿宋_GBK" w:cs="Times New Roman"/>
          <w:color w:val="auto"/>
          <w:kern w:val="0"/>
          <w:sz w:val="32"/>
          <w:szCs w:val="32"/>
          <w:shd w:val="clear" w:color="auto" w:fill="FFFFFF"/>
          <w:lang w:val="en-US" w:eastAsia="zh-CN" w:bidi="ar"/>
        </w:rPr>
        <w:t>8</w:t>
      </w:r>
      <w:r>
        <w:rPr>
          <w:rFonts w:hint="default" w:ascii="Times New Roman" w:hAnsi="Times New Roman" w:eastAsia="方正仿宋_GBK" w:cs="Times New Roman"/>
          <w:color w:val="auto"/>
          <w:kern w:val="0"/>
          <w:sz w:val="32"/>
          <w:szCs w:val="32"/>
          <w:shd w:val="clear" w:color="auto" w:fill="FFFFFF"/>
          <w:lang w:val="en-US" w:eastAsia="zh-CN" w:bidi="ar"/>
        </w:rPr>
        <w:t>万元、医疗费补助</w:t>
      </w:r>
      <w:r>
        <w:rPr>
          <w:rFonts w:hint="eastAsia" w:eastAsia="方正仿宋_GBK" w:cs="Times New Roman"/>
          <w:color w:val="auto"/>
          <w:kern w:val="0"/>
          <w:sz w:val="32"/>
          <w:szCs w:val="32"/>
          <w:shd w:val="clear" w:color="auto" w:fill="FFFFFF"/>
          <w:lang w:val="en-US" w:eastAsia="zh-CN" w:bidi="ar"/>
        </w:rPr>
        <w:t>1.08</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default" w:ascii="Times New Roman" w:hAnsi="Times New Roman" w:eastAsia="方正仿宋_GBK" w:cs="Times New Roman"/>
          <w:color w:val="auto"/>
          <w:kern w:val="0"/>
          <w:sz w:val="32"/>
          <w:szCs w:val="32"/>
          <w:shd w:val="clear" w:color="auto" w:fill="FFFFFF"/>
          <w:lang w:val="en-US" w:eastAsia="zh-CN" w:bidi="ar"/>
        </w:rPr>
        <w:br w:type="textWrapping"/>
      </w:r>
      <w:r>
        <w:rPr>
          <w:rFonts w:hint="default" w:ascii="Times New Roman" w:hAnsi="Times New Roman" w:eastAsia="方正仿宋_GBK" w:cs="Times New Roman"/>
          <w:color w:val="auto"/>
          <w:kern w:val="0"/>
          <w:sz w:val="32"/>
          <w:szCs w:val="32"/>
          <w:shd w:val="clear" w:color="auto" w:fill="FFFFFF"/>
          <w:lang w:val="en-US" w:eastAsia="zh-CN" w:bidi="ar"/>
        </w:rPr>
        <w:t>　　公用经费</w:t>
      </w:r>
      <w:r>
        <w:rPr>
          <w:rFonts w:hint="eastAsia" w:eastAsia="方正仿宋_GBK" w:cs="Times New Roman"/>
          <w:color w:val="auto"/>
          <w:kern w:val="0"/>
          <w:sz w:val="32"/>
          <w:szCs w:val="32"/>
          <w:shd w:val="clear" w:color="auto" w:fill="FFFFFF"/>
          <w:lang w:val="en-US" w:eastAsia="zh-CN" w:bidi="ar"/>
        </w:rPr>
        <w:t>41.51</w:t>
      </w:r>
      <w:r>
        <w:rPr>
          <w:rFonts w:hint="default" w:ascii="Times New Roman" w:hAnsi="Times New Roman" w:eastAsia="方正仿宋_GBK" w:cs="Times New Roman"/>
          <w:color w:val="auto"/>
          <w:kern w:val="0"/>
          <w:sz w:val="32"/>
          <w:szCs w:val="32"/>
          <w:shd w:val="clear" w:color="auto" w:fill="FFFFFF"/>
          <w:lang w:val="en-US" w:eastAsia="zh-CN" w:bidi="ar"/>
        </w:rPr>
        <w:t>万元，主要包括：办公费</w:t>
      </w:r>
      <w:r>
        <w:rPr>
          <w:rFonts w:hint="eastAsia" w:eastAsia="方正仿宋_GBK" w:cs="Times New Roman"/>
          <w:color w:val="auto"/>
          <w:kern w:val="0"/>
          <w:sz w:val="32"/>
          <w:szCs w:val="32"/>
          <w:shd w:val="clear" w:color="auto" w:fill="FFFFFF"/>
          <w:lang w:val="en-US" w:eastAsia="zh-CN" w:bidi="ar"/>
        </w:rPr>
        <w:t>2.65</w:t>
      </w:r>
      <w:r>
        <w:rPr>
          <w:rFonts w:hint="default" w:ascii="Times New Roman" w:hAnsi="Times New Roman" w:eastAsia="方正仿宋_GBK" w:cs="Times New Roman"/>
          <w:color w:val="auto"/>
          <w:kern w:val="0"/>
          <w:sz w:val="32"/>
          <w:szCs w:val="32"/>
          <w:shd w:val="clear" w:color="auto" w:fill="FFFFFF"/>
          <w:lang w:val="en-US" w:eastAsia="zh-CN" w:bidi="ar"/>
        </w:rPr>
        <w:t>万元、水费0.</w:t>
      </w:r>
      <w:r>
        <w:rPr>
          <w:rFonts w:hint="eastAsia" w:eastAsia="方正仿宋_GBK" w:cs="Times New Roman"/>
          <w:color w:val="auto"/>
          <w:kern w:val="0"/>
          <w:sz w:val="32"/>
          <w:szCs w:val="32"/>
          <w:shd w:val="clear" w:color="auto" w:fill="FFFFFF"/>
          <w:lang w:val="en-US" w:eastAsia="zh-CN" w:bidi="ar"/>
        </w:rPr>
        <w:t>45</w:t>
      </w:r>
      <w:r>
        <w:rPr>
          <w:rFonts w:hint="default" w:ascii="Times New Roman" w:hAnsi="Times New Roman" w:eastAsia="方正仿宋_GBK" w:cs="Times New Roman"/>
          <w:color w:val="auto"/>
          <w:kern w:val="0"/>
          <w:sz w:val="32"/>
          <w:szCs w:val="32"/>
          <w:shd w:val="clear" w:color="auto" w:fill="FFFFFF"/>
          <w:lang w:val="en-US" w:eastAsia="zh-CN" w:bidi="ar"/>
        </w:rPr>
        <w:t>万元、电费0.</w:t>
      </w:r>
      <w:r>
        <w:rPr>
          <w:rFonts w:hint="eastAsia" w:eastAsia="方正仿宋_GBK" w:cs="Times New Roman"/>
          <w:color w:val="auto"/>
          <w:kern w:val="0"/>
          <w:sz w:val="32"/>
          <w:szCs w:val="32"/>
          <w:shd w:val="clear" w:color="auto" w:fill="FFFFFF"/>
          <w:lang w:val="en-US" w:eastAsia="zh-CN" w:bidi="ar"/>
        </w:rPr>
        <w:t>51</w:t>
      </w:r>
      <w:r>
        <w:rPr>
          <w:rFonts w:hint="default" w:ascii="Times New Roman" w:hAnsi="Times New Roman" w:eastAsia="方正仿宋_GBK" w:cs="Times New Roman"/>
          <w:color w:val="auto"/>
          <w:kern w:val="0"/>
          <w:sz w:val="32"/>
          <w:szCs w:val="32"/>
          <w:shd w:val="clear" w:color="auto" w:fill="FFFFFF"/>
          <w:lang w:val="en-US" w:eastAsia="zh-CN" w:bidi="ar"/>
        </w:rPr>
        <w:t>万元、邮电费</w:t>
      </w:r>
      <w:r>
        <w:rPr>
          <w:rFonts w:hint="default" w:ascii="Times New Roman" w:hAnsi="Times New Roman" w:eastAsia="方正仿宋_GBK" w:cs="Times New Roman"/>
          <w:color w:val="auto"/>
          <w:kern w:val="0"/>
          <w:sz w:val="32"/>
          <w:szCs w:val="32"/>
          <w:shd w:val="clear" w:color="auto" w:fill="FFFFFF"/>
          <w:lang w:val="en-US" w:eastAsia="zh-CN" w:bidi="ar"/>
        </w:rPr>
        <w:tab/>
      </w:r>
      <w:r>
        <w:rPr>
          <w:rFonts w:hint="eastAsia" w:eastAsia="方正仿宋_GBK" w:cs="Times New Roman"/>
          <w:color w:val="auto"/>
          <w:kern w:val="0"/>
          <w:sz w:val="32"/>
          <w:szCs w:val="32"/>
          <w:shd w:val="clear" w:color="auto" w:fill="FFFFFF"/>
          <w:lang w:val="en-US" w:eastAsia="zh-CN" w:bidi="ar"/>
        </w:rPr>
        <w:t>3.1</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取暖费0.89万元、</w:t>
      </w:r>
      <w:r>
        <w:rPr>
          <w:rFonts w:hint="default" w:ascii="Times New Roman" w:hAnsi="Times New Roman" w:eastAsia="方正仿宋_GBK" w:cs="Times New Roman"/>
          <w:color w:val="auto"/>
          <w:kern w:val="0"/>
          <w:sz w:val="32"/>
          <w:szCs w:val="32"/>
          <w:shd w:val="clear" w:color="auto" w:fill="FFFFFF"/>
          <w:lang w:val="en-US" w:eastAsia="zh-CN" w:bidi="ar"/>
        </w:rPr>
        <w:t>差旅费</w:t>
      </w:r>
      <w:r>
        <w:rPr>
          <w:rFonts w:hint="eastAsia" w:eastAsia="方正仿宋_GBK" w:cs="Times New Roman"/>
          <w:color w:val="auto"/>
          <w:kern w:val="0"/>
          <w:sz w:val="32"/>
          <w:szCs w:val="32"/>
          <w:shd w:val="clear" w:color="auto" w:fill="FFFFFF"/>
          <w:lang w:val="en-US" w:eastAsia="zh-CN" w:bidi="ar"/>
        </w:rPr>
        <w:t>6.03</w:t>
      </w:r>
      <w:r>
        <w:rPr>
          <w:rFonts w:hint="default" w:ascii="Times New Roman" w:hAnsi="Times New Roman" w:eastAsia="方正仿宋_GBK" w:cs="Times New Roman"/>
          <w:color w:val="auto"/>
          <w:kern w:val="0"/>
          <w:sz w:val="32"/>
          <w:szCs w:val="32"/>
          <w:shd w:val="clear" w:color="auto" w:fill="FFFFFF"/>
          <w:lang w:val="en-US" w:eastAsia="zh-CN" w:bidi="ar"/>
        </w:rPr>
        <w:t>万元、公务接待费</w:t>
      </w:r>
      <w:r>
        <w:rPr>
          <w:rFonts w:hint="eastAsia" w:eastAsia="方正仿宋_GBK" w:cs="Times New Roman"/>
          <w:color w:val="auto"/>
          <w:kern w:val="0"/>
          <w:sz w:val="32"/>
          <w:szCs w:val="32"/>
          <w:shd w:val="clear" w:color="auto" w:fill="FFFFFF"/>
          <w:lang w:val="en-US" w:eastAsia="zh-CN" w:bidi="ar"/>
        </w:rPr>
        <w:t>0.13</w:t>
      </w:r>
      <w:r>
        <w:rPr>
          <w:rFonts w:hint="default" w:ascii="Times New Roman" w:hAnsi="Times New Roman" w:eastAsia="方正仿宋_GBK" w:cs="Times New Roman"/>
          <w:color w:val="auto"/>
          <w:kern w:val="0"/>
          <w:sz w:val="32"/>
          <w:szCs w:val="32"/>
          <w:shd w:val="clear" w:color="auto" w:fill="FFFFFF"/>
          <w:lang w:val="en-US" w:eastAsia="zh-CN" w:bidi="ar"/>
        </w:rPr>
        <w:t>万元、工会经费</w:t>
      </w:r>
      <w:r>
        <w:rPr>
          <w:rFonts w:hint="eastAsia" w:eastAsia="方正仿宋_GBK" w:cs="Times New Roman"/>
          <w:color w:val="auto"/>
          <w:kern w:val="0"/>
          <w:sz w:val="32"/>
          <w:szCs w:val="32"/>
          <w:shd w:val="clear" w:color="auto" w:fill="FFFFFF"/>
          <w:lang w:val="en-US" w:eastAsia="zh-CN" w:bidi="ar"/>
        </w:rPr>
        <w:t>3.06</w:t>
      </w:r>
      <w:r>
        <w:rPr>
          <w:rFonts w:hint="default" w:ascii="Times New Roman" w:hAnsi="Times New Roman" w:eastAsia="方正仿宋_GBK" w:cs="Times New Roman"/>
          <w:color w:val="auto"/>
          <w:kern w:val="0"/>
          <w:sz w:val="32"/>
          <w:szCs w:val="32"/>
          <w:shd w:val="clear" w:color="auto" w:fill="FFFFFF"/>
          <w:lang w:val="en-US" w:eastAsia="zh-CN" w:bidi="ar"/>
        </w:rPr>
        <w:t>万元、公务用车运行维护费</w:t>
      </w:r>
      <w:r>
        <w:rPr>
          <w:rFonts w:hint="eastAsia" w:eastAsia="方正仿宋_GBK" w:cs="Times New Roman"/>
          <w:color w:val="auto"/>
          <w:kern w:val="0"/>
          <w:sz w:val="32"/>
          <w:szCs w:val="32"/>
          <w:shd w:val="clear" w:color="auto" w:fill="FFFFFF"/>
          <w:lang w:val="en-US" w:eastAsia="zh-CN" w:bidi="ar"/>
        </w:rPr>
        <w:t>14.84</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、福利费1.78万元、其他交通费用4.2万元、其他商品和服务支出3.87万元</w:t>
      </w:r>
      <w:r>
        <w:rPr>
          <w:rFonts w:hint="default" w:ascii="Times New Roman" w:hAnsi="Times New Roman" w:eastAsia="方正仿宋_GBK" w:cs="Times New Roman"/>
          <w:color w:val="auto"/>
          <w:kern w:val="0"/>
          <w:sz w:val="32"/>
          <w:szCs w:val="32"/>
          <w:shd w:val="clear" w:color="auto" w:fill="FFFFFF"/>
          <w:lang w:val="en-US" w:eastAsia="zh-CN" w:bidi="ar"/>
        </w:rPr>
        <w:t>。</w:t>
      </w:r>
    </w:p>
    <w:p w14:paraId="1DCB25E9">
      <w:pPr>
        <w:spacing w:line="600" w:lineRule="exact"/>
        <w:ind w:firstLine="640"/>
        <w:outlineLvl w:val="1"/>
        <w:rPr>
          <w:rStyle w:val="34"/>
          <w:rFonts w:hint="default" w:ascii="Times New Roman" w:hAnsi="Times New Roman" w:eastAsia="黑体" w:cs="Times New Roman"/>
          <w:b w:val="0"/>
          <w:color w:val="auto"/>
        </w:rPr>
      </w:pPr>
      <w:bookmarkStart w:id="65" w:name="_Toc15396609"/>
      <w:bookmarkStart w:id="66" w:name="_Toc15377215"/>
      <w:bookmarkStart w:id="67" w:name="_Toc27561"/>
      <w:r>
        <w:rPr>
          <w:rFonts w:hint="default" w:ascii="Times New Roman" w:hAnsi="Times New Roman" w:eastAsia="黑体" w:cs="Times New Roman"/>
          <w:color w:val="auto"/>
          <w:sz w:val="32"/>
          <w:szCs w:val="32"/>
        </w:rPr>
        <w:t>七、</w:t>
      </w:r>
      <w:r>
        <w:rPr>
          <w:rStyle w:val="34"/>
          <w:rFonts w:hint="default" w:ascii="Times New Roman" w:hAnsi="Times New Roman" w:eastAsia="黑体" w:cs="Times New Roman"/>
          <w:b w:val="0"/>
          <w:color w:val="auto"/>
        </w:rPr>
        <w:t>财政拨款</w:t>
      </w:r>
      <w:r>
        <w:rPr>
          <w:rStyle w:val="34"/>
          <w:rFonts w:hint="default" w:ascii="Times New Roman" w:hAnsi="Times New Roman" w:eastAsia="黑体" w:cs="Times New Roman"/>
          <w:color w:val="auto"/>
        </w:rPr>
        <w:t>“</w:t>
      </w:r>
      <w:r>
        <w:rPr>
          <w:rStyle w:val="34"/>
          <w:rFonts w:hint="default" w:ascii="Times New Roman" w:hAnsi="Times New Roman" w:eastAsia="黑体" w:cs="Times New Roman"/>
          <w:b w:val="0"/>
          <w:color w:val="auto"/>
        </w:rPr>
        <w:t>三公”经费支出决算情况说明</w:t>
      </w:r>
      <w:bookmarkEnd w:id="65"/>
      <w:bookmarkEnd w:id="66"/>
      <w:bookmarkEnd w:id="67"/>
    </w:p>
    <w:p w14:paraId="7CF5932D">
      <w:pPr>
        <w:spacing w:line="600" w:lineRule="exact"/>
        <w:ind w:firstLine="640"/>
        <w:outlineLvl w:val="2"/>
        <w:rPr>
          <w:rFonts w:hint="default" w:ascii="Times New Roman" w:hAnsi="Times New Roman" w:eastAsia="仿宋" w:cs="Times New Roman"/>
          <w:b/>
          <w:color w:val="auto"/>
          <w:sz w:val="32"/>
          <w:szCs w:val="32"/>
        </w:rPr>
      </w:pPr>
      <w:bookmarkStart w:id="68" w:name="_Toc15377216"/>
      <w:r>
        <w:rPr>
          <w:rFonts w:hint="default" w:ascii="Times New Roman" w:hAnsi="Times New Roman" w:eastAsia="仿宋" w:cs="Times New Roman"/>
          <w:b/>
          <w:color w:val="auto"/>
          <w:sz w:val="32"/>
          <w:szCs w:val="32"/>
        </w:rPr>
        <w:t>（一）“三公”经费财政拨款支出决算总体情况说明</w:t>
      </w:r>
      <w:bookmarkEnd w:id="68"/>
    </w:p>
    <w:p w14:paraId="1236AA4E">
      <w:pPr>
        <w:spacing w:line="600" w:lineRule="exact"/>
        <w:ind w:firstLine="640"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年度“三公”经费财政拨款支出决算为</w:t>
      </w:r>
      <w:r>
        <w:rPr>
          <w:rFonts w:hint="eastAsia" w:eastAsia="方正仿宋_GBK" w:cs="Times New Roman"/>
          <w:color w:val="auto"/>
          <w:kern w:val="0"/>
          <w:sz w:val="32"/>
          <w:szCs w:val="32"/>
          <w:shd w:val="clear" w:color="auto" w:fill="FFFFFF"/>
          <w:lang w:val="en-US" w:eastAsia="zh-CN" w:bidi="ar"/>
        </w:rPr>
        <w:t>50.61</w:t>
      </w:r>
      <w:r>
        <w:rPr>
          <w:rFonts w:hint="default" w:ascii="Times New Roman" w:hAnsi="Times New Roman" w:eastAsia="方正仿宋_GBK" w:cs="Times New Roman"/>
          <w:color w:val="auto"/>
          <w:kern w:val="0"/>
          <w:sz w:val="32"/>
          <w:szCs w:val="32"/>
          <w:shd w:val="clear" w:color="auto" w:fill="FFFFFF"/>
          <w:lang w:val="en-US" w:eastAsia="zh-CN" w:bidi="ar"/>
        </w:rPr>
        <w:t>万元，完成预算</w:t>
      </w:r>
      <w:r>
        <w:rPr>
          <w:rFonts w:hint="eastAsia" w:eastAsia="方正仿宋_GBK" w:cs="Times New Roman"/>
          <w:color w:val="auto"/>
          <w:kern w:val="0"/>
          <w:sz w:val="32"/>
          <w:szCs w:val="32"/>
          <w:shd w:val="clear" w:color="auto" w:fill="FFFFFF"/>
          <w:lang w:val="en-US" w:eastAsia="zh-CN" w:bidi="ar"/>
        </w:rPr>
        <w:t>91.72</w:t>
      </w:r>
      <w:r>
        <w:rPr>
          <w:rFonts w:hint="default" w:ascii="Times New Roman" w:hAnsi="Times New Roman" w:eastAsia="方正仿宋_GBK" w:cs="Times New Roman"/>
          <w:color w:val="auto"/>
          <w:kern w:val="0"/>
          <w:sz w:val="32"/>
          <w:szCs w:val="32"/>
          <w:shd w:val="clear" w:color="auto" w:fill="FFFFFF"/>
          <w:lang w:val="en-US" w:eastAsia="zh-CN" w:bidi="ar"/>
        </w:rPr>
        <w:t>%，较上年度</w:t>
      </w:r>
      <w:r>
        <w:rPr>
          <w:rFonts w:hint="eastAsia" w:eastAsia="方正仿宋_GBK" w:cs="Times New Roman"/>
          <w:color w:val="auto"/>
          <w:kern w:val="0"/>
          <w:sz w:val="32"/>
          <w:szCs w:val="32"/>
          <w:shd w:val="clear" w:color="auto" w:fill="FFFFFF"/>
          <w:lang w:val="en-US" w:eastAsia="zh-CN" w:bidi="ar"/>
        </w:rPr>
        <w:t>12.57</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增加38.04</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增幅302.63</w:t>
      </w:r>
      <w:r>
        <w:rPr>
          <w:rFonts w:hint="default" w:ascii="Times New Roman" w:hAnsi="Times New Roman" w:eastAsia="方正仿宋_GBK" w:cs="Times New Roman"/>
          <w:color w:val="auto"/>
          <w:kern w:val="0"/>
          <w:sz w:val="32"/>
          <w:szCs w:val="32"/>
          <w:shd w:val="clear" w:color="auto" w:fill="FFFFFF"/>
          <w:lang w:val="en-US" w:eastAsia="zh-CN" w:bidi="ar"/>
        </w:rPr>
        <w:t>%。主要原因是本年度</w:t>
      </w:r>
      <w:r>
        <w:rPr>
          <w:rFonts w:hint="eastAsia" w:eastAsia="方正仿宋_GBK" w:cs="Times New Roman"/>
          <w:color w:val="auto"/>
          <w:kern w:val="0"/>
          <w:sz w:val="32"/>
          <w:szCs w:val="32"/>
          <w:shd w:val="clear" w:color="auto" w:fill="FFFFFF"/>
          <w:lang w:val="en-US" w:eastAsia="zh-CN" w:bidi="ar"/>
        </w:rPr>
        <w:t>新购一辆公务用车及</w:t>
      </w:r>
      <w:r>
        <w:rPr>
          <w:rFonts w:hint="default" w:ascii="Times New Roman" w:hAnsi="Times New Roman" w:eastAsia="方正仿宋_GBK" w:cs="Times New Roman"/>
          <w:color w:val="auto"/>
          <w:kern w:val="0"/>
          <w:sz w:val="32"/>
          <w:szCs w:val="32"/>
          <w:shd w:val="clear" w:color="auto" w:fill="FFFFFF"/>
          <w:lang w:val="en-US" w:eastAsia="zh-CN" w:bidi="ar"/>
        </w:rPr>
        <w:t>公务用车</w:t>
      </w:r>
      <w:r>
        <w:rPr>
          <w:color w:val="auto"/>
        </w:rPr>
        <w:drawing>
          <wp:anchor distT="0" distB="0" distL="114300" distR="114300" simplePos="0" relativeHeight="251662336" behindDoc="0" locked="0" layoutInCell="1" allowOverlap="1">
            <wp:simplePos x="0" y="0"/>
            <wp:positionH relativeFrom="column">
              <wp:posOffset>271145</wp:posOffset>
            </wp:positionH>
            <wp:positionV relativeFrom="paragraph">
              <wp:posOffset>1928495</wp:posOffset>
            </wp:positionV>
            <wp:extent cx="4826000" cy="2209800"/>
            <wp:effectExtent l="4445" t="4445" r="8255" b="14605"/>
            <wp:wrapTopAndBottom/>
            <wp:docPr id="1"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default" w:ascii="Times New Roman" w:hAnsi="Times New Roman" w:eastAsia="方正仿宋_GBK" w:cs="Times New Roman"/>
          <w:color w:val="auto"/>
          <w:kern w:val="0"/>
          <w:sz w:val="32"/>
          <w:szCs w:val="32"/>
          <w:shd w:val="clear" w:color="auto" w:fill="FFFFFF"/>
          <w:lang w:val="en-US" w:eastAsia="zh-CN" w:bidi="ar"/>
        </w:rPr>
        <w:t>运行维护费</w:t>
      </w:r>
      <w:r>
        <w:rPr>
          <w:rFonts w:hint="eastAsia" w:eastAsia="方正仿宋_GBK" w:cs="Times New Roman"/>
          <w:color w:val="auto"/>
          <w:kern w:val="0"/>
          <w:sz w:val="32"/>
          <w:szCs w:val="32"/>
          <w:shd w:val="clear" w:color="auto" w:fill="FFFFFF"/>
          <w:lang w:val="en-US" w:eastAsia="zh-CN" w:bidi="ar"/>
        </w:rPr>
        <w:t>成本增加</w:t>
      </w:r>
      <w:r>
        <w:rPr>
          <w:rFonts w:hint="default" w:ascii="Times New Roman" w:hAnsi="Times New Roman" w:eastAsia="方正仿宋_GBK" w:cs="Times New Roman"/>
          <w:color w:val="auto"/>
          <w:kern w:val="0"/>
          <w:sz w:val="32"/>
          <w:szCs w:val="32"/>
          <w:shd w:val="clear" w:color="auto" w:fill="FFFFFF"/>
          <w:lang w:val="en-US" w:eastAsia="zh-CN" w:bidi="ar"/>
        </w:rPr>
        <w:t>。</w:t>
      </w:r>
    </w:p>
    <w:p w14:paraId="7B198018">
      <w:pPr>
        <w:spacing w:line="600" w:lineRule="exact"/>
        <w:ind w:firstLine="640"/>
        <w:outlineLvl w:val="2"/>
        <w:rPr>
          <w:rFonts w:hint="default" w:ascii="Times New Roman" w:hAnsi="Times New Roman" w:eastAsia="仿宋" w:cs="Times New Roman"/>
          <w:b/>
          <w:color w:val="auto"/>
          <w:sz w:val="32"/>
          <w:szCs w:val="32"/>
        </w:rPr>
      </w:pPr>
      <w:bookmarkStart w:id="69" w:name="_Toc15377217"/>
      <w:r>
        <w:rPr>
          <w:rFonts w:hint="default" w:ascii="Times New Roman" w:hAnsi="Times New Roman" w:eastAsia="仿宋" w:cs="Times New Roman"/>
          <w:b/>
          <w:color w:val="auto"/>
          <w:sz w:val="32"/>
          <w:szCs w:val="32"/>
        </w:rPr>
        <w:t>（二）“三公”经费财政拨款支出决算具体情况说明</w:t>
      </w:r>
      <w:bookmarkEnd w:id="69"/>
    </w:p>
    <w:p w14:paraId="1FEC849F">
      <w:pPr>
        <w:spacing w:line="600" w:lineRule="exact"/>
        <w:ind w:firstLine="640"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年度“三公”经费财政拨款支出决算中，公务用车购置及运行维护费支出决算</w:t>
      </w:r>
      <w:r>
        <w:rPr>
          <w:rFonts w:hint="eastAsia" w:eastAsia="方正仿宋_GBK" w:cs="Times New Roman"/>
          <w:color w:val="auto"/>
          <w:kern w:val="0"/>
          <w:sz w:val="32"/>
          <w:szCs w:val="32"/>
          <w:shd w:val="clear" w:color="auto" w:fill="FFFFFF"/>
          <w:lang w:val="en-US" w:eastAsia="zh-CN" w:bidi="ar"/>
        </w:rPr>
        <w:t>50.49</w:t>
      </w:r>
      <w:r>
        <w:rPr>
          <w:rFonts w:hint="default" w:ascii="Times New Roman" w:hAnsi="Times New Roman" w:eastAsia="方正仿宋_GBK" w:cs="Times New Roman"/>
          <w:color w:val="auto"/>
          <w:kern w:val="0"/>
          <w:sz w:val="32"/>
          <w:szCs w:val="32"/>
          <w:shd w:val="clear" w:color="auto" w:fill="FFFFFF"/>
          <w:lang w:val="en-US" w:eastAsia="zh-CN" w:bidi="ar"/>
        </w:rPr>
        <w:t>万元，占</w:t>
      </w:r>
      <w:r>
        <w:rPr>
          <w:rFonts w:hint="eastAsia" w:eastAsia="方正仿宋_GBK" w:cs="Times New Roman"/>
          <w:color w:val="auto"/>
          <w:kern w:val="0"/>
          <w:sz w:val="32"/>
          <w:szCs w:val="32"/>
          <w:shd w:val="clear" w:color="auto" w:fill="FFFFFF"/>
          <w:lang w:val="en-US" w:eastAsia="zh-CN" w:bidi="ar"/>
        </w:rPr>
        <w:t>99.76</w:t>
      </w:r>
      <w:r>
        <w:rPr>
          <w:rFonts w:hint="default" w:ascii="Times New Roman" w:hAnsi="Times New Roman" w:eastAsia="方正仿宋_GBK" w:cs="Times New Roman"/>
          <w:color w:val="auto"/>
          <w:kern w:val="0"/>
          <w:sz w:val="32"/>
          <w:szCs w:val="32"/>
          <w:shd w:val="clear" w:color="auto" w:fill="FFFFFF"/>
          <w:lang w:val="en-US" w:eastAsia="zh-CN" w:bidi="ar"/>
        </w:rPr>
        <w:t>%；公务接待费支出决算0.</w:t>
      </w:r>
      <w:r>
        <w:rPr>
          <w:rFonts w:hint="eastAsia" w:eastAsia="方正仿宋_GBK" w:cs="Times New Roman"/>
          <w:color w:val="auto"/>
          <w:kern w:val="0"/>
          <w:sz w:val="32"/>
          <w:szCs w:val="32"/>
          <w:shd w:val="clear" w:color="auto" w:fill="FFFFFF"/>
          <w:lang w:val="en-US" w:eastAsia="zh-CN" w:bidi="ar"/>
        </w:rPr>
        <w:t>13</w:t>
      </w:r>
      <w:r>
        <w:rPr>
          <w:rFonts w:hint="default" w:ascii="Times New Roman" w:hAnsi="Times New Roman" w:eastAsia="方正仿宋_GBK" w:cs="Times New Roman"/>
          <w:color w:val="auto"/>
          <w:kern w:val="0"/>
          <w:sz w:val="32"/>
          <w:szCs w:val="32"/>
          <w:shd w:val="clear" w:color="auto" w:fill="FFFFFF"/>
          <w:lang w:val="en-US" w:eastAsia="zh-CN" w:bidi="ar"/>
        </w:rPr>
        <w:t>万元，占</w:t>
      </w:r>
      <w:r>
        <w:rPr>
          <w:rFonts w:hint="eastAsia" w:eastAsia="方正仿宋_GBK" w:cs="Times New Roman"/>
          <w:color w:val="auto"/>
          <w:kern w:val="0"/>
          <w:sz w:val="32"/>
          <w:szCs w:val="32"/>
          <w:shd w:val="clear" w:color="auto" w:fill="FFFFFF"/>
          <w:lang w:val="en-US" w:eastAsia="zh-CN" w:bidi="ar"/>
        </w:rPr>
        <w:t>0.26</w:t>
      </w:r>
      <w:r>
        <w:rPr>
          <w:rFonts w:hint="default" w:ascii="Times New Roman" w:hAnsi="Times New Roman" w:eastAsia="方正仿宋_GBK" w:cs="Times New Roman"/>
          <w:color w:val="auto"/>
          <w:kern w:val="0"/>
          <w:sz w:val="32"/>
          <w:szCs w:val="32"/>
          <w:shd w:val="clear" w:color="auto" w:fill="FFFFFF"/>
          <w:lang w:val="en-US" w:eastAsia="zh-CN" w:bidi="ar"/>
        </w:rPr>
        <w:t>%。具体情况如下：</w:t>
      </w:r>
    </w:p>
    <w:p w14:paraId="7E95DDE8">
      <w:pPr>
        <w:spacing w:line="600" w:lineRule="exact"/>
        <w:ind w:firstLine="640" w:firstLineChars="20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（图7：“三公”经费财政拨款支出结构）（饼状图）</w:t>
      </w:r>
    </w:p>
    <w:p w14:paraId="108EEA05">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仿宋_GB2312" w:cs="Times New Roman"/>
          <w:b/>
          <w:color w:val="auto"/>
          <w:sz w:val="32"/>
          <w:szCs w:val="32"/>
        </w:rPr>
        <w:t>1.因公出国（境）经费支出</w:t>
      </w:r>
      <w:r>
        <w:rPr>
          <w:rFonts w:hint="default" w:ascii="Times New Roman" w:hAnsi="Times New Roman" w:eastAsia="方正仿宋_GBK" w:cs="Times New Roman"/>
          <w:color w:val="auto"/>
          <w:kern w:val="0"/>
          <w:sz w:val="32"/>
          <w:szCs w:val="32"/>
          <w:shd w:val="clear" w:color="auto" w:fill="FFFFFF"/>
          <w:lang w:val="en-US" w:eastAsia="zh-CN" w:bidi="ar"/>
        </w:rPr>
        <w:t>0万元，完成预算0%。全年安排因公出国（境）团组0次，出国（境）0人。因公出国（境）支出决算</w:t>
      </w:r>
      <w:r>
        <w:rPr>
          <w:rFonts w:hint="eastAsia" w:eastAsia="方正仿宋_GBK" w:cs="Times New Roman"/>
          <w:color w:val="auto"/>
          <w:kern w:val="0"/>
          <w:sz w:val="32"/>
          <w:szCs w:val="32"/>
          <w:shd w:val="clear" w:color="auto" w:fill="FFFFFF"/>
          <w:lang w:val="en-US" w:eastAsia="zh-CN" w:bidi="ar"/>
        </w:rPr>
        <w:t>与上年度</w:t>
      </w:r>
      <w:r>
        <w:rPr>
          <w:rFonts w:hint="default" w:ascii="Times New Roman" w:hAnsi="Times New Roman" w:eastAsia="方正仿宋_GBK" w:cs="Times New Roman"/>
          <w:color w:val="auto"/>
          <w:kern w:val="0"/>
          <w:sz w:val="32"/>
          <w:szCs w:val="32"/>
          <w:shd w:val="clear" w:color="auto" w:fill="FFFFFF"/>
          <w:lang w:val="en-US" w:eastAsia="zh-CN" w:bidi="ar"/>
        </w:rPr>
        <w:t>持平。</w:t>
      </w:r>
    </w:p>
    <w:p w14:paraId="767ECF8A">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仿宋_GB2312" w:cs="Times New Roman"/>
          <w:b/>
          <w:color w:val="auto"/>
          <w:sz w:val="32"/>
          <w:szCs w:val="32"/>
          <w:lang w:val="en-US" w:eastAsia="zh-CN"/>
        </w:rPr>
        <w:t>2.</w:t>
      </w:r>
      <w:r>
        <w:rPr>
          <w:rFonts w:hint="default" w:ascii="Times New Roman" w:hAnsi="Times New Roman" w:eastAsia="仿宋_GB2312" w:cs="Times New Roman"/>
          <w:b/>
          <w:color w:val="auto"/>
          <w:sz w:val="32"/>
          <w:szCs w:val="32"/>
        </w:rPr>
        <w:t>公务用车购置及运行维护费支出</w:t>
      </w:r>
      <w:r>
        <w:rPr>
          <w:rFonts w:hint="eastAsia" w:eastAsia="仿宋_GB2312" w:cs="Times New Roman"/>
          <w:color w:val="auto"/>
          <w:sz w:val="32"/>
          <w:szCs w:val="32"/>
          <w:lang w:val="en-US" w:eastAsia="zh-CN"/>
        </w:rPr>
        <w:t>50.49</w:t>
      </w:r>
      <w:r>
        <w:rPr>
          <w:rFonts w:hint="default" w:ascii="Times New Roman" w:hAnsi="Times New Roman" w:eastAsia="方正仿宋_GBK" w:cs="Times New Roman"/>
          <w:color w:val="auto"/>
          <w:kern w:val="0"/>
          <w:sz w:val="32"/>
          <w:szCs w:val="32"/>
          <w:shd w:val="clear" w:color="auto" w:fill="FFFFFF"/>
          <w:lang w:val="en-US" w:eastAsia="zh-CN" w:bidi="ar"/>
        </w:rPr>
        <w:t>万元,完成预算</w:t>
      </w:r>
      <w:r>
        <w:rPr>
          <w:rFonts w:hint="eastAsia" w:eastAsia="方正仿宋_GBK" w:cs="Times New Roman"/>
          <w:color w:val="auto"/>
          <w:kern w:val="0"/>
          <w:sz w:val="32"/>
          <w:szCs w:val="32"/>
          <w:shd w:val="clear" w:color="auto" w:fill="FFFFFF"/>
          <w:lang w:val="en-US" w:eastAsia="zh-CN" w:bidi="ar"/>
        </w:rPr>
        <w:t>54.84万元的92.07</w:t>
      </w:r>
      <w:r>
        <w:rPr>
          <w:rFonts w:hint="default" w:ascii="Times New Roman" w:hAnsi="Times New Roman" w:eastAsia="方正仿宋_GBK" w:cs="Times New Roman"/>
          <w:color w:val="auto"/>
          <w:kern w:val="0"/>
          <w:sz w:val="32"/>
          <w:szCs w:val="32"/>
          <w:shd w:val="clear" w:color="auto" w:fill="FFFFFF"/>
          <w:lang w:val="en-US" w:eastAsia="zh-CN" w:bidi="ar"/>
        </w:rPr>
        <w:t>%。公务用车购置及运行维护费支出决算比</w:t>
      </w:r>
      <w:r>
        <w:rPr>
          <w:rFonts w:hint="eastAsia" w:eastAsia="方正仿宋_GBK" w:cs="Times New Roman"/>
          <w:color w:val="auto"/>
          <w:kern w:val="0"/>
          <w:sz w:val="32"/>
          <w:szCs w:val="32"/>
          <w:shd w:val="clear" w:color="auto" w:fill="FFFFFF"/>
          <w:lang w:val="en-US" w:eastAsia="zh-CN" w:bidi="ar"/>
        </w:rPr>
        <w:t>上</w:t>
      </w:r>
      <w:r>
        <w:rPr>
          <w:rFonts w:hint="default" w:ascii="Times New Roman" w:hAnsi="Times New Roman" w:eastAsia="方正仿宋_GBK" w:cs="Times New Roman"/>
          <w:color w:val="auto"/>
          <w:kern w:val="0"/>
          <w:sz w:val="32"/>
          <w:szCs w:val="32"/>
          <w:shd w:val="clear" w:color="auto" w:fill="FFFFFF"/>
          <w:lang w:val="en-US" w:eastAsia="zh-CN" w:bidi="ar"/>
        </w:rPr>
        <w:t>年度</w:t>
      </w:r>
      <w:r>
        <w:rPr>
          <w:rFonts w:hint="eastAsia" w:eastAsia="方正仿宋_GBK" w:cs="Times New Roman"/>
          <w:color w:val="auto"/>
          <w:kern w:val="0"/>
          <w:sz w:val="32"/>
          <w:szCs w:val="32"/>
          <w:shd w:val="clear" w:color="auto" w:fill="FFFFFF"/>
          <w:lang w:val="en-US" w:eastAsia="zh-CN" w:bidi="ar"/>
        </w:rPr>
        <w:t>12.39</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增加38.1</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增幅307.51</w:t>
      </w:r>
      <w:r>
        <w:rPr>
          <w:rFonts w:hint="default" w:ascii="Times New Roman" w:hAnsi="Times New Roman" w:eastAsia="方正仿宋_GBK" w:cs="Times New Roman"/>
          <w:color w:val="auto"/>
          <w:kern w:val="0"/>
          <w:sz w:val="32"/>
          <w:szCs w:val="32"/>
          <w:shd w:val="clear" w:color="auto" w:fill="FFFFFF"/>
          <w:lang w:val="en-US" w:eastAsia="zh-CN" w:bidi="ar"/>
        </w:rPr>
        <w:t>%。主要原因是本年度</w:t>
      </w:r>
      <w:r>
        <w:rPr>
          <w:rFonts w:hint="eastAsia" w:eastAsia="方正仿宋_GBK" w:cs="Times New Roman"/>
          <w:color w:val="auto"/>
          <w:kern w:val="0"/>
          <w:sz w:val="32"/>
          <w:szCs w:val="32"/>
          <w:shd w:val="clear" w:color="auto" w:fill="FFFFFF"/>
          <w:lang w:val="en-US" w:eastAsia="zh-CN" w:bidi="ar"/>
        </w:rPr>
        <w:t>新购置一辆</w:t>
      </w:r>
      <w:r>
        <w:rPr>
          <w:rFonts w:hint="default" w:ascii="Times New Roman" w:hAnsi="Times New Roman" w:eastAsia="方正仿宋_GBK" w:cs="Times New Roman"/>
          <w:color w:val="auto"/>
          <w:kern w:val="0"/>
          <w:sz w:val="32"/>
          <w:szCs w:val="32"/>
          <w:shd w:val="clear" w:color="auto" w:fill="FFFFFF"/>
          <w:lang w:val="en-US" w:eastAsia="zh-CN" w:bidi="ar"/>
        </w:rPr>
        <w:t>公务用车</w:t>
      </w:r>
      <w:r>
        <w:rPr>
          <w:rFonts w:hint="eastAsia" w:eastAsia="方正仿宋_GBK" w:cs="Times New Roman"/>
          <w:color w:val="auto"/>
          <w:kern w:val="0"/>
          <w:sz w:val="32"/>
          <w:szCs w:val="32"/>
          <w:shd w:val="clear" w:color="auto" w:fill="FFFFFF"/>
          <w:lang w:val="en-US" w:eastAsia="zh-CN" w:bidi="ar"/>
        </w:rPr>
        <w:t>35万元</w:t>
      </w:r>
      <w:r>
        <w:rPr>
          <w:rFonts w:hint="default" w:ascii="Times New Roman" w:hAnsi="Times New Roman" w:eastAsia="方正仿宋_GBK" w:cs="Times New Roman"/>
          <w:color w:val="auto"/>
          <w:kern w:val="0"/>
          <w:sz w:val="32"/>
          <w:szCs w:val="32"/>
          <w:shd w:val="clear" w:color="auto" w:fill="FFFFFF"/>
          <w:lang w:val="en-US" w:eastAsia="zh-CN" w:bidi="ar"/>
        </w:rPr>
        <w:t>。</w:t>
      </w:r>
    </w:p>
    <w:p w14:paraId="6DABC796">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其中：</w:t>
      </w:r>
      <w:r>
        <w:rPr>
          <w:rFonts w:hint="default" w:ascii="Times New Roman" w:hAnsi="Times New Roman" w:eastAsia="仿宋_GB2312" w:cs="Times New Roman"/>
          <w:b/>
          <w:color w:val="auto"/>
          <w:sz w:val="32"/>
          <w:szCs w:val="32"/>
        </w:rPr>
        <w:t>公务用车购置支出</w:t>
      </w:r>
      <w:r>
        <w:rPr>
          <w:rFonts w:hint="eastAsia" w:eastAsia="方正仿宋_GBK" w:cs="Times New Roman"/>
          <w:color w:val="auto"/>
          <w:kern w:val="0"/>
          <w:sz w:val="32"/>
          <w:szCs w:val="32"/>
          <w:shd w:val="clear" w:color="auto" w:fill="FFFFFF"/>
          <w:lang w:val="en-US" w:eastAsia="zh-CN" w:bidi="ar"/>
        </w:rPr>
        <w:t>35</w:t>
      </w:r>
      <w:r>
        <w:rPr>
          <w:rFonts w:hint="default" w:ascii="Times New Roman" w:hAnsi="Times New Roman" w:eastAsia="方正仿宋_GBK" w:cs="Times New Roman"/>
          <w:color w:val="auto"/>
          <w:kern w:val="0"/>
          <w:sz w:val="32"/>
          <w:szCs w:val="32"/>
          <w:shd w:val="clear" w:color="auto" w:fill="FFFFFF"/>
          <w:lang w:val="en-US" w:eastAsia="zh-CN" w:bidi="ar"/>
        </w:rPr>
        <w:t>万元。截至202</w:t>
      </w:r>
      <w:r>
        <w:rPr>
          <w:rFonts w:hint="eastAsia" w:eastAsia="方正仿宋_GBK" w:cs="Times New Roman"/>
          <w:color w:val="auto"/>
          <w:kern w:val="0"/>
          <w:sz w:val="32"/>
          <w:szCs w:val="32"/>
          <w:shd w:val="clear" w:color="auto" w:fill="FFFFFF"/>
          <w:lang w:val="en-US" w:eastAsia="zh-CN" w:bidi="ar"/>
        </w:rPr>
        <w:t>5</w:t>
      </w:r>
      <w:r>
        <w:rPr>
          <w:rFonts w:hint="default" w:ascii="Times New Roman" w:hAnsi="Times New Roman" w:eastAsia="方正仿宋_GBK" w:cs="Times New Roman"/>
          <w:color w:val="auto"/>
          <w:kern w:val="0"/>
          <w:sz w:val="32"/>
          <w:szCs w:val="32"/>
          <w:shd w:val="clear" w:color="auto" w:fill="FFFFFF"/>
          <w:lang w:val="en-US" w:eastAsia="zh-CN" w:bidi="ar"/>
        </w:rPr>
        <w:t>年12月31日，单位共有公务用车</w:t>
      </w:r>
      <w:r>
        <w:rPr>
          <w:rFonts w:hint="eastAsia" w:eastAsia="方正仿宋_GBK" w:cs="Times New Roman"/>
          <w:color w:val="auto"/>
          <w:kern w:val="0"/>
          <w:sz w:val="32"/>
          <w:szCs w:val="32"/>
          <w:shd w:val="clear" w:color="auto" w:fill="FFFFFF"/>
          <w:lang w:val="en-US" w:eastAsia="zh-CN" w:bidi="ar"/>
        </w:rPr>
        <w:t>2</w:t>
      </w:r>
      <w:r>
        <w:rPr>
          <w:rFonts w:hint="default" w:ascii="Times New Roman" w:hAnsi="Times New Roman" w:eastAsia="方正仿宋_GBK" w:cs="Times New Roman"/>
          <w:color w:val="auto"/>
          <w:kern w:val="0"/>
          <w:sz w:val="32"/>
          <w:szCs w:val="32"/>
          <w:shd w:val="clear" w:color="auto" w:fill="FFFFFF"/>
          <w:lang w:val="en-US" w:eastAsia="zh-CN" w:bidi="ar"/>
        </w:rPr>
        <w:t>辆，其中：越野车</w:t>
      </w:r>
      <w:r>
        <w:rPr>
          <w:rFonts w:hint="eastAsia" w:eastAsia="方正仿宋_GBK" w:cs="Times New Roman"/>
          <w:color w:val="auto"/>
          <w:kern w:val="0"/>
          <w:sz w:val="32"/>
          <w:szCs w:val="32"/>
          <w:shd w:val="clear" w:color="auto" w:fill="FFFFFF"/>
          <w:lang w:val="en-US" w:eastAsia="zh-CN" w:bidi="ar"/>
        </w:rPr>
        <w:t>2</w:t>
      </w:r>
      <w:r>
        <w:rPr>
          <w:rFonts w:hint="default" w:ascii="Times New Roman" w:hAnsi="Times New Roman" w:eastAsia="方正仿宋_GBK" w:cs="Times New Roman"/>
          <w:color w:val="auto"/>
          <w:kern w:val="0"/>
          <w:sz w:val="32"/>
          <w:szCs w:val="32"/>
          <w:shd w:val="clear" w:color="auto" w:fill="FFFFFF"/>
          <w:lang w:val="en-US" w:eastAsia="zh-CN" w:bidi="ar"/>
        </w:rPr>
        <w:t>辆。</w:t>
      </w:r>
    </w:p>
    <w:p w14:paraId="338D5B35">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仿宋_GB2312" w:cs="Times New Roman"/>
          <w:b/>
          <w:color w:val="auto"/>
          <w:sz w:val="32"/>
          <w:szCs w:val="32"/>
        </w:rPr>
        <w:t>公务用车运行维护费支出</w:t>
      </w:r>
      <w:r>
        <w:rPr>
          <w:rFonts w:hint="eastAsia" w:eastAsia="仿宋_GB2312" w:cs="Times New Roman"/>
          <w:b/>
          <w:color w:val="auto"/>
          <w:sz w:val="32"/>
          <w:szCs w:val="32"/>
          <w:lang w:val="en-US" w:eastAsia="zh-CN"/>
        </w:rPr>
        <w:t>15.49</w:t>
      </w:r>
      <w:r>
        <w:rPr>
          <w:rFonts w:hint="default" w:ascii="Times New Roman" w:hAnsi="Times New Roman" w:eastAsia="方正仿宋_GBK" w:cs="Times New Roman"/>
          <w:color w:val="auto"/>
          <w:kern w:val="0"/>
          <w:sz w:val="32"/>
          <w:szCs w:val="32"/>
          <w:shd w:val="clear" w:color="auto" w:fill="FFFFFF"/>
          <w:lang w:val="en-US" w:eastAsia="zh-CN" w:bidi="ar"/>
        </w:rPr>
        <w:t>万元。主要用于开展单位日常工作、出差、下乡等等所需的公务用车燃料费、维修费、过路费、保险费等支出。</w:t>
      </w:r>
    </w:p>
    <w:p w14:paraId="3BD7B0C1">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仿宋_GB2312" w:cs="Times New Roman"/>
          <w:b/>
          <w:color w:val="auto"/>
          <w:sz w:val="32"/>
          <w:szCs w:val="32"/>
        </w:rPr>
        <w:t>3.公务接待费支出</w:t>
      </w:r>
      <w:r>
        <w:rPr>
          <w:rFonts w:hint="default" w:ascii="Times New Roman" w:hAnsi="Times New Roman" w:cs="Times New Roman"/>
          <w:color w:val="auto"/>
          <w:sz w:val="32"/>
          <w:szCs w:val="32"/>
        </w:rPr>
        <w:t>0.</w:t>
      </w:r>
      <w:r>
        <w:rPr>
          <w:rFonts w:hint="eastAsia" w:cs="Times New Roman"/>
          <w:color w:val="auto"/>
          <w:sz w:val="32"/>
          <w:szCs w:val="32"/>
          <w:lang w:val="en-US" w:eastAsia="zh-CN"/>
        </w:rPr>
        <w:t>18</w:t>
      </w:r>
      <w:r>
        <w:rPr>
          <w:rFonts w:hint="default" w:ascii="Times New Roman" w:hAnsi="Times New Roman" w:eastAsia="方正仿宋_GBK" w:cs="Times New Roman"/>
          <w:color w:val="auto"/>
          <w:kern w:val="0"/>
          <w:sz w:val="32"/>
          <w:szCs w:val="32"/>
          <w:shd w:val="clear" w:color="auto" w:fill="FFFFFF"/>
          <w:lang w:val="en-US" w:eastAsia="zh-CN" w:bidi="ar"/>
        </w:rPr>
        <w:t>万元，完成预算</w:t>
      </w:r>
      <w:r>
        <w:rPr>
          <w:rFonts w:hint="eastAsia" w:eastAsia="方正仿宋_GBK" w:cs="Times New Roman"/>
          <w:color w:val="auto"/>
          <w:kern w:val="0"/>
          <w:sz w:val="32"/>
          <w:szCs w:val="32"/>
          <w:shd w:val="clear" w:color="auto" w:fill="FFFFFF"/>
          <w:lang w:val="en-US" w:eastAsia="zh-CN" w:bidi="ar"/>
        </w:rPr>
        <w:t>56.25</w:t>
      </w:r>
      <w:r>
        <w:rPr>
          <w:rFonts w:hint="default" w:ascii="Times New Roman" w:hAnsi="Times New Roman" w:eastAsia="方正仿宋_GBK" w:cs="Times New Roman"/>
          <w:color w:val="auto"/>
          <w:kern w:val="0"/>
          <w:sz w:val="32"/>
          <w:szCs w:val="32"/>
          <w:shd w:val="clear" w:color="auto" w:fill="FFFFFF"/>
          <w:lang w:val="en-US" w:eastAsia="zh-CN" w:bidi="ar"/>
        </w:rPr>
        <w:t>%。公务接待费支出决算比202</w:t>
      </w:r>
      <w:r>
        <w:rPr>
          <w:rFonts w:hint="eastAsia" w:eastAsia="方正仿宋_GBK" w:cs="Times New Roman"/>
          <w:color w:val="auto"/>
          <w:kern w:val="0"/>
          <w:sz w:val="32"/>
          <w:szCs w:val="32"/>
          <w:shd w:val="clear" w:color="auto" w:fill="FFFFFF"/>
          <w:lang w:val="en-US" w:eastAsia="zh-CN" w:bidi="ar"/>
        </w:rPr>
        <w:t>3</w:t>
      </w:r>
      <w:r>
        <w:rPr>
          <w:rFonts w:hint="default" w:ascii="Times New Roman" w:hAnsi="Times New Roman" w:eastAsia="方正仿宋_GBK" w:cs="Times New Roman"/>
          <w:color w:val="auto"/>
          <w:kern w:val="0"/>
          <w:sz w:val="32"/>
          <w:szCs w:val="32"/>
          <w:shd w:val="clear" w:color="auto" w:fill="FFFFFF"/>
          <w:lang w:val="en-US" w:eastAsia="zh-CN" w:bidi="ar"/>
        </w:rPr>
        <w:t>年度0.3</w:t>
      </w:r>
      <w:r>
        <w:rPr>
          <w:rFonts w:hint="eastAsia" w:eastAsia="方正仿宋_GBK" w:cs="Times New Roman"/>
          <w:color w:val="auto"/>
          <w:kern w:val="0"/>
          <w:sz w:val="32"/>
          <w:szCs w:val="32"/>
          <w:shd w:val="clear" w:color="auto" w:fill="FFFFFF"/>
          <w:lang w:val="en-US" w:eastAsia="zh-CN" w:bidi="ar"/>
        </w:rPr>
        <w:t>2</w:t>
      </w:r>
      <w:r>
        <w:rPr>
          <w:rFonts w:hint="default" w:ascii="Times New Roman" w:hAnsi="Times New Roman" w:eastAsia="方正仿宋_GBK" w:cs="Times New Roman"/>
          <w:color w:val="auto"/>
          <w:kern w:val="0"/>
          <w:sz w:val="32"/>
          <w:szCs w:val="32"/>
          <w:shd w:val="clear" w:color="auto" w:fill="FFFFFF"/>
          <w:lang w:val="en-US" w:eastAsia="zh-CN" w:bidi="ar"/>
        </w:rPr>
        <w:t>万元减少</w:t>
      </w:r>
      <w:r>
        <w:rPr>
          <w:rFonts w:hint="eastAsia" w:eastAsia="方正仿宋_GBK" w:cs="Times New Roman"/>
          <w:color w:val="auto"/>
          <w:kern w:val="0"/>
          <w:sz w:val="32"/>
          <w:szCs w:val="32"/>
          <w:shd w:val="clear" w:color="auto" w:fill="FFFFFF"/>
          <w:lang w:val="en-US" w:eastAsia="zh-CN" w:bidi="ar"/>
        </w:rPr>
        <w:t>0.14</w:t>
      </w:r>
      <w:r>
        <w:rPr>
          <w:rFonts w:hint="default" w:ascii="Times New Roman" w:hAnsi="Times New Roman" w:eastAsia="方正仿宋_GBK" w:cs="Times New Roman"/>
          <w:color w:val="auto"/>
          <w:kern w:val="0"/>
          <w:sz w:val="32"/>
          <w:szCs w:val="32"/>
          <w:shd w:val="clear" w:color="auto" w:fill="FFFFFF"/>
          <w:lang w:val="en-US" w:eastAsia="zh-CN" w:bidi="ar"/>
        </w:rPr>
        <w:t>万元，下降13.51%。主要原因是压减公务接待活动。</w:t>
      </w:r>
    </w:p>
    <w:p w14:paraId="2248B040">
      <w:pPr>
        <w:spacing w:line="600" w:lineRule="exact"/>
        <w:ind w:firstLine="640"/>
        <w:rPr>
          <w:rFonts w:hint="default" w:ascii="Times New Roman" w:hAnsi="Times New Roman" w:eastAsia="仿宋_GB2312" w:cs="Times New Roman"/>
          <w:color w:val="auto"/>
          <w:sz w:val="32"/>
          <w:szCs w:val="32"/>
          <w:lang w:eastAsia="zh-CN"/>
        </w:rPr>
      </w:pPr>
      <w:r>
        <w:rPr>
          <w:rFonts w:hint="default" w:ascii="Times New Roman" w:hAnsi="Times New Roman" w:eastAsia="仿宋" w:cs="Times New Roman"/>
          <w:b/>
          <w:color w:val="auto"/>
          <w:sz w:val="32"/>
          <w:szCs w:val="32"/>
        </w:rPr>
        <w:t>国内公务接待支出</w:t>
      </w:r>
      <w:r>
        <w:rPr>
          <w:rFonts w:hint="default" w:ascii="Times New Roman" w:hAnsi="Times New Roman" w:eastAsia="仿宋" w:cs="Times New Roman"/>
          <w:b/>
          <w:color w:val="auto"/>
          <w:sz w:val="32"/>
          <w:szCs w:val="32"/>
          <w:lang w:val="en-US" w:eastAsia="zh-CN"/>
        </w:rPr>
        <w:t>0.</w:t>
      </w:r>
      <w:r>
        <w:rPr>
          <w:rFonts w:hint="eastAsia" w:eastAsia="仿宋" w:cs="Times New Roman"/>
          <w:b/>
          <w:color w:val="auto"/>
          <w:sz w:val="32"/>
          <w:szCs w:val="32"/>
          <w:lang w:val="en-US" w:eastAsia="zh-CN"/>
        </w:rPr>
        <w:t>13</w:t>
      </w:r>
      <w:r>
        <w:rPr>
          <w:rFonts w:hint="default" w:ascii="Times New Roman" w:hAnsi="Times New Roman" w:eastAsia="方正仿宋_GBK" w:cs="Times New Roman"/>
          <w:color w:val="auto"/>
          <w:kern w:val="0"/>
          <w:sz w:val="32"/>
          <w:szCs w:val="32"/>
          <w:shd w:val="clear" w:color="auto" w:fill="FFFFFF"/>
          <w:lang w:val="en-US" w:eastAsia="zh-CN" w:bidi="ar"/>
        </w:rPr>
        <w:t>万元，主要用于开展业务活动开支的用餐费等。国内公务接待</w:t>
      </w:r>
      <w:r>
        <w:rPr>
          <w:rFonts w:hint="eastAsia" w:eastAsia="方正仿宋_GBK" w:cs="Times New Roman"/>
          <w:color w:val="auto"/>
          <w:kern w:val="0"/>
          <w:sz w:val="32"/>
          <w:szCs w:val="32"/>
          <w:shd w:val="clear" w:color="auto" w:fill="FFFFFF"/>
          <w:lang w:val="en-US" w:eastAsia="zh-CN" w:bidi="ar"/>
        </w:rPr>
        <w:t>5</w:t>
      </w:r>
      <w:r>
        <w:rPr>
          <w:rFonts w:hint="default" w:ascii="Times New Roman" w:hAnsi="Times New Roman" w:eastAsia="方正仿宋_GBK" w:cs="Times New Roman"/>
          <w:color w:val="auto"/>
          <w:kern w:val="0"/>
          <w:sz w:val="32"/>
          <w:szCs w:val="32"/>
          <w:shd w:val="clear" w:color="auto" w:fill="FFFFFF"/>
          <w:lang w:val="en-US" w:eastAsia="zh-CN" w:bidi="ar"/>
        </w:rPr>
        <w:t>批次，</w:t>
      </w:r>
      <w:r>
        <w:rPr>
          <w:rFonts w:hint="eastAsia" w:eastAsia="方正仿宋_GBK" w:cs="Times New Roman"/>
          <w:color w:val="auto"/>
          <w:kern w:val="0"/>
          <w:sz w:val="32"/>
          <w:szCs w:val="32"/>
          <w:shd w:val="clear" w:color="auto" w:fill="FFFFFF"/>
          <w:lang w:val="en-US" w:eastAsia="zh-CN" w:bidi="ar"/>
        </w:rPr>
        <w:t>21</w:t>
      </w:r>
      <w:r>
        <w:rPr>
          <w:rFonts w:hint="default" w:ascii="Times New Roman" w:hAnsi="Times New Roman" w:eastAsia="方正仿宋_GBK" w:cs="Times New Roman"/>
          <w:color w:val="auto"/>
          <w:kern w:val="0"/>
          <w:sz w:val="32"/>
          <w:szCs w:val="32"/>
          <w:shd w:val="clear" w:color="auto" w:fill="FFFFFF"/>
          <w:lang w:val="en-US" w:eastAsia="zh-CN" w:bidi="ar"/>
        </w:rPr>
        <w:t>人次（不包括陪同人员），共计支出</w:t>
      </w:r>
      <w:r>
        <w:rPr>
          <w:rFonts w:hint="eastAsia" w:eastAsia="方正仿宋_GBK" w:cs="Times New Roman"/>
          <w:color w:val="auto"/>
          <w:kern w:val="0"/>
          <w:sz w:val="32"/>
          <w:szCs w:val="32"/>
          <w:shd w:val="clear" w:color="auto" w:fill="FFFFFF"/>
          <w:lang w:val="en-US" w:eastAsia="zh-CN" w:bidi="ar"/>
        </w:rPr>
        <w:t>0.13</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default" w:ascii="Times New Roman" w:hAnsi="Times New Roman" w:eastAsia="仿宋" w:cs="Times New Roman"/>
          <w:b/>
          <w:color w:val="auto"/>
          <w:sz w:val="32"/>
          <w:szCs w:val="32"/>
        </w:rPr>
        <w:t>外事接待支出</w:t>
      </w:r>
      <w:r>
        <w:rPr>
          <w:rFonts w:hint="default" w:ascii="Times New Roman" w:hAnsi="Times New Roman" w:eastAsia="仿宋" w:cs="Times New Roman"/>
          <w:b/>
          <w:color w:val="auto"/>
          <w:sz w:val="32"/>
          <w:szCs w:val="32"/>
          <w:lang w:val="en-US" w:eastAsia="zh-CN"/>
        </w:rPr>
        <w:t>0</w:t>
      </w:r>
      <w:r>
        <w:rPr>
          <w:rFonts w:hint="default" w:ascii="Times New Roman" w:hAnsi="Times New Roman" w:eastAsia="仿宋_GB2312" w:cs="Times New Roman"/>
          <w:color w:val="auto"/>
          <w:sz w:val="32"/>
          <w:szCs w:val="32"/>
        </w:rPr>
        <w:t>万元</w:t>
      </w:r>
      <w:bookmarkStart w:id="70" w:name="_Toc15377218"/>
      <w:bookmarkStart w:id="71" w:name="_Toc15396610"/>
      <w:r>
        <w:rPr>
          <w:rFonts w:hint="default" w:ascii="Times New Roman" w:hAnsi="Times New Roman" w:eastAsia="仿宋_GB2312" w:cs="Times New Roman"/>
          <w:color w:val="auto"/>
          <w:sz w:val="32"/>
          <w:szCs w:val="32"/>
          <w:lang w:eastAsia="zh-CN"/>
        </w:rPr>
        <w:t>。</w:t>
      </w:r>
    </w:p>
    <w:p w14:paraId="701C1902">
      <w:pPr>
        <w:spacing w:line="600" w:lineRule="exact"/>
        <w:ind w:firstLine="640"/>
        <w:outlineLvl w:val="1"/>
        <w:rPr>
          <w:rStyle w:val="34"/>
          <w:rFonts w:hint="default" w:ascii="Times New Roman" w:hAnsi="Times New Roman" w:eastAsia="黑体" w:cs="Times New Roman"/>
          <w:color w:val="auto"/>
        </w:rPr>
      </w:pPr>
      <w:bookmarkStart w:id="72" w:name="_Toc3308"/>
      <w:r>
        <w:rPr>
          <w:rFonts w:hint="default" w:ascii="Times New Roman" w:hAnsi="Times New Roman" w:eastAsia="黑体" w:cs="Times New Roman"/>
          <w:color w:val="auto"/>
          <w:sz w:val="32"/>
          <w:szCs w:val="32"/>
        </w:rPr>
        <w:t>八、</w:t>
      </w:r>
      <w:r>
        <w:rPr>
          <w:rStyle w:val="34"/>
          <w:rFonts w:hint="default" w:ascii="Times New Roman" w:hAnsi="Times New Roman" w:eastAsia="黑体" w:cs="Times New Roman"/>
          <w:b w:val="0"/>
          <w:color w:val="auto"/>
        </w:rPr>
        <w:t>政府性基金预算支出决算情况说明</w:t>
      </w:r>
      <w:bookmarkEnd w:id="70"/>
      <w:bookmarkEnd w:id="71"/>
      <w:bookmarkEnd w:id="72"/>
    </w:p>
    <w:p w14:paraId="6BCDFFE6">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年度政府性基金预算财政拨款支出0万元，与上年持平。</w:t>
      </w:r>
    </w:p>
    <w:p w14:paraId="615C409B">
      <w:pPr>
        <w:numPr>
          <w:ilvl w:val="0"/>
          <w:numId w:val="1"/>
        </w:numPr>
        <w:spacing w:line="600" w:lineRule="exact"/>
        <w:ind w:firstLine="640"/>
        <w:outlineLvl w:val="1"/>
        <w:rPr>
          <w:rStyle w:val="34"/>
          <w:rFonts w:hint="default" w:ascii="Times New Roman" w:hAnsi="Times New Roman" w:eastAsia="黑体" w:cs="Times New Roman"/>
          <w:b w:val="0"/>
          <w:color w:val="auto"/>
        </w:rPr>
      </w:pPr>
      <w:bookmarkStart w:id="73" w:name="_Toc15377219"/>
      <w:bookmarkStart w:id="74" w:name="_Toc15396611"/>
      <w:bookmarkStart w:id="75" w:name="_Toc26317"/>
      <w:r>
        <w:rPr>
          <w:rStyle w:val="34"/>
          <w:rFonts w:hint="default" w:ascii="Times New Roman" w:hAnsi="Times New Roman" w:eastAsia="黑体" w:cs="Times New Roman"/>
          <w:b w:val="0"/>
          <w:color w:val="auto"/>
        </w:rPr>
        <w:t>国有资本经营预算支出决算情况说明</w:t>
      </w:r>
      <w:bookmarkEnd w:id="73"/>
      <w:bookmarkEnd w:id="74"/>
      <w:bookmarkEnd w:id="75"/>
    </w:p>
    <w:p w14:paraId="2217B814">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年度国有资本经营预算财政拨款支出0万元，与上年持平。截止202</w:t>
      </w:r>
      <w:r>
        <w:rPr>
          <w:rFonts w:hint="eastAsia" w:eastAsia="方正仿宋_GBK" w:cs="Times New Roman"/>
          <w:color w:val="auto"/>
          <w:kern w:val="0"/>
          <w:sz w:val="32"/>
          <w:szCs w:val="32"/>
          <w:shd w:val="clear" w:color="auto" w:fill="FFFFFF"/>
          <w:lang w:val="en-US" w:eastAsia="zh-CN" w:bidi="ar"/>
        </w:rPr>
        <w:t>5</w:t>
      </w:r>
      <w:r>
        <w:rPr>
          <w:rFonts w:hint="default" w:ascii="Times New Roman" w:hAnsi="Times New Roman" w:eastAsia="方正仿宋_GBK" w:cs="Times New Roman"/>
          <w:color w:val="auto"/>
          <w:kern w:val="0"/>
          <w:sz w:val="32"/>
          <w:szCs w:val="32"/>
          <w:shd w:val="clear" w:color="auto" w:fill="FFFFFF"/>
          <w:lang w:val="en-US" w:eastAsia="zh-CN" w:bidi="ar"/>
        </w:rPr>
        <w:t>年年末，单位固定资产为</w:t>
      </w:r>
      <w:r>
        <w:rPr>
          <w:rFonts w:hint="eastAsia" w:eastAsia="方正仿宋_GBK" w:cs="Times New Roman"/>
          <w:color w:val="auto"/>
          <w:kern w:val="0"/>
          <w:sz w:val="32"/>
          <w:szCs w:val="32"/>
          <w:shd w:val="clear" w:color="auto" w:fill="FFFFFF"/>
          <w:lang w:val="en-US" w:eastAsia="zh-CN" w:bidi="ar"/>
        </w:rPr>
        <w:t>129.68</w:t>
      </w:r>
      <w:r>
        <w:rPr>
          <w:rFonts w:hint="default" w:ascii="Times New Roman" w:hAnsi="Times New Roman" w:eastAsia="方正仿宋_GBK" w:cs="Times New Roman"/>
          <w:color w:val="auto"/>
          <w:kern w:val="0"/>
          <w:sz w:val="32"/>
          <w:szCs w:val="32"/>
          <w:shd w:val="clear" w:color="auto" w:fill="FFFFFF"/>
          <w:lang w:val="en-US" w:eastAsia="zh-CN" w:bidi="ar"/>
        </w:rPr>
        <w:t>万元。</w:t>
      </w:r>
    </w:p>
    <w:p w14:paraId="15F19D9E">
      <w:pPr>
        <w:numPr>
          <w:ilvl w:val="0"/>
          <w:numId w:val="1"/>
        </w:numPr>
        <w:spacing w:line="600" w:lineRule="exact"/>
        <w:ind w:firstLine="640"/>
        <w:outlineLvl w:val="1"/>
        <w:rPr>
          <w:rStyle w:val="34"/>
          <w:rFonts w:hint="default" w:ascii="Times New Roman" w:hAnsi="Times New Roman" w:eastAsia="黑体" w:cs="Times New Roman"/>
          <w:b w:val="0"/>
          <w:color w:val="auto"/>
        </w:rPr>
      </w:pPr>
      <w:bookmarkStart w:id="76" w:name="_Toc15377221"/>
      <w:bookmarkStart w:id="77" w:name="_Toc15396612"/>
      <w:bookmarkStart w:id="78" w:name="_Toc4444"/>
      <w:r>
        <w:rPr>
          <w:rStyle w:val="34"/>
          <w:rFonts w:hint="default" w:ascii="Times New Roman" w:hAnsi="Times New Roman" w:eastAsia="黑体" w:cs="Times New Roman"/>
          <w:b w:val="0"/>
          <w:color w:val="auto"/>
        </w:rPr>
        <w:t>其他重要事项的情况说明</w:t>
      </w:r>
      <w:bookmarkEnd w:id="76"/>
      <w:bookmarkEnd w:id="77"/>
      <w:bookmarkEnd w:id="78"/>
    </w:p>
    <w:p w14:paraId="1A908427">
      <w:pPr>
        <w:spacing w:line="600" w:lineRule="exact"/>
        <w:ind w:firstLine="643" w:firstLineChars="200"/>
        <w:outlineLvl w:val="2"/>
        <w:rPr>
          <w:rFonts w:hint="default" w:ascii="Times New Roman" w:hAnsi="Times New Roman" w:eastAsia="仿宋" w:cs="Times New Roman"/>
          <w:color w:val="auto"/>
          <w:sz w:val="32"/>
          <w:szCs w:val="32"/>
        </w:rPr>
      </w:pPr>
      <w:bookmarkStart w:id="79" w:name="_Toc15377222"/>
      <w:r>
        <w:rPr>
          <w:rFonts w:hint="default" w:ascii="Times New Roman" w:hAnsi="Times New Roman" w:eastAsia="仿宋" w:cs="Times New Roman"/>
          <w:b/>
          <w:color w:val="auto"/>
          <w:sz w:val="32"/>
          <w:szCs w:val="32"/>
        </w:rPr>
        <w:t>（一）机关运行经费支出情况</w:t>
      </w:r>
      <w:bookmarkEnd w:id="79"/>
    </w:p>
    <w:p w14:paraId="53C5D0F9">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年度，红原县宣传部机关运行经费支出</w:t>
      </w:r>
      <w:r>
        <w:rPr>
          <w:rFonts w:hint="eastAsia" w:eastAsia="方正仿宋_GBK" w:cs="Times New Roman"/>
          <w:color w:val="auto"/>
          <w:kern w:val="0"/>
          <w:sz w:val="32"/>
          <w:szCs w:val="32"/>
          <w:shd w:val="clear" w:color="auto" w:fill="FFFFFF"/>
          <w:lang w:val="en-US" w:eastAsia="zh-CN" w:bidi="ar"/>
        </w:rPr>
        <w:t>27</w:t>
      </w:r>
      <w:r>
        <w:rPr>
          <w:rFonts w:hint="default" w:ascii="Times New Roman" w:hAnsi="Times New Roman" w:eastAsia="方正仿宋_GBK" w:cs="Times New Roman"/>
          <w:color w:val="auto"/>
          <w:kern w:val="0"/>
          <w:sz w:val="32"/>
          <w:szCs w:val="32"/>
          <w:shd w:val="clear" w:color="auto" w:fill="FFFFFF"/>
          <w:lang w:val="en-US" w:eastAsia="zh-CN" w:bidi="ar"/>
        </w:rPr>
        <w:t>万元，比2</w:t>
      </w:r>
      <w:r>
        <w:rPr>
          <w:rFonts w:hint="eastAsia" w:eastAsia="方正仿宋_GBK" w:cs="Times New Roman"/>
          <w:color w:val="auto"/>
          <w:kern w:val="0"/>
          <w:sz w:val="32"/>
          <w:szCs w:val="32"/>
          <w:shd w:val="clear" w:color="auto" w:fill="FFFFFF"/>
          <w:lang w:val="en-US" w:eastAsia="zh-CN" w:bidi="ar"/>
        </w:rPr>
        <w:t>上</w:t>
      </w:r>
      <w:r>
        <w:rPr>
          <w:rFonts w:hint="default" w:ascii="Times New Roman" w:hAnsi="Times New Roman" w:eastAsia="方正仿宋_GBK" w:cs="Times New Roman"/>
          <w:color w:val="auto"/>
          <w:kern w:val="0"/>
          <w:sz w:val="32"/>
          <w:szCs w:val="32"/>
          <w:shd w:val="clear" w:color="auto" w:fill="FFFFFF"/>
          <w:lang w:val="en-US" w:eastAsia="zh-CN" w:bidi="ar"/>
        </w:rPr>
        <w:t>年度</w:t>
      </w:r>
      <w:r>
        <w:rPr>
          <w:rFonts w:hint="eastAsia" w:eastAsia="方正仿宋_GBK" w:cs="Times New Roman"/>
          <w:color w:val="auto"/>
          <w:kern w:val="0"/>
          <w:sz w:val="32"/>
          <w:szCs w:val="32"/>
          <w:shd w:val="clear" w:color="auto" w:fill="FFFFFF"/>
          <w:lang w:val="en-US" w:eastAsia="zh-CN" w:bidi="ar"/>
        </w:rPr>
        <w:t>24.66万元增加2.34</w:t>
      </w:r>
      <w:r>
        <w:rPr>
          <w:rFonts w:hint="default" w:ascii="Times New Roman" w:hAnsi="Times New Roman" w:eastAsia="方正仿宋_GBK" w:cs="Times New Roman"/>
          <w:color w:val="auto"/>
          <w:kern w:val="0"/>
          <w:sz w:val="32"/>
          <w:szCs w:val="32"/>
          <w:shd w:val="clear" w:color="auto" w:fill="FFFFFF"/>
          <w:lang w:val="en-US" w:eastAsia="zh-CN" w:bidi="ar"/>
        </w:rPr>
        <w:t>万元，</w:t>
      </w:r>
      <w:r>
        <w:rPr>
          <w:rFonts w:hint="eastAsia" w:eastAsia="方正仿宋_GBK" w:cs="Times New Roman"/>
          <w:color w:val="auto"/>
          <w:kern w:val="0"/>
          <w:sz w:val="32"/>
          <w:szCs w:val="32"/>
          <w:shd w:val="clear" w:color="auto" w:fill="FFFFFF"/>
          <w:lang w:val="en-US" w:eastAsia="zh-CN" w:bidi="ar"/>
        </w:rPr>
        <w:t>增加9.49</w:t>
      </w:r>
      <w:r>
        <w:rPr>
          <w:rFonts w:hint="default" w:ascii="Times New Roman" w:hAnsi="Times New Roman" w:eastAsia="方正仿宋_GBK" w:cs="Times New Roman"/>
          <w:color w:val="auto"/>
          <w:kern w:val="0"/>
          <w:sz w:val="32"/>
          <w:szCs w:val="32"/>
          <w:shd w:val="clear" w:color="auto" w:fill="FFFFFF"/>
          <w:lang w:val="en-US" w:eastAsia="zh-CN" w:bidi="ar"/>
        </w:rPr>
        <w:t>%。主要原因是本年度</w:t>
      </w:r>
      <w:r>
        <w:rPr>
          <w:rFonts w:hint="eastAsia" w:eastAsia="方正仿宋_GBK" w:cs="Times New Roman"/>
          <w:color w:val="auto"/>
          <w:kern w:val="0"/>
          <w:sz w:val="32"/>
          <w:szCs w:val="32"/>
          <w:shd w:val="clear" w:color="auto" w:fill="FFFFFF"/>
          <w:lang w:val="en-US" w:eastAsia="zh-CN" w:bidi="ar"/>
        </w:rPr>
        <w:t>增加业务工作量，出差、下乡等增加</w:t>
      </w:r>
      <w:r>
        <w:rPr>
          <w:rFonts w:hint="default" w:ascii="Times New Roman" w:hAnsi="Times New Roman" w:eastAsia="方正仿宋_GBK" w:cs="Times New Roman"/>
          <w:color w:val="auto"/>
          <w:kern w:val="0"/>
          <w:sz w:val="32"/>
          <w:szCs w:val="32"/>
          <w:shd w:val="clear" w:color="auto" w:fill="FFFFFF"/>
          <w:lang w:val="en-US" w:eastAsia="zh-CN" w:bidi="ar"/>
        </w:rPr>
        <w:t>。本年年末单位由养老保险机构发放养老金的退休人员为8人，</w:t>
      </w:r>
      <w:r>
        <w:rPr>
          <w:rFonts w:hint="eastAsia" w:eastAsia="方正仿宋_GBK" w:cs="Times New Roman"/>
          <w:color w:val="auto"/>
          <w:kern w:val="0"/>
          <w:sz w:val="32"/>
          <w:szCs w:val="32"/>
          <w:shd w:val="clear" w:color="auto" w:fill="FFFFFF"/>
          <w:lang w:val="en-US" w:eastAsia="zh-CN" w:bidi="ar"/>
        </w:rPr>
        <w:t>与</w:t>
      </w:r>
      <w:r>
        <w:rPr>
          <w:rFonts w:hint="default" w:ascii="Times New Roman" w:hAnsi="Times New Roman" w:eastAsia="方正仿宋_GBK" w:cs="Times New Roman"/>
          <w:color w:val="auto"/>
          <w:kern w:val="0"/>
          <w:sz w:val="32"/>
          <w:szCs w:val="32"/>
          <w:shd w:val="clear" w:color="auto" w:fill="FFFFFF"/>
          <w:lang w:val="en-US" w:eastAsia="zh-CN" w:bidi="ar"/>
        </w:rPr>
        <w:t>上年</w:t>
      </w:r>
      <w:r>
        <w:rPr>
          <w:rFonts w:hint="eastAsia" w:eastAsia="方正仿宋_GBK" w:cs="Times New Roman"/>
          <w:color w:val="auto"/>
          <w:kern w:val="0"/>
          <w:sz w:val="32"/>
          <w:szCs w:val="32"/>
          <w:shd w:val="clear" w:color="auto" w:fill="FFFFFF"/>
          <w:lang w:val="en-US" w:eastAsia="zh-CN" w:bidi="ar"/>
        </w:rPr>
        <w:t>持平。</w:t>
      </w:r>
    </w:p>
    <w:p w14:paraId="1B053E0B">
      <w:pPr>
        <w:autoSpaceDE w:val="0"/>
        <w:autoSpaceDN w:val="0"/>
        <w:adjustRightInd w:val="0"/>
        <w:spacing w:line="600" w:lineRule="exact"/>
        <w:ind w:firstLine="643" w:firstLineChars="200"/>
        <w:jc w:val="left"/>
        <w:outlineLvl w:val="2"/>
        <w:rPr>
          <w:rFonts w:hint="default" w:ascii="Times New Roman" w:hAnsi="Times New Roman" w:eastAsia="仿宋" w:cs="Times New Roman"/>
          <w:b/>
          <w:color w:val="auto"/>
          <w:sz w:val="32"/>
          <w:szCs w:val="32"/>
        </w:rPr>
      </w:pPr>
      <w:bookmarkStart w:id="80" w:name="_Toc15377223"/>
      <w:r>
        <w:rPr>
          <w:rFonts w:hint="default" w:ascii="Times New Roman" w:hAnsi="Times New Roman" w:eastAsia="仿宋" w:cs="Times New Roman"/>
          <w:b/>
          <w:color w:val="auto"/>
          <w:sz w:val="32"/>
          <w:szCs w:val="32"/>
        </w:rPr>
        <w:t>（二）政府采购支出情况</w:t>
      </w:r>
      <w:bookmarkEnd w:id="80"/>
    </w:p>
    <w:p w14:paraId="1BC0CEB0">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年度，红原县宣传部政府采购支出总额0万元，其中：政府采购货物支出0万元、政府采购工程支出0万元、政府采购服务支出0万元。</w:t>
      </w:r>
    </w:p>
    <w:p w14:paraId="546EAB9D">
      <w:pPr>
        <w:autoSpaceDE w:val="0"/>
        <w:autoSpaceDN w:val="0"/>
        <w:adjustRightInd w:val="0"/>
        <w:spacing w:line="600" w:lineRule="exact"/>
        <w:ind w:firstLine="643" w:firstLineChars="200"/>
        <w:jc w:val="left"/>
        <w:outlineLvl w:val="2"/>
        <w:rPr>
          <w:rFonts w:hint="default" w:ascii="Times New Roman" w:hAnsi="Times New Roman" w:eastAsia="仿宋" w:cs="Times New Roman"/>
          <w:b/>
          <w:color w:val="auto"/>
          <w:sz w:val="32"/>
          <w:szCs w:val="32"/>
        </w:rPr>
      </w:pPr>
      <w:bookmarkStart w:id="81" w:name="_Toc15377224"/>
      <w:r>
        <w:rPr>
          <w:rFonts w:hint="default" w:ascii="Times New Roman" w:hAnsi="Times New Roman" w:eastAsia="仿宋" w:cs="Times New Roman"/>
          <w:b/>
          <w:color w:val="auto"/>
          <w:sz w:val="32"/>
          <w:szCs w:val="32"/>
        </w:rPr>
        <w:t>（三）国有资产占有使用情况</w:t>
      </w:r>
      <w:bookmarkEnd w:id="81"/>
    </w:p>
    <w:p w14:paraId="079613AE">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截至202</w:t>
      </w:r>
      <w:r>
        <w:rPr>
          <w:rFonts w:hint="eastAsia" w:eastAsia="方正仿宋_GBK" w:cs="Times New Roman"/>
          <w:color w:val="auto"/>
          <w:kern w:val="0"/>
          <w:sz w:val="32"/>
          <w:szCs w:val="32"/>
          <w:shd w:val="clear" w:color="auto" w:fill="FFFFFF"/>
          <w:lang w:val="en-US" w:eastAsia="zh-CN" w:bidi="ar"/>
        </w:rPr>
        <w:t>5</w:t>
      </w:r>
      <w:r>
        <w:rPr>
          <w:rFonts w:hint="default" w:ascii="Times New Roman" w:hAnsi="Times New Roman" w:eastAsia="方正仿宋_GBK" w:cs="Times New Roman"/>
          <w:color w:val="auto"/>
          <w:kern w:val="0"/>
          <w:sz w:val="32"/>
          <w:szCs w:val="32"/>
          <w:shd w:val="clear" w:color="auto" w:fill="FFFFFF"/>
          <w:lang w:val="en-US" w:eastAsia="zh-CN" w:bidi="ar"/>
        </w:rPr>
        <w:t>年12月31日，红原县宣传部共有车辆</w:t>
      </w:r>
      <w:r>
        <w:rPr>
          <w:rFonts w:hint="eastAsia" w:eastAsia="方正仿宋_GBK" w:cs="Times New Roman"/>
          <w:color w:val="auto"/>
          <w:kern w:val="0"/>
          <w:sz w:val="32"/>
          <w:szCs w:val="32"/>
          <w:shd w:val="clear" w:color="auto" w:fill="FFFFFF"/>
          <w:lang w:val="en-US" w:eastAsia="zh-CN" w:bidi="ar"/>
        </w:rPr>
        <w:t>2</w:t>
      </w:r>
      <w:r>
        <w:rPr>
          <w:rFonts w:hint="default" w:ascii="Times New Roman" w:hAnsi="Times New Roman" w:eastAsia="方正仿宋_GBK" w:cs="Times New Roman"/>
          <w:color w:val="auto"/>
          <w:kern w:val="0"/>
          <w:sz w:val="32"/>
          <w:szCs w:val="32"/>
          <w:shd w:val="clear" w:color="auto" w:fill="FFFFFF"/>
          <w:lang w:val="en-US" w:eastAsia="zh-CN" w:bidi="ar"/>
        </w:rPr>
        <w:t>辆，其中：一般公务用车</w:t>
      </w:r>
      <w:r>
        <w:rPr>
          <w:rFonts w:hint="eastAsia" w:eastAsia="方正仿宋_GBK" w:cs="Times New Roman"/>
          <w:color w:val="auto"/>
          <w:kern w:val="0"/>
          <w:sz w:val="32"/>
          <w:szCs w:val="32"/>
          <w:shd w:val="clear" w:color="auto" w:fill="FFFFFF"/>
          <w:lang w:val="en-US" w:eastAsia="zh-CN" w:bidi="ar"/>
        </w:rPr>
        <w:t>2</w:t>
      </w:r>
      <w:r>
        <w:rPr>
          <w:rFonts w:hint="default" w:ascii="Times New Roman" w:hAnsi="Times New Roman" w:eastAsia="方正仿宋_GBK" w:cs="Times New Roman"/>
          <w:color w:val="auto"/>
          <w:kern w:val="0"/>
          <w:sz w:val="32"/>
          <w:szCs w:val="32"/>
          <w:shd w:val="clear" w:color="auto" w:fill="FFFFFF"/>
          <w:lang w:val="en-US" w:eastAsia="zh-CN" w:bidi="ar"/>
        </w:rPr>
        <w:t>辆，其中：越野车</w:t>
      </w:r>
      <w:r>
        <w:rPr>
          <w:rFonts w:hint="eastAsia" w:eastAsia="方正仿宋_GBK" w:cs="Times New Roman"/>
          <w:color w:val="auto"/>
          <w:kern w:val="0"/>
          <w:sz w:val="32"/>
          <w:szCs w:val="32"/>
          <w:shd w:val="clear" w:color="auto" w:fill="FFFFFF"/>
          <w:lang w:val="en-US" w:eastAsia="zh-CN" w:bidi="ar"/>
        </w:rPr>
        <w:t>2</w:t>
      </w:r>
      <w:r>
        <w:rPr>
          <w:rFonts w:hint="default" w:ascii="Times New Roman" w:hAnsi="Times New Roman" w:eastAsia="方正仿宋_GBK" w:cs="Times New Roman"/>
          <w:color w:val="auto"/>
          <w:kern w:val="0"/>
          <w:sz w:val="32"/>
          <w:szCs w:val="32"/>
          <w:shd w:val="clear" w:color="auto" w:fill="FFFFFF"/>
          <w:lang w:val="en-US" w:eastAsia="zh-CN" w:bidi="ar"/>
        </w:rPr>
        <w:t>辆。</w:t>
      </w:r>
    </w:p>
    <w:p w14:paraId="5F51CFB2">
      <w:pPr>
        <w:autoSpaceDE w:val="0"/>
        <w:autoSpaceDN w:val="0"/>
        <w:adjustRightInd w:val="0"/>
        <w:spacing w:line="600" w:lineRule="exact"/>
        <w:ind w:firstLine="643" w:firstLineChars="200"/>
        <w:jc w:val="left"/>
        <w:outlineLvl w:val="2"/>
        <w:rPr>
          <w:rFonts w:hint="default" w:ascii="Times New Roman" w:hAnsi="Times New Roman" w:eastAsia="仿宋" w:cs="Times New Roman"/>
          <w:b/>
          <w:color w:val="auto"/>
          <w:sz w:val="32"/>
          <w:szCs w:val="32"/>
        </w:rPr>
      </w:pPr>
      <w:r>
        <w:rPr>
          <w:rFonts w:hint="default" w:ascii="Times New Roman" w:hAnsi="Times New Roman" w:eastAsia="仿宋" w:cs="Times New Roman"/>
          <w:b/>
          <w:color w:val="auto"/>
          <w:sz w:val="32"/>
          <w:szCs w:val="32"/>
        </w:rPr>
        <w:t>（四）预算绩效管理情况</w:t>
      </w:r>
    </w:p>
    <w:p w14:paraId="5D157A62">
      <w:pPr>
        <w:spacing w:line="600" w:lineRule="exact"/>
        <w:ind w:firstLine="640"/>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根据预算绩效管理要求，我单位根据工作规划和重点工作规划，积极履行职责，强化本单位预算管理，组织对</w:t>
      </w:r>
      <w:r>
        <w:rPr>
          <w:rFonts w:hint="eastAsia" w:eastAsia="方正仿宋_GBK" w:cs="Times New Roman"/>
          <w:color w:val="auto"/>
          <w:kern w:val="0"/>
          <w:sz w:val="32"/>
          <w:szCs w:val="32"/>
          <w:shd w:val="clear" w:color="auto" w:fill="FFFFFF"/>
          <w:lang w:val="en-US" w:eastAsia="zh-CN" w:bidi="ar"/>
        </w:rPr>
        <w:t>本</w:t>
      </w:r>
      <w:r>
        <w:rPr>
          <w:rFonts w:hint="default" w:ascii="Times New Roman" w:hAnsi="Times New Roman" w:eastAsia="方正仿宋_GBK" w:cs="Times New Roman"/>
          <w:color w:val="auto"/>
          <w:kern w:val="0"/>
          <w:sz w:val="32"/>
          <w:szCs w:val="32"/>
          <w:shd w:val="clear" w:color="auto" w:fill="FFFFFF"/>
          <w:lang w:val="en-US" w:eastAsia="zh-CN" w:bidi="ar"/>
        </w:rPr>
        <w:t>年度一般公共预算等全面开展绩效自评，形成部门整体绩效自评报告，绩效自评报告详见附件1。</w:t>
      </w:r>
    </w:p>
    <w:p w14:paraId="41BA39DF">
      <w:pPr>
        <w:pStyle w:val="40"/>
        <w:widowControl/>
        <w:snapToGrid w:val="0"/>
        <w:spacing w:before="0" w:beforeAutospacing="0"/>
        <w:ind w:firstLine="640" w:firstLineChars="200"/>
        <w:rPr>
          <w:rFonts w:hint="eastAsia" w:ascii="仿宋_GB2312" w:hAnsi="宋体" w:eastAsia="仿宋_GB2312" w:cs="仿宋_GB2312"/>
          <w:color w:val="auto"/>
          <w:sz w:val="32"/>
          <w:szCs w:val="32"/>
          <w:highlight w:val="none"/>
          <w:lang w:eastAsia="zh-CN"/>
        </w:rPr>
      </w:pPr>
    </w:p>
    <w:p w14:paraId="44435284">
      <w:pPr>
        <w:pStyle w:val="3"/>
        <w:jc w:val="center"/>
        <w:rPr>
          <w:rStyle w:val="44"/>
          <w:rFonts w:hint="eastAsia" w:ascii="黑体" w:eastAsia="黑体"/>
          <w:b w:val="0"/>
          <w:bCs w:val="0"/>
          <w:color w:val="auto"/>
        </w:rPr>
      </w:pPr>
      <w:bookmarkStart w:id="82" w:name="_Toc21900"/>
      <w:r>
        <w:rPr>
          <w:rStyle w:val="44"/>
          <w:rFonts w:hint="eastAsia" w:ascii="黑体" w:eastAsia="黑体"/>
          <w:b w:val="0"/>
          <w:bCs w:val="0"/>
          <w:color w:val="auto"/>
        </w:rPr>
        <w:t>第三部分 名词解释</w:t>
      </w:r>
      <w:bookmarkEnd w:id="82"/>
    </w:p>
    <w:p w14:paraId="671F7C1F">
      <w:pPr>
        <w:rPr>
          <w:color w:val="auto"/>
        </w:rPr>
      </w:pPr>
    </w:p>
    <w:p w14:paraId="0A23A222">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bookmarkStart w:id="83" w:name="_Toc20377"/>
      <w:bookmarkStart w:id="84" w:name="_Toc21113"/>
      <w:r>
        <w:rPr>
          <w:rFonts w:hint="default" w:ascii="Times New Roman" w:hAnsi="Times New Roman" w:eastAsia="方正仿宋_GBK" w:cs="Times New Roman"/>
          <w:color w:val="auto"/>
          <w:kern w:val="0"/>
          <w:sz w:val="32"/>
          <w:szCs w:val="32"/>
          <w:shd w:val="clear" w:color="auto" w:fill="FFFFFF"/>
          <w:lang w:val="zh-CN" w:eastAsia="zh-CN" w:bidi="ar"/>
        </w:rPr>
        <w:t>1.财政拨款收入：指单位从同级财政部门取得的财政预算资金。</w:t>
      </w:r>
      <w:bookmarkEnd w:id="83"/>
      <w:bookmarkEnd w:id="84"/>
    </w:p>
    <w:p w14:paraId="457C62F0">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2.事业收入：指事业单位开展专业业务活动及辅助活动取得的收入。</w:t>
      </w:r>
    </w:p>
    <w:p w14:paraId="1743EB3F">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3.经营收入：指事业单位在专业业务活动及其辅助活动之外开展非独立核算经营活动取得的收入。</w:t>
      </w:r>
    </w:p>
    <w:p w14:paraId="01CF962E">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bookmarkStart w:id="85" w:name="_Toc31663"/>
      <w:r>
        <w:rPr>
          <w:rFonts w:hint="default" w:ascii="Times New Roman" w:hAnsi="Times New Roman" w:eastAsia="方正仿宋_GBK" w:cs="Times New Roman"/>
          <w:color w:val="auto"/>
          <w:kern w:val="0"/>
          <w:sz w:val="32"/>
          <w:szCs w:val="32"/>
          <w:shd w:val="clear" w:color="auto" w:fill="FFFFFF"/>
          <w:lang w:val="zh-CN" w:eastAsia="zh-CN" w:bidi="ar"/>
        </w:rPr>
        <w:t>4.其他收入：指单位取得的除上述收入以外的各项收入。</w:t>
      </w:r>
      <w:bookmarkEnd w:id="85"/>
    </w:p>
    <w:p w14:paraId="444BCF6D">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 xml:space="preserve">5.使用非财政拨款结余（含专用结余）：指事业单位使用以前年度积累的非财政拨款结余弥补当年收支差额的金额。 </w:t>
      </w:r>
    </w:p>
    <w:p w14:paraId="63EB5412">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 xml:space="preserve">6.年初结转和结余：指以前年度尚未完成、结转到本年按有关规定继续使用的资金。 </w:t>
      </w:r>
    </w:p>
    <w:p w14:paraId="13935291">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7.结余分配：指事业单位按照会计制度规定缴纳的所得税、提取的专用结余以及转入非财政拨款结余的金额等。</w:t>
      </w:r>
    </w:p>
    <w:p w14:paraId="4A8FE5A2">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8.年末结转和结余：指单位按有关规定结转到下年或以后年度继续使用的资金。</w:t>
      </w:r>
    </w:p>
    <w:p w14:paraId="4026D7F8">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9.201</w:t>
      </w:r>
      <w:r>
        <w:rPr>
          <w:rFonts w:hint="default" w:ascii="Times New Roman" w:hAnsi="Times New Roman" w:eastAsia="方正仿宋_GBK" w:cs="Times New Roman"/>
          <w:color w:val="auto"/>
          <w:kern w:val="0"/>
          <w:sz w:val="32"/>
          <w:szCs w:val="32"/>
          <w:shd w:val="clear" w:color="auto" w:fill="FFFFFF"/>
          <w:lang w:val="en-US" w:eastAsia="zh-CN" w:bidi="ar"/>
        </w:rPr>
        <w:t>3</w:t>
      </w:r>
      <w:r>
        <w:rPr>
          <w:rFonts w:hint="default" w:ascii="Times New Roman" w:hAnsi="Times New Roman" w:eastAsia="方正仿宋_GBK" w:cs="Times New Roman"/>
          <w:color w:val="auto"/>
          <w:kern w:val="0"/>
          <w:sz w:val="32"/>
          <w:szCs w:val="32"/>
          <w:shd w:val="clear" w:color="auto" w:fill="FFFFFF"/>
          <w:lang w:val="zh-CN" w:eastAsia="zh-CN" w:bidi="ar"/>
        </w:rPr>
        <w:t>301行政运行：指行政单位（包括实行公务员管理的事业单位）的基本支出。</w:t>
      </w:r>
    </w:p>
    <w:p w14:paraId="100AB6C2">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zh-CN" w:eastAsia="zh-CN" w:bidi="ar"/>
        </w:rPr>
        <w:t>10.2013302一般行政管理事务:指反映行政单位(包括实行公务员管理的事业单位)未单独设置项级科目的其他项目支出。</w:t>
      </w:r>
    </w:p>
    <w:p w14:paraId="65F8865F">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11.</w:t>
      </w:r>
      <w:r>
        <w:rPr>
          <w:rFonts w:hint="default" w:ascii="Times New Roman" w:hAnsi="Times New Roman" w:eastAsia="方正仿宋_GBK" w:cs="Times New Roman"/>
          <w:color w:val="auto"/>
          <w:kern w:val="0"/>
          <w:sz w:val="32"/>
          <w:szCs w:val="32"/>
          <w:shd w:val="clear" w:color="auto" w:fill="FFFFFF"/>
          <w:lang w:val="zh-CN" w:eastAsia="zh-CN" w:bidi="ar"/>
        </w:rPr>
        <w:t>2013350事业运行:指反映事业单位的基本支出,不包括行政单位(包括实行公务员管理的事业单位)后勤服务中心、医务室等附属事业单位。</w:t>
      </w:r>
    </w:p>
    <w:p w14:paraId="13670C52">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12</w:t>
      </w:r>
      <w:r>
        <w:rPr>
          <w:rFonts w:hint="default" w:ascii="Times New Roman" w:hAnsi="Times New Roman" w:eastAsia="方正仿宋_GBK" w:cs="Times New Roman"/>
          <w:color w:val="auto"/>
          <w:kern w:val="0"/>
          <w:sz w:val="32"/>
          <w:szCs w:val="32"/>
          <w:shd w:val="clear" w:color="auto" w:fill="FFFFFF"/>
          <w:lang w:val="zh-CN" w:eastAsia="zh-CN" w:bidi="ar"/>
        </w:rPr>
        <w:t>.2080505社会保障和就业：指机关事业单位基本养老保险缴费支出。</w:t>
      </w:r>
    </w:p>
    <w:p w14:paraId="6D1E53F1">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13.2050806机关事业单位职业年金缴费支出：指机关事业单位职业年金缴费支出</w:t>
      </w:r>
      <w:r>
        <w:rPr>
          <w:rFonts w:hint="default" w:ascii="Times New Roman" w:hAnsi="Times New Roman" w:eastAsia="方正仿宋_GBK" w:cs="Times New Roman"/>
          <w:color w:val="auto"/>
          <w:kern w:val="0"/>
          <w:sz w:val="32"/>
          <w:szCs w:val="32"/>
          <w:shd w:val="clear" w:color="auto" w:fill="FFFFFF"/>
          <w:lang w:val="zh-CN" w:eastAsia="zh-CN" w:bidi="ar"/>
        </w:rPr>
        <w:t>。</w:t>
      </w:r>
    </w:p>
    <w:p w14:paraId="42C39BDD">
      <w:pPr>
        <w:spacing w:line="600" w:lineRule="exact"/>
        <w:ind w:left="638" w:leftChars="304" w:firstLine="0" w:firstLineChars="0"/>
        <w:jc w:val="left"/>
        <w:rPr>
          <w:rFonts w:hint="default" w:ascii="Times New Roman" w:hAnsi="Times New Roman" w:eastAsia="方正仿宋_GBK" w:cs="Times New Roman"/>
          <w:color w:val="auto"/>
          <w:kern w:val="0"/>
          <w:sz w:val="32"/>
          <w:szCs w:val="32"/>
          <w:shd w:val="clear" w:color="auto" w:fill="FFFFFF"/>
          <w:lang w:val="en-US"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14</w:t>
      </w:r>
      <w:r>
        <w:rPr>
          <w:rFonts w:hint="default" w:ascii="Times New Roman" w:hAnsi="Times New Roman" w:eastAsia="方正仿宋_GBK" w:cs="Times New Roman"/>
          <w:color w:val="auto"/>
          <w:kern w:val="0"/>
          <w:sz w:val="32"/>
          <w:szCs w:val="32"/>
          <w:shd w:val="clear" w:color="auto" w:fill="FFFFFF"/>
          <w:lang w:val="zh-CN" w:eastAsia="zh-CN" w:bidi="ar"/>
        </w:rPr>
        <w:t>.</w:t>
      </w:r>
      <w:r>
        <w:rPr>
          <w:rFonts w:hint="default" w:ascii="Times New Roman" w:hAnsi="Times New Roman" w:eastAsia="方正仿宋_GBK" w:cs="Times New Roman"/>
          <w:color w:val="auto"/>
          <w:kern w:val="0"/>
          <w:sz w:val="32"/>
          <w:szCs w:val="32"/>
          <w:shd w:val="clear" w:color="auto" w:fill="FFFFFF"/>
          <w:lang w:val="en-US" w:eastAsia="zh-CN" w:bidi="ar"/>
        </w:rPr>
        <w:t>2101101</w:t>
      </w:r>
      <w:r>
        <w:rPr>
          <w:rFonts w:hint="default" w:ascii="Times New Roman" w:hAnsi="Times New Roman" w:eastAsia="方正仿宋_GBK" w:cs="Times New Roman"/>
          <w:color w:val="auto"/>
          <w:kern w:val="0"/>
          <w:sz w:val="32"/>
          <w:szCs w:val="32"/>
          <w:shd w:val="clear" w:color="auto" w:fill="FFFFFF"/>
          <w:lang w:val="zh-CN" w:eastAsia="zh-CN" w:bidi="ar"/>
        </w:rPr>
        <w:t>行政单位医疗：指行政单位医疗支出。</w:t>
      </w:r>
      <w:r>
        <w:rPr>
          <w:rFonts w:hint="default" w:ascii="Times New Roman" w:hAnsi="Times New Roman" w:eastAsia="方正仿宋_GBK" w:cs="Times New Roman"/>
          <w:color w:val="auto"/>
          <w:kern w:val="0"/>
          <w:sz w:val="32"/>
          <w:szCs w:val="32"/>
          <w:shd w:val="clear" w:color="auto" w:fill="FFFFFF"/>
          <w:lang w:val="en-US" w:eastAsia="zh-CN" w:bidi="ar"/>
        </w:rPr>
        <w:t>15.2101102事业单位医疗：指事业单位医疗支出。</w:t>
      </w:r>
    </w:p>
    <w:p w14:paraId="503112AF">
      <w:pPr>
        <w:spacing w:line="600" w:lineRule="exact"/>
        <w:ind w:left="638" w:leftChars="304" w:firstLine="0" w:firstLineChars="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16.2101103公务员医疗补助：指公务员医疗补助支出。17.2101199其他行政事业单位医疗支出：指其他行政事业单位医疗支出</w:t>
      </w:r>
      <w:r>
        <w:rPr>
          <w:rFonts w:hint="default" w:ascii="Times New Roman" w:hAnsi="Times New Roman" w:eastAsia="方正仿宋_GBK" w:cs="Times New Roman"/>
          <w:color w:val="auto"/>
          <w:kern w:val="0"/>
          <w:sz w:val="32"/>
          <w:szCs w:val="32"/>
          <w:shd w:val="clear" w:color="auto" w:fill="FFFFFF"/>
          <w:lang w:val="zh-CN" w:eastAsia="zh-CN" w:bidi="ar"/>
        </w:rPr>
        <w:t>。</w:t>
      </w:r>
    </w:p>
    <w:p w14:paraId="771F02F1">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18</w:t>
      </w:r>
      <w:r>
        <w:rPr>
          <w:rFonts w:hint="default" w:ascii="Times New Roman" w:hAnsi="Times New Roman" w:eastAsia="方正仿宋_GBK" w:cs="Times New Roman"/>
          <w:color w:val="auto"/>
          <w:kern w:val="0"/>
          <w:sz w:val="32"/>
          <w:szCs w:val="32"/>
          <w:shd w:val="clear" w:color="auto" w:fill="FFFFFF"/>
          <w:lang w:val="zh-CN" w:eastAsia="zh-CN" w:bidi="ar"/>
        </w:rPr>
        <w:t>.</w:t>
      </w:r>
      <w:r>
        <w:rPr>
          <w:rFonts w:hint="default" w:ascii="Times New Roman" w:hAnsi="Times New Roman" w:eastAsia="方正仿宋_GBK" w:cs="Times New Roman"/>
          <w:color w:val="auto"/>
          <w:kern w:val="0"/>
          <w:sz w:val="32"/>
          <w:szCs w:val="32"/>
          <w:shd w:val="clear" w:color="auto" w:fill="FFFFFF"/>
          <w:lang w:val="en-US" w:eastAsia="zh-CN" w:bidi="ar"/>
        </w:rPr>
        <w:t>2210201</w:t>
      </w:r>
      <w:r>
        <w:rPr>
          <w:rFonts w:hint="default" w:ascii="Times New Roman" w:hAnsi="Times New Roman" w:eastAsia="方正仿宋_GBK" w:cs="Times New Roman"/>
          <w:color w:val="auto"/>
          <w:kern w:val="0"/>
          <w:sz w:val="32"/>
          <w:szCs w:val="32"/>
          <w:shd w:val="clear" w:color="auto" w:fill="FFFFFF"/>
          <w:lang w:val="zh-CN" w:eastAsia="zh-CN" w:bidi="ar"/>
        </w:rPr>
        <w:t>住房保障：指住房公积金支出。</w:t>
      </w:r>
    </w:p>
    <w:p w14:paraId="50FB1265">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19</w:t>
      </w:r>
      <w:r>
        <w:rPr>
          <w:rFonts w:hint="default" w:ascii="Times New Roman" w:hAnsi="Times New Roman" w:eastAsia="方正仿宋_GBK" w:cs="Times New Roman"/>
          <w:color w:val="auto"/>
          <w:kern w:val="0"/>
          <w:sz w:val="32"/>
          <w:szCs w:val="32"/>
          <w:shd w:val="clear" w:color="auto" w:fill="FFFFFF"/>
          <w:lang w:val="zh-CN" w:eastAsia="zh-CN" w:bidi="ar"/>
        </w:rPr>
        <w:t>.基本支出：指为保障机构正常运转、完成日常工作任务而发生的人员支出和公用支出。</w:t>
      </w:r>
    </w:p>
    <w:p w14:paraId="46F41CB0">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20</w:t>
      </w:r>
      <w:r>
        <w:rPr>
          <w:rFonts w:hint="default" w:ascii="Times New Roman" w:hAnsi="Times New Roman" w:eastAsia="方正仿宋_GBK" w:cs="Times New Roman"/>
          <w:color w:val="auto"/>
          <w:kern w:val="0"/>
          <w:sz w:val="32"/>
          <w:szCs w:val="32"/>
          <w:shd w:val="clear" w:color="auto" w:fill="FFFFFF"/>
          <w:lang w:val="zh-CN" w:eastAsia="zh-CN" w:bidi="ar"/>
        </w:rPr>
        <w:t xml:space="preserve">.项目支出：指在基本支出之外为完成特定行政任务和事业发展目标所发生的支出。 </w:t>
      </w:r>
    </w:p>
    <w:p w14:paraId="2A377911">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21</w:t>
      </w:r>
      <w:r>
        <w:rPr>
          <w:rFonts w:hint="default" w:ascii="Times New Roman" w:hAnsi="Times New Roman" w:eastAsia="方正仿宋_GBK" w:cs="Times New Roman"/>
          <w:color w:val="auto"/>
          <w:kern w:val="0"/>
          <w:sz w:val="32"/>
          <w:szCs w:val="32"/>
          <w:shd w:val="clear" w:color="auto" w:fill="FFFFFF"/>
          <w:lang w:val="zh-CN" w:eastAsia="zh-CN" w:bidi="ar"/>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B9398B2">
      <w:pPr>
        <w:spacing w:line="600" w:lineRule="exact"/>
        <w:ind w:firstLine="640"/>
        <w:rPr>
          <w:rFonts w:hint="default" w:ascii="Times New Roman" w:hAnsi="Times New Roman" w:eastAsia="方正仿宋_GBK" w:cs="Times New Roman"/>
          <w:color w:val="auto"/>
          <w:kern w:val="0"/>
          <w:sz w:val="32"/>
          <w:szCs w:val="32"/>
          <w:shd w:val="clear" w:color="auto" w:fill="FFFFFF"/>
          <w:lang w:val="zh-CN" w:eastAsia="zh-CN" w:bidi="ar"/>
        </w:rPr>
      </w:pPr>
      <w:r>
        <w:rPr>
          <w:rFonts w:hint="default" w:ascii="Times New Roman" w:hAnsi="Times New Roman" w:eastAsia="方正仿宋_GBK" w:cs="Times New Roman"/>
          <w:color w:val="auto"/>
          <w:kern w:val="0"/>
          <w:sz w:val="32"/>
          <w:szCs w:val="32"/>
          <w:shd w:val="clear" w:color="auto" w:fill="FFFFFF"/>
          <w:lang w:val="en-US" w:eastAsia="zh-CN" w:bidi="ar"/>
        </w:rPr>
        <w:t>22.机关运行经</w:t>
      </w:r>
      <w:r>
        <w:rPr>
          <w:rFonts w:hint="default" w:ascii="Times New Roman" w:hAnsi="Times New Roman" w:eastAsia="方正仿宋_GBK" w:cs="Times New Roman"/>
          <w:color w:val="auto"/>
          <w:kern w:val="0"/>
          <w:sz w:val="32"/>
          <w:szCs w:val="32"/>
          <w:shd w:val="clear" w:color="auto" w:fill="FFFFFF"/>
          <w:lang w:val="zh-CN" w:eastAsia="zh-CN" w:bidi="ar"/>
        </w:rPr>
        <w:t>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B5C8175">
      <w:pPr>
        <w:rPr>
          <w:rStyle w:val="44"/>
          <w:rFonts w:hint="default" w:ascii="Times New Roman" w:hAnsi="Times New Roman" w:eastAsia="黑体" w:cs="Times New Roman"/>
          <w:b w:val="0"/>
          <w:bCs w:val="0"/>
          <w:color w:val="auto"/>
        </w:rPr>
      </w:pPr>
    </w:p>
    <w:p w14:paraId="59409F38">
      <w:pPr>
        <w:pStyle w:val="17"/>
        <w:rPr>
          <w:rFonts w:hint="default"/>
          <w:color w:val="auto"/>
        </w:rPr>
      </w:pPr>
    </w:p>
    <w:p w14:paraId="40636E13">
      <w:pPr>
        <w:pStyle w:val="20"/>
        <w:rPr>
          <w:rFonts w:hint="default"/>
          <w:color w:val="auto"/>
        </w:rPr>
      </w:pPr>
    </w:p>
    <w:p w14:paraId="189AAF5E">
      <w:pPr>
        <w:pStyle w:val="3"/>
        <w:jc w:val="center"/>
        <w:rPr>
          <w:rStyle w:val="44"/>
          <w:rFonts w:hint="default" w:ascii="Times New Roman" w:hAnsi="Times New Roman" w:eastAsia="黑体" w:cs="Times New Roman"/>
          <w:b w:val="0"/>
          <w:bCs w:val="0"/>
          <w:color w:val="auto"/>
        </w:rPr>
      </w:pPr>
      <w:bookmarkStart w:id="86" w:name="_Toc14352"/>
      <w:r>
        <w:rPr>
          <w:rStyle w:val="44"/>
          <w:rFonts w:hint="default" w:ascii="Times New Roman" w:hAnsi="Times New Roman" w:eastAsia="黑体" w:cs="Times New Roman"/>
          <w:b w:val="0"/>
          <w:bCs w:val="0"/>
          <w:color w:val="auto"/>
        </w:rPr>
        <w:t>第四部分 附件</w:t>
      </w:r>
      <w:bookmarkEnd w:id="86"/>
    </w:p>
    <w:p w14:paraId="092D2BFD">
      <w:pPr>
        <w:rPr>
          <w:rFonts w:hint="default" w:ascii="Times New Roman" w:hAnsi="Times New Roman" w:cs="Times New Roman"/>
          <w:color w:val="auto"/>
        </w:rPr>
      </w:pPr>
    </w:p>
    <w:p w14:paraId="12BD6654">
      <w:pPr>
        <w:outlineLvl w:val="1"/>
        <w:rPr>
          <w:rFonts w:hint="default" w:ascii="Times New Roman" w:hAnsi="Times New Roman" w:eastAsia="黑体" w:cs="Times New Roman"/>
          <w:color w:val="auto"/>
          <w:sz w:val="32"/>
          <w:szCs w:val="32"/>
        </w:rPr>
      </w:pPr>
      <w:bookmarkStart w:id="87" w:name="_Toc23770"/>
      <w:bookmarkStart w:id="88" w:name="_Toc741"/>
      <w:bookmarkStart w:id="89" w:name="_Toc21307"/>
      <w:r>
        <w:rPr>
          <w:rFonts w:hint="default" w:ascii="Times New Roman" w:hAnsi="Times New Roman" w:eastAsia="黑体" w:cs="Times New Roman"/>
          <w:color w:val="auto"/>
          <w:sz w:val="32"/>
          <w:szCs w:val="32"/>
        </w:rPr>
        <w:t>附件1</w:t>
      </w:r>
      <w:bookmarkEnd w:id="87"/>
      <w:bookmarkEnd w:id="88"/>
      <w:bookmarkEnd w:id="89"/>
    </w:p>
    <w:p w14:paraId="7AC77B4F">
      <w:pPr>
        <w:widowControl/>
        <w:spacing w:line="578" w:lineRule="exact"/>
        <w:contextualSpacing/>
        <w:jc w:val="center"/>
        <w:rPr>
          <w:bCs/>
          <w:color w:val="auto"/>
          <w:sz w:val="44"/>
          <w:szCs w:val="60"/>
          <w:shd w:val="clear" w:color="auto" w:fill="FFFF7F"/>
        </w:rPr>
      </w:pPr>
      <w:r>
        <w:rPr>
          <w:rFonts w:eastAsia="方正小标宋简体"/>
          <w:bCs/>
          <w:color w:val="auto"/>
          <w:sz w:val="44"/>
          <w:szCs w:val="44"/>
          <w:shd w:val="clear" w:color="auto" w:fill="FFFFFF"/>
        </w:rPr>
        <w:t>中共红原县委员会宣传部</w:t>
      </w:r>
    </w:p>
    <w:p w14:paraId="2A45C689">
      <w:pPr>
        <w:widowControl/>
        <w:spacing w:line="578" w:lineRule="exact"/>
        <w:contextualSpacing/>
        <w:jc w:val="center"/>
        <w:rPr>
          <w:bCs/>
          <w:color w:val="auto"/>
          <w:sz w:val="44"/>
          <w:szCs w:val="44"/>
          <w:shd w:val="clear" w:color="auto" w:fill="FFFFFF"/>
        </w:rPr>
      </w:pPr>
      <w:r>
        <w:rPr>
          <w:rFonts w:eastAsia="方正小标宋简体"/>
          <w:bCs/>
          <w:color w:val="auto"/>
          <w:sz w:val="44"/>
          <w:szCs w:val="44"/>
          <w:shd w:val="clear" w:color="auto" w:fill="FFFFFF"/>
        </w:rPr>
        <w:t>部门</w:t>
      </w:r>
      <w:r>
        <w:rPr>
          <w:rFonts w:hint="eastAsia" w:eastAsia="方正小标宋简体"/>
          <w:bCs/>
          <w:color w:val="auto"/>
          <w:sz w:val="44"/>
          <w:szCs w:val="44"/>
          <w:shd w:val="clear" w:color="auto" w:fill="FFFFFF"/>
          <w:lang w:eastAsia="zh-CN"/>
        </w:rPr>
        <w:t>整体</w:t>
      </w:r>
      <w:r>
        <w:rPr>
          <w:rFonts w:eastAsia="方正小标宋简体"/>
          <w:bCs/>
          <w:color w:val="auto"/>
          <w:sz w:val="44"/>
          <w:szCs w:val="44"/>
          <w:shd w:val="clear" w:color="auto" w:fill="FFFFFF"/>
        </w:rPr>
        <w:t>绩效评价报告</w:t>
      </w:r>
    </w:p>
    <w:p w14:paraId="79F3744F">
      <w:pPr>
        <w:widowControl/>
        <w:adjustRightInd w:val="0"/>
        <w:snapToGrid w:val="0"/>
        <w:spacing w:line="578" w:lineRule="exact"/>
        <w:ind w:firstLine="480" w:firstLineChars="200"/>
        <w:contextualSpacing/>
        <w:jc w:val="left"/>
        <w:rPr>
          <w:rFonts w:eastAsia="黑体"/>
          <w:color w:val="auto"/>
          <w:kern w:val="0"/>
          <w:sz w:val="24"/>
          <w:szCs w:val="32"/>
          <w:shd w:val="clear" w:color="auto" w:fill="auto"/>
        </w:rPr>
      </w:pPr>
    </w:p>
    <w:p w14:paraId="22BA1D75">
      <w:pPr>
        <w:widowControl/>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一、部门（单位）基本情况</w:t>
      </w:r>
    </w:p>
    <w:p w14:paraId="6168D805">
      <w:pPr>
        <w:pStyle w:val="9"/>
        <w:adjustRightInd w:val="0"/>
        <w:snapToGrid w:val="0"/>
        <w:spacing w:line="560" w:lineRule="exact"/>
        <w:ind w:firstLine="675" w:firstLineChars="210"/>
        <w:rPr>
          <w:rFonts w:hint="eastAsia" w:ascii="方正仿宋_GBK" w:hAnsi="方正仿宋_GBK" w:eastAsia="方正仿宋_GBK" w:cs="方正仿宋_GBK"/>
          <w:b/>
          <w:bCs/>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（一）机构组成。</w:t>
      </w:r>
    </w:p>
    <w:p w14:paraId="5600C377">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中共红原县委员会宣传部设下列内设机构，分别是：办公室；理论、新闻、版权和电影管理股。其他事业单位2个,分别是：红原县文学艺术界联合会、红原县互联网信息管理中心。</w:t>
      </w:r>
    </w:p>
    <w:p w14:paraId="4CD11FBE">
      <w:pPr>
        <w:pStyle w:val="9"/>
        <w:adjustRightInd w:val="0"/>
        <w:snapToGrid w:val="0"/>
        <w:spacing w:line="560" w:lineRule="exact"/>
        <w:ind w:firstLine="675" w:firstLineChars="210"/>
        <w:rPr>
          <w:rFonts w:hint="eastAsia" w:ascii="方正仿宋_GBK" w:hAnsi="方正仿宋_GBK" w:eastAsia="方正仿宋_GBK" w:cs="方正仿宋_GBK"/>
          <w:b/>
          <w:bCs/>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（二）机构职能。</w:t>
      </w:r>
    </w:p>
    <w:p w14:paraId="3CFB15A9">
      <w:pPr>
        <w:pStyle w:val="9"/>
        <w:adjustRightInd w:val="0"/>
        <w:snapToGrid w:val="0"/>
        <w:spacing w:before="93" w:line="560" w:lineRule="exact"/>
        <w:ind w:firstLine="643" w:firstLineChars="200"/>
        <w:rPr>
          <w:rFonts w:hint="eastAsia" w:ascii="方正仿宋_GBK" w:hAnsi="方正仿宋_GBK" w:eastAsia="方正仿宋_GBK" w:cs="方正仿宋_GBK"/>
          <w:b/>
          <w:bCs/>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县委宣传部是县委主管意识形态方面工作的综合职能部门。主要职责是：</w:t>
      </w:r>
    </w:p>
    <w:p w14:paraId="3F41C201">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（一）负责组织、指导全县的理论研究、理论学习和理论宣传工作。</w:t>
      </w:r>
    </w:p>
    <w:p w14:paraId="48127918">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（二）负责引导社会舆论，指导协调新闻、出版部门的工作。对县广播电视局、县文化体育局、县新闻出版工作实施方案方针政策指导，管理县记者协会，并在政治方向和方针政策方面实施领导。</w:t>
      </w:r>
    </w:p>
    <w:p w14:paraId="037F4724">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（四）负责规划、部署全局性的思想政治工作任务，会同有关部门研究和改进群众思想教育工作。</w:t>
      </w:r>
    </w:p>
    <w:p w14:paraId="4E3E6C58">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（五）负责指导、协调全县精神文明建设活动的开展。</w:t>
      </w:r>
    </w:p>
    <w:p w14:paraId="790B1754">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（六）配合县委组织部做好党员教育工作；负责编审党员教育教材；指导全县党员学习。</w:t>
      </w:r>
    </w:p>
    <w:p w14:paraId="6F45C028">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（七）负责从宏观上指导全县各级各类学校的德育、政治理论教学和思想政治工作。</w:t>
      </w:r>
    </w:p>
    <w:p w14:paraId="60770185">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（八）负责全县对外和港澳台的宣传工作；指导协调全县对外文化交流工作。</w:t>
      </w:r>
    </w:p>
    <w:p w14:paraId="5708B139">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九）受县委委托，会同县委组织管理县级新闻、文化、出版等部门的领导干部，指导这些部门领导班子的建设；对宣传文化广电系统科股室干部的任免提出意见；制定培训计划并组织对全县知识分子工作和理论、新闻、出版、文艺等方面优秀人才的选拔、培养工作。</w:t>
      </w:r>
    </w:p>
    <w:p w14:paraId="36F9BE9A">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（十）负责提出全县宣传文化事业发展的指导方针；指导宣传文化系统制定政策、法规；按照县委的工作部署，对宣传文化系统各部门之间的工作进行协调。</w:t>
      </w:r>
    </w:p>
    <w:p w14:paraId="4364C8E6">
      <w:pPr>
        <w:pStyle w:val="9"/>
        <w:adjustRightInd w:val="0"/>
        <w:snapToGrid w:val="0"/>
        <w:spacing w:before="93"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（十一）根据州，县宣传报道要点，组织采写稿件，并向《阿坝日报》、《四川日报》等各级办刊推荐。</w:t>
      </w:r>
    </w:p>
    <w:p w14:paraId="53A0E98B">
      <w:pPr>
        <w:spacing w:line="600" w:lineRule="exact"/>
        <w:ind w:firstLine="643"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bCs/>
          <w:color w:val="auto"/>
          <w:kern w:val="0"/>
          <w:sz w:val="32"/>
          <w:szCs w:val="32"/>
          <w:shd w:val="clear" w:color="auto" w:fill="FFFFFF"/>
          <w:lang w:val="zh-CN"/>
        </w:rPr>
        <w:t>（三）人员概况。</w:t>
      </w:r>
      <w:r>
        <w:rPr>
          <w:rFonts w:hint="eastAsia" w:ascii="方正仿宋_GBK" w:hAnsi="方正仿宋_GBK" w:eastAsia="方正仿宋_GBK" w:cs="方正仿宋_GBK"/>
          <w:color w:val="auto"/>
          <w:sz w:val="32"/>
          <w:szCs w:val="32"/>
        </w:rPr>
        <w:t>截至2025年末，县委宣传部在职及下属单位共计17人，其中：行政9人、事业8人。退休人员8人全部纳入社会保险统一管理。</w:t>
      </w:r>
    </w:p>
    <w:p w14:paraId="7636F71B">
      <w:pPr>
        <w:widowControl/>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kern w:val="0"/>
          <w:sz w:val="32"/>
          <w:szCs w:val="32"/>
          <w:shd w:val="clear" w:color="auto" w:fill="FFFFFF"/>
        </w:rPr>
      </w:pPr>
      <w:r>
        <w:rPr>
          <w:rFonts w:hint="eastAsia" w:ascii="方正仿宋_GBK" w:hAnsi="方正仿宋_GBK" w:eastAsia="方正仿宋_GBK" w:cs="方正仿宋_GBK"/>
          <w:color w:val="auto"/>
          <w:kern w:val="0"/>
          <w:sz w:val="32"/>
          <w:szCs w:val="32"/>
          <w:shd w:val="clear" w:color="auto" w:fill="FFFFFF"/>
        </w:rPr>
        <w:t>二、部门资金收支情况</w:t>
      </w:r>
    </w:p>
    <w:p w14:paraId="049C8608">
      <w:pPr>
        <w:widowControl/>
        <w:wordWrap w:val="0"/>
        <w:adjustRightInd w:val="0"/>
        <w:snapToGrid w:val="0"/>
        <w:spacing w:line="578" w:lineRule="exact"/>
        <w:ind w:firstLine="643" w:firstLineChars="200"/>
        <w:contextualSpacing/>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bCs/>
          <w:color w:val="auto"/>
          <w:kern w:val="0"/>
          <w:sz w:val="32"/>
          <w:szCs w:val="32"/>
          <w:shd w:val="clear" w:color="auto" w:fill="FFFFFF"/>
          <w:lang w:val="zh-CN"/>
        </w:rPr>
        <w:t>（一）收入情况。</w:t>
      </w:r>
      <w:r>
        <w:rPr>
          <w:rFonts w:hint="eastAsia" w:ascii="方正仿宋_GBK" w:hAnsi="方正仿宋_GBK" w:eastAsia="方正仿宋_GBK" w:cs="方正仿宋_GBK"/>
          <w:color w:val="auto"/>
          <w:sz w:val="32"/>
          <w:szCs w:val="32"/>
        </w:rPr>
        <w:t>县委宣传部2025年年初预算收入数为555.83万元，收入全年预算数为997.80万元，收入决算数为918.00万元。</w:t>
      </w:r>
    </w:p>
    <w:p w14:paraId="7EEAA661">
      <w:pPr>
        <w:widowControl/>
        <w:wordWrap w:val="0"/>
        <w:adjustRightInd w:val="0"/>
        <w:snapToGrid w:val="0"/>
        <w:spacing w:line="578" w:lineRule="exact"/>
        <w:ind w:firstLine="643" w:firstLineChars="200"/>
        <w:contextualSpacing/>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b/>
          <w:bCs/>
          <w:color w:val="auto"/>
          <w:kern w:val="0"/>
          <w:sz w:val="32"/>
          <w:szCs w:val="32"/>
          <w:shd w:val="clear" w:color="auto" w:fill="FFFFFF"/>
          <w:lang w:val="zh-CN"/>
        </w:rPr>
        <w:t>（二）支出情况。</w:t>
      </w:r>
      <w:r>
        <w:rPr>
          <w:rFonts w:hint="eastAsia" w:ascii="方正仿宋_GBK" w:hAnsi="方正仿宋_GBK" w:eastAsia="方正仿宋_GBK" w:cs="方正仿宋_GBK"/>
          <w:color w:val="auto"/>
          <w:sz w:val="32"/>
          <w:szCs w:val="32"/>
        </w:rPr>
        <w:t>县委宣传部2025年年初预算支出数为873.88元，支出全年预算数为997.80万元，支出决算数为918.00万元。</w:t>
      </w:r>
    </w:p>
    <w:p w14:paraId="07EA5CA9">
      <w:pPr>
        <w:widowControl/>
        <w:adjustRightInd w:val="0"/>
        <w:snapToGrid w:val="0"/>
        <w:spacing w:line="578" w:lineRule="exact"/>
        <w:ind w:firstLine="643" w:firstLineChars="200"/>
        <w:contextualSpacing/>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b/>
          <w:bCs/>
          <w:color w:val="auto"/>
          <w:kern w:val="0"/>
          <w:sz w:val="32"/>
          <w:szCs w:val="32"/>
          <w:shd w:val="clear" w:color="auto" w:fill="FFFFFF"/>
          <w:lang w:val="zh-CN"/>
        </w:rPr>
        <w:t>（三）</w:t>
      </w:r>
      <w:r>
        <w:rPr>
          <w:rFonts w:hint="eastAsia" w:ascii="方正仿宋_GBK" w:hAnsi="方正仿宋_GBK" w:eastAsia="方正仿宋_GBK" w:cs="方正仿宋_GBK"/>
          <w:b/>
          <w:color w:val="auto"/>
          <w:sz w:val="32"/>
          <w:szCs w:val="32"/>
        </w:rPr>
        <w:t>结余分配和结转结余情况。</w:t>
      </w:r>
      <w:r>
        <w:rPr>
          <w:rFonts w:hint="eastAsia" w:ascii="方正仿宋_GBK" w:hAnsi="方正仿宋_GBK" w:eastAsia="方正仿宋_GBK" w:cs="方正仿宋_GBK"/>
          <w:color w:val="auto"/>
          <w:sz w:val="32"/>
          <w:szCs w:val="32"/>
        </w:rPr>
        <w:t>县委宣传部2025年决算报表结转结余为0。</w:t>
      </w:r>
    </w:p>
    <w:p w14:paraId="78FDB449">
      <w:pPr>
        <w:widowControl/>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kern w:val="0"/>
          <w:sz w:val="32"/>
          <w:szCs w:val="32"/>
          <w:shd w:val="clear" w:color="auto" w:fill="FFFFFF"/>
        </w:rPr>
      </w:pPr>
      <w:r>
        <w:rPr>
          <w:rFonts w:hint="eastAsia" w:ascii="方正仿宋_GBK" w:hAnsi="方正仿宋_GBK" w:eastAsia="方正仿宋_GBK" w:cs="方正仿宋_GBK"/>
          <w:color w:val="auto"/>
          <w:kern w:val="0"/>
          <w:sz w:val="32"/>
          <w:szCs w:val="32"/>
          <w:shd w:val="clear" w:color="auto" w:fill="FFFFFF"/>
        </w:rPr>
        <w:t>三、部门预算绩效分析</w:t>
      </w:r>
    </w:p>
    <w:p w14:paraId="410EA7C2">
      <w:pPr>
        <w:adjustRightInd w:val="0"/>
        <w:snapToGrid w:val="0"/>
        <w:spacing w:line="578" w:lineRule="exact"/>
        <w:ind w:firstLine="643" w:firstLineChars="200"/>
        <w:contextualSpacing/>
        <w:jc w:val="left"/>
        <w:rPr>
          <w:rFonts w:hint="eastAsia" w:ascii="方正仿宋_GBK" w:hAnsi="方正仿宋_GBK" w:eastAsia="方正仿宋_GBK" w:cs="方正仿宋_GBK"/>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（一）部门预算总体绩效分析。</w:t>
      </w:r>
    </w:p>
    <w:p w14:paraId="3A79FB35">
      <w:pPr>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kern w:val="0"/>
          <w:sz w:val="32"/>
          <w:szCs w:val="32"/>
          <w:shd w:val="clear" w:color="auto" w:fill="FFFFFF"/>
        </w:rPr>
        <w:t>1.</w:t>
      </w:r>
      <w:r>
        <w:rPr>
          <w:rFonts w:hint="eastAsia" w:ascii="方正仿宋_GBK" w:hAnsi="方正仿宋_GBK" w:eastAsia="方正仿宋_GBK" w:cs="方正仿宋_GBK"/>
          <w:color w:val="auto"/>
          <w:kern w:val="0"/>
          <w:sz w:val="32"/>
          <w:szCs w:val="32"/>
          <w:shd w:val="clear" w:color="auto" w:fill="FFFFFF"/>
          <w:lang w:val="zh-CN"/>
        </w:rPr>
        <w:t>履职效能。</w:t>
      </w:r>
      <w:r>
        <w:rPr>
          <w:rFonts w:hint="eastAsia" w:ascii="方正仿宋_GBK" w:hAnsi="方正仿宋_GBK" w:eastAsia="方正仿宋_GBK" w:cs="方正仿宋_GBK"/>
          <w:color w:val="auto"/>
          <w:sz w:val="32"/>
          <w:szCs w:val="32"/>
          <w:lang w:val="zh-CN"/>
        </w:rPr>
        <w:t>本年度我单位按照部门整体绩效目标的职能，较好的完成省州县各级党委政府下达的各项工作任务。本项指标分</w:t>
      </w:r>
      <w:r>
        <w:rPr>
          <w:rFonts w:hint="eastAsia" w:ascii="方正仿宋_GBK" w:hAnsi="方正仿宋_GBK" w:eastAsia="方正仿宋_GBK" w:cs="方正仿宋_GBK"/>
          <w:color w:val="auto"/>
          <w:sz w:val="32"/>
          <w:szCs w:val="32"/>
        </w:rPr>
        <w:t>50分，实际得分50分</w:t>
      </w:r>
      <w:r>
        <w:rPr>
          <w:rFonts w:hint="eastAsia" w:ascii="方正仿宋_GBK" w:hAnsi="方正仿宋_GBK" w:eastAsia="方正仿宋_GBK" w:cs="方正仿宋_GBK"/>
          <w:color w:val="auto"/>
          <w:sz w:val="32"/>
          <w:szCs w:val="32"/>
          <w:lang w:val="zh-CN"/>
        </w:rPr>
        <w:t>。</w:t>
      </w:r>
    </w:p>
    <w:p w14:paraId="4B93331B">
      <w:pPr>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shd w:val="clear" w:color="auto" w:fill="FFFFFF"/>
        </w:rPr>
        <w:t>2.</w:t>
      </w:r>
      <w:r>
        <w:rPr>
          <w:rFonts w:hint="eastAsia" w:ascii="方正仿宋_GBK" w:hAnsi="方正仿宋_GBK" w:eastAsia="方正仿宋_GBK" w:cs="方正仿宋_GBK"/>
          <w:color w:val="auto"/>
          <w:kern w:val="0"/>
          <w:sz w:val="32"/>
          <w:szCs w:val="32"/>
          <w:shd w:val="clear" w:color="auto" w:fill="FFFFFF"/>
          <w:lang w:val="zh-CN"/>
        </w:rPr>
        <w:t>预算管理。</w:t>
      </w:r>
      <w:r>
        <w:rPr>
          <w:rFonts w:hint="eastAsia" w:ascii="方正仿宋_GBK" w:hAnsi="方正仿宋_GBK" w:eastAsia="方正仿宋_GBK" w:cs="方正仿宋_GBK"/>
          <w:color w:val="auto"/>
          <w:sz w:val="32"/>
          <w:szCs w:val="32"/>
          <w:lang w:val="zh-CN"/>
        </w:rPr>
        <w:t>本年度我单位按照《中华人民共和国预算法》、《中华人民共和国会计法》等文件精神及法规，编制全年预算并执行。本项指标分</w:t>
      </w:r>
      <w:r>
        <w:rPr>
          <w:rFonts w:hint="eastAsia" w:ascii="方正仿宋_GBK" w:hAnsi="方正仿宋_GBK" w:eastAsia="方正仿宋_GBK" w:cs="方正仿宋_GBK"/>
          <w:color w:val="auto"/>
          <w:sz w:val="32"/>
          <w:szCs w:val="32"/>
        </w:rPr>
        <w:t>15分，实际得分13分，扣分原因为一般性支出及物业管理费控制，我单位存在年中经济科目调整，资金整合使用的情况。</w:t>
      </w:r>
    </w:p>
    <w:p w14:paraId="7A708363">
      <w:pPr>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kern w:val="0"/>
          <w:sz w:val="32"/>
          <w:szCs w:val="32"/>
          <w:shd w:val="clear" w:color="auto" w:fill="FFFFFF"/>
        </w:rPr>
        <w:t>3.</w:t>
      </w:r>
      <w:r>
        <w:rPr>
          <w:rFonts w:hint="eastAsia" w:ascii="方正仿宋_GBK" w:hAnsi="方正仿宋_GBK" w:eastAsia="方正仿宋_GBK" w:cs="方正仿宋_GBK"/>
          <w:color w:val="auto"/>
          <w:kern w:val="0"/>
          <w:sz w:val="32"/>
          <w:szCs w:val="32"/>
          <w:shd w:val="clear" w:color="auto" w:fill="FFFFFF"/>
          <w:lang w:val="zh-CN"/>
        </w:rPr>
        <w:t>财务管理。</w:t>
      </w:r>
      <w:r>
        <w:rPr>
          <w:rFonts w:hint="eastAsia" w:ascii="方正仿宋_GBK" w:hAnsi="方正仿宋_GBK" w:eastAsia="方正仿宋_GBK" w:cs="方正仿宋_GBK"/>
          <w:color w:val="auto"/>
          <w:sz w:val="32"/>
          <w:szCs w:val="32"/>
          <w:lang w:val="zh-CN"/>
        </w:rPr>
        <w:t>我单位根据《中华人民共和国预算法》《中华人民共和国会计法》《行政事业单位内部控制规范（试行）》以及省、州、县有关政策规章，结合我单位实际工作，制定了财务管理制度。严格财务岗位设置及资金使用规范。本项指标分</w:t>
      </w:r>
      <w:r>
        <w:rPr>
          <w:rFonts w:hint="eastAsia" w:ascii="方正仿宋_GBK" w:hAnsi="方正仿宋_GBK" w:eastAsia="方正仿宋_GBK" w:cs="方正仿宋_GBK"/>
          <w:color w:val="auto"/>
          <w:sz w:val="32"/>
          <w:szCs w:val="32"/>
        </w:rPr>
        <w:t>4分，实际得分4分。</w:t>
      </w:r>
    </w:p>
    <w:p w14:paraId="4E4C800D">
      <w:pPr>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shd w:val="clear" w:color="auto" w:fill="FFFFFF"/>
        </w:rPr>
        <w:t>4.</w:t>
      </w:r>
      <w:r>
        <w:rPr>
          <w:rFonts w:hint="eastAsia" w:ascii="方正仿宋_GBK" w:hAnsi="方正仿宋_GBK" w:eastAsia="方正仿宋_GBK" w:cs="方正仿宋_GBK"/>
          <w:color w:val="auto"/>
          <w:kern w:val="0"/>
          <w:sz w:val="32"/>
          <w:szCs w:val="32"/>
          <w:shd w:val="clear" w:color="auto" w:fill="FFFFFF"/>
          <w:lang w:val="zh-CN"/>
        </w:rPr>
        <w:t>资产管理。</w:t>
      </w:r>
      <w:r>
        <w:rPr>
          <w:rFonts w:hint="eastAsia" w:ascii="方正仿宋_GBK" w:hAnsi="方正仿宋_GBK" w:eastAsia="方正仿宋_GBK" w:cs="方正仿宋_GBK"/>
          <w:color w:val="auto"/>
          <w:sz w:val="32"/>
          <w:szCs w:val="32"/>
          <w:lang w:val="zh-CN"/>
        </w:rPr>
        <w:t>我单位明确资产使用和保管责任人、落实资产使用人在资产管理中的责任。</w:t>
      </w:r>
      <w:r>
        <w:rPr>
          <w:rFonts w:hint="eastAsia" w:ascii="方正仿宋_GBK" w:hAnsi="方正仿宋_GBK" w:eastAsia="方正仿宋_GBK" w:cs="方正仿宋_GBK"/>
          <w:color w:val="auto"/>
          <w:sz w:val="32"/>
          <w:szCs w:val="32"/>
        </w:rPr>
        <w:t>闲置一年以上资产未进行盘活，扣1分；</w:t>
      </w:r>
      <w:r>
        <w:rPr>
          <w:rFonts w:hint="eastAsia" w:ascii="方正仿宋_GBK" w:hAnsi="方正仿宋_GBK" w:eastAsia="方正仿宋_GBK" w:cs="方正仿宋_GBK"/>
          <w:color w:val="auto"/>
          <w:sz w:val="32"/>
          <w:szCs w:val="32"/>
          <w:lang w:val="zh-CN"/>
        </w:rPr>
        <w:t>本项指标分</w:t>
      </w:r>
      <w:r>
        <w:rPr>
          <w:rFonts w:hint="eastAsia" w:ascii="方正仿宋_GBK" w:hAnsi="方正仿宋_GBK" w:eastAsia="方正仿宋_GBK" w:cs="方正仿宋_GBK"/>
          <w:color w:val="auto"/>
          <w:sz w:val="32"/>
          <w:szCs w:val="32"/>
        </w:rPr>
        <w:t>3分，实际得分2分，扣分原因为闲置一年以上资产未进行盘活。</w:t>
      </w:r>
    </w:p>
    <w:p w14:paraId="39924D7C">
      <w:pPr>
        <w:adjustRightInd w:val="0"/>
        <w:snapToGrid w:val="0"/>
        <w:spacing w:line="576" w:lineRule="exact"/>
        <w:ind w:firstLine="640" w:firstLineChars="200"/>
        <w:contextualSpacing/>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shd w:val="clear" w:color="auto" w:fill="FFFFFF"/>
        </w:rPr>
        <w:t>5.政府</w:t>
      </w:r>
      <w:r>
        <w:rPr>
          <w:rFonts w:hint="eastAsia" w:ascii="方正仿宋_GBK" w:hAnsi="方正仿宋_GBK" w:eastAsia="方正仿宋_GBK" w:cs="方正仿宋_GBK"/>
          <w:color w:val="auto"/>
          <w:kern w:val="0"/>
          <w:sz w:val="32"/>
          <w:szCs w:val="32"/>
          <w:shd w:val="clear" w:color="auto" w:fill="FFFFFF"/>
          <w:lang w:val="zh-CN"/>
        </w:rPr>
        <w:t>采购管理。</w:t>
      </w:r>
      <w:r>
        <w:rPr>
          <w:rFonts w:hint="eastAsia" w:ascii="方正仿宋_GBK" w:hAnsi="方正仿宋_GBK" w:eastAsia="方正仿宋_GBK" w:cs="方正仿宋_GBK"/>
          <w:color w:val="auto"/>
          <w:sz w:val="32"/>
          <w:szCs w:val="32"/>
          <w:lang w:val="zh-CN"/>
        </w:rPr>
        <w:t>我单位采购项目均严格执行政府采购促进中小企业发展相关管理办法，采购项目资金支付均按照合同执行。本项指标分</w:t>
      </w:r>
      <w:r>
        <w:rPr>
          <w:rFonts w:hint="eastAsia" w:ascii="方正仿宋_GBK" w:hAnsi="方正仿宋_GBK" w:eastAsia="方正仿宋_GBK" w:cs="方正仿宋_GBK"/>
          <w:color w:val="auto"/>
          <w:sz w:val="32"/>
          <w:szCs w:val="32"/>
        </w:rPr>
        <w:t>3分，实际得分3分。</w:t>
      </w:r>
    </w:p>
    <w:p w14:paraId="7A342FDC">
      <w:pPr>
        <w:pStyle w:val="17"/>
        <w:spacing w:line="576" w:lineRule="exact"/>
        <w:ind w:leftChars="0"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kern w:val="0"/>
          <w:sz w:val="32"/>
          <w:szCs w:val="32"/>
          <w:shd w:val="clear" w:color="auto" w:fill="FFFFFF"/>
        </w:rPr>
        <w:t>6.绩效管理。</w:t>
      </w:r>
      <w:r>
        <w:rPr>
          <w:rFonts w:hint="eastAsia" w:ascii="方正仿宋_GBK" w:hAnsi="方正仿宋_GBK" w:eastAsia="方正仿宋_GBK" w:cs="方正仿宋_GBK"/>
          <w:color w:val="auto"/>
          <w:sz w:val="32"/>
          <w:szCs w:val="32"/>
        </w:rPr>
        <w:t>我单位绩效管理，</w:t>
      </w:r>
      <w:r>
        <w:rPr>
          <w:rFonts w:hint="eastAsia" w:ascii="方正仿宋_GBK" w:hAnsi="方正仿宋_GBK" w:eastAsia="方正仿宋_GBK" w:cs="方正仿宋_GBK"/>
          <w:color w:val="auto"/>
          <w:sz w:val="32"/>
          <w:szCs w:val="32"/>
          <w:lang w:val="zh-CN"/>
        </w:rPr>
        <w:t>本项指标分</w:t>
      </w:r>
      <w:r>
        <w:rPr>
          <w:rFonts w:hint="eastAsia" w:ascii="方正仿宋_GBK" w:hAnsi="方正仿宋_GBK" w:eastAsia="方正仿宋_GBK" w:cs="方正仿宋_GBK"/>
          <w:color w:val="auto"/>
          <w:sz w:val="32"/>
          <w:szCs w:val="32"/>
        </w:rPr>
        <w:t>15分，实际得分14分，扣分原因为事中绩效监控完成度不高。</w:t>
      </w:r>
    </w:p>
    <w:p w14:paraId="13575962">
      <w:pPr>
        <w:widowControl/>
        <w:adjustRightInd w:val="0"/>
        <w:snapToGrid w:val="0"/>
        <w:spacing w:line="578" w:lineRule="exact"/>
        <w:ind w:firstLine="643" w:firstLineChars="200"/>
        <w:contextualSpacing/>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bCs/>
          <w:color w:val="auto"/>
          <w:kern w:val="0"/>
          <w:sz w:val="32"/>
          <w:szCs w:val="32"/>
          <w:shd w:val="clear" w:color="auto" w:fill="FFFFFF"/>
          <w:lang w:val="zh-CN"/>
        </w:rPr>
        <w:t>（二）部门预算项目绩效分析。</w:t>
      </w:r>
      <w:r>
        <w:rPr>
          <w:rFonts w:hint="eastAsia" w:ascii="方正仿宋_GBK" w:hAnsi="方正仿宋_GBK" w:eastAsia="方正仿宋_GBK" w:cs="方正仿宋_GBK"/>
          <w:color w:val="auto"/>
          <w:sz w:val="32"/>
          <w:szCs w:val="32"/>
          <w:lang w:val="zh-CN"/>
        </w:rPr>
        <w:t>填报以下数据，并根据部门预算绩效评价指标体系“项目绩效”涉及二、三级指标进行逐项绩效分析并评分，依次包括项目</w:t>
      </w:r>
      <w:r>
        <w:rPr>
          <w:rFonts w:hint="eastAsia" w:ascii="方正仿宋_GBK" w:hAnsi="方正仿宋_GBK" w:eastAsia="方正仿宋_GBK" w:cs="方正仿宋_GBK"/>
          <w:color w:val="auto"/>
          <w:sz w:val="32"/>
          <w:szCs w:val="32"/>
        </w:rPr>
        <w:t>决策、项目执行、目标实现等情况。</w:t>
      </w:r>
    </w:p>
    <w:p w14:paraId="70BB95A5">
      <w:pPr>
        <w:widowControl/>
        <w:adjustRightInd w:val="0"/>
        <w:snapToGrid w:val="0"/>
        <w:spacing w:line="578" w:lineRule="exact"/>
        <w:ind w:firstLine="640" w:firstLineChars="200"/>
        <w:contextualSpacing/>
        <w:jc w:val="left"/>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常年项目绩效分析。</w:t>
      </w:r>
      <w:r>
        <w:rPr>
          <w:rFonts w:hint="eastAsia" w:ascii="方正仿宋_GBK" w:hAnsi="方正仿宋_GBK" w:eastAsia="方正仿宋_GBK" w:cs="方正仿宋_GBK"/>
          <w:color w:val="auto"/>
          <w:sz w:val="32"/>
          <w:szCs w:val="32"/>
          <w:lang w:val="zh-CN"/>
        </w:rPr>
        <w:t>该类项目总数</w:t>
      </w:r>
      <w:r>
        <w:rPr>
          <w:rFonts w:hint="eastAsia" w:ascii="方正仿宋_GBK" w:hAnsi="方正仿宋_GBK" w:eastAsia="方正仿宋_GBK" w:cs="方正仿宋_GBK"/>
          <w:color w:val="auto"/>
          <w:sz w:val="32"/>
          <w:szCs w:val="32"/>
        </w:rPr>
        <w:t>13</w:t>
      </w:r>
      <w:r>
        <w:rPr>
          <w:rFonts w:hint="eastAsia" w:ascii="方正仿宋_GBK" w:hAnsi="方正仿宋_GBK" w:eastAsia="方正仿宋_GBK" w:cs="方正仿宋_GBK"/>
          <w:color w:val="auto"/>
          <w:sz w:val="32"/>
          <w:szCs w:val="32"/>
          <w:lang w:val="zh-CN"/>
        </w:rPr>
        <w:t>个，涉及预算总金额</w:t>
      </w:r>
      <w:r>
        <w:rPr>
          <w:rFonts w:hint="eastAsia" w:ascii="方正仿宋_GBK" w:hAnsi="方正仿宋_GBK" w:eastAsia="方正仿宋_GBK" w:cs="方正仿宋_GBK"/>
          <w:color w:val="auto"/>
          <w:sz w:val="32"/>
          <w:szCs w:val="32"/>
        </w:rPr>
        <w:t xml:space="preserve"> 56.43</w:t>
      </w:r>
      <w:r>
        <w:rPr>
          <w:rFonts w:hint="eastAsia" w:ascii="方正仿宋_GBK" w:hAnsi="方正仿宋_GBK" w:eastAsia="方正仿宋_GBK" w:cs="方正仿宋_GBK"/>
          <w:color w:val="auto"/>
          <w:sz w:val="32"/>
          <w:szCs w:val="32"/>
          <w:lang w:val="zh-CN"/>
        </w:rPr>
        <w:t>万元，1—1</w:t>
      </w:r>
      <w:r>
        <w:rPr>
          <w:rFonts w:hint="eastAsia"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lang w:val="zh-CN"/>
        </w:rPr>
        <w:t>月预算执行总体进度为</w:t>
      </w:r>
      <w:r>
        <w:rPr>
          <w:rFonts w:hint="eastAsia" w:ascii="方正仿宋_GBK" w:hAnsi="方正仿宋_GBK" w:eastAsia="方正仿宋_GBK" w:cs="方正仿宋_GBK"/>
          <w:color w:val="auto"/>
          <w:sz w:val="32"/>
          <w:szCs w:val="32"/>
        </w:rPr>
        <w:t>94.76</w:t>
      </w:r>
      <w:r>
        <w:rPr>
          <w:rFonts w:hint="eastAsia" w:ascii="方正仿宋_GBK" w:hAnsi="方正仿宋_GBK" w:eastAsia="方正仿宋_GBK" w:cs="方正仿宋_GBK"/>
          <w:color w:val="auto"/>
          <w:sz w:val="32"/>
          <w:szCs w:val="32"/>
          <w:lang w:val="zh-CN"/>
        </w:rPr>
        <w:t>%，其中：预算结余率大于</w:t>
      </w:r>
      <w:r>
        <w:rPr>
          <w:rFonts w:hint="eastAsia" w:ascii="方正仿宋_GBK" w:hAnsi="方正仿宋_GBK" w:eastAsia="方正仿宋_GBK" w:cs="方正仿宋_GBK"/>
          <w:color w:val="auto"/>
          <w:sz w:val="32"/>
          <w:szCs w:val="32"/>
        </w:rPr>
        <w:t>10%</w:t>
      </w:r>
      <w:r>
        <w:rPr>
          <w:rFonts w:hint="eastAsia" w:ascii="方正仿宋_GBK" w:hAnsi="方正仿宋_GBK" w:eastAsia="方正仿宋_GBK" w:cs="方正仿宋_GBK"/>
          <w:color w:val="auto"/>
          <w:sz w:val="32"/>
          <w:szCs w:val="32"/>
          <w:lang w:val="zh-CN"/>
        </w:rPr>
        <w:t>的项目共计</w:t>
      </w:r>
      <w:r>
        <w:rPr>
          <w:rFonts w:hint="eastAsia" w:ascii="方正仿宋_GBK" w:hAnsi="方正仿宋_GBK" w:eastAsia="方正仿宋_GBK" w:cs="方正仿宋_GBK"/>
          <w:color w:val="auto"/>
          <w:sz w:val="32"/>
          <w:szCs w:val="32"/>
        </w:rPr>
        <w:t>0</w:t>
      </w:r>
      <w:r>
        <w:rPr>
          <w:rFonts w:hint="eastAsia" w:ascii="方正仿宋_GBK" w:hAnsi="方正仿宋_GBK" w:eastAsia="方正仿宋_GBK" w:cs="方正仿宋_GBK"/>
          <w:color w:val="auto"/>
          <w:sz w:val="32"/>
          <w:szCs w:val="32"/>
          <w:lang w:val="zh-CN"/>
        </w:rPr>
        <w:t>个。</w:t>
      </w:r>
    </w:p>
    <w:p w14:paraId="2B133FB8">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阶段（一次性）项目绩效分析。</w:t>
      </w:r>
      <w:r>
        <w:rPr>
          <w:rFonts w:hint="eastAsia" w:ascii="方正仿宋_GBK" w:hAnsi="方正仿宋_GBK" w:eastAsia="方正仿宋_GBK" w:cs="方正仿宋_GBK"/>
          <w:color w:val="auto"/>
          <w:sz w:val="32"/>
          <w:szCs w:val="32"/>
          <w:lang w:val="zh-CN"/>
        </w:rPr>
        <w:t>该类项目总数</w:t>
      </w:r>
      <w:r>
        <w:rPr>
          <w:rFonts w:hint="eastAsia" w:ascii="方正仿宋_GBK" w:hAnsi="方正仿宋_GBK" w:eastAsia="方正仿宋_GBK" w:cs="方正仿宋_GBK"/>
          <w:color w:val="auto"/>
          <w:sz w:val="32"/>
          <w:szCs w:val="32"/>
        </w:rPr>
        <w:t>26</w:t>
      </w:r>
      <w:r>
        <w:rPr>
          <w:rFonts w:hint="eastAsia" w:ascii="方正仿宋_GBK" w:hAnsi="方正仿宋_GBK" w:eastAsia="方正仿宋_GBK" w:cs="方正仿宋_GBK"/>
          <w:color w:val="auto"/>
          <w:sz w:val="32"/>
          <w:szCs w:val="32"/>
          <w:lang w:val="zh-CN"/>
        </w:rPr>
        <w:t>个，涉及预算总金额</w:t>
      </w:r>
      <w:r>
        <w:rPr>
          <w:rFonts w:hint="eastAsia" w:ascii="方正仿宋_GBK" w:hAnsi="方正仿宋_GBK" w:eastAsia="方正仿宋_GBK" w:cs="方正仿宋_GBK"/>
          <w:color w:val="auto"/>
          <w:sz w:val="32"/>
          <w:szCs w:val="32"/>
        </w:rPr>
        <w:t>464.54</w:t>
      </w:r>
      <w:r>
        <w:rPr>
          <w:rFonts w:hint="eastAsia" w:ascii="方正仿宋_GBK" w:hAnsi="方正仿宋_GBK" w:eastAsia="方正仿宋_GBK" w:cs="方正仿宋_GBK"/>
          <w:color w:val="auto"/>
          <w:sz w:val="32"/>
          <w:szCs w:val="32"/>
          <w:lang w:val="zh-CN"/>
        </w:rPr>
        <w:t>万元，1—1</w:t>
      </w:r>
      <w:r>
        <w:rPr>
          <w:rFonts w:hint="eastAsia"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lang w:val="zh-CN"/>
        </w:rPr>
        <w:t>月预算执行总体进度为89.73%，其中：预算结余率大于</w:t>
      </w:r>
      <w:r>
        <w:rPr>
          <w:rFonts w:hint="eastAsia" w:ascii="方正仿宋_GBK" w:hAnsi="方正仿宋_GBK" w:eastAsia="方正仿宋_GBK" w:cs="方正仿宋_GBK"/>
          <w:color w:val="auto"/>
          <w:sz w:val="32"/>
          <w:szCs w:val="32"/>
        </w:rPr>
        <w:t>10%</w:t>
      </w:r>
      <w:r>
        <w:rPr>
          <w:rFonts w:hint="eastAsia" w:ascii="方正仿宋_GBK" w:hAnsi="方正仿宋_GBK" w:eastAsia="方正仿宋_GBK" w:cs="方正仿宋_GBK"/>
          <w:color w:val="auto"/>
          <w:sz w:val="32"/>
          <w:szCs w:val="32"/>
          <w:lang w:val="zh-CN"/>
        </w:rPr>
        <w:t>的项目共计</w:t>
      </w:r>
      <w:r>
        <w:rPr>
          <w:rFonts w:hint="eastAsia" w:ascii="方正仿宋_GBK" w:hAnsi="方正仿宋_GBK" w:eastAsia="方正仿宋_GBK" w:cs="方正仿宋_GBK"/>
          <w:color w:val="auto"/>
          <w:sz w:val="32"/>
          <w:szCs w:val="32"/>
        </w:rPr>
        <w:t>5</w:t>
      </w:r>
      <w:r>
        <w:rPr>
          <w:rFonts w:hint="eastAsia" w:ascii="方正仿宋_GBK" w:hAnsi="方正仿宋_GBK" w:eastAsia="方正仿宋_GBK" w:cs="方正仿宋_GBK"/>
          <w:color w:val="auto"/>
          <w:sz w:val="32"/>
          <w:szCs w:val="32"/>
          <w:lang w:val="zh-CN"/>
        </w:rPr>
        <w:t>个。</w:t>
      </w:r>
    </w:p>
    <w:p w14:paraId="7464821D">
      <w:pPr>
        <w:keepNext w:val="0"/>
        <w:keepLines w:val="0"/>
        <w:pageBreakBefore w:val="0"/>
        <w:widowControl/>
        <w:kinsoku/>
        <w:wordWrap/>
        <w:overflowPunct/>
        <w:topLinePunct w:val="0"/>
        <w:autoSpaceDE/>
        <w:autoSpaceDN/>
        <w:bidi w:val="0"/>
        <w:adjustRightInd w:val="0"/>
        <w:snapToGrid w:val="0"/>
        <w:spacing w:line="576" w:lineRule="exact"/>
        <w:ind w:firstLine="643" w:firstLineChars="200"/>
        <w:contextualSpacing/>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b/>
          <w:bCs/>
          <w:color w:val="auto"/>
          <w:kern w:val="0"/>
          <w:sz w:val="32"/>
          <w:szCs w:val="32"/>
          <w:shd w:val="clear" w:color="auto" w:fill="FFFFFF"/>
          <w:lang w:val="zh-CN"/>
        </w:rPr>
        <w:t>（三）</w:t>
      </w:r>
      <w:r>
        <w:rPr>
          <w:rFonts w:hint="eastAsia" w:ascii="方正仿宋_GBK" w:hAnsi="方正仿宋_GBK" w:eastAsia="方正仿宋_GBK" w:cs="方正仿宋_GBK"/>
          <w:b/>
          <w:bCs/>
          <w:color w:val="auto"/>
          <w:sz w:val="32"/>
          <w:szCs w:val="32"/>
          <w:lang w:val="zh-CN"/>
        </w:rPr>
        <w:t>绩效结果应用情况。</w:t>
      </w:r>
      <w:r>
        <w:rPr>
          <w:rFonts w:hint="eastAsia" w:ascii="方正仿宋_GBK" w:hAnsi="方正仿宋_GBK" w:eastAsia="方正仿宋_GBK" w:cs="方正仿宋_GBK"/>
          <w:color w:val="auto"/>
          <w:sz w:val="32"/>
          <w:szCs w:val="32"/>
          <w:lang w:val="zh-CN"/>
        </w:rPr>
        <w:t>我单位结合实际，切实改变工作方法和效率，通过合理的绩效评价，提升工作效率，下一步我单位将强化项目进度计划性，将严格做好预算绩效目标申报，细化项目指标，确保项目按计划实施。</w:t>
      </w:r>
    </w:p>
    <w:p w14:paraId="00D35B42">
      <w:pPr>
        <w:keepNext w:val="0"/>
        <w:keepLines w:val="0"/>
        <w:pageBreakBefore w:val="0"/>
        <w:widowControl/>
        <w:kinsoku/>
        <w:wordWrap/>
        <w:overflowPunct/>
        <w:topLinePunct w:val="0"/>
        <w:autoSpaceDE/>
        <w:autoSpaceDN/>
        <w:bidi w:val="0"/>
        <w:adjustRightInd w:val="0"/>
        <w:snapToGrid w:val="0"/>
        <w:spacing w:line="576" w:lineRule="exact"/>
        <w:ind w:firstLine="640" w:firstLineChars="200"/>
        <w:contextualSpacing/>
        <w:jc w:val="left"/>
        <w:textAlignment w:val="auto"/>
        <w:rPr>
          <w:rFonts w:hint="eastAsia" w:ascii="方正仿宋_GBK" w:hAnsi="方正仿宋_GBK" w:eastAsia="方正仿宋_GBK" w:cs="方正仿宋_GBK"/>
          <w:color w:val="auto"/>
          <w:kern w:val="0"/>
          <w:sz w:val="32"/>
          <w:szCs w:val="32"/>
          <w:shd w:val="clear" w:color="auto" w:fill="FFFFFF"/>
        </w:rPr>
      </w:pPr>
      <w:r>
        <w:rPr>
          <w:rFonts w:hint="eastAsia" w:ascii="方正仿宋_GBK" w:hAnsi="方正仿宋_GBK" w:eastAsia="方正仿宋_GBK" w:cs="方正仿宋_GBK"/>
          <w:color w:val="auto"/>
          <w:kern w:val="0"/>
          <w:sz w:val="32"/>
          <w:szCs w:val="32"/>
          <w:shd w:val="clear" w:color="auto" w:fill="FFFFFF"/>
        </w:rPr>
        <w:t>四、评价结论及建议</w:t>
      </w:r>
    </w:p>
    <w:p w14:paraId="7E03F17F">
      <w:pPr>
        <w:pStyle w:val="9"/>
        <w:keepNext w:val="0"/>
        <w:keepLines w:val="0"/>
        <w:pageBreakBefore w:val="0"/>
        <w:tabs>
          <w:tab w:val="left" w:pos="2160"/>
        </w:tabs>
        <w:kinsoku/>
        <w:wordWrap/>
        <w:overflowPunct/>
        <w:topLinePunct w:val="0"/>
        <w:autoSpaceDE/>
        <w:autoSpaceDN/>
        <w:bidi w:val="0"/>
        <w:spacing w:line="576" w:lineRule="exact"/>
        <w:ind w:firstLine="643" w:firstLineChars="200"/>
        <w:textAlignment w:val="auto"/>
        <w:rPr>
          <w:rFonts w:hint="eastAsia" w:ascii="方正仿宋_GBK" w:hAnsi="方正仿宋_GBK" w:eastAsia="方正仿宋_GBK" w:cs="方正仿宋_GBK"/>
          <w:b/>
          <w:bCs/>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（一）评价结论。</w:t>
      </w:r>
    </w:p>
    <w:p w14:paraId="75DD051F">
      <w:pPr>
        <w:keepNext w:val="0"/>
        <w:keepLines w:val="0"/>
        <w:pageBreakBefore w:val="0"/>
        <w:kinsoku/>
        <w:wordWrap/>
        <w:overflowPunct/>
        <w:topLinePunct w:val="0"/>
        <w:autoSpaceDE/>
        <w:autoSpaceDN/>
        <w:bidi w:val="0"/>
        <w:snapToGrid w:val="0"/>
        <w:spacing w:line="576"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中共红原县委员会宣传部部门预算绩效评价自评得分为96分。</w:t>
      </w:r>
    </w:p>
    <w:p w14:paraId="62B43AD6">
      <w:pPr>
        <w:keepNext w:val="0"/>
        <w:keepLines w:val="0"/>
        <w:pageBreakBefore w:val="0"/>
        <w:widowControl/>
        <w:numPr>
          <w:ilvl w:val="0"/>
          <w:numId w:val="2"/>
        </w:numPr>
        <w:kinsoku/>
        <w:wordWrap/>
        <w:overflowPunct/>
        <w:topLinePunct w:val="0"/>
        <w:autoSpaceDE/>
        <w:autoSpaceDN/>
        <w:bidi w:val="0"/>
        <w:adjustRightInd w:val="0"/>
        <w:snapToGrid w:val="0"/>
        <w:spacing w:line="576" w:lineRule="exact"/>
        <w:ind w:firstLine="643" w:firstLineChars="200"/>
        <w:contextualSpacing/>
        <w:jc w:val="left"/>
        <w:textAlignment w:val="auto"/>
        <w:rPr>
          <w:rFonts w:hint="eastAsia" w:ascii="方正仿宋_GBK" w:hAnsi="方正仿宋_GBK" w:eastAsia="方正仿宋_GBK" w:cs="方正仿宋_GBK"/>
          <w:b/>
          <w:bCs/>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存在问题。</w:t>
      </w:r>
    </w:p>
    <w:p w14:paraId="7E4FB80C">
      <w:pPr>
        <w:keepNext w:val="0"/>
        <w:keepLines w:val="0"/>
        <w:pageBreakBefore w:val="0"/>
        <w:kinsoku/>
        <w:wordWrap/>
        <w:overflowPunct/>
        <w:topLinePunct w:val="0"/>
        <w:autoSpaceDE/>
        <w:autoSpaceDN/>
        <w:bidi w:val="0"/>
        <w:snapToGrid w:val="0"/>
        <w:spacing w:line="576" w:lineRule="exact"/>
        <w:ind w:firstLine="640" w:firstLineChars="200"/>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zh-CN"/>
        </w:rPr>
        <w:t>通过自评我单位存在以下问题：</w:t>
      </w:r>
      <w:r>
        <w:rPr>
          <w:rFonts w:hint="eastAsia" w:ascii="方正仿宋_GBK" w:hAnsi="方正仿宋_GBK" w:eastAsia="方正仿宋_GBK" w:cs="方正仿宋_GBK"/>
          <w:color w:val="auto"/>
          <w:sz w:val="32"/>
          <w:szCs w:val="32"/>
        </w:rPr>
        <w:t>1. 存在年中经济科目调整，资金整合使用的情况；2. 事中绩效监控完成度不高；3.</w:t>
      </w:r>
      <w:r>
        <w:rPr>
          <w:rFonts w:hint="eastAsia" w:ascii="方正仿宋_GBK" w:hAnsi="方正仿宋_GBK" w:eastAsia="方正仿宋_GBK" w:cs="方正仿宋_GBK"/>
          <w:color w:val="auto"/>
          <w:sz w:val="32"/>
          <w:szCs w:val="32"/>
          <w:lang w:val="zh-CN"/>
        </w:rPr>
        <w:t>资产管理欠缺，资产利用率和盘活率均较低。</w:t>
      </w:r>
    </w:p>
    <w:p w14:paraId="3D855540">
      <w:pPr>
        <w:keepNext w:val="0"/>
        <w:keepLines w:val="0"/>
        <w:pageBreakBefore w:val="0"/>
        <w:widowControl/>
        <w:numPr>
          <w:ilvl w:val="0"/>
          <w:numId w:val="2"/>
        </w:numPr>
        <w:kinsoku/>
        <w:wordWrap/>
        <w:overflowPunct/>
        <w:topLinePunct w:val="0"/>
        <w:autoSpaceDE/>
        <w:autoSpaceDN/>
        <w:bidi w:val="0"/>
        <w:adjustRightInd w:val="0"/>
        <w:snapToGrid w:val="0"/>
        <w:spacing w:line="576" w:lineRule="exact"/>
        <w:ind w:firstLine="643" w:firstLineChars="200"/>
        <w:contextualSpacing/>
        <w:jc w:val="left"/>
        <w:textAlignment w:val="auto"/>
        <w:rPr>
          <w:rFonts w:hint="eastAsia" w:ascii="方正仿宋_GBK" w:hAnsi="方正仿宋_GBK" w:eastAsia="方正仿宋_GBK" w:cs="方正仿宋_GBK"/>
          <w:b/>
          <w:bCs/>
          <w:color w:val="auto"/>
          <w:kern w:val="0"/>
          <w:sz w:val="32"/>
          <w:szCs w:val="32"/>
          <w:shd w:val="clear" w:color="auto" w:fill="FFFFFF"/>
          <w:lang w:val="zh-CN"/>
        </w:rPr>
      </w:pPr>
      <w:r>
        <w:rPr>
          <w:rFonts w:hint="eastAsia" w:ascii="方正仿宋_GBK" w:hAnsi="方正仿宋_GBK" w:eastAsia="方正仿宋_GBK" w:cs="方正仿宋_GBK"/>
          <w:b/>
          <w:bCs/>
          <w:color w:val="auto"/>
          <w:kern w:val="0"/>
          <w:sz w:val="32"/>
          <w:szCs w:val="32"/>
          <w:shd w:val="clear" w:color="auto" w:fill="FFFFFF"/>
          <w:lang w:val="zh-CN"/>
        </w:rPr>
        <w:t>改进建议。</w:t>
      </w:r>
      <w:bookmarkStart w:id="90" w:name="_Hlk110546638"/>
    </w:p>
    <w:bookmarkEnd w:id="90"/>
    <w:p w14:paraId="234EFFD7">
      <w:pPr>
        <w:keepNext w:val="0"/>
        <w:keepLines w:val="0"/>
        <w:pageBreakBefore w:val="0"/>
        <w:kinsoku/>
        <w:wordWrap/>
        <w:overflowPunct/>
        <w:topLinePunct w:val="0"/>
        <w:autoSpaceDE/>
        <w:autoSpaceDN/>
        <w:bidi w:val="0"/>
        <w:snapToGrid w:val="0"/>
        <w:spacing w:line="576" w:lineRule="exact"/>
        <w:ind w:firstLine="640" w:firstLineChars="200"/>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无改进建议。</w:t>
      </w:r>
    </w:p>
    <w:p w14:paraId="0601AC76">
      <w:pPr>
        <w:pStyle w:val="17"/>
        <w:rPr>
          <w:color w:val="auto"/>
          <w:kern w:val="0"/>
          <w:szCs w:val="32"/>
          <w:shd w:val="clear" w:color="auto" w:fill="FFFFFF"/>
        </w:rPr>
      </w:pPr>
    </w:p>
    <w:p w14:paraId="545C6B8F">
      <w:pPr>
        <w:keepNext w:val="0"/>
        <w:keepLines w:val="0"/>
        <w:pageBreakBefore w:val="0"/>
        <w:kinsoku/>
        <w:wordWrap/>
        <w:overflowPunct/>
        <w:topLinePunct w:val="0"/>
        <w:autoSpaceDE/>
        <w:autoSpaceDN/>
        <w:bidi w:val="0"/>
        <w:snapToGrid w:val="0"/>
        <w:spacing w:line="576"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附表：</w:t>
      </w:r>
      <w:r>
        <w:rPr>
          <w:rFonts w:hint="default" w:ascii="方正仿宋_GBK" w:hAnsi="方正仿宋_GBK" w:eastAsia="方正仿宋_GBK" w:cs="方正仿宋_GBK"/>
          <w:color w:val="auto"/>
          <w:sz w:val="32"/>
          <w:szCs w:val="32"/>
          <w:lang w:val="en-US" w:eastAsia="zh-CN"/>
        </w:rPr>
        <w:t>部门整体支出绩效目标完成情况自评表</w:t>
      </w:r>
    </w:p>
    <w:p w14:paraId="5DF78091">
      <w:pPr>
        <w:pStyle w:val="17"/>
        <w:rPr>
          <w:color w:val="auto"/>
          <w:kern w:val="0"/>
          <w:szCs w:val="32"/>
          <w:shd w:val="clear" w:color="auto" w:fill="FFFFFF"/>
        </w:rPr>
      </w:pPr>
    </w:p>
    <w:p w14:paraId="76F13912">
      <w:pPr>
        <w:rPr>
          <w:color w:val="auto"/>
          <w:kern w:val="0"/>
          <w:szCs w:val="32"/>
          <w:shd w:val="clear" w:color="auto" w:fill="FFFFFF"/>
        </w:rPr>
      </w:pPr>
    </w:p>
    <w:p w14:paraId="5BD97747">
      <w:pPr>
        <w:rPr>
          <w:color w:val="auto"/>
          <w:kern w:val="0"/>
          <w:szCs w:val="32"/>
          <w:shd w:val="clear" w:color="auto" w:fill="FFFFFF"/>
        </w:rPr>
      </w:pPr>
    </w:p>
    <w:p w14:paraId="0E67ADAC">
      <w:pPr>
        <w:pStyle w:val="2"/>
        <w:rPr>
          <w:color w:val="auto"/>
          <w:kern w:val="0"/>
          <w:szCs w:val="32"/>
          <w:shd w:val="clear" w:color="auto" w:fill="FFFFFF"/>
        </w:rPr>
      </w:pPr>
    </w:p>
    <w:p w14:paraId="50C0A85E">
      <w:pPr>
        <w:rPr>
          <w:color w:val="auto"/>
        </w:rPr>
      </w:pPr>
    </w:p>
    <w:p w14:paraId="7EC6CB8A">
      <w:pPr>
        <w:pStyle w:val="17"/>
        <w:rPr>
          <w:color w:val="auto"/>
          <w:kern w:val="0"/>
          <w:szCs w:val="32"/>
          <w:shd w:val="clear" w:color="auto" w:fill="FFFFFF"/>
        </w:rPr>
      </w:pPr>
    </w:p>
    <w:p w14:paraId="0340BCD4">
      <w:pPr>
        <w:rPr>
          <w:color w:val="auto"/>
          <w:kern w:val="0"/>
          <w:szCs w:val="32"/>
          <w:shd w:val="clear" w:color="auto" w:fill="FFFFFF"/>
        </w:rPr>
      </w:pPr>
    </w:p>
    <w:p w14:paraId="3E37E3BC">
      <w:pPr>
        <w:pStyle w:val="17"/>
        <w:rPr>
          <w:color w:val="auto"/>
          <w:kern w:val="0"/>
          <w:szCs w:val="32"/>
          <w:shd w:val="clear" w:color="auto" w:fill="FFFFFF"/>
        </w:rPr>
      </w:pPr>
    </w:p>
    <w:p w14:paraId="08BBEB07">
      <w:pPr>
        <w:spacing w:line="578" w:lineRule="exact"/>
        <w:ind w:firstLine="420" w:firstLineChars="200"/>
        <w:rPr>
          <w:color w:val="auto"/>
          <w:kern w:val="0"/>
          <w:szCs w:val="32"/>
          <w:shd w:val="clear" w:color="auto" w:fill="FFFFFF"/>
        </w:rPr>
      </w:pPr>
    </w:p>
    <w:p w14:paraId="1B81F808">
      <w:pPr>
        <w:spacing w:line="578" w:lineRule="exact"/>
        <w:ind w:firstLine="420" w:firstLineChars="200"/>
        <w:rPr>
          <w:color w:val="auto"/>
          <w:kern w:val="0"/>
          <w:szCs w:val="32"/>
          <w:shd w:val="clear" w:color="auto" w:fill="FFFFFF"/>
        </w:rPr>
      </w:pPr>
    </w:p>
    <w:p w14:paraId="03317E07">
      <w:pPr>
        <w:spacing w:line="578" w:lineRule="exact"/>
        <w:ind w:firstLine="640" w:firstLineChars="200"/>
        <w:rPr>
          <w:color w:val="auto"/>
          <w:kern w:val="0"/>
          <w:sz w:val="32"/>
          <w:szCs w:val="32"/>
          <w:shd w:val="clear" w:color="auto" w:fill="FFFFFF"/>
        </w:rPr>
      </w:pPr>
    </w:p>
    <w:p w14:paraId="7D25BF55">
      <w:pPr>
        <w:jc w:val="right"/>
        <w:rPr>
          <w:rFonts w:eastAsia="方正仿宋_GBK"/>
          <w:color w:val="auto"/>
          <w:sz w:val="32"/>
          <w:szCs w:val="32"/>
        </w:rPr>
      </w:pPr>
    </w:p>
    <w:p w14:paraId="53F96160">
      <w:pPr>
        <w:pStyle w:val="17"/>
        <w:ind w:left="1060" w:hanging="420"/>
        <w:rPr>
          <w:rFonts w:ascii="Times New Roman" w:hAnsi="Times New Roman" w:cs="Times New Roman"/>
          <w:color w:val="auto"/>
        </w:rPr>
      </w:pPr>
    </w:p>
    <w:p w14:paraId="30500575">
      <w:pPr>
        <w:rPr>
          <w:color w:val="auto"/>
        </w:rPr>
      </w:pPr>
    </w:p>
    <w:p w14:paraId="70602A37">
      <w:pPr>
        <w:rPr>
          <w:color w:val="auto"/>
        </w:rPr>
      </w:pPr>
    </w:p>
    <w:p w14:paraId="168D5F87">
      <w:pPr>
        <w:pStyle w:val="17"/>
        <w:ind w:left="1060" w:hanging="420"/>
        <w:rPr>
          <w:rFonts w:ascii="Times New Roman" w:hAnsi="Times New Roman" w:cs="Times New Roman"/>
          <w:color w:val="auto"/>
        </w:rPr>
      </w:pPr>
    </w:p>
    <w:p w14:paraId="6AB9F6D0">
      <w:pPr>
        <w:rPr>
          <w:color w:val="auto"/>
        </w:rPr>
      </w:pPr>
    </w:p>
    <w:p w14:paraId="7CDB3516">
      <w:pPr>
        <w:pStyle w:val="17"/>
        <w:ind w:left="1060" w:hanging="420"/>
        <w:rPr>
          <w:rFonts w:ascii="Times New Roman" w:hAnsi="Times New Roman" w:cs="Times New Roman"/>
          <w:color w:val="auto"/>
        </w:rPr>
      </w:pPr>
    </w:p>
    <w:p w14:paraId="7086F553">
      <w:pPr>
        <w:rPr>
          <w:color w:val="auto"/>
        </w:rPr>
      </w:pPr>
    </w:p>
    <w:p w14:paraId="210BF370">
      <w:pPr>
        <w:spacing w:line="578" w:lineRule="exact"/>
        <w:rPr>
          <w:color w:val="auto"/>
        </w:rPr>
      </w:pPr>
      <w:r>
        <w:rPr>
          <w:color w:val="auto"/>
          <w:kern w:val="0"/>
          <w:szCs w:val="32"/>
          <w:shd w:val="clear" w:color="auto" w:fill="FFFFFF"/>
        </w:rPr>
        <w:br w:type="page"/>
      </w:r>
      <w:r>
        <w:rPr>
          <w:rFonts w:eastAsia="黑体"/>
          <w:color w:val="auto"/>
          <w:sz w:val="32"/>
          <w:szCs w:val="32"/>
        </w:rPr>
        <w:t>附表</w:t>
      </w:r>
    </w:p>
    <w:tbl>
      <w:tblPr>
        <w:tblStyle w:val="21"/>
        <w:tblW w:w="10560" w:type="dxa"/>
        <w:jc w:val="center"/>
        <w:tblLayout w:type="fixed"/>
        <w:tblCellMar>
          <w:top w:w="15" w:type="dxa"/>
          <w:left w:w="15" w:type="dxa"/>
          <w:bottom w:w="15" w:type="dxa"/>
          <w:right w:w="15" w:type="dxa"/>
        </w:tblCellMar>
      </w:tblPr>
      <w:tblGrid>
        <w:gridCol w:w="1309"/>
        <w:gridCol w:w="1347"/>
        <w:gridCol w:w="1273"/>
        <w:gridCol w:w="1100"/>
        <w:gridCol w:w="1143"/>
        <w:gridCol w:w="1291"/>
        <w:gridCol w:w="1058"/>
        <w:gridCol w:w="926"/>
        <w:gridCol w:w="1113"/>
      </w:tblGrid>
      <w:tr w14:paraId="654B1B7C">
        <w:tblPrEx>
          <w:tblCellMar>
            <w:top w:w="15" w:type="dxa"/>
            <w:left w:w="15" w:type="dxa"/>
            <w:bottom w:w="15" w:type="dxa"/>
            <w:right w:w="15" w:type="dxa"/>
          </w:tblCellMar>
        </w:tblPrEx>
        <w:trPr>
          <w:trHeight w:val="762" w:hRule="exact"/>
          <w:jc w:val="center"/>
        </w:trPr>
        <w:tc>
          <w:tcPr>
            <w:tcW w:w="10560" w:type="dxa"/>
            <w:gridSpan w:val="9"/>
            <w:noWrap w:val="0"/>
            <w:vAlign w:val="center"/>
          </w:tcPr>
          <w:p w14:paraId="04F0CE41">
            <w:pPr>
              <w:widowControl/>
              <w:spacing w:line="600" w:lineRule="exact"/>
              <w:jc w:val="center"/>
              <w:textAlignment w:val="center"/>
              <w:rPr>
                <w:rFonts w:eastAsia="黑体"/>
                <w:color w:val="auto"/>
                <w:sz w:val="28"/>
                <w:szCs w:val="28"/>
              </w:rPr>
            </w:pPr>
            <w:r>
              <w:rPr>
                <w:rFonts w:eastAsia="方正小标宋简体"/>
                <w:color w:val="auto"/>
                <w:kern w:val="0"/>
                <w:sz w:val="44"/>
                <w:szCs w:val="44"/>
                <w:lang w:bidi="ar"/>
              </w:rPr>
              <w:t>部门整体支出绩效目标完成情况自评表</w:t>
            </w:r>
          </w:p>
        </w:tc>
      </w:tr>
      <w:tr w14:paraId="2E9E64EF">
        <w:tblPrEx>
          <w:tblCellMar>
            <w:top w:w="15" w:type="dxa"/>
            <w:left w:w="15" w:type="dxa"/>
            <w:bottom w:w="15" w:type="dxa"/>
            <w:right w:w="15" w:type="dxa"/>
          </w:tblCellMar>
        </w:tblPrEx>
        <w:trPr>
          <w:trHeight w:val="23" w:hRule="atLeast"/>
          <w:jc w:val="center"/>
        </w:trPr>
        <w:tc>
          <w:tcPr>
            <w:tcW w:w="10560" w:type="dxa"/>
            <w:gridSpan w:val="9"/>
            <w:noWrap w:val="0"/>
            <w:vAlign w:val="center"/>
          </w:tcPr>
          <w:p w14:paraId="4774A24A">
            <w:pPr>
              <w:widowControl/>
              <w:spacing w:line="300" w:lineRule="exact"/>
              <w:jc w:val="center"/>
              <w:textAlignment w:val="center"/>
              <w:rPr>
                <w:rFonts w:eastAsia="宋体"/>
                <w:color w:val="auto"/>
                <w:sz w:val="28"/>
                <w:szCs w:val="28"/>
              </w:rPr>
            </w:pPr>
            <w:r>
              <w:rPr>
                <w:rFonts w:eastAsia="宋体"/>
                <w:color w:val="auto"/>
                <w:kern w:val="0"/>
                <w:sz w:val="28"/>
                <w:szCs w:val="28"/>
                <w:lang w:bidi="ar"/>
              </w:rPr>
              <w:t>（2025年度）</w:t>
            </w:r>
          </w:p>
        </w:tc>
      </w:tr>
      <w:tr w14:paraId="54FDB62D">
        <w:tblPrEx>
          <w:tblCellMar>
            <w:top w:w="15" w:type="dxa"/>
            <w:left w:w="15" w:type="dxa"/>
            <w:bottom w:w="15" w:type="dxa"/>
            <w:right w:w="15" w:type="dxa"/>
          </w:tblCellMar>
        </w:tblPrEx>
        <w:trPr>
          <w:trHeight w:val="23" w:hRule="atLeast"/>
          <w:jc w:val="center"/>
        </w:trPr>
        <w:tc>
          <w:tcPr>
            <w:tcW w:w="10560" w:type="dxa"/>
            <w:gridSpan w:val="9"/>
            <w:tcBorders>
              <w:bottom w:val="single" w:color="000000" w:sz="4" w:space="0"/>
            </w:tcBorders>
            <w:noWrap w:val="0"/>
            <w:vAlign w:val="center"/>
          </w:tcPr>
          <w:p w14:paraId="78E0D0CE">
            <w:pPr>
              <w:widowControl/>
              <w:spacing w:line="300" w:lineRule="exact"/>
              <w:jc w:val="right"/>
              <w:textAlignment w:val="center"/>
              <w:rPr>
                <w:rFonts w:eastAsia="宋体"/>
                <w:color w:val="auto"/>
                <w:sz w:val="21"/>
                <w:szCs w:val="21"/>
              </w:rPr>
            </w:pPr>
            <w:r>
              <w:rPr>
                <w:rFonts w:eastAsia="宋体"/>
                <w:color w:val="auto"/>
                <w:kern w:val="0"/>
                <w:sz w:val="21"/>
                <w:szCs w:val="21"/>
                <w:lang w:bidi="ar"/>
              </w:rPr>
              <w:t>单位：万元</w:t>
            </w:r>
          </w:p>
        </w:tc>
      </w:tr>
      <w:tr w14:paraId="0A8967C0">
        <w:tblPrEx>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noWrap w:val="0"/>
            <w:vAlign w:val="center"/>
          </w:tcPr>
          <w:p w14:paraId="181AA55A">
            <w:pPr>
              <w:widowControl/>
              <w:spacing w:line="300" w:lineRule="exact"/>
              <w:jc w:val="center"/>
              <w:textAlignment w:val="center"/>
              <w:rPr>
                <w:rFonts w:eastAsia="宋体"/>
                <w:color w:val="auto"/>
                <w:sz w:val="21"/>
                <w:szCs w:val="21"/>
              </w:rPr>
            </w:pPr>
            <w:r>
              <w:rPr>
                <w:rFonts w:eastAsia="宋体"/>
                <w:color w:val="auto"/>
                <w:kern w:val="0"/>
                <w:sz w:val="21"/>
                <w:szCs w:val="21"/>
                <w:lang w:bidi="ar"/>
              </w:rPr>
              <w:t>部门名称</w:t>
            </w:r>
          </w:p>
        </w:tc>
        <w:tc>
          <w:tcPr>
            <w:tcW w:w="6631" w:type="dxa"/>
            <w:gridSpan w:val="6"/>
            <w:tcBorders>
              <w:top w:val="single" w:color="000000" w:sz="4" w:space="0"/>
              <w:left w:val="single" w:color="000000" w:sz="4" w:space="0"/>
              <w:bottom w:val="single" w:color="000000" w:sz="4" w:space="0"/>
              <w:right w:val="single" w:color="000000" w:sz="4" w:space="0"/>
            </w:tcBorders>
            <w:noWrap w:val="0"/>
            <w:vAlign w:val="center"/>
          </w:tcPr>
          <w:p w14:paraId="5A8E3652">
            <w:pPr>
              <w:widowControl/>
              <w:spacing w:line="300" w:lineRule="exact"/>
              <w:jc w:val="center"/>
              <w:textAlignment w:val="center"/>
              <w:rPr>
                <w:rFonts w:eastAsia="宋体"/>
                <w:color w:val="auto"/>
                <w:sz w:val="21"/>
                <w:szCs w:val="21"/>
              </w:rPr>
            </w:pPr>
            <w:r>
              <w:rPr>
                <w:rFonts w:eastAsia="宋体"/>
                <w:color w:val="auto"/>
                <w:kern w:val="0"/>
                <w:sz w:val="21"/>
                <w:szCs w:val="21"/>
                <w:lang w:bidi="ar"/>
              </w:rPr>
              <w:t>中共红原县委员会宣传部</w:t>
            </w:r>
          </w:p>
        </w:tc>
      </w:tr>
      <w:tr w14:paraId="58E2CE8D">
        <w:tblPrEx>
          <w:tblCellMar>
            <w:top w:w="15" w:type="dxa"/>
            <w:left w:w="15" w:type="dxa"/>
            <w:bottom w:w="15" w:type="dxa"/>
            <w:right w:w="15" w:type="dxa"/>
          </w:tblCellMar>
        </w:tblPrEx>
        <w:trPr>
          <w:trHeight w:val="398"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6AFAA8C6">
            <w:pPr>
              <w:widowControl/>
              <w:spacing w:line="300" w:lineRule="exact"/>
              <w:jc w:val="center"/>
              <w:textAlignment w:val="center"/>
              <w:rPr>
                <w:rFonts w:eastAsia="宋体"/>
                <w:color w:val="auto"/>
                <w:sz w:val="21"/>
                <w:szCs w:val="21"/>
              </w:rPr>
            </w:pPr>
            <w:r>
              <w:rPr>
                <w:rFonts w:eastAsia="宋体"/>
                <w:color w:val="auto"/>
                <w:kern w:val="0"/>
                <w:sz w:val="21"/>
                <w:szCs w:val="21"/>
                <w:lang w:bidi="ar"/>
              </w:rPr>
              <w:t>年度部门整体支出预算</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1722A2D6">
            <w:pPr>
              <w:widowControl/>
              <w:spacing w:line="300" w:lineRule="exact"/>
              <w:jc w:val="center"/>
              <w:textAlignment w:val="center"/>
              <w:rPr>
                <w:rFonts w:eastAsia="宋体"/>
                <w:color w:val="auto"/>
                <w:sz w:val="21"/>
                <w:szCs w:val="21"/>
              </w:rPr>
            </w:pPr>
            <w:r>
              <w:rPr>
                <w:rFonts w:eastAsia="宋体"/>
                <w:color w:val="auto"/>
                <w:kern w:val="0"/>
                <w:sz w:val="21"/>
                <w:szCs w:val="21"/>
                <w:lang w:bidi="ar"/>
              </w:rPr>
              <w:t>资金总额</w:t>
            </w:r>
          </w:p>
        </w:tc>
        <w:tc>
          <w:tcPr>
            <w:tcW w:w="2243" w:type="dxa"/>
            <w:gridSpan w:val="2"/>
            <w:tcBorders>
              <w:top w:val="single" w:color="000000" w:sz="4" w:space="0"/>
              <w:left w:val="single" w:color="000000" w:sz="4" w:space="0"/>
              <w:bottom w:val="single" w:color="000000" w:sz="4" w:space="0"/>
              <w:right w:val="single" w:color="000000" w:sz="4" w:space="0"/>
            </w:tcBorders>
            <w:noWrap w:val="0"/>
            <w:vAlign w:val="center"/>
          </w:tcPr>
          <w:p w14:paraId="1809CDAC">
            <w:pPr>
              <w:widowControl/>
              <w:spacing w:line="300" w:lineRule="exact"/>
              <w:jc w:val="center"/>
              <w:textAlignment w:val="center"/>
              <w:rPr>
                <w:rFonts w:eastAsia="宋体"/>
                <w:color w:val="auto"/>
                <w:sz w:val="21"/>
                <w:szCs w:val="21"/>
              </w:rPr>
            </w:pPr>
            <w:r>
              <w:rPr>
                <w:rFonts w:eastAsia="宋体"/>
                <w:color w:val="auto"/>
                <w:kern w:val="0"/>
                <w:sz w:val="21"/>
                <w:szCs w:val="21"/>
                <w:lang w:bidi="ar"/>
              </w:rPr>
              <w:t>财政拨款</w:t>
            </w:r>
          </w:p>
        </w:tc>
        <w:tc>
          <w:tcPr>
            <w:tcW w:w="4388" w:type="dxa"/>
            <w:gridSpan w:val="4"/>
            <w:tcBorders>
              <w:top w:val="single" w:color="000000" w:sz="4" w:space="0"/>
              <w:left w:val="single" w:color="000000" w:sz="4" w:space="0"/>
              <w:bottom w:val="single" w:color="000000" w:sz="4" w:space="0"/>
              <w:right w:val="single" w:color="000000" w:sz="4" w:space="0"/>
            </w:tcBorders>
            <w:noWrap w:val="0"/>
            <w:vAlign w:val="center"/>
          </w:tcPr>
          <w:p w14:paraId="19C51462">
            <w:pPr>
              <w:widowControl/>
              <w:spacing w:line="300" w:lineRule="exact"/>
              <w:jc w:val="center"/>
              <w:textAlignment w:val="center"/>
              <w:rPr>
                <w:rFonts w:eastAsia="宋体"/>
                <w:color w:val="auto"/>
                <w:sz w:val="21"/>
                <w:szCs w:val="21"/>
              </w:rPr>
            </w:pPr>
            <w:r>
              <w:rPr>
                <w:rFonts w:eastAsia="宋体"/>
                <w:color w:val="auto"/>
                <w:kern w:val="0"/>
                <w:sz w:val="21"/>
                <w:szCs w:val="21"/>
                <w:lang w:bidi="ar"/>
              </w:rPr>
              <w:t>其他资金</w:t>
            </w:r>
          </w:p>
        </w:tc>
      </w:tr>
      <w:tr w14:paraId="22281FA6">
        <w:tblPrEx>
          <w:tblCellMar>
            <w:top w:w="15" w:type="dxa"/>
            <w:left w:w="15" w:type="dxa"/>
            <w:bottom w:w="15" w:type="dxa"/>
            <w:right w:w="15" w:type="dxa"/>
          </w:tblCellMar>
        </w:tblPrEx>
        <w:trPr>
          <w:trHeight w:val="34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6E50F4">
            <w:pPr>
              <w:widowControl/>
              <w:spacing w:line="300" w:lineRule="exact"/>
              <w:jc w:val="center"/>
              <w:rPr>
                <w:rFonts w:eastAsia="宋体"/>
                <w:color w:val="auto"/>
                <w:sz w:val="21"/>
                <w:szCs w:val="21"/>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638D205F">
            <w:pPr>
              <w:widowControl/>
              <w:spacing w:line="300" w:lineRule="exact"/>
              <w:jc w:val="center"/>
              <w:textAlignment w:val="center"/>
              <w:rPr>
                <w:rFonts w:eastAsia="宋体"/>
                <w:color w:val="auto"/>
                <w:kern w:val="0"/>
                <w:sz w:val="21"/>
                <w:szCs w:val="21"/>
                <w:lang w:bidi="ar"/>
              </w:rPr>
            </w:pPr>
            <w:r>
              <w:rPr>
                <w:rFonts w:hint="eastAsia" w:eastAsia="宋体"/>
                <w:color w:val="auto"/>
                <w:kern w:val="0"/>
                <w:sz w:val="21"/>
                <w:szCs w:val="21"/>
                <w:lang w:bidi="ar"/>
              </w:rPr>
              <w:t>555.83</w:t>
            </w:r>
          </w:p>
        </w:tc>
        <w:tc>
          <w:tcPr>
            <w:tcW w:w="2243" w:type="dxa"/>
            <w:gridSpan w:val="2"/>
            <w:tcBorders>
              <w:top w:val="single" w:color="000000" w:sz="4" w:space="0"/>
              <w:left w:val="single" w:color="000000" w:sz="4" w:space="0"/>
              <w:bottom w:val="single" w:color="000000" w:sz="4" w:space="0"/>
              <w:right w:val="single" w:color="000000" w:sz="4" w:space="0"/>
            </w:tcBorders>
            <w:noWrap w:val="0"/>
            <w:vAlign w:val="center"/>
          </w:tcPr>
          <w:p w14:paraId="4D0CB3CC">
            <w:pPr>
              <w:widowControl/>
              <w:spacing w:line="300" w:lineRule="exact"/>
              <w:jc w:val="center"/>
              <w:textAlignment w:val="center"/>
              <w:rPr>
                <w:rFonts w:eastAsia="宋体"/>
                <w:color w:val="auto"/>
                <w:sz w:val="5"/>
              </w:rPr>
            </w:pPr>
            <w:r>
              <w:rPr>
                <w:rFonts w:hint="eastAsia" w:eastAsia="宋体"/>
                <w:color w:val="auto"/>
                <w:kern w:val="0"/>
                <w:sz w:val="21"/>
                <w:szCs w:val="21"/>
                <w:lang w:bidi="ar"/>
              </w:rPr>
              <w:t>555.83</w:t>
            </w:r>
          </w:p>
        </w:tc>
        <w:tc>
          <w:tcPr>
            <w:tcW w:w="4388" w:type="dxa"/>
            <w:gridSpan w:val="4"/>
            <w:tcBorders>
              <w:top w:val="single" w:color="000000" w:sz="4" w:space="0"/>
              <w:left w:val="single" w:color="000000" w:sz="4" w:space="0"/>
              <w:bottom w:val="single" w:color="000000" w:sz="4" w:space="0"/>
              <w:right w:val="single" w:color="000000" w:sz="4" w:space="0"/>
            </w:tcBorders>
            <w:noWrap w:val="0"/>
            <w:vAlign w:val="center"/>
          </w:tcPr>
          <w:p w14:paraId="348DCAC8">
            <w:pPr>
              <w:widowControl/>
              <w:spacing w:line="300" w:lineRule="exact"/>
              <w:jc w:val="center"/>
              <w:textAlignment w:val="center"/>
              <w:rPr>
                <w:rFonts w:eastAsia="宋体"/>
                <w:color w:val="auto"/>
                <w:sz w:val="5"/>
              </w:rPr>
            </w:pPr>
            <w:r>
              <w:rPr>
                <w:rFonts w:eastAsia="宋体"/>
                <w:color w:val="auto"/>
                <w:sz w:val="5"/>
              </w:rPr>
              <w:t>0</w:t>
            </w:r>
          </w:p>
        </w:tc>
      </w:tr>
      <w:tr w14:paraId="433950CB">
        <w:tblPrEx>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14:paraId="5B03A2AA">
            <w:pPr>
              <w:widowControl/>
              <w:spacing w:line="300" w:lineRule="exact"/>
              <w:jc w:val="center"/>
              <w:textAlignment w:val="center"/>
              <w:rPr>
                <w:color w:val="auto"/>
                <w:kern w:val="0"/>
                <w:szCs w:val="21"/>
              </w:rPr>
            </w:pPr>
            <w:r>
              <w:rPr>
                <w:color w:val="auto"/>
                <w:kern w:val="0"/>
                <w:szCs w:val="21"/>
              </w:rPr>
              <w:t>年度总体</w:t>
            </w:r>
          </w:p>
          <w:p w14:paraId="17A35E5C">
            <w:pPr>
              <w:widowControl/>
              <w:spacing w:line="300" w:lineRule="exact"/>
              <w:jc w:val="center"/>
              <w:textAlignment w:val="center"/>
              <w:rPr>
                <w:color w:val="auto"/>
                <w:sz w:val="21"/>
              </w:rPr>
            </w:pPr>
            <w:r>
              <w:rPr>
                <w:color w:val="auto"/>
                <w:kern w:val="0"/>
                <w:sz w:val="21"/>
                <w:szCs w:val="21"/>
                <w:lang w:bidi="ar"/>
              </w:rPr>
              <w:t>目标</w:t>
            </w:r>
          </w:p>
        </w:tc>
        <w:tc>
          <w:tcPr>
            <w:tcW w:w="9251" w:type="dxa"/>
            <w:gridSpan w:val="8"/>
            <w:tcBorders>
              <w:top w:val="single" w:color="000000" w:sz="4" w:space="0"/>
              <w:left w:val="single" w:color="000000" w:sz="4" w:space="0"/>
              <w:bottom w:val="single" w:color="000000" w:sz="4" w:space="0"/>
              <w:right w:val="single" w:color="000000" w:sz="4" w:space="0"/>
            </w:tcBorders>
            <w:noWrap w:val="0"/>
            <w:vAlign w:val="center"/>
          </w:tcPr>
          <w:p w14:paraId="7579248F">
            <w:pPr>
              <w:widowControl/>
              <w:spacing w:line="300" w:lineRule="exact"/>
              <w:jc w:val="left"/>
              <w:textAlignment w:val="center"/>
              <w:rPr>
                <w:rFonts w:eastAsia="宋体"/>
                <w:color w:val="auto"/>
                <w:sz w:val="21"/>
                <w:szCs w:val="21"/>
              </w:rPr>
            </w:pPr>
            <w:r>
              <w:rPr>
                <w:rFonts w:eastAsia="宋体"/>
                <w:color w:val="auto"/>
                <w:kern w:val="0"/>
                <w:sz w:val="21"/>
                <w:szCs w:val="21"/>
                <w:lang w:bidi="ar"/>
              </w:rPr>
              <w:t>全面贯彻落实党的二十大精神，深入落实习近平总书记工作要求和对四川、阿坝工作系列重要指示批示精神，认真落实省委、州委、县委决策部署，扎实推进红原县宣传思想文化建设，奋力开创红原县县宣传思想文化工作新局面，打造红原品牌，提升红原知名度。</w:t>
            </w:r>
          </w:p>
        </w:tc>
      </w:tr>
      <w:tr w14:paraId="6DF0E4CA">
        <w:tblPrEx>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right w:val="single" w:color="000000" w:sz="4" w:space="0"/>
            </w:tcBorders>
            <w:noWrap w:val="0"/>
            <w:vAlign w:val="center"/>
          </w:tcPr>
          <w:p w14:paraId="24FF027B">
            <w:pPr>
              <w:widowControl/>
              <w:spacing w:line="300" w:lineRule="exact"/>
              <w:jc w:val="center"/>
              <w:textAlignment w:val="center"/>
              <w:rPr>
                <w:rFonts w:eastAsia="宋体"/>
                <w:color w:val="auto"/>
                <w:sz w:val="85"/>
                <w:szCs w:val="85"/>
              </w:rPr>
            </w:pPr>
            <w:r>
              <w:rPr>
                <w:rFonts w:hint="eastAsia"/>
                <w:color w:val="auto"/>
                <w:kern w:val="0"/>
                <w:szCs w:val="21"/>
              </w:rPr>
              <w:t>年度主要任务</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67536F90">
            <w:pPr>
              <w:widowControl/>
              <w:spacing w:line="300" w:lineRule="exact"/>
              <w:jc w:val="center"/>
              <w:textAlignment w:val="center"/>
              <w:rPr>
                <w:color w:val="auto"/>
                <w:sz w:val="21"/>
                <w:szCs w:val="21"/>
              </w:rPr>
            </w:pPr>
            <w:r>
              <w:rPr>
                <w:rFonts w:eastAsia="宋体"/>
                <w:color w:val="auto"/>
                <w:kern w:val="0"/>
                <w:szCs w:val="21"/>
              </w:rPr>
              <w:t>任务名称</w:t>
            </w:r>
          </w:p>
        </w:tc>
        <w:tc>
          <w:tcPr>
            <w:tcW w:w="6631" w:type="dxa"/>
            <w:gridSpan w:val="6"/>
            <w:tcBorders>
              <w:top w:val="single" w:color="000000" w:sz="4" w:space="0"/>
              <w:left w:val="single" w:color="000000" w:sz="4" w:space="0"/>
              <w:bottom w:val="single" w:color="000000" w:sz="4" w:space="0"/>
              <w:right w:val="single" w:color="000000" w:sz="4" w:space="0"/>
            </w:tcBorders>
            <w:noWrap w:val="0"/>
            <w:vAlign w:val="center"/>
          </w:tcPr>
          <w:p w14:paraId="4D65C7C1">
            <w:pPr>
              <w:widowControl/>
              <w:spacing w:line="300" w:lineRule="exact"/>
              <w:jc w:val="center"/>
              <w:textAlignment w:val="center"/>
              <w:rPr>
                <w:color w:val="auto"/>
              </w:rPr>
            </w:pPr>
            <w:r>
              <w:rPr>
                <w:color w:val="auto"/>
              </w:rPr>
              <w:t>主要内容</w:t>
            </w:r>
          </w:p>
        </w:tc>
      </w:tr>
      <w:tr w14:paraId="37BBD1AA">
        <w:tblPrEx>
          <w:tblCellMar>
            <w:top w:w="15" w:type="dxa"/>
            <w:left w:w="15" w:type="dxa"/>
            <w:bottom w:w="15" w:type="dxa"/>
            <w:right w:w="15" w:type="dxa"/>
          </w:tblCellMar>
        </w:tblPrEx>
        <w:trPr>
          <w:trHeight w:val="90" w:hRule="atLeast"/>
          <w:jc w:val="center"/>
        </w:trPr>
        <w:tc>
          <w:tcPr>
            <w:tcW w:w="1309" w:type="dxa"/>
            <w:vMerge w:val="continue"/>
            <w:tcBorders>
              <w:left w:val="single" w:color="000000" w:sz="4" w:space="0"/>
              <w:right w:val="single" w:color="000000" w:sz="4" w:space="0"/>
            </w:tcBorders>
            <w:noWrap w:val="0"/>
            <w:vAlign w:val="center"/>
          </w:tcPr>
          <w:p w14:paraId="77AFD96B">
            <w:pPr>
              <w:widowControl/>
              <w:spacing w:line="300" w:lineRule="exact"/>
              <w:jc w:val="center"/>
              <w:rPr>
                <w:rFonts w:eastAsia="宋体"/>
                <w:color w:val="auto"/>
                <w:sz w:val="213"/>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5D0187E0">
            <w:pPr>
              <w:widowControl/>
              <w:spacing w:line="300" w:lineRule="exact"/>
              <w:jc w:val="center"/>
              <w:rPr>
                <w:rFonts w:eastAsia="宋体"/>
                <w:color w:val="auto"/>
                <w:sz w:val="21"/>
                <w:szCs w:val="21"/>
              </w:rPr>
            </w:pPr>
            <w:r>
              <w:rPr>
                <w:rFonts w:ascii="Times New Roman" w:hAnsi="Times New Roman" w:eastAsia="宋体" w:cs="Times New Roman"/>
                <w:color w:val="auto"/>
                <w:sz w:val="21"/>
                <w:szCs w:val="21"/>
              </w:rPr>
              <w:t>进一步加强理论武装</w:t>
            </w:r>
          </w:p>
        </w:tc>
        <w:tc>
          <w:tcPr>
            <w:tcW w:w="6631" w:type="dxa"/>
            <w:gridSpan w:val="6"/>
            <w:tcBorders>
              <w:top w:val="single" w:color="000000" w:sz="4" w:space="0"/>
              <w:left w:val="single" w:color="000000" w:sz="4" w:space="0"/>
              <w:bottom w:val="single" w:color="000000" w:sz="4" w:space="0"/>
              <w:right w:val="single" w:color="000000" w:sz="4" w:space="0"/>
            </w:tcBorders>
            <w:noWrap w:val="0"/>
            <w:vAlign w:val="center"/>
          </w:tcPr>
          <w:p w14:paraId="70ECE431">
            <w:pPr>
              <w:widowControl/>
              <w:spacing w:line="300" w:lineRule="exact"/>
              <w:jc w:val="left"/>
              <w:textAlignment w:val="center"/>
              <w:rPr>
                <w:color w:val="auto"/>
              </w:rPr>
            </w:pPr>
            <w:r>
              <w:rPr>
                <w:rFonts w:hint="default" w:ascii="Times New Roman" w:hAnsi="Times New Roman" w:eastAsia="宋体" w:cs="Times New Roman"/>
                <w:i w:val="0"/>
                <w:color w:val="auto"/>
                <w:kern w:val="0"/>
                <w:sz w:val="20"/>
                <w:szCs w:val="20"/>
                <w:u w:val="none"/>
                <w:lang w:val="en-US" w:eastAsia="zh-CN" w:bidi="ar"/>
              </w:rPr>
              <w:t>以提高质量为重点规范和加强党委（党组）理论学习中心组学习。管好用好“学习强国”平台等学习阵地，持续优化“红色草原”理论宣讲格局，广泛组织开展面对面、互动化、分众化宣传宣讲，不断扩大宣讲覆盖面</w:t>
            </w:r>
            <w:r>
              <w:rPr>
                <w:rFonts w:hint="eastAsia" w:eastAsia="宋体" w:cs="Times New Roman"/>
                <w:i w:val="0"/>
                <w:color w:val="auto"/>
                <w:kern w:val="0"/>
                <w:sz w:val="20"/>
                <w:szCs w:val="20"/>
                <w:u w:val="none"/>
                <w:lang w:val="en-US" w:eastAsia="zh-CN" w:bidi="ar"/>
              </w:rPr>
              <w:t>。</w:t>
            </w:r>
          </w:p>
        </w:tc>
      </w:tr>
      <w:tr w14:paraId="08BEC450">
        <w:tblPrEx>
          <w:tblCellMar>
            <w:top w:w="15" w:type="dxa"/>
            <w:left w:w="15" w:type="dxa"/>
            <w:bottom w:w="15" w:type="dxa"/>
            <w:right w:w="15" w:type="dxa"/>
          </w:tblCellMar>
        </w:tblPrEx>
        <w:trPr>
          <w:trHeight w:val="859" w:hRule="atLeast"/>
          <w:jc w:val="center"/>
        </w:trPr>
        <w:tc>
          <w:tcPr>
            <w:tcW w:w="1309" w:type="dxa"/>
            <w:vMerge w:val="continue"/>
            <w:tcBorders>
              <w:left w:val="single" w:color="000000" w:sz="4" w:space="0"/>
              <w:right w:val="single" w:color="000000" w:sz="4" w:space="0"/>
            </w:tcBorders>
            <w:noWrap w:val="0"/>
            <w:vAlign w:val="center"/>
          </w:tcPr>
          <w:p w14:paraId="04DA6FBE">
            <w:pPr>
              <w:widowControl/>
              <w:spacing w:line="300" w:lineRule="exact"/>
              <w:jc w:val="center"/>
              <w:rPr>
                <w:rFonts w:eastAsia="仿宋"/>
                <w:color w:val="auto"/>
                <w:sz w:val="17"/>
                <w:szCs w:val="21"/>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66B9326A">
            <w:pPr>
              <w:widowControl/>
              <w:spacing w:line="300" w:lineRule="exact"/>
              <w:jc w:val="center"/>
              <w:rPr>
                <w:rFonts w:hAnsi="宋体" w:eastAsia="宋体"/>
                <w:color w:val="auto"/>
                <w:kern w:val="0"/>
                <w:sz w:val="213"/>
                <w:szCs w:val="53"/>
                <w:lang w:bidi="ar"/>
              </w:rPr>
            </w:pPr>
            <w:r>
              <w:rPr>
                <w:rFonts w:eastAsia="宋体"/>
                <w:color w:val="auto"/>
                <w:sz w:val="21"/>
                <w:szCs w:val="21"/>
              </w:rPr>
              <w:t>进一步营造舆论氛围</w:t>
            </w:r>
          </w:p>
        </w:tc>
        <w:tc>
          <w:tcPr>
            <w:tcW w:w="6631" w:type="dxa"/>
            <w:gridSpan w:val="6"/>
            <w:tcBorders>
              <w:top w:val="single" w:color="000000" w:sz="4" w:space="0"/>
              <w:left w:val="single" w:color="000000" w:sz="4" w:space="0"/>
              <w:bottom w:val="single" w:color="000000" w:sz="4" w:space="0"/>
              <w:right w:val="single" w:color="000000" w:sz="4" w:space="0"/>
            </w:tcBorders>
            <w:noWrap w:val="0"/>
            <w:vAlign w:val="center"/>
          </w:tcPr>
          <w:p w14:paraId="497CAEE1">
            <w:pPr>
              <w:widowControl/>
              <w:spacing w:line="300" w:lineRule="exact"/>
              <w:jc w:val="left"/>
              <w:textAlignment w:val="center"/>
              <w:rPr>
                <w:rFonts w:hint="default" w:ascii="Times New Roman" w:hAnsi="Times New Roman" w:eastAsia="宋体" w:cs="Times New Roman"/>
                <w:i w:val="0"/>
                <w:color w:val="auto"/>
                <w:kern w:val="0"/>
                <w:sz w:val="20"/>
                <w:szCs w:val="20"/>
                <w:u w:val="none"/>
                <w:lang w:val="en-US" w:eastAsia="zh-CN" w:bidi="ar"/>
              </w:rPr>
            </w:pPr>
            <w:r>
              <w:rPr>
                <w:rFonts w:hint="default" w:ascii="Times New Roman" w:hAnsi="Times New Roman" w:eastAsia="宋体" w:cs="Times New Roman"/>
                <w:i w:val="0"/>
                <w:color w:val="auto"/>
                <w:kern w:val="0"/>
                <w:sz w:val="20"/>
                <w:szCs w:val="20"/>
                <w:u w:val="none"/>
                <w:lang w:val="en-US" w:eastAsia="zh-CN" w:bidi="ar"/>
              </w:rPr>
              <w:t>聚焦主题主线，开展全方位立体式多角度的对外宣传，提高红原的知名度、美誉度、辨识度。有序推进中华民族视觉形象建设，筑牢中华民族共同体意识。</w:t>
            </w:r>
          </w:p>
        </w:tc>
      </w:tr>
      <w:tr w14:paraId="66E787E9">
        <w:tblPrEx>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14:paraId="69649EDA">
            <w:pPr>
              <w:widowControl/>
              <w:spacing w:line="300" w:lineRule="exact"/>
              <w:jc w:val="center"/>
              <w:rPr>
                <w:rFonts w:hAnsi="宋体"/>
                <w:color w:val="auto"/>
                <w:sz w:val="21"/>
                <w:szCs w:val="21"/>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14:paraId="4AD423DC">
            <w:pPr>
              <w:widowControl/>
              <w:spacing w:line="300" w:lineRule="exact"/>
              <w:jc w:val="center"/>
              <w:rPr>
                <w:rFonts w:eastAsia="宋体"/>
                <w:color w:val="auto"/>
                <w:sz w:val="21"/>
                <w:szCs w:val="21"/>
              </w:rPr>
            </w:pPr>
            <w:r>
              <w:rPr>
                <w:rFonts w:eastAsia="宋体"/>
                <w:color w:val="auto"/>
                <w:sz w:val="21"/>
                <w:szCs w:val="21"/>
              </w:rPr>
              <w:t>进一步推进文化繁荣</w:t>
            </w:r>
          </w:p>
        </w:tc>
        <w:tc>
          <w:tcPr>
            <w:tcW w:w="6631" w:type="dxa"/>
            <w:gridSpan w:val="6"/>
            <w:tcBorders>
              <w:top w:val="single" w:color="000000" w:sz="4" w:space="0"/>
              <w:left w:val="single" w:color="000000" w:sz="4" w:space="0"/>
              <w:bottom w:val="single" w:color="000000" w:sz="4" w:space="0"/>
              <w:right w:val="single" w:color="000000" w:sz="4" w:space="0"/>
            </w:tcBorders>
            <w:noWrap w:val="0"/>
            <w:vAlign w:val="center"/>
          </w:tcPr>
          <w:p w14:paraId="7117F9A7">
            <w:pPr>
              <w:widowControl/>
              <w:spacing w:line="300" w:lineRule="exact"/>
              <w:jc w:val="left"/>
              <w:textAlignment w:val="center"/>
              <w:rPr>
                <w:rFonts w:hint="default" w:ascii="Times New Roman" w:hAnsi="Times New Roman" w:eastAsia="宋体" w:cs="Times New Roman"/>
                <w:i w:val="0"/>
                <w:color w:val="auto"/>
                <w:kern w:val="0"/>
                <w:sz w:val="20"/>
                <w:szCs w:val="20"/>
                <w:u w:val="none"/>
                <w:lang w:val="en-US" w:eastAsia="zh-CN" w:bidi="ar"/>
              </w:rPr>
            </w:pPr>
            <w:r>
              <w:rPr>
                <w:rFonts w:hint="default" w:ascii="Times New Roman" w:hAnsi="Times New Roman" w:eastAsia="宋体" w:cs="Times New Roman"/>
                <w:i w:val="0"/>
                <w:color w:val="auto"/>
                <w:kern w:val="0"/>
                <w:sz w:val="20"/>
                <w:szCs w:val="20"/>
                <w:u w:val="none"/>
                <w:lang w:val="en-US" w:eastAsia="zh-CN" w:bidi="ar"/>
              </w:rPr>
              <w:t>大力推动文化产业和旅游业振兴发展，做大做强“雅克”文旅IP，持续深入实施文化传承重点工程，加快推进长征国家文化公园红原段红色文化旅游节点打造项目。大力繁荣发展文化事业，满足人民群众日益增长的精神文化需求。</w:t>
            </w:r>
          </w:p>
        </w:tc>
      </w:tr>
      <w:tr w14:paraId="36DD958A">
        <w:tblPrEx>
          <w:tblCellMar>
            <w:top w:w="15" w:type="dxa"/>
            <w:left w:w="15" w:type="dxa"/>
            <w:bottom w:w="15" w:type="dxa"/>
            <w:right w:w="15" w:type="dxa"/>
          </w:tblCellMar>
        </w:tblPrEx>
        <w:trPr>
          <w:trHeight w:val="528"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E197B52">
            <w:pPr>
              <w:widowControl/>
              <w:spacing w:line="300" w:lineRule="exact"/>
              <w:jc w:val="center"/>
              <w:textAlignment w:val="center"/>
              <w:rPr>
                <w:rFonts w:hint="eastAsia"/>
                <w:color w:val="auto"/>
                <w:kern w:val="0"/>
                <w:szCs w:val="21"/>
              </w:rPr>
            </w:pPr>
            <w:r>
              <w:rPr>
                <w:rFonts w:hint="eastAsia"/>
                <w:color w:val="auto"/>
                <w:kern w:val="0"/>
                <w:szCs w:val="21"/>
              </w:rPr>
              <w:t>年度绩效</w:t>
            </w:r>
          </w:p>
          <w:p w14:paraId="1C049E1E">
            <w:pPr>
              <w:widowControl/>
              <w:spacing w:line="300" w:lineRule="exact"/>
              <w:jc w:val="center"/>
              <w:textAlignment w:val="center"/>
              <w:rPr>
                <w:rFonts w:eastAsia="宋体"/>
                <w:color w:val="auto"/>
                <w:sz w:val="21"/>
                <w:szCs w:val="21"/>
              </w:rPr>
            </w:pPr>
            <w:r>
              <w:rPr>
                <w:rFonts w:hint="eastAsia"/>
                <w:color w:val="auto"/>
                <w:kern w:val="0"/>
                <w:szCs w:val="21"/>
              </w:rPr>
              <w:t>指标</w:t>
            </w:r>
          </w:p>
        </w:tc>
        <w:tc>
          <w:tcPr>
            <w:tcW w:w="1347" w:type="dxa"/>
            <w:tcBorders>
              <w:top w:val="single" w:color="000000" w:sz="4" w:space="0"/>
              <w:left w:val="single" w:color="000000" w:sz="4" w:space="0"/>
              <w:bottom w:val="single" w:color="000000" w:sz="4" w:space="0"/>
              <w:right w:val="single" w:color="000000" w:sz="4" w:space="0"/>
            </w:tcBorders>
            <w:noWrap w:val="0"/>
            <w:vAlign w:val="center"/>
          </w:tcPr>
          <w:p w14:paraId="0628BA73">
            <w:pPr>
              <w:widowControl/>
              <w:spacing w:line="300" w:lineRule="exact"/>
              <w:jc w:val="center"/>
              <w:textAlignment w:val="center"/>
              <w:rPr>
                <w:rFonts w:eastAsia="宋体"/>
                <w:color w:val="auto"/>
                <w:sz w:val="21"/>
                <w:szCs w:val="21"/>
              </w:rPr>
            </w:pPr>
            <w:r>
              <w:rPr>
                <w:rFonts w:eastAsia="宋体"/>
                <w:color w:val="auto"/>
                <w:kern w:val="0"/>
                <w:sz w:val="21"/>
                <w:szCs w:val="21"/>
                <w:lang w:bidi="ar"/>
              </w:rPr>
              <w:t>一级指标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3D889F0E">
            <w:pPr>
              <w:widowControl/>
              <w:spacing w:line="300" w:lineRule="exact"/>
              <w:jc w:val="center"/>
              <w:textAlignment w:val="center"/>
              <w:rPr>
                <w:rFonts w:eastAsia="宋体"/>
                <w:color w:val="auto"/>
                <w:sz w:val="21"/>
                <w:szCs w:val="21"/>
              </w:rPr>
            </w:pPr>
            <w:r>
              <w:rPr>
                <w:rFonts w:eastAsia="宋体"/>
                <w:color w:val="auto"/>
                <w:kern w:val="0"/>
                <w:sz w:val="21"/>
                <w:szCs w:val="21"/>
                <w:lang w:bidi="ar"/>
              </w:rPr>
              <w:t>二级指标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04C92320">
            <w:pPr>
              <w:widowControl/>
              <w:spacing w:line="300" w:lineRule="exact"/>
              <w:jc w:val="center"/>
              <w:textAlignment w:val="center"/>
              <w:rPr>
                <w:rFonts w:eastAsia="宋体"/>
                <w:color w:val="auto"/>
                <w:sz w:val="21"/>
                <w:szCs w:val="21"/>
              </w:rPr>
            </w:pPr>
            <w:r>
              <w:rPr>
                <w:rFonts w:eastAsia="宋体"/>
                <w:color w:val="auto"/>
                <w:kern w:val="0"/>
                <w:sz w:val="21"/>
                <w:szCs w:val="21"/>
                <w:lang w:bidi="ar"/>
              </w:rPr>
              <w:t>三级指标</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62F58D50">
            <w:pPr>
              <w:widowControl/>
              <w:spacing w:line="300" w:lineRule="exact"/>
              <w:jc w:val="center"/>
              <w:textAlignment w:val="center"/>
              <w:rPr>
                <w:rFonts w:eastAsia="宋体"/>
                <w:color w:val="auto"/>
                <w:kern w:val="0"/>
                <w:sz w:val="21"/>
                <w:szCs w:val="21"/>
                <w:lang w:bidi="ar"/>
              </w:rPr>
            </w:pPr>
            <w:r>
              <w:rPr>
                <w:rFonts w:eastAsia="宋体"/>
                <w:color w:val="auto"/>
                <w:kern w:val="0"/>
                <w:sz w:val="21"/>
                <w:szCs w:val="21"/>
                <w:lang w:bidi="ar"/>
              </w:rPr>
              <w:t>绩效指标</w:t>
            </w:r>
          </w:p>
          <w:p w14:paraId="5EED4564">
            <w:pPr>
              <w:widowControl/>
              <w:spacing w:line="300" w:lineRule="exact"/>
              <w:jc w:val="center"/>
              <w:textAlignment w:val="center"/>
              <w:rPr>
                <w:rFonts w:eastAsia="宋体"/>
                <w:color w:val="auto"/>
                <w:sz w:val="21"/>
                <w:szCs w:val="21"/>
              </w:rPr>
            </w:pPr>
            <w:r>
              <w:rPr>
                <w:rFonts w:eastAsia="宋体"/>
                <w:color w:val="auto"/>
                <w:kern w:val="0"/>
                <w:sz w:val="21"/>
                <w:szCs w:val="21"/>
                <w:lang w:bidi="ar"/>
              </w:rPr>
              <w:t>性质</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4AC25526">
            <w:pPr>
              <w:widowControl/>
              <w:spacing w:line="300" w:lineRule="exact"/>
              <w:jc w:val="center"/>
              <w:textAlignment w:val="center"/>
              <w:rPr>
                <w:rFonts w:eastAsia="宋体"/>
                <w:color w:val="auto"/>
                <w:sz w:val="21"/>
                <w:szCs w:val="21"/>
              </w:rPr>
            </w:pPr>
            <w:r>
              <w:rPr>
                <w:rFonts w:eastAsia="宋体"/>
                <w:color w:val="auto"/>
                <w:kern w:val="0"/>
                <w:sz w:val="21"/>
                <w:szCs w:val="21"/>
                <w:lang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0F03121B">
            <w:pPr>
              <w:widowControl/>
              <w:spacing w:line="300" w:lineRule="exact"/>
              <w:jc w:val="center"/>
              <w:textAlignment w:val="center"/>
              <w:rPr>
                <w:rFonts w:eastAsia="宋体"/>
                <w:color w:val="auto"/>
                <w:sz w:val="21"/>
                <w:szCs w:val="21"/>
              </w:rPr>
            </w:pPr>
            <w:r>
              <w:rPr>
                <w:rFonts w:eastAsia="宋体"/>
                <w:color w:val="auto"/>
                <w:kern w:val="0"/>
                <w:sz w:val="21"/>
                <w:szCs w:val="21"/>
                <w:lang w:bidi="ar"/>
              </w:rPr>
              <w:t>绩效度量单位</w:t>
            </w:r>
          </w:p>
        </w:tc>
        <w:tc>
          <w:tcPr>
            <w:tcW w:w="926" w:type="dxa"/>
            <w:tcBorders>
              <w:top w:val="single" w:color="000000" w:sz="4" w:space="0"/>
              <w:left w:val="single" w:color="000000" w:sz="4" w:space="0"/>
              <w:bottom w:val="single" w:color="000000" w:sz="4" w:space="0"/>
            </w:tcBorders>
            <w:noWrap w:val="0"/>
            <w:vAlign w:val="center"/>
          </w:tcPr>
          <w:p w14:paraId="717186FA">
            <w:pPr>
              <w:widowControl/>
              <w:spacing w:line="300" w:lineRule="exact"/>
              <w:jc w:val="center"/>
              <w:textAlignment w:val="center"/>
              <w:rPr>
                <w:rFonts w:eastAsia="宋体"/>
                <w:color w:val="auto"/>
                <w:sz w:val="21"/>
                <w:szCs w:val="21"/>
              </w:rPr>
            </w:pPr>
            <w:r>
              <w:rPr>
                <w:rFonts w:eastAsia="宋体"/>
                <w:color w:val="auto"/>
                <w:kern w:val="0"/>
                <w:sz w:val="21"/>
                <w:szCs w:val="21"/>
                <w:lang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580A1A3C">
            <w:pPr>
              <w:widowControl/>
              <w:spacing w:line="300" w:lineRule="exact"/>
              <w:jc w:val="center"/>
              <w:textAlignment w:val="center"/>
              <w:rPr>
                <w:rFonts w:eastAsia="宋体"/>
                <w:color w:val="auto"/>
                <w:kern w:val="0"/>
                <w:sz w:val="21"/>
                <w:szCs w:val="21"/>
                <w:lang w:bidi="ar"/>
              </w:rPr>
            </w:pPr>
            <w:r>
              <w:rPr>
                <w:rFonts w:eastAsia="宋体"/>
                <w:color w:val="auto"/>
                <w:kern w:val="0"/>
                <w:sz w:val="21"/>
                <w:szCs w:val="21"/>
                <w:lang w:bidi="ar"/>
              </w:rPr>
              <w:t>实际完成</w:t>
            </w:r>
          </w:p>
          <w:p w14:paraId="5536D0EC">
            <w:pPr>
              <w:widowControl/>
              <w:spacing w:line="300" w:lineRule="exact"/>
              <w:jc w:val="center"/>
              <w:textAlignment w:val="center"/>
              <w:rPr>
                <w:rFonts w:eastAsia="宋体"/>
                <w:color w:val="auto"/>
                <w:sz w:val="21"/>
                <w:szCs w:val="21"/>
              </w:rPr>
            </w:pPr>
            <w:r>
              <w:rPr>
                <w:rFonts w:eastAsia="宋体"/>
                <w:color w:val="auto"/>
                <w:kern w:val="0"/>
                <w:sz w:val="21"/>
                <w:szCs w:val="21"/>
                <w:lang w:bidi="ar"/>
              </w:rPr>
              <w:t>指标值</w:t>
            </w:r>
          </w:p>
        </w:tc>
      </w:tr>
      <w:tr w14:paraId="531FBB1F">
        <w:tblPrEx>
          <w:tblCellMar>
            <w:top w:w="15" w:type="dxa"/>
            <w:left w:w="15" w:type="dxa"/>
            <w:bottom w:w="15" w:type="dxa"/>
            <w:right w:w="15" w:type="dxa"/>
          </w:tblCellMar>
        </w:tblPrEx>
        <w:trPr>
          <w:trHeight w:val="45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A5FA09">
            <w:pPr>
              <w:widowControl/>
              <w:spacing w:line="300" w:lineRule="exact"/>
              <w:jc w:val="center"/>
              <w:rPr>
                <w:rFonts w:eastAsia="宋体"/>
                <w:color w:val="auto"/>
                <w:sz w:val="21"/>
                <w:szCs w:val="21"/>
              </w:rPr>
            </w:pPr>
          </w:p>
        </w:tc>
        <w:tc>
          <w:tcPr>
            <w:tcW w:w="1347" w:type="dxa"/>
            <w:vMerge w:val="restart"/>
            <w:tcBorders>
              <w:top w:val="single" w:color="000000" w:sz="4" w:space="0"/>
              <w:left w:val="single" w:color="000000" w:sz="4" w:space="0"/>
              <w:bottom w:val="single" w:color="000000" w:sz="4" w:space="0"/>
              <w:right w:val="single" w:color="000000" w:sz="4" w:space="0"/>
            </w:tcBorders>
            <w:noWrap w:val="0"/>
            <w:vAlign w:val="center"/>
          </w:tcPr>
          <w:p w14:paraId="06FC29C7">
            <w:pPr>
              <w:widowControl/>
              <w:spacing w:line="300" w:lineRule="exact"/>
              <w:jc w:val="center"/>
              <w:textAlignment w:val="center"/>
              <w:rPr>
                <w:rFonts w:eastAsia="宋体"/>
                <w:color w:val="auto"/>
                <w:sz w:val="21"/>
                <w:szCs w:val="21"/>
              </w:rPr>
            </w:pPr>
            <w:r>
              <w:rPr>
                <w:rFonts w:eastAsia="宋体"/>
                <w:color w:val="auto"/>
                <w:kern w:val="0"/>
                <w:sz w:val="21"/>
                <w:szCs w:val="21"/>
                <w:lang w:bidi="ar"/>
              </w:rPr>
              <w:t>产出指标</w:t>
            </w:r>
          </w:p>
        </w:tc>
        <w:tc>
          <w:tcPr>
            <w:tcW w:w="1273" w:type="dxa"/>
            <w:vMerge w:val="restart"/>
            <w:tcBorders>
              <w:top w:val="single" w:color="000000" w:sz="4" w:space="0"/>
              <w:left w:val="single" w:color="000000" w:sz="4" w:space="0"/>
              <w:right w:val="single" w:color="000000" w:sz="4" w:space="0"/>
            </w:tcBorders>
            <w:noWrap w:val="0"/>
            <w:vAlign w:val="center"/>
          </w:tcPr>
          <w:p w14:paraId="50EE6456">
            <w:pPr>
              <w:widowControl/>
              <w:spacing w:line="300" w:lineRule="exact"/>
              <w:jc w:val="center"/>
              <w:textAlignment w:val="center"/>
              <w:rPr>
                <w:rFonts w:eastAsia="宋体"/>
                <w:color w:val="auto"/>
                <w:sz w:val="18"/>
                <w:szCs w:val="18"/>
              </w:rPr>
            </w:pPr>
            <w:r>
              <w:rPr>
                <w:rFonts w:eastAsia="宋体"/>
                <w:color w:val="auto"/>
                <w:kern w:val="0"/>
                <w:sz w:val="18"/>
                <w:szCs w:val="18"/>
                <w:lang w:bidi="ar"/>
              </w:rPr>
              <w:t>数量指标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4DACA4CF">
            <w:pPr>
              <w:widowControl/>
              <w:spacing w:line="300" w:lineRule="exact"/>
              <w:jc w:val="center"/>
              <w:rPr>
                <w:rFonts w:eastAsia="宋体"/>
                <w:color w:val="auto"/>
                <w:sz w:val="18"/>
                <w:szCs w:val="18"/>
              </w:rPr>
            </w:pPr>
            <w:r>
              <w:rPr>
                <w:rFonts w:eastAsia="宋体"/>
                <w:color w:val="auto"/>
                <w:sz w:val="18"/>
                <w:szCs w:val="18"/>
              </w:rPr>
              <w:t>媒体合作家</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0E93DF77">
            <w:pPr>
              <w:widowControl/>
              <w:spacing w:line="300" w:lineRule="exact"/>
              <w:jc w:val="center"/>
              <w:textAlignment w:val="center"/>
              <w:rPr>
                <w:rFonts w:eastAsia="宋体"/>
                <w:color w:val="auto"/>
                <w:sz w:val="18"/>
                <w:szCs w:val="18"/>
              </w:rPr>
            </w:pPr>
            <w:r>
              <w:rPr>
                <w:rFonts w:eastAsia="宋体"/>
                <w:color w:val="auto"/>
                <w:sz w:val="18"/>
                <w:szCs w:val="18"/>
              </w:rPr>
              <w:t>≥</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062D690D">
            <w:pPr>
              <w:widowControl/>
              <w:spacing w:line="300" w:lineRule="exact"/>
              <w:jc w:val="center"/>
              <w:textAlignment w:val="center"/>
              <w:rPr>
                <w:rFonts w:eastAsia="宋体"/>
                <w:color w:val="auto"/>
                <w:sz w:val="18"/>
                <w:szCs w:val="18"/>
              </w:rPr>
            </w:pPr>
            <w:r>
              <w:rPr>
                <w:rFonts w:eastAsia="宋体"/>
                <w:color w:val="auto"/>
                <w:kern w:val="0"/>
                <w:sz w:val="18"/>
                <w:szCs w:val="18"/>
                <w:lang w:bidi="ar"/>
              </w:rPr>
              <w:t>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29F81FA7">
            <w:pPr>
              <w:widowControl/>
              <w:spacing w:line="300" w:lineRule="exact"/>
              <w:jc w:val="center"/>
              <w:textAlignment w:val="center"/>
              <w:rPr>
                <w:rFonts w:eastAsia="宋体"/>
                <w:color w:val="auto"/>
                <w:sz w:val="18"/>
                <w:szCs w:val="18"/>
              </w:rPr>
            </w:pPr>
            <w:r>
              <w:rPr>
                <w:rFonts w:eastAsia="宋体"/>
                <w:color w:val="auto"/>
                <w:kern w:val="0"/>
                <w:sz w:val="18"/>
                <w:szCs w:val="18"/>
                <w:lang w:bidi="ar"/>
              </w:rPr>
              <w:t>家</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662DAB95">
            <w:pPr>
              <w:widowControl/>
              <w:spacing w:line="300" w:lineRule="exact"/>
              <w:jc w:val="center"/>
              <w:textAlignment w:val="center"/>
              <w:rPr>
                <w:rFonts w:eastAsia="宋体"/>
                <w:color w:val="auto"/>
                <w:sz w:val="18"/>
                <w:szCs w:val="18"/>
              </w:rPr>
            </w:pPr>
            <w:r>
              <w:rPr>
                <w:rFonts w:eastAsia="宋体"/>
                <w:color w:val="auto"/>
                <w:sz w:val="18"/>
                <w:szCs w:val="18"/>
              </w:rPr>
              <w:t>15</w:t>
            </w:r>
          </w:p>
        </w:tc>
        <w:tc>
          <w:tcPr>
            <w:tcW w:w="1113" w:type="dxa"/>
            <w:tcBorders>
              <w:left w:val="single" w:color="000000" w:sz="4" w:space="0"/>
              <w:bottom w:val="single" w:color="000000" w:sz="4" w:space="0"/>
              <w:right w:val="single" w:color="000000" w:sz="4" w:space="0"/>
            </w:tcBorders>
            <w:noWrap w:val="0"/>
            <w:vAlign w:val="center"/>
          </w:tcPr>
          <w:p w14:paraId="3C2AC17C">
            <w:pPr>
              <w:widowControl/>
              <w:spacing w:line="300" w:lineRule="exact"/>
              <w:jc w:val="center"/>
              <w:textAlignment w:val="center"/>
              <w:rPr>
                <w:rFonts w:eastAsia="宋体"/>
                <w:color w:val="auto"/>
                <w:sz w:val="18"/>
                <w:szCs w:val="18"/>
              </w:rPr>
            </w:pPr>
            <w:r>
              <w:rPr>
                <w:rFonts w:eastAsia="宋体"/>
                <w:color w:val="auto"/>
                <w:sz w:val="18"/>
                <w:szCs w:val="18"/>
              </w:rPr>
              <w:t>2</w:t>
            </w:r>
          </w:p>
        </w:tc>
      </w:tr>
      <w:tr w14:paraId="131D3E0E">
        <w:tblPrEx>
          <w:tblCellMar>
            <w:top w:w="15" w:type="dxa"/>
            <w:left w:w="15" w:type="dxa"/>
            <w:bottom w:w="15" w:type="dxa"/>
            <w:right w:w="15" w:type="dxa"/>
          </w:tblCellMar>
        </w:tblPrEx>
        <w:trPr>
          <w:trHeight w:val="658"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7D1104">
            <w:pPr>
              <w:widowControl/>
              <w:spacing w:line="300" w:lineRule="exact"/>
              <w:jc w:val="center"/>
              <w:rPr>
                <w:rFonts w:eastAsia="宋体"/>
                <w:color w:val="auto"/>
                <w:sz w:val="21"/>
                <w:szCs w:val="21"/>
              </w:rPr>
            </w:pPr>
          </w:p>
        </w:tc>
        <w:tc>
          <w:tcPr>
            <w:tcW w:w="1347" w:type="dxa"/>
            <w:vMerge w:val="continue"/>
            <w:tcBorders>
              <w:left w:val="single" w:color="000000" w:sz="4" w:space="0"/>
              <w:right w:val="single" w:color="000000" w:sz="4" w:space="0"/>
            </w:tcBorders>
            <w:noWrap w:val="0"/>
            <w:vAlign w:val="center"/>
          </w:tcPr>
          <w:p w14:paraId="18ECE750">
            <w:pPr>
              <w:widowControl/>
              <w:spacing w:line="300" w:lineRule="exact"/>
              <w:jc w:val="center"/>
              <w:textAlignment w:val="center"/>
              <w:rPr>
                <w:rFonts w:eastAsia="宋体"/>
                <w:color w:val="auto"/>
                <w:kern w:val="0"/>
                <w:sz w:val="21"/>
                <w:szCs w:val="21"/>
                <w:lang w:bidi="ar"/>
              </w:rPr>
            </w:pPr>
          </w:p>
        </w:tc>
        <w:tc>
          <w:tcPr>
            <w:tcW w:w="1273" w:type="dxa"/>
            <w:vMerge w:val="continue"/>
            <w:tcBorders>
              <w:left w:val="single" w:color="000000" w:sz="4" w:space="0"/>
              <w:bottom w:val="single" w:color="000000" w:sz="4" w:space="0"/>
              <w:right w:val="single" w:color="000000" w:sz="4" w:space="0"/>
            </w:tcBorders>
            <w:noWrap w:val="0"/>
            <w:vAlign w:val="center"/>
          </w:tcPr>
          <w:p w14:paraId="524628B0">
            <w:pPr>
              <w:widowControl/>
              <w:spacing w:line="300" w:lineRule="exact"/>
              <w:jc w:val="center"/>
              <w:textAlignment w:val="center"/>
              <w:rPr>
                <w:rFonts w:eastAsia="宋体"/>
                <w:color w:val="auto"/>
                <w:kern w:val="0"/>
                <w:sz w:val="18"/>
                <w:szCs w:val="18"/>
                <w:lang w:bidi="ar"/>
              </w:rPr>
            </w:pP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708BA62F">
            <w:pPr>
              <w:widowControl/>
              <w:spacing w:line="300" w:lineRule="exact"/>
              <w:jc w:val="center"/>
              <w:rPr>
                <w:rFonts w:eastAsia="宋体"/>
                <w:color w:val="auto"/>
                <w:sz w:val="18"/>
                <w:szCs w:val="18"/>
              </w:rPr>
            </w:pPr>
            <w:r>
              <w:rPr>
                <w:rFonts w:eastAsia="宋体"/>
                <w:color w:val="auto"/>
                <w:sz w:val="18"/>
                <w:szCs w:val="18"/>
              </w:rPr>
              <w:t>保障单位正常运行支出</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7BA06C90">
            <w:pPr>
              <w:widowControl/>
              <w:spacing w:line="300" w:lineRule="exact"/>
              <w:jc w:val="center"/>
              <w:textAlignment w:val="center"/>
              <w:rPr>
                <w:rFonts w:eastAsia="宋体"/>
                <w:color w:val="auto"/>
                <w:sz w:val="18"/>
                <w:szCs w:val="18"/>
              </w:rPr>
            </w:pPr>
            <w:r>
              <w:rPr>
                <w:rFonts w:eastAsia="宋体"/>
                <w:color w:val="auto"/>
                <w:sz w:val="18"/>
                <w:szCs w:val="18"/>
              </w:rPr>
              <w:t>＝</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51B8FCDC">
            <w:pPr>
              <w:widowControl/>
              <w:spacing w:line="300" w:lineRule="exact"/>
              <w:jc w:val="center"/>
              <w:textAlignment w:val="center"/>
              <w:rPr>
                <w:rFonts w:eastAsia="宋体"/>
                <w:color w:val="auto"/>
                <w:sz w:val="18"/>
                <w:szCs w:val="18"/>
              </w:rPr>
            </w:pPr>
            <w:r>
              <w:rPr>
                <w:rFonts w:eastAsia="宋体"/>
                <w:color w:val="auto"/>
                <w:sz w:val="18"/>
                <w:szCs w:val="18"/>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6087EAD5">
            <w:pPr>
              <w:widowControl/>
              <w:spacing w:line="300" w:lineRule="exact"/>
              <w:jc w:val="center"/>
              <w:textAlignment w:val="center"/>
              <w:rPr>
                <w:rFonts w:eastAsia="宋体"/>
                <w:color w:val="auto"/>
                <w:sz w:val="18"/>
                <w:szCs w:val="18"/>
              </w:rPr>
            </w:pPr>
            <w:r>
              <w:rPr>
                <w:rFonts w:eastAsia="宋体"/>
                <w:color w:val="auto"/>
                <w:sz w:val="18"/>
                <w:szCs w:val="18"/>
              </w:rPr>
              <w:t>年</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09DE68A2">
            <w:pPr>
              <w:widowControl/>
              <w:spacing w:line="300" w:lineRule="exact"/>
              <w:jc w:val="center"/>
              <w:textAlignment w:val="center"/>
              <w:rPr>
                <w:rFonts w:eastAsia="宋体"/>
                <w:color w:val="auto"/>
                <w:sz w:val="18"/>
                <w:szCs w:val="18"/>
              </w:rPr>
            </w:pPr>
            <w:r>
              <w:rPr>
                <w:rFonts w:eastAsia="宋体"/>
                <w:color w:val="auto"/>
                <w:sz w:val="18"/>
                <w:szCs w:val="18"/>
              </w:rPr>
              <w:t>15</w:t>
            </w:r>
          </w:p>
        </w:tc>
        <w:tc>
          <w:tcPr>
            <w:tcW w:w="1113" w:type="dxa"/>
            <w:tcBorders>
              <w:left w:val="single" w:color="000000" w:sz="4" w:space="0"/>
              <w:bottom w:val="single" w:color="000000" w:sz="4" w:space="0"/>
              <w:right w:val="single" w:color="000000" w:sz="4" w:space="0"/>
            </w:tcBorders>
            <w:noWrap w:val="0"/>
            <w:vAlign w:val="center"/>
          </w:tcPr>
          <w:p w14:paraId="2F39CFFF">
            <w:pPr>
              <w:widowControl/>
              <w:spacing w:line="300" w:lineRule="exact"/>
              <w:jc w:val="center"/>
              <w:textAlignment w:val="center"/>
              <w:rPr>
                <w:rFonts w:eastAsia="宋体"/>
                <w:color w:val="auto"/>
                <w:sz w:val="18"/>
                <w:szCs w:val="18"/>
              </w:rPr>
            </w:pPr>
            <w:r>
              <w:rPr>
                <w:rFonts w:eastAsia="宋体"/>
                <w:color w:val="auto"/>
                <w:sz w:val="18"/>
                <w:szCs w:val="18"/>
              </w:rPr>
              <w:t>1</w:t>
            </w:r>
          </w:p>
        </w:tc>
      </w:tr>
      <w:tr w14:paraId="203A12E2">
        <w:tblPrEx>
          <w:tblCellMar>
            <w:top w:w="15" w:type="dxa"/>
            <w:left w:w="15" w:type="dxa"/>
            <w:bottom w:w="15" w:type="dxa"/>
            <w:right w:w="15" w:type="dxa"/>
          </w:tblCellMar>
        </w:tblPrEx>
        <w:trPr>
          <w:trHeight w:val="71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944818">
            <w:pPr>
              <w:widowControl/>
              <w:spacing w:line="300" w:lineRule="exact"/>
              <w:jc w:val="center"/>
              <w:rPr>
                <w:rFonts w:eastAsia="宋体"/>
                <w:color w:val="auto"/>
                <w:sz w:val="21"/>
                <w:szCs w:val="21"/>
              </w:rPr>
            </w:pPr>
          </w:p>
        </w:tc>
        <w:tc>
          <w:tcPr>
            <w:tcW w:w="13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5D9296">
            <w:pPr>
              <w:widowControl/>
              <w:spacing w:line="300" w:lineRule="exact"/>
              <w:jc w:val="center"/>
              <w:rPr>
                <w:rFonts w:eastAsia="宋体"/>
                <w:color w:val="auto"/>
                <w:sz w:val="21"/>
                <w:szCs w:val="21"/>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7A316527">
            <w:pPr>
              <w:widowControl/>
              <w:spacing w:line="300" w:lineRule="exact"/>
              <w:jc w:val="center"/>
              <w:textAlignment w:val="center"/>
              <w:rPr>
                <w:rFonts w:eastAsia="宋体"/>
                <w:color w:val="auto"/>
                <w:sz w:val="18"/>
                <w:szCs w:val="18"/>
              </w:rPr>
            </w:pPr>
            <w:r>
              <w:rPr>
                <w:rFonts w:eastAsia="宋体"/>
                <w:color w:val="auto"/>
                <w:kern w:val="0"/>
                <w:sz w:val="18"/>
                <w:szCs w:val="18"/>
                <w:lang w:bidi="ar"/>
              </w:rPr>
              <w:t>质量指标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233B19E7">
            <w:pPr>
              <w:widowControl/>
              <w:spacing w:line="300" w:lineRule="exact"/>
              <w:jc w:val="center"/>
              <w:rPr>
                <w:rFonts w:eastAsia="宋体"/>
                <w:color w:val="auto"/>
                <w:sz w:val="18"/>
                <w:szCs w:val="18"/>
              </w:rPr>
            </w:pPr>
            <w:r>
              <w:rPr>
                <w:rFonts w:eastAsia="宋体"/>
                <w:color w:val="auto"/>
                <w:sz w:val="18"/>
                <w:szCs w:val="18"/>
              </w:rPr>
              <w:t>关键工作完成质量</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21574512">
            <w:pPr>
              <w:widowControl/>
              <w:spacing w:line="300" w:lineRule="exact"/>
              <w:jc w:val="center"/>
              <w:rPr>
                <w:rFonts w:eastAsia="宋体"/>
                <w:color w:val="auto"/>
                <w:sz w:val="18"/>
                <w:szCs w:val="18"/>
              </w:rPr>
            </w:pPr>
            <w:r>
              <w:rPr>
                <w:rFonts w:eastAsia="宋体"/>
                <w:color w:val="auto"/>
                <w:sz w:val="18"/>
                <w:szCs w:val="18"/>
              </w:rPr>
              <w:t>定性</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018B405A">
            <w:pPr>
              <w:widowControl/>
              <w:spacing w:line="300" w:lineRule="exact"/>
              <w:jc w:val="center"/>
              <w:rPr>
                <w:rFonts w:eastAsia="宋体"/>
                <w:color w:val="auto"/>
                <w:sz w:val="18"/>
                <w:szCs w:val="18"/>
              </w:rPr>
            </w:pPr>
            <w:r>
              <w:rPr>
                <w:rFonts w:eastAsia="宋体"/>
                <w:color w:val="auto"/>
                <w:sz w:val="18"/>
                <w:szCs w:val="18"/>
              </w:rPr>
              <w:t>优</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0C231F2A">
            <w:pPr>
              <w:widowControl/>
              <w:spacing w:line="300" w:lineRule="exact"/>
              <w:jc w:val="center"/>
              <w:rPr>
                <w:rFonts w:eastAsia="宋体"/>
                <w:color w:val="auto"/>
                <w:sz w:val="18"/>
                <w:szCs w:val="18"/>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1AC9BFC">
            <w:pPr>
              <w:widowControl/>
              <w:spacing w:line="300" w:lineRule="exact"/>
              <w:jc w:val="center"/>
              <w:rPr>
                <w:rFonts w:eastAsia="宋体"/>
                <w:color w:val="auto"/>
                <w:sz w:val="18"/>
                <w:szCs w:val="18"/>
              </w:rPr>
            </w:pPr>
            <w:r>
              <w:rPr>
                <w:rFonts w:eastAsia="宋体"/>
                <w:color w:val="auto"/>
                <w:sz w:val="18"/>
                <w:szCs w:val="18"/>
              </w:rPr>
              <w:t>20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4C3C9E5D">
            <w:pPr>
              <w:widowControl/>
              <w:spacing w:line="300" w:lineRule="exact"/>
              <w:jc w:val="center"/>
              <w:rPr>
                <w:rFonts w:eastAsia="宋体"/>
                <w:color w:val="auto"/>
                <w:sz w:val="18"/>
                <w:szCs w:val="18"/>
              </w:rPr>
            </w:pPr>
            <w:r>
              <w:rPr>
                <w:rFonts w:eastAsia="宋体"/>
                <w:color w:val="auto"/>
                <w:sz w:val="18"/>
                <w:szCs w:val="18"/>
              </w:rPr>
              <w:t>优</w:t>
            </w:r>
          </w:p>
        </w:tc>
      </w:tr>
      <w:tr w14:paraId="1584CA6D">
        <w:tblPrEx>
          <w:tblCellMar>
            <w:top w:w="15" w:type="dxa"/>
            <w:left w:w="15" w:type="dxa"/>
            <w:bottom w:w="15" w:type="dxa"/>
            <w:right w:w="15" w:type="dxa"/>
          </w:tblCellMar>
        </w:tblPrEx>
        <w:trPr>
          <w:trHeight w:val="49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C7289">
            <w:pPr>
              <w:widowControl/>
              <w:spacing w:line="300" w:lineRule="exact"/>
              <w:jc w:val="center"/>
              <w:rPr>
                <w:rFonts w:eastAsia="宋体"/>
                <w:color w:val="auto"/>
                <w:sz w:val="21"/>
                <w:szCs w:val="21"/>
              </w:rPr>
            </w:pPr>
          </w:p>
        </w:tc>
        <w:tc>
          <w:tcPr>
            <w:tcW w:w="13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D62F36">
            <w:pPr>
              <w:widowControl/>
              <w:spacing w:line="300" w:lineRule="exact"/>
              <w:jc w:val="center"/>
              <w:rPr>
                <w:rFonts w:eastAsia="宋体"/>
                <w:color w:val="auto"/>
                <w:sz w:val="21"/>
                <w:szCs w:val="21"/>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12F94FA5">
            <w:pPr>
              <w:widowControl/>
              <w:spacing w:line="300" w:lineRule="exact"/>
              <w:jc w:val="center"/>
              <w:textAlignment w:val="center"/>
              <w:rPr>
                <w:rFonts w:eastAsia="宋体"/>
                <w:color w:val="auto"/>
                <w:sz w:val="18"/>
                <w:szCs w:val="18"/>
              </w:rPr>
            </w:pPr>
            <w:r>
              <w:rPr>
                <w:rFonts w:eastAsia="宋体"/>
                <w:color w:val="auto"/>
                <w:kern w:val="0"/>
                <w:sz w:val="18"/>
                <w:szCs w:val="18"/>
                <w:lang w:bidi="ar"/>
              </w:rPr>
              <w:t>时效指标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5F7DAA6A">
            <w:pPr>
              <w:widowControl/>
              <w:spacing w:line="300" w:lineRule="exact"/>
              <w:jc w:val="center"/>
              <w:rPr>
                <w:rFonts w:eastAsia="宋体"/>
                <w:color w:val="auto"/>
                <w:sz w:val="18"/>
                <w:szCs w:val="18"/>
              </w:rPr>
            </w:pPr>
            <w:r>
              <w:rPr>
                <w:rFonts w:eastAsia="宋体"/>
                <w:color w:val="auto"/>
                <w:sz w:val="18"/>
                <w:szCs w:val="18"/>
              </w:rPr>
              <w:t>工作完成时效</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6CA7C8D3">
            <w:pPr>
              <w:widowControl/>
              <w:spacing w:line="300" w:lineRule="exact"/>
              <w:jc w:val="center"/>
              <w:rPr>
                <w:rFonts w:eastAsia="宋体"/>
                <w:color w:val="auto"/>
                <w:sz w:val="18"/>
                <w:szCs w:val="18"/>
              </w:rPr>
            </w:pPr>
            <w:r>
              <w:rPr>
                <w:rFonts w:eastAsia="宋体"/>
                <w:color w:val="auto"/>
                <w:sz w:val="18"/>
                <w:szCs w:val="18"/>
              </w:rPr>
              <w:t>≤</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1C5505F4">
            <w:pPr>
              <w:widowControl/>
              <w:spacing w:line="300" w:lineRule="exact"/>
              <w:jc w:val="center"/>
              <w:rPr>
                <w:rFonts w:eastAsia="宋体"/>
                <w:color w:val="auto"/>
                <w:sz w:val="18"/>
                <w:szCs w:val="18"/>
              </w:rPr>
            </w:pPr>
            <w:r>
              <w:rPr>
                <w:rFonts w:eastAsia="宋体"/>
                <w:color w:val="auto"/>
                <w:sz w:val="18"/>
                <w:szCs w:val="18"/>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2A2CA516">
            <w:pPr>
              <w:widowControl/>
              <w:spacing w:line="300" w:lineRule="exact"/>
              <w:jc w:val="center"/>
              <w:rPr>
                <w:rFonts w:eastAsia="宋体"/>
                <w:color w:val="auto"/>
                <w:sz w:val="18"/>
                <w:szCs w:val="18"/>
              </w:rPr>
            </w:pPr>
            <w:r>
              <w:rPr>
                <w:rFonts w:eastAsia="宋体"/>
                <w:color w:val="auto"/>
                <w:sz w:val="18"/>
                <w:szCs w:val="18"/>
              </w:rPr>
              <w:t>年</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3FAD00C4">
            <w:pPr>
              <w:widowControl/>
              <w:spacing w:line="300" w:lineRule="exact"/>
              <w:jc w:val="center"/>
              <w:rPr>
                <w:rFonts w:eastAsia="宋体"/>
                <w:color w:val="auto"/>
                <w:sz w:val="18"/>
                <w:szCs w:val="18"/>
              </w:rPr>
            </w:pPr>
            <w:r>
              <w:rPr>
                <w:rFonts w:eastAsia="宋体"/>
                <w:color w:val="auto"/>
                <w:sz w:val="18"/>
                <w:szCs w:val="18"/>
              </w:rPr>
              <w:t>20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49EDC6B9">
            <w:pPr>
              <w:widowControl/>
              <w:spacing w:line="300" w:lineRule="exact"/>
              <w:jc w:val="center"/>
              <w:rPr>
                <w:rFonts w:eastAsia="宋体"/>
                <w:color w:val="auto"/>
                <w:sz w:val="18"/>
                <w:szCs w:val="18"/>
              </w:rPr>
            </w:pPr>
            <w:r>
              <w:rPr>
                <w:rFonts w:eastAsia="宋体"/>
                <w:color w:val="auto"/>
                <w:sz w:val="18"/>
                <w:szCs w:val="18"/>
              </w:rPr>
              <w:t>1年</w:t>
            </w:r>
          </w:p>
        </w:tc>
      </w:tr>
      <w:tr w14:paraId="35FFBF17">
        <w:tblPrEx>
          <w:tblCellMar>
            <w:top w:w="15" w:type="dxa"/>
            <w:left w:w="15" w:type="dxa"/>
            <w:bottom w:w="15" w:type="dxa"/>
            <w:right w:w="15" w:type="dxa"/>
          </w:tblCellMar>
        </w:tblPrEx>
        <w:trPr>
          <w:trHeight w:val="908"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EF448F">
            <w:pPr>
              <w:widowControl/>
              <w:spacing w:line="300" w:lineRule="exact"/>
              <w:jc w:val="center"/>
              <w:rPr>
                <w:rFonts w:eastAsia="宋体"/>
                <w:color w:val="auto"/>
                <w:sz w:val="21"/>
                <w:szCs w:val="21"/>
              </w:rPr>
            </w:pPr>
          </w:p>
        </w:tc>
        <w:tc>
          <w:tcPr>
            <w:tcW w:w="1347" w:type="dxa"/>
            <w:vMerge w:val="restart"/>
            <w:tcBorders>
              <w:top w:val="single" w:color="000000" w:sz="4" w:space="0"/>
              <w:left w:val="single" w:color="000000" w:sz="4" w:space="0"/>
              <w:bottom w:val="single" w:color="000000" w:sz="4" w:space="0"/>
              <w:right w:val="single" w:color="000000" w:sz="4" w:space="0"/>
            </w:tcBorders>
            <w:noWrap w:val="0"/>
            <w:vAlign w:val="center"/>
          </w:tcPr>
          <w:p w14:paraId="32D15ECB">
            <w:pPr>
              <w:widowControl/>
              <w:spacing w:line="300" w:lineRule="exact"/>
              <w:jc w:val="center"/>
              <w:textAlignment w:val="center"/>
              <w:rPr>
                <w:rFonts w:eastAsia="宋体"/>
                <w:color w:val="auto"/>
                <w:sz w:val="21"/>
                <w:szCs w:val="21"/>
              </w:rPr>
            </w:pPr>
            <w:r>
              <w:rPr>
                <w:rFonts w:eastAsia="宋体"/>
                <w:color w:val="auto"/>
                <w:kern w:val="0"/>
                <w:sz w:val="21"/>
                <w:szCs w:val="21"/>
                <w:lang w:bidi="ar"/>
              </w:rPr>
              <w:t>效益指标</w:t>
            </w:r>
          </w:p>
        </w:tc>
        <w:tc>
          <w:tcPr>
            <w:tcW w:w="1273" w:type="dxa"/>
            <w:tcBorders>
              <w:top w:val="single" w:color="000000" w:sz="4" w:space="0"/>
              <w:left w:val="single" w:color="000000" w:sz="4" w:space="0"/>
              <w:right w:val="single" w:color="000000" w:sz="4" w:space="0"/>
            </w:tcBorders>
            <w:noWrap w:val="0"/>
            <w:vAlign w:val="center"/>
          </w:tcPr>
          <w:p w14:paraId="09C87FC0">
            <w:pPr>
              <w:widowControl/>
              <w:spacing w:line="300" w:lineRule="exact"/>
              <w:jc w:val="center"/>
              <w:textAlignment w:val="center"/>
              <w:rPr>
                <w:rFonts w:eastAsia="宋体"/>
                <w:color w:val="auto"/>
                <w:kern w:val="0"/>
                <w:sz w:val="18"/>
                <w:szCs w:val="18"/>
                <w:lang w:bidi="ar"/>
              </w:rPr>
            </w:pPr>
            <w:r>
              <w:rPr>
                <w:rFonts w:eastAsia="宋体"/>
                <w:color w:val="auto"/>
                <w:kern w:val="0"/>
                <w:sz w:val="18"/>
                <w:szCs w:val="18"/>
                <w:lang w:bidi="ar"/>
              </w:rPr>
              <w:t>社会效益</w:t>
            </w:r>
          </w:p>
          <w:p w14:paraId="780B2AE1">
            <w:pPr>
              <w:widowControl/>
              <w:spacing w:line="300" w:lineRule="exact"/>
              <w:jc w:val="center"/>
              <w:textAlignment w:val="center"/>
              <w:rPr>
                <w:rFonts w:eastAsia="宋体"/>
                <w:color w:val="auto"/>
                <w:sz w:val="18"/>
                <w:szCs w:val="18"/>
              </w:rPr>
            </w:pPr>
            <w:r>
              <w:rPr>
                <w:rFonts w:eastAsia="宋体"/>
                <w:color w:val="auto"/>
                <w:kern w:val="0"/>
                <w:sz w:val="18"/>
                <w:szCs w:val="18"/>
                <w:lang w:bidi="ar"/>
              </w:rPr>
              <w:t>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2CFF86D7">
            <w:pPr>
              <w:widowControl/>
              <w:spacing w:line="300" w:lineRule="exact"/>
              <w:jc w:val="center"/>
              <w:rPr>
                <w:rFonts w:eastAsia="宋体"/>
                <w:color w:val="auto"/>
                <w:sz w:val="18"/>
                <w:szCs w:val="18"/>
              </w:rPr>
            </w:pPr>
            <w:r>
              <w:rPr>
                <w:rFonts w:eastAsia="宋体"/>
                <w:color w:val="auto"/>
                <w:sz w:val="18"/>
                <w:szCs w:val="18"/>
              </w:rPr>
              <w:t>选树宣传先进典型，传递社会正能量</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11996CD2">
            <w:pPr>
              <w:widowControl/>
              <w:spacing w:line="300" w:lineRule="exact"/>
              <w:jc w:val="center"/>
              <w:rPr>
                <w:rFonts w:eastAsia="宋体"/>
                <w:color w:val="auto"/>
                <w:sz w:val="18"/>
                <w:szCs w:val="18"/>
              </w:rPr>
            </w:pPr>
            <w:r>
              <w:rPr>
                <w:rFonts w:eastAsia="宋体"/>
                <w:color w:val="auto"/>
                <w:sz w:val="18"/>
                <w:szCs w:val="18"/>
              </w:rPr>
              <w:t>定性</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7E1CF716">
            <w:pPr>
              <w:widowControl/>
              <w:spacing w:line="300" w:lineRule="exact"/>
              <w:jc w:val="center"/>
              <w:rPr>
                <w:rFonts w:eastAsia="宋体"/>
                <w:color w:val="auto"/>
                <w:sz w:val="18"/>
                <w:szCs w:val="18"/>
              </w:rPr>
            </w:pPr>
            <w:r>
              <w:rPr>
                <w:rFonts w:eastAsia="宋体"/>
                <w:color w:val="auto"/>
                <w:sz w:val="18"/>
                <w:szCs w:val="18"/>
              </w:rPr>
              <w:t>优</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0D334DFD">
            <w:pPr>
              <w:widowControl/>
              <w:spacing w:line="300" w:lineRule="exact"/>
              <w:jc w:val="center"/>
              <w:rPr>
                <w:rFonts w:eastAsia="宋体"/>
                <w:color w:val="auto"/>
                <w:sz w:val="18"/>
                <w:szCs w:val="18"/>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040B8EA3">
            <w:pPr>
              <w:widowControl/>
              <w:spacing w:line="300" w:lineRule="exact"/>
              <w:jc w:val="center"/>
              <w:rPr>
                <w:rFonts w:eastAsia="宋体"/>
                <w:color w:val="auto"/>
                <w:sz w:val="18"/>
                <w:szCs w:val="18"/>
              </w:rPr>
            </w:pPr>
            <w:r>
              <w:rPr>
                <w:rFonts w:eastAsia="宋体"/>
                <w:color w:val="auto"/>
                <w:sz w:val="18"/>
                <w:szCs w:val="18"/>
              </w:rPr>
              <w:t>20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03CF1168">
            <w:pPr>
              <w:widowControl/>
              <w:spacing w:line="300" w:lineRule="exact"/>
              <w:jc w:val="center"/>
              <w:rPr>
                <w:rFonts w:eastAsia="宋体"/>
                <w:color w:val="auto"/>
                <w:sz w:val="18"/>
                <w:szCs w:val="18"/>
              </w:rPr>
            </w:pPr>
            <w:r>
              <w:rPr>
                <w:rFonts w:eastAsia="宋体"/>
                <w:color w:val="auto"/>
                <w:sz w:val="18"/>
                <w:szCs w:val="18"/>
              </w:rPr>
              <w:t>优</w:t>
            </w:r>
          </w:p>
        </w:tc>
      </w:tr>
      <w:tr w14:paraId="61D23203">
        <w:tblPrEx>
          <w:tblCellMar>
            <w:top w:w="15" w:type="dxa"/>
            <w:left w:w="15" w:type="dxa"/>
            <w:bottom w:w="15" w:type="dxa"/>
            <w:right w:w="15" w:type="dxa"/>
          </w:tblCellMar>
        </w:tblPrEx>
        <w:trPr>
          <w:trHeight w:val="86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D70895">
            <w:pPr>
              <w:widowControl/>
              <w:spacing w:line="300" w:lineRule="exact"/>
              <w:jc w:val="center"/>
              <w:rPr>
                <w:rFonts w:eastAsia="宋体"/>
                <w:color w:val="auto"/>
                <w:sz w:val="21"/>
                <w:szCs w:val="21"/>
              </w:rPr>
            </w:pPr>
          </w:p>
        </w:tc>
        <w:tc>
          <w:tcPr>
            <w:tcW w:w="13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54CACE">
            <w:pPr>
              <w:widowControl/>
              <w:spacing w:line="300" w:lineRule="exact"/>
              <w:jc w:val="center"/>
              <w:rPr>
                <w:rFonts w:eastAsia="宋体"/>
                <w:color w:val="auto"/>
                <w:sz w:val="21"/>
                <w:szCs w:val="21"/>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0B0008A2">
            <w:pPr>
              <w:widowControl/>
              <w:spacing w:line="300" w:lineRule="exact"/>
              <w:jc w:val="center"/>
              <w:textAlignment w:val="center"/>
              <w:rPr>
                <w:rFonts w:eastAsia="宋体"/>
                <w:color w:val="auto"/>
                <w:sz w:val="18"/>
                <w:szCs w:val="18"/>
              </w:rPr>
            </w:pPr>
            <w:r>
              <w:rPr>
                <w:rFonts w:eastAsia="宋体"/>
                <w:color w:val="auto"/>
                <w:kern w:val="0"/>
                <w:sz w:val="18"/>
                <w:szCs w:val="18"/>
                <w:lang w:bidi="ar"/>
              </w:rPr>
              <w:t>可持续影响指标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71ADF64F">
            <w:pPr>
              <w:widowControl/>
              <w:spacing w:line="300" w:lineRule="exact"/>
              <w:jc w:val="center"/>
              <w:rPr>
                <w:rFonts w:eastAsia="宋体"/>
                <w:color w:val="auto"/>
                <w:sz w:val="18"/>
                <w:szCs w:val="18"/>
              </w:rPr>
            </w:pPr>
            <w:r>
              <w:rPr>
                <w:rFonts w:eastAsia="宋体"/>
                <w:color w:val="auto"/>
                <w:sz w:val="18"/>
                <w:szCs w:val="18"/>
              </w:rPr>
              <w:t>持续提升并对外展示红原形象</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7E898C81">
            <w:pPr>
              <w:widowControl/>
              <w:spacing w:line="300" w:lineRule="exact"/>
              <w:jc w:val="center"/>
              <w:rPr>
                <w:rFonts w:eastAsia="宋体"/>
                <w:color w:val="auto"/>
                <w:sz w:val="18"/>
                <w:szCs w:val="18"/>
              </w:rPr>
            </w:pPr>
            <w:r>
              <w:rPr>
                <w:rFonts w:eastAsia="宋体"/>
                <w:color w:val="auto"/>
                <w:sz w:val="18"/>
                <w:szCs w:val="18"/>
              </w:rPr>
              <w:t>≥</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0EEDC7CA">
            <w:pPr>
              <w:widowControl/>
              <w:spacing w:line="300" w:lineRule="exact"/>
              <w:jc w:val="center"/>
              <w:rPr>
                <w:rFonts w:eastAsia="宋体"/>
                <w:color w:val="auto"/>
                <w:sz w:val="18"/>
                <w:szCs w:val="18"/>
              </w:rPr>
            </w:pPr>
            <w:r>
              <w:rPr>
                <w:rFonts w:eastAsia="宋体"/>
                <w:color w:val="auto"/>
                <w:sz w:val="18"/>
                <w:szCs w:val="18"/>
              </w:rPr>
              <w:t>5</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69FC8E7F">
            <w:pPr>
              <w:widowControl/>
              <w:spacing w:line="300" w:lineRule="exact"/>
              <w:jc w:val="center"/>
              <w:rPr>
                <w:rFonts w:eastAsia="宋体"/>
                <w:color w:val="auto"/>
                <w:sz w:val="18"/>
                <w:szCs w:val="18"/>
              </w:rPr>
            </w:pPr>
            <w:r>
              <w:rPr>
                <w:rFonts w:eastAsia="宋体"/>
                <w:color w:val="auto"/>
                <w:sz w:val="18"/>
                <w:szCs w:val="18"/>
              </w:rPr>
              <w:t>年</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56D7F68B">
            <w:pPr>
              <w:widowControl/>
              <w:spacing w:line="300" w:lineRule="exact"/>
              <w:jc w:val="center"/>
              <w:rPr>
                <w:rFonts w:eastAsia="宋体"/>
                <w:color w:val="auto"/>
                <w:sz w:val="18"/>
                <w:szCs w:val="18"/>
              </w:rPr>
            </w:pPr>
            <w:r>
              <w:rPr>
                <w:rFonts w:eastAsia="宋体"/>
                <w:color w:val="auto"/>
                <w:sz w:val="18"/>
                <w:szCs w:val="18"/>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135CD4EC">
            <w:pPr>
              <w:widowControl/>
              <w:spacing w:line="300" w:lineRule="exact"/>
              <w:jc w:val="center"/>
              <w:rPr>
                <w:rFonts w:eastAsia="宋体"/>
                <w:color w:val="auto"/>
                <w:sz w:val="18"/>
                <w:szCs w:val="18"/>
              </w:rPr>
            </w:pPr>
            <w:r>
              <w:rPr>
                <w:rFonts w:eastAsia="宋体"/>
                <w:color w:val="auto"/>
                <w:sz w:val="18"/>
                <w:szCs w:val="18"/>
              </w:rPr>
              <w:t>≥</w:t>
            </w:r>
          </w:p>
        </w:tc>
      </w:tr>
      <w:tr w14:paraId="31EF51ED">
        <w:tblPrEx>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451B48">
            <w:pPr>
              <w:widowControl/>
              <w:spacing w:line="300" w:lineRule="exact"/>
              <w:jc w:val="center"/>
              <w:rPr>
                <w:rFonts w:eastAsia="宋体"/>
                <w:color w:val="auto"/>
                <w:sz w:val="21"/>
                <w:szCs w:val="21"/>
              </w:rPr>
            </w:pPr>
          </w:p>
        </w:tc>
        <w:tc>
          <w:tcPr>
            <w:tcW w:w="1347" w:type="dxa"/>
            <w:tcBorders>
              <w:top w:val="single" w:color="000000" w:sz="4" w:space="0"/>
              <w:left w:val="single" w:color="000000" w:sz="4" w:space="0"/>
              <w:bottom w:val="single" w:color="000000" w:sz="4" w:space="0"/>
              <w:right w:val="single" w:color="000000" w:sz="4" w:space="0"/>
            </w:tcBorders>
            <w:noWrap w:val="0"/>
            <w:vAlign w:val="center"/>
          </w:tcPr>
          <w:p w14:paraId="41E4B1C9">
            <w:pPr>
              <w:widowControl/>
              <w:spacing w:line="300" w:lineRule="exact"/>
              <w:jc w:val="center"/>
              <w:textAlignment w:val="center"/>
              <w:rPr>
                <w:rFonts w:eastAsia="宋体"/>
                <w:color w:val="auto"/>
                <w:sz w:val="21"/>
                <w:szCs w:val="21"/>
              </w:rPr>
            </w:pPr>
            <w:r>
              <w:rPr>
                <w:rFonts w:eastAsia="宋体"/>
                <w:color w:val="auto"/>
                <w:kern w:val="0"/>
                <w:sz w:val="21"/>
                <w:szCs w:val="21"/>
                <w:lang w:bidi="ar"/>
              </w:rPr>
              <w:t>满意度指标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14:paraId="139B3F60">
            <w:pPr>
              <w:widowControl/>
              <w:spacing w:line="300" w:lineRule="exact"/>
              <w:jc w:val="center"/>
              <w:textAlignment w:val="center"/>
              <w:rPr>
                <w:rFonts w:eastAsia="宋体"/>
                <w:color w:val="auto"/>
                <w:sz w:val="18"/>
                <w:szCs w:val="18"/>
              </w:rPr>
            </w:pPr>
            <w:r>
              <w:rPr>
                <w:rFonts w:eastAsia="宋体"/>
                <w:color w:val="auto"/>
                <w:kern w:val="0"/>
                <w:sz w:val="18"/>
                <w:szCs w:val="18"/>
                <w:lang w:bidi="ar"/>
              </w:rPr>
              <w:t>满意度指标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14:paraId="1618DD97">
            <w:pPr>
              <w:widowControl/>
              <w:jc w:val="center"/>
              <w:textAlignment w:val="center"/>
              <w:rPr>
                <w:rFonts w:eastAsia="宋体"/>
                <w:color w:val="auto"/>
                <w:sz w:val="18"/>
                <w:szCs w:val="18"/>
              </w:rPr>
            </w:pPr>
            <w:r>
              <w:rPr>
                <w:rFonts w:eastAsia="宋体"/>
                <w:color w:val="auto"/>
                <w:kern w:val="0"/>
                <w:sz w:val="18"/>
                <w:szCs w:val="18"/>
                <w:lang w:bidi="ar"/>
              </w:rPr>
              <w:t>群众满意度</w:t>
            </w:r>
          </w:p>
        </w:tc>
        <w:tc>
          <w:tcPr>
            <w:tcW w:w="1143" w:type="dxa"/>
            <w:tcBorders>
              <w:top w:val="single" w:color="000000" w:sz="4" w:space="0"/>
              <w:left w:val="single" w:color="000000" w:sz="4" w:space="0"/>
              <w:bottom w:val="single" w:color="000000" w:sz="4" w:space="0"/>
              <w:right w:val="single" w:color="000000" w:sz="4" w:space="0"/>
            </w:tcBorders>
            <w:noWrap w:val="0"/>
            <w:vAlign w:val="center"/>
          </w:tcPr>
          <w:p w14:paraId="6055145E">
            <w:pPr>
              <w:widowControl/>
              <w:spacing w:line="300" w:lineRule="exact"/>
              <w:jc w:val="center"/>
              <w:rPr>
                <w:rFonts w:eastAsia="宋体"/>
                <w:color w:val="auto"/>
                <w:sz w:val="18"/>
                <w:szCs w:val="18"/>
              </w:rPr>
            </w:pPr>
            <w:r>
              <w:rPr>
                <w:rFonts w:eastAsia="宋体"/>
                <w:color w:val="auto"/>
                <w:sz w:val="18"/>
                <w:szCs w:val="18"/>
              </w:rPr>
              <w:t>≥</w:t>
            </w:r>
          </w:p>
        </w:tc>
        <w:tc>
          <w:tcPr>
            <w:tcW w:w="1291" w:type="dxa"/>
            <w:tcBorders>
              <w:top w:val="single" w:color="000000" w:sz="4" w:space="0"/>
              <w:left w:val="single" w:color="000000" w:sz="4" w:space="0"/>
              <w:bottom w:val="single" w:color="000000" w:sz="4" w:space="0"/>
              <w:right w:val="single" w:color="000000" w:sz="4" w:space="0"/>
            </w:tcBorders>
            <w:noWrap w:val="0"/>
            <w:vAlign w:val="center"/>
          </w:tcPr>
          <w:p w14:paraId="2B6CB5F4">
            <w:pPr>
              <w:widowControl/>
              <w:spacing w:line="300" w:lineRule="exact"/>
              <w:jc w:val="center"/>
              <w:rPr>
                <w:rFonts w:eastAsia="宋体"/>
                <w:color w:val="auto"/>
                <w:sz w:val="18"/>
                <w:szCs w:val="18"/>
              </w:rPr>
            </w:pPr>
            <w:r>
              <w:rPr>
                <w:rFonts w:eastAsia="宋体"/>
                <w:color w:val="auto"/>
                <w:sz w:val="18"/>
                <w:szCs w:val="18"/>
              </w:rPr>
              <w:t>95</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14:paraId="54FDB08D">
            <w:pPr>
              <w:widowControl/>
              <w:spacing w:line="300" w:lineRule="exact"/>
              <w:jc w:val="center"/>
              <w:rPr>
                <w:rFonts w:eastAsia="宋体"/>
                <w:color w:val="auto"/>
                <w:sz w:val="18"/>
                <w:szCs w:val="18"/>
              </w:rPr>
            </w:pPr>
            <w:r>
              <w:rPr>
                <w:rFonts w:eastAsia="宋体"/>
                <w:color w:val="auto"/>
                <w:sz w:val="18"/>
                <w:szCs w:val="18"/>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7B9804A2">
            <w:pPr>
              <w:widowControl/>
              <w:spacing w:line="300" w:lineRule="exact"/>
              <w:jc w:val="center"/>
              <w:rPr>
                <w:rFonts w:eastAsia="宋体"/>
                <w:color w:val="auto"/>
                <w:sz w:val="18"/>
                <w:szCs w:val="18"/>
              </w:rPr>
            </w:pPr>
            <w:r>
              <w:rPr>
                <w:rFonts w:eastAsia="宋体"/>
                <w:color w:val="auto"/>
                <w:sz w:val="18"/>
                <w:szCs w:val="18"/>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14:paraId="1BB53E1C">
            <w:pPr>
              <w:widowControl/>
              <w:spacing w:line="300" w:lineRule="exact"/>
              <w:jc w:val="center"/>
              <w:rPr>
                <w:rFonts w:eastAsia="宋体"/>
                <w:color w:val="auto"/>
                <w:sz w:val="18"/>
                <w:szCs w:val="18"/>
              </w:rPr>
            </w:pPr>
            <w:r>
              <w:rPr>
                <w:rFonts w:eastAsia="宋体"/>
                <w:color w:val="auto"/>
                <w:sz w:val="18"/>
                <w:szCs w:val="18"/>
              </w:rPr>
              <w:t>≥95%</w:t>
            </w:r>
          </w:p>
        </w:tc>
      </w:tr>
    </w:tbl>
    <w:p w14:paraId="0C8AC1AB">
      <w:pPr>
        <w:pStyle w:val="17"/>
        <w:rPr>
          <w:rFonts w:hint="default"/>
          <w:color w:val="auto"/>
        </w:rPr>
      </w:pPr>
    </w:p>
    <w:p w14:paraId="30CD425A">
      <w:pPr>
        <w:pStyle w:val="20"/>
        <w:ind w:left="0" w:leftChars="0" w:firstLine="0" w:firstLineChars="0"/>
        <w:rPr>
          <w:rFonts w:hint="default" w:ascii="Times New Roman" w:hAnsi="Times New Roman" w:eastAsia="黑体" w:cs="Times New Roman"/>
          <w:color w:val="auto"/>
          <w:sz w:val="21"/>
          <w:szCs w:val="21"/>
          <w:highlight w:val="none"/>
          <w:lang w:val="en-US" w:eastAsia="zh-CN"/>
        </w:rPr>
      </w:pPr>
      <w:bookmarkStart w:id="91" w:name="_Toc23499"/>
    </w:p>
    <w:p w14:paraId="02BE4B51">
      <w:pPr>
        <w:pStyle w:val="20"/>
        <w:ind w:left="0" w:leftChars="0" w:firstLine="0" w:firstLineChars="0"/>
        <w:rPr>
          <w:rFonts w:hint="default" w:ascii="Times New Roman" w:hAnsi="Times New Roman" w:eastAsia="黑体" w:cs="Times New Roman"/>
          <w:color w:val="auto"/>
          <w:sz w:val="21"/>
          <w:szCs w:val="21"/>
          <w:highlight w:val="none"/>
          <w:lang w:val="en-US" w:eastAsia="zh-CN"/>
        </w:rPr>
      </w:pPr>
    </w:p>
    <w:p w14:paraId="19314275">
      <w:pPr>
        <w:pStyle w:val="20"/>
        <w:ind w:left="0" w:leftChars="0" w:firstLine="0" w:firstLineChars="0"/>
        <w:rPr>
          <w:rFonts w:hint="default" w:ascii="Times New Roman" w:hAnsi="Times New Roman" w:eastAsia="黑体" w:cs="Times New Roman"/>
          <w:color w:val="auto"/>
          <w:sz w:val="21"/>
          <w:szCs w:val="21"/>
          <w:highlight w:val="none"/>
          <w:lang w:val="en-US" w:eastAsia="zh-CN"/>
        </w:rPr>
      </w:pPr>
    </w:p>
    <w:p w14:paraId="33060319">
      <w:pPr>
        <w:pStyle w:val="20"/>
        <w:ind w:left="0" w:leftChars="0" w:firstLine="0" w:firstLineChars="0"/>
        <w:rPr>
          <w:rFonts w:hint="default" w:ascii="Times New Roman" w:hAnsi="Times New Roman" w:eastAsia="黑体" w:cs="Times New Roman"/>
          <w:color w:val="auto"/>
          <w:sz w:val="21"/>
          <w:szCs w:val="21"/>
          <w:highlight w:val="none"/>
          <w:lang w:val="en-US" w:eastAsia="zh-CN"/>
        </w:rPr>
      </w:pPr>
    </w:p>
    <w:p w14:paraId="26570DAD">
      <w:pPr>
        <w:pStyle w:val="17"/>
        <w:rPr>
          <w:rFonts w:hint="default" w:ascii="Times New Roman" w:hAnsi="Times New Roman" w:cs="Times New Roman"/>
          <w:color w:val="auto"/>
          <w:lang w:val="en-US" w:eastAsia="zh-CN"/>
        </w:rPr>
      </w:pPr>
    </w:p>
    <w:p w14:paraId="2A356A63">
      <w:pPr>
        <w:rPr>
          <w:rFonts w:hint="default"/>
          <w:color w:val="auto"/>
          <w:lang w:val="en-US" w:eastAsia="zh-CN"/>
        </w:rPr>
      </w:pPr>
    </w:p>
    <w:bookmarkEnd w:id="91"/>
    <w:p w14:paraId="42F81F05">
      <w:pPr>
        <w:outlineLvl w:val="9"/>
        <w:rPr>
          <w:rStyle w:val="44"/>
          <w:rFonts w:hint="eastAsia" w:ascii="黑体" w:eastAsia="黑体"/>
          <w:b w:val="0"/>
          <w:bCs w:val="0"/>
          <w:color w:val="auto"/>
        </w:rPr>
      </w:pPr>
      <w:bookmarkStart w:id="92" w:name="_Toc26592"/>
      <w:r>
        <w:rPr>
          <w:rStyle w:val="44"/>
          <w:rFonts w:hint="eastAsia" w:ascii="黑体" w:eastAsia="黑体"/>
          <w:b w:val="0"/>
          <w:bCs w:val="0"/>
          <w:color w:val="auto"/>
        </w:rPr>
        <w:t>附表</w:t>
      </w:r>
    </w:p>
    <w:bookmarkEnd w:id="92"/>
    <w:p w14:paraId="21491140">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一、收入支出决算总表</w:t>
      </w:r>
    </w:p>
    <w:p w14:paraId="63B8294B">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二、收入决算表</w:t>
      </w:r>
    </w:p>
    <w:p w14:paraId="2409AC3B">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三、支出决算表</w:t>
      </w:r>
    </w:p>
    <w:p w14:paraId="4B5E0B1B">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四、财政拨款收入支出决算总表</w:t>
      </w:r>
    </w:p>
    <w:p w14:paraId="2011ED30">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五、财政拨款支出决算明细表</w:t>
      </w:r>
    </w:p>
    <w:p w14:paraId="7A64D616">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六、一般公共预算财政拨款支出决算表</w:t>
      </w:r>
    </w:p>
    <w:p w14:paraId="6DCA0BCC">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七、一般公共预算财政拨款支出决算明细表</w:t>
      </w:r>
    </w:p>
    <w:p w14:paraId="716DCEEF">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八、一般公共预算财政拨款基本支出决算表</w:t>
      </w:r>
    </w:p>
    <w:p w14:paraId="75E277AA">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九、一般公共预算财政拨款项目支出决算表</w:t>
      </w:r>
    </w:p>
    <w:p w14:paraId="60767AFD">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十、政府性基金预算财政拨款收入支出决算表</w:t>
      </w:r>
    </w:p>
    <w:p w14:paraId="4D861485">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十一、国有资本经营预算财政拨款收入支出决算表</w:t>
      </w:r>
    </w:p>
    <w:p w14:paraId="3770C218">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十二、国有资本经营预算财政拨款支出决算表</w:t>
      </w:r>
    </w:p>
    <w:p w14:paraId="42D2AF52">
      <w:pPr>
        <w:keepNext w:val="0"/>
        <w:keepLines w:val="0"/>
        <w:pageBreakBefore w:val="0"/>
        <w:numPr>
          <w:ilvl w:val="0"/>
          <w:numId w:val="0"/>
        </w:numPr>
        <w:kinsoku/>
        <w:wordWrap/>
        <w:overflowPunct/>
        <w:topLinePunct w:val="0"/>
        <w:autoSpaceDE/>
        <w:autoSpaceDN/>
        <w:bidi w:val="0"/>
        <w:adjustRightInd w:val="0"/>
        <w:snapToGrid w:val="0"/>
        <w:spacing w:line="576"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EDB380A-1C99-491B-B33E-C671DEB5ACA9}"/>
  </w:font>
  <w:font w:name="Courier New">
    <w:panose1 w:val="02070309020205020404"/>
    <w:charset w:val="01"/>
    <w:family w:val="modern"/>
    <w:pitch w:val="default"/>
    <w:sig w:usb0="E0002AFF" w:usb1="C0007843" w:usb2="00000009" w:usb3="00000000" w:csb0="400001FF" w:csb1="FFFF0000"/>
    <w:embedRegular r:id="rId2" w:fontKey="{A11AE078-6019-4144-9FBD-017054B4304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3" w:fontKey="{806786AA-520C-4438-B740-660F91A4E091}"/>
  </w:font>
  <w:font w:name="仿宋">
    <w:panose1 w:val="02010609060101010101"/>
    <w:charset w:val="86"/>
    <w:family w:val="modern"/>
    <w:pitch w:val="default"/>
    <w:sig w:usb0="800002BF" w:usb1="38CF7CFA" w:usb2="00000016" w:usb3="00000000" w:csb0="00040001" w:csb1="00000000"/>
    <w:embedRegular r:id="rId4" w:fontKey="{CA64D839-E5AA-4595-94ED-FB91F77ABBC4}"/>
  </w:font>
  <w:font w:name="??">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5" w:fontKey="{4D7D2277-D6C9-405D-8E38-9F8CB35B3FCB}"/>
  </w:font>
  <w:font w:name="方正仿宋_GBK">
    <w:panose1 w:val="02000000000000000000"/>
    <w:charset w:val="86"/>
    <w:family w:val="auto"/>
    <w:pitch w:val="default"/>
    <w:sig w:usb0="00000001" w:usb1="080E0000" w:usb2="00000000" w:usb3="00000000" w:csb0="00040000" w:csb1="00000000"/>
    <w:embedRegular r:id="rId6" w:fontKey="{B30EE636-6DC0-438C-9D46-8805E50267F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567E26CC">
        <w:pPr>
          <w:pStyle w:val="14"/>
          <w:jc w:val="center"/>
        </w:pPr>
        <w:r>
          <w:fldChar w:fldCharType="begin"/>
        </w:r>
        <w:r>
          <w:instrText xml:space="preserve">PAGE   \* MERGEFORMAT</w:instrText>
        </w:r>
        <w:r>
          <w:fldChar w:fldCharType="separate"/>
        </w:r>
        <w:r>
          <w:rPr>
            <w:lang w:val="zh-CN"/>
          </w:rPr>
          <w:t>23</w:t>
        </w:r>
        <w:r>
          <w:fldChar w:fldCharType="end"/>
        </w:r>
      </w:p>
    </w:sdtContent>
  </w:sdt>
  <w:p w14:paraId="617FFDF0">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3373E">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0DEEAA7A"/>
    <w:multiLevelType w:val="singleLevel"/>
    <w:tmpl w:val="0DEEAA7A"/>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0NzJjZWQzZTc1YjM3YjExZjQ3MmViZWNmNDUxOTYifQ=="/>
  </w:docVars>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466B1"/>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32078"/>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6AD2"/>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E1942"/>
    <w:rsid w:val="00FF1E02"/>
    <w:rsid w:val="00FF30B4"/>
    <w:rsid w:val="01066A48"/>
    <w:rsid w:val="015975B8"/>
    <w:rsid w:val="01B91D0C"/>
    <w:rsid w:val="01D628BE"/>
    <w:rsid w:val="02661E94"/>
    <w:rsid w:val="02693733"/>
    <w:rsid w:val="026D7A9F"/>
    <w:rsid w:val="029737B3"/>
    <w:rsid w:val="02DB6CD0"/>
    <w:rsid w:val="02FEBE30"/>
    <w:rsid w:val="035B6580"/>
    <w:rsid w:val="036F8141"/>
    <w:rsid w:val="03B7044E"/>
    <w:rsid w:val="04216B52"/>
    <w:rsid w:val="044E0E32"/>
    <w:rsid w:val="052B2F21"/>
    <w:rsid w:val="05CB74A0"/>
    <w:rsid w:val="066E0107"/>
    <w:rsid w:val="0680729D"/>
    <w:rsid w:val="06DA1609"/>
    <w:rsid w:val="071441D8"/>
    <w:rsid w:val="07921036"/>
    <w:rsid w:val="07996F6E"/>
    <w:rsid w:val="07B27637"/>
    <w:rsid w:val="07DFD8BA"/>
    <w:rsid w:val="09243B11"/>
    <w:rsid w:val="0A2032A3"/>
    <w:rsid w:val="0A9D2FF4"/>
    <w:rsid w:val="0AF55D55"/>
    <w:rsid w:val="0C9C7F8B"/>
    <w:rsid w:val="0CC021A1"/>
    <w:rsid w:val="0D35B1ED"/>
    <w:rsid w:val="0D84227F"/>
    <w:rsid w:val="0E2F5830"/>
    <w:rsid w:val="0E7ED1F5"/>
    <w:rsid w:val="0F0D0EF5"/>
    <w:rsid w:val="0F7554C5"/>
    <w:rsid w:val="0F98263C"/>
    <w:rsid w:val="101860EC"/>
    <w:rsid w:val="101F5331"/>
    <w:rsid w:val="10471BE1"/>
    <w:rsid w:val="10794C79"/>
    <w:rsid w:val="10941649"/>
    <w:rsid w:val="10B94FC8"/>
    <w:rsid w:val="10C055FF"/>
    <w:rsid w:val="10CE17D0"/>
    <w:rsid w:val="115E39F7"/>
    <w:rsid w:val="11717F0E"/>
    <w:rsid w:val="118107EC"/>
    <w:rsid w:val="11883E00"/>
    <w:rsid w:val="11A26319"/>
    <w:rsid w:val="121B2CFF"/>
    <w:rsid w:val="127203E1"/>
    <w:rsid w:val="12AF0CEE"/>
    <w:rsid w:val="12B04A66"/>
    <w:rsid w:val="131540CA"/>
    <w:rsid w:val="13416360"/>
    <w:rsid w:val="13CE7899"/>
    <w:rsid w:val="13D50BC4"/>
    <w:rsid w:val="13EC7D20"/>
    <w:rsid w:val="13EC7EEC"/>
    <w:rsid w:val="13F5616D"/>
    <w:rsid w:val="14074B59"/>
    <w:rsid w:val="147A532B"/>
    <w:rsid w:val="149D6D0B"/>
    <w:rsid w:val="16684C9B"/>
    <w:rsid w:val="16BB723D"/>
    <w:rsid w:val="17636E30"/>
    <w:rsid w:val="17F9714D"/>
    <w:rsid w:val="183A5435"/>
    <w:rsid w:val="183F68E5"/>
    <w:rsid w:val="18E1003E"/>
    <w:rsid w:val="18EC4B30"/>
    <w:rsid w:val="19045B0B"/>
    <w:rsid w:val="1918F934"/>
    <w:rsid w:val="1A2226ED"/>
    <w:rsid w:val="1A845156"/>
    <w:rsid w:val="1AAA6386"/>
    <w:rsid w:val="1B866CAC"/>
    <w:rsid w:val="1B8F0F39"/>
    <w:rsid w:val="1BA67F3F"/>
    <w:rsid w:val="1BAC2A59"/>
    <w:rsid w:val="1BBB0EC8"/>
    <w:rsid w:val="1BC82D81"/>
    <w:rsid w:val="1BDA15BC"/>
    <w:rsid w:val="1BE20386"/>
    <w:rsid w:val="1BE8440E"/>
    <w:rsid w:val="1C0665FB"/>
    <w:rsid w:val="1C0C71B1"/>
    <w:rsid w:val="1C484F46"/>
    <w:rsid w:val="1C6C6672"/>
    <w:rsid w:val="1D155CEE"/>
    <w:rsid w:val="1D1B6922"/>
    <w:rsid w:val="1D673A64"/>
    <w:rsid w:val="1DFBC4B3"/>
    <w:rsid w:val="1E3130AD"/>
    <w:rsid w:val="1E740ACF"/>
    <w:rsid w:val="1EBC2FC3"/>
    <w:rsid w:val="1EDE751C"/>
    <w:rsid w:val="1F19C781"/>
    <w:rsid w:val="1F33FCE5"/>
    <w:rsid w:val="1F7F7398"/>
    <w:rsid w:val="1F89131B"/>
    <w:rsid w:val="1FA63478"/>
    <w:rsid w:val="1FD2DB6F"/>
    <w:rsid w:val="1FF35744"/>
    <w:rsid w:val="1FF6BC77"/>
    <w:rsid w:val="1FF9236D"/>
    <w:rsid w:val="208A67A9"/>
    <w:rsid w:val="209D59F0"/>
    <w:rsid w:val="215D400B"/>
    <w:rsid w:val="22B40DE5"/>
    <w:rsid w:val="22F269D3"/>
    <w:rsid w:val="230004BA"/>
    <w:rsid w:val="23222EB5"/>
    <w:rsid w:val="2333840E"/>
    <w:rsid w:val="23860B96"/>
    <w:rsid w:val="240371BF"/>
    <w:rsid w:val="242A28CA"/>
    <w:rsid w:val="24C7636B"/>
    <w:rsid w:val="24E0567E"/>
    <w:rsid w:val="24EA3E07"/>
    <w:rsid w:val="257C638F"/>
    <w:rsid w:val="267E514F"/>
    <w:rsid w:val="288305BF"/>
    <w:rsid w:val="292A318F"/>
    <w:rsid w:val="29847FAA"/>
    <w:rsid w:val="29E32440"/>
    <w:rsid w:val="29FD04D3"/>
    <w:rsid w:val="2AFB60C4"/>
    <w:rsid w:val="2B1E567C"/>
    <w:rsid w:val="2B2104DC"/>
    <w:rsid w:val="2B51698E"/>
    <w:rsid w:val="2BF71712"/>
    <w:rsid w:val="2BFF7BC6"/>
    <w:rsid w:val="2C117480"/>
    <w:rsid w:val="2C8A61B5"/>
    <w:rsid w:val="2CD59C95"/>
    <w:rsid w:val="2DA1427C"/>
    <w:rsid w:val="2DAF3E40"/>
    <w:rsid w:val="2DF04E50"/>
    <w:rsid w:val="2E310CF9"/>
    <w:rsid w:val="2E4C168F"/>
    <w:rsid w:val="2EFD05E5"/>
    <w:rsid w:val="2F040D46"/>
    <w:rsid w:val="2F4F95CE"/>
    <w:rsid w:val="2FACAFDD"/>
    <w:rsid w:val="2FAE5751"/>
    <w:rsid w:val="2FB1A395"/>
    <w:rsid w:val="2FCF0B76"/>
    <w:rsid w:val="2FD9A7D8"/>
    <w:rsid w:val="30FC55EE"/>
    <w:rsid w:val="319F7F4E"/>
    <w:rsid w:val="31E87920"/>
    <w:rsid w:val="32891D2D"/>
    <w:rsid w:val="3304709D"/>
    <w:rsid w:val="34E40873"/>
    <w:rsid w:val="357070B5"/>
    <w:rsid w:val="36872EC8"/>
    <w:rsid w:val="36AA5135"/>
    <w:rsid w:val="36BE0DA7"/>
    <w:rsid w:val="376B6AA6"/>
    <w:rsid w:val="376D39B2"/>
    <w:rsid w:val="37E16F03"/>
    <w:rsid w:val="37F53A3B"/>
    <w:rsid w:val="3878301B"/>
    <w:rsid w:val="38D469F0"/>
    <w:rsid w:val="38F78389"/>
    <w:rsid w:val="397BAF1F"/>
    <w:rsid w:val="39E7B272"/>
    <w:rsid w:val="39F7642F"/>
    <w:rsid w:val="39FF7B37"/>
    <w:rsid w:val="3A103ED9"/>
    <w:rsid w:val="3AB79AF3"/>
    <w:rsid w:val="3ABF2751"/>
    <w:rsid w:val="3AFDCB77"/>
    <w:rsid w:val="3B0E5C90"/>
    <w:rsid w:val="3B5B73B5"/>
    <w:rsid w:val="3B7EF35A"/>
    <w:rsid w:val="3B9FDB6C"/>
    <w:rsid w:val="3BAD1C8A"/>
    <w:rsid w:val="3BB52F69"/>
    <w:rsid w:val="3BED2703"/>
    <w:rsid w:val="3BF5BC2F"/>
    <w:rsid w:val="3BF7C23A"/>
    <w:rsid w:val="3BFF223E"/>
    <w:rsid w:val="3C1852A6"/>
    <w:rsid w:val="3C2B4FD9"/>
    <w:rsid w:val="3C422E85"/>
    <w:rsid w:val="3C6EC0A1"/>
    <w:rsid w:val="3CDB0824"/>
    <w:rsid w:val="3CEBA265"/>
    <w:rsid w:val="3D6A7F9F"/>
    <w:rsid w:val="3D7E7F4D"/>
    <w:rsid w:val="3D98207C"/>
    <w:rsid w:val="3D9CF30A"/>
    <w:rsid w:val="3DB717AB"/>
    <w:rsid w:val="3DFF5A3E"/>
    <w:rsid w:val="3E234634"/>
    <w:rsid w:val="3E78745D"/>
    <w:rsid w:val="3E80785E"/>
    <w:rsid w:val="3EEE77E9"/>
    <w:rsid w:val="3F394AF5"/>
    <w:rsid w:val="3FBE5714"/>
    <w:rsid w:val="3FDD8615"/>
    <w:rsid w:val="3FDFB2FF"/>
    <w:rsid w:val="3FF4CAE0"/>
    <w:rsid w:val="3FF75FAF"/>
    <w:rsid w:val="3FF7B227"/>
    <w:rsid w:val="400E32CC"/>
    <w:rsid w:val="408C03E7"/>
    <w:rsid w:val="408E6801"/>
    <w:rsid w:val="418B697A"/>
    <w:rsid w:val="41F63994"/>
    <w:rsid w:val="42072045"/>
    <w:rsid w:val="42336996"/>
    <w:rsid w:val="42940BD6"/>
    <w:rsid w:val="42C80CEE"/>
    <w:rsid w:val="43086074"/>
    <w:rsid w:val="434C41B3"/>
    <w:rsid w:val="437C2D76"/>
    <w:rsid w:val="43CC70A2"/>
    <w:rsid w:val="44C85ABB"/>
    <w:rsid w:val="44E268DA"/>
    <w:rsid w:val="45240818"/>
    <w:rsid w:val="45625B13"/>
    <w:rsid w:val="457F4F6B"/>
    <w:rsid w:val="460348D1"/>
    <w:rsid w:val="461F5BAF"/>
    <w:rsid w:val="4645313C"/>
    <w:rsid w:val="465515D1"/>
    <w:rsid w:val="4737FB58"/>
    <w:rsid w:val="47A3011A"/>
    <w:rsid w:val="47BF0C92"/>
    <w:rsid w:val="47C65E4E"/>
    <w:rsid w:val="47ECCB02"/>
    <w:rsid w:val="47FA6A3F"/>
    <w:rsid w:val="48401E0D"/>
    <w:rsid w:val="486022C7"/>
    <w:rsid w:val="49432299"/>
    <w:rsid w:val="49446681"/>
    <w:rsid w:val="49D7AE48"/>
    <w:rsid w:val="4A370FED"/>
    <w:rsid w:val="4A3F6C7E"/>
    <w:rsid w:val="4A627F82"/>
    <w:rsid w:val="4B0E749A"/>
    <w:rsid w:val="4B4F25DA"/>
    <w:rsid w:val="4BBB4781"/>
    <w:rsid w:val="4BD709A5"/>
    <w:rsid w:val="4BDD9BFF"/>
    <w:rsid w:val="4BE068DB"/>
    <w:rsid w:val="4BE72859"/>
    <w:rsid w:val="4CC264C3"/>
    <w:rsid w:val="4D177129"/>
    <w:rsid w:val="4D577224"/>
    <w:rsid w:val="4DBF1CEB"/>
    <w:rsid w:val="4DBF6A6B"/>
    <w:rsid w:val="4DF6A672"/>
    <w:rsid w:val="4E326BEE"/>
    <w:rsid w:val="4E6A7577"/>
    <w:rsid w:val="4EAB630A"/>
    <w:rsid w:val="4EC05A55"/>
    <w:rsid w:val="4ECE2238"/>
    <w:rsid w:val="4F7EA413"/>
    <w:rsid w:val="4FAB812F"/>
    <w:rsid w:val="4FE9BD67"/>
    <w:rsid w:val="4FEE4C07"/>
    <w:rsid w:val="4FF073E2"/>
    <w:rsid w:val="4FFB052F"/>
    <w:rsid w:val="506D0D72"/>
    <w:rsid w:val="519A258E"/>
    <w:rsid w:val="51F7178E"/>
    <w:rsid w:val="52526750"/>
    <w:rsid w:val="52CA6EA2"/>
    <w:rsid w:val="534B0014"/>
    <w:rsid w:val="537E6D0A"/>
    <w:rsid w:val="53A414A2"/>
    <w:rsid w:val="53AB6B88"/>
    <w:rsid w:val="53BD2563"/>
    <w:rsid w:val="53F74C96"/>
    <w:rsid w:val="54272A9D"/>
    <w:rsid w:val="54890697"/>
    <w:rsid w:val="5583522D"/>
    <w:rsid w:val="566A0C2E"/>
    <w:rsid w:val="566A651B"/>
    <w:rsid w:val="56EA7B13"/>
    <w:rsid w:val="571508A7"/>
    <w:rsid w:val="57BD3DD4"/>
    <w:rsid w:val="57F9CD1E"/>
    <w:rsid w:val="580744A0"/>
    <w:rsid w:val="58F521D7"/>
    <w:rsid w:val="59533C86"/>
    <w:rsid w:val="59FD190B"/>
    <w:rsid w:val="5A5B2AD6"/>
    <w:rsid w:val="5A6C4CE3"/>
    <w:rsid w:val="5A821EBE"/>
    <w:rsid w:val="5AC62645"/>
    <w:rsid w:val="5AF92295"/>
    <w:rsid w:val="5AF9D8E9"/>
    <w:rsid w:val="5BA02E96"/>
    <w:rsid w:val="5BDD38BD"/>
    <w:rsid w:val="5BDD79E6"/>
    <w:rsid w:val="5BDF12EB"/>
    <w:rsid w:val="5BEFC772"/>
    <w:rsid w:val="5BFF5DFC"/>
    <w:rsid w:val="5C4F0418"/>
    <w:rsid w:val="5CD71FC4"/>
    <w:rsid w:val="5CDA5F34"/>
    <w:rsid w:val="5D015BB7"/>
    <w:rsid w:val="5D1F11B5"/>
    <w:rsid w:val="5D293E00"/>
    <w:rsid w:val="5D3647F9"/>
    <w:rsid w:val="5D3D16B0"/>
    <w:rsid w:val="5DA644D4"/>
    <w:rsid w:val="5DAE1B18"/>
    <w:rsid w:val="5DD32995"/>
    <w:rsid w:val="5DE03D0B"/>
    <w:rsid w:val="5DE7D9E5"/>
    <w:rsid w:val="5DFE58E1"/>
    <w:rsid w:val="5EA04616"/>
    <w:rsid w:val="5ECE1AC8"/>
    <w:rsid w:val="5ECEC941"/>
    <w:rsid w:val="5EFF8FC6"/>
    <w:rsid w:val="5F5BA39A"/>
    <w:rsid w:val="5F7D3B79"/>
    <w:rsid w:val="5F7F4610"/>
    <w:rsid w:val="5FBF9FF3"/>
    <w:rsid w:val="5FCD4E2C"/>
    <w:rsid w:val="5FEF394A"/>
    <w:rsid w:val="5FF67715"/>
    <w:rsid w:val="60002155"/>
    <w:rsid w:val="614C4B25"/>
    <w:rsid w:val="61823D2A"/>
    <w:rsid w:val="618741B1"/>
    <w:rsid w:val="61CA71D5"/>
    <w:rsid w:val="62010702"/>
    <w:rsid w:val="62015D11"/>
    <w:rsid w:val="621C2B4B"/>
    <w:rsid w:val="627E2B30"/>
    <w:rsid w:val="627EE9EA"/>
    <w:rsid w:val="62B40A46"/>
    <w:rsid w:val="62FD7A99"/>
    <w:rsid w:val="63576530"/>
    <w:rsid w:val="636E53EF"/>
    <w:rsid w:val="636F578C"/>
    <w:rsid w:val="63B23AA5"/>
    <w:rsid w:val="64732068"/>
    <w:rsid w:val="647F5392"/>
    <w:rsid w:val="64C574CA"/>
    <w:rsid w:val="64E322C4"/>
    <w:rsid w:val="653A0192"/>
    <w:rsid w:val="655A40B6"/>
    <w:rsid w:val="65EE0EE5"/>
    <w:rsid w:val="65FB93B9"/>
    <w:rsid w:val="6633C463"/>
    <w:rsid w:val="67D55B77"/>
    <w:rsid w:val="67EE7F84"/>
    <w:rsid w:val="67F56E50"/>
    <w:rsid w:val="686F5F53"/>
    <w:rsid w:val="689A2A1B"/>
    <w:rsid w:val="68AF296B"/>
    <w:rsid w:val="68FF75FC"/>
    <w:rsid w:val="697046E5"/>
    <w:rsid w:val="6A512005"/>
    <w:rsid w:val="6AFFCEAF"/>
    <w:rsid w:val="6B385337"/>
    <w:rsid w:val="6B6601E5"/>
    <w:rsid w:val="6B6A0DCB"/>
    <w:rsid w:val="6B96E9E6"/>
    <w:rsid w:val="6BA95097"/>
    <w:rsid w:val="6BB11078"/>
    <w:rsid w:val="6BCE57B5"/>
    <w:rsid w:val="6BFA10DE"/>
    <w:rsid w:val="6BFEA4DB"/>
    <w:rsid w:val="6BFFB662"/>
    <w:rsid w:val="6C4A05C8"/>
    <w:rsid w:val="6CFF4FB8"/>
    <w:rsid w:val="6D121C8D"/>
    <w:rsid w:val="6D6BD6E0"/>
    <w:rsid w:val="6D77E73C"/>
    <w:rsid w:val="6DBF5E93"/>
    <w:rsid w:val="6DC36570"/>
    <w:rsid w:val="6DFF077E"/>
    <w:rsid w:val="6E7E3605"/>
    <w:rsid w:val="6E7FDCC7"/>
    <w:rsid w:val="6E806520"/>
    <w:rsid w:val="6ED6A62E"/>
    <w:rsid w:val="6EE00B15"/>
    <w:rsid w:val="6EE737B2"/>
    <w:rsid w:val="6EEB2329"/>
    <w:rsid w:val="6EECE67A"/>
    <w:rsid w:val="6F571666"/>
    <w:rsid w:val="6F6F90A8"/>
    <w:rsid w:val="6F6FB3EB"/>
    <w:rsid w:val="6F8731EA"/>
    <w:rsid w:val="6FBC2ADD"/>
    <w:rsid w:val="6FD57C00"/>
    <w:rsid w:val="6FEFFFD8"/>
    <w:rsid w:val="6FF209F3"/>
    <w:rsid w:val="6FF5CC65"/>
    <w:rsid w:val="6FFB47EC"/>
    <w:rsid w:val="6FFF034A"/>
    <w:rsid w:val="700F30D4"/>
    <w:rsid w:val="70BB7D3B"/>
    <w:rsid w:val="712A28F1"/>
    <w:rsid w:val="71512BEF"/>
    <w:rsid w:val="715C0E4B"/>
    <w:rsid w:val="7185070D"/>
    <w:rsid w:val="71CE21E8"/>
    <w:rsid w:val="71FFD401"/>
    <w:rsid w:val="72111EB0"/>
    <w:rsid w:val="72233669"/>
    <w:rsid w:val="7231730A"/>
    <w:rsid w:val="72531E63"/>
    <w:rsid w:val="72593D52"/>
    <w:rsid w:val="72734D90"/>
    <w:rsid w:val="732950C8"/>
    <w:rsid w:val="732B403D"/>
    <w:rsid w:val="7332FE48"/>
    <w:rsid w:val="739002D0"/>
    <w:rsid w:val="73AD73D5"/>
    <w:rsid w:val="73B6EB34"/>
    <w:rsid w:val="73FA497D"/>
    <w:rsid w:val="7415254D"/>
    <w:rsid w:val="74275AAB"/>
    <w:rsid w:val="744731E5"/>
    <w:rsid w:val="746B0F7E"/>
    <w:rsid w:val="74BBD01D"/>
    <w:rsid w:val="74ED5379"/>
    <w:rsid w:val="751A328C"/>
    <w:rsid w:val="75B27CA5"/>
    <w:rsid w:val="75DEEEC2"/>
    <w:rsid w:val="761364A1"/>
    <w:rsid w:val="767F479D"/>
    <w:rsid w:val="76E3355F"/>
    <w:rsid w:val="76F742AF"/>
    <w:rsid w:val="76F7BE7D"/>
    <w:rsid w:val="76FE0619"/>
    <w:rsid w:val="76FF5125"/>
    <w:rsid w:val="773570D3"/>
    <w:rsid w:val="77597F31"/>
    <w:rsid w:val="77671554"/>
    <w:rsid w:val="776F6FFA"/>
    <w:rsid w:val="7777A522"/>
    <w:rsid w:val="77858688"/>
    <w:rsid w:val="778769C8"/>
    <w:rsid w:val="77C23F98"/>
    <w:rsid w:val="77CB741A"/>
    <w:rsid w:val="77D7BE3A"/>
    <w:rsid w:val="77DC22F5"/>
    <w:rsid w:val="788C05D2"/>
    <w:rsid w:val="78E71CAD"/>
    <w:rsid w:val="797E3A6C"/>
    <w:rsid w:val="79CF70E2"/>
    <w:rsid w:val="79D73ACF"/>
    <w:rsid w:val="79D7FD79"/>
    <w:rsid w:val="79E75806"/>
    <w:rsid w:val="79EE5BA4"/>
    <w:rsid w:val="7A641148"/>
    <w:rsid w:val="7A6F8BF5"/>
    <w:rsid w:val="7A894339"/>
    <w:rsid w:val="7AAC4F5C"/>
    <w:rsid w:val="7AB82530"/>
    <w:rsid w:val="7ACF82B5"/>
    <w:rsid w:val="7AFF28C9"/>
    <w:rsid w:val="7AFF72A0"/>
    <w:rsid w:val="7AFF7572"/>
    <w:rsid w:val="7B0E642F"/>
    <w:rsid w:val="7B4762DA"/>
    <w:rsid w:val="7B6C7DFB"/>
    <w:rsid w:val="7B755AFC"/>
    <w:rsid w:val="7B7D76A7"/>
    <w:rsid w:val="7BAE2FE2"/>
    <w:rsid w:val="7BAF6951"/>
    <w:rsid w:val="7BBFBED0"/>
    <w:rsid w:val="7BC3E394"/>
    <w:rsid w:val="7BF3FE4C"/>
    <w:rsid w:val="7BFB5035"/>
    <w:rsid w:val="7BFDE17E"/>
    <w:rsid w:val="7CB41EA6"/>
    <w:rsid w:val="7CBFC87B"/>
    <w:rsid w:val="7CCD2C16"/>
    <w:rsid w:val="7CD27528"/>
    <w:rsid w:val="7CFE0F48"/>
    <w:rsid w:val="7D3DE31C"/>
    <w:rsid w:val="7D7EC23E"/>
    <w:rsid w:val="7D7F8A13"/>
    <w:rsid w:val="7DA66207"/>
    <w:rsid w:val="7DBBCB01"/>
    <w:rsid w:val="7DC765D0"/>
    <w:rsid w:val="7DDB0EE0"/>
    <w:rsid w:val="7DFF51D8"/>
    <w:rsid w:val="7E2B6198"/>
    <w:rsid w:val="7E634199"/>
    <w:rsid w:val="7E704224"/>
    <w:rsid w:val="7E8ADEBF"/>
    <w:rsid w:val="7EEF11D3"/>
    <w:rsid w:val="7EF78C20"/>
    <w:rsid w:val="7F3F679B"/>
    <w:rsid w:val="7F4FC4EF"/>
    <w:rsid w:val="7F5E4D54"/>
    <w:rsid w:val="7F6B75FA"/>
    <w:rsid w:val="7F7B314F"/>
    <w:rsid w:val="7F9F518D"/>
    <w:rsid w:val="7FA30C79"/>
    <w:rsid w:val="7FAF8ABF"/>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4"/>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7"/>
    <w:unhideWhenUsed/>
    <w:qFormat/>
    <w:uiPriority w:val="9"/>
    <w:pPr>
      <w:keepNext/>
      <w:keepLines/>
      <w:spacing w:before="260" w:after="260" w:line="416" w:lineRule="auto"/>
      <w:outlineLvl w:val="2"/>
    </w:pPr>
    <w:rPr>
      <w:b/>
      <w:bCs/>
      <w:sz w:val="32"/>
      <w:szCs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6">
    <w:name w:val="index 8"/>
    <w:basedOn w:val="1"/>
    <w:next w:val="1"/>
    <w:qFormat/>
    <w:uiPriority w:val="0"/>
    <w:pPr>
      <w:ind w:left="1400" w:leftChars="1400"/>
    </w:pPr>
  </w:style>
  <w:style w:type="paragraph" w:styleId="7">
    <w:name w:val="index 5"/>
    <w:basedOn w:val="1"/>
    <w:next w:val="1"/>
    <w:qFormat/>
    <w:uiPriority w:val="0"/>
    <w:pPr>
      <w:ind w:left="1680"/>
    </w:pPr>
  </w:style>
  <w:style w:type="paragraph" w:styleId="8">
    <w:name w:val="Salutation"/>
    <w:basedOn w:val="1"/>
    <w:next w:val="1"/>
    <w:qFormat/>
    <w:uiPriority w:val="0"/>
    <w:rPr>
      <w:rFonts w:ascii="Times New Roman" w:hAnsi="Times New Roman" w:eastAsia="宋体" w:cs="Times New Roman"/>
    </w:rPr>
  </w:style>
  <w:style w:type="paragraph" w:styleId="9">
    <w:name w:val="Body Text"/>
    <w:basedOn w:val="1"/>
    <w:link w:val="30"/>
    <w:qFormat/>
    <w:uiPriority w:val="99"/>
    <w:pPr>
      <w:spacing w:beforeLines="30"/>
    </w:pPr>
    <w:rPr>
      <w:rFonts w:ascii="仿宋_GB2312" w:eastAsia="仿宋_GB2312"/>
      <w:kern w:val="0"/>
      <w:sz w:val="30"/>
    </w:rPr>
  </w:style>
  <w:style w:type="paragraph" w:styleId="10">
    <w:name w:val="Body Text Indent"/>
    <w:basedOn w:val="1"/>
    <w:qFormat/>
    <w:uiPriority w:val="0"/>
    <w:pPr>
      <w:spacing w:after="120"/>
      <w:ind w:left="200" w:leftChars="200"/>
    </w:pPr>
    <w:rPr>
      <w:rFonts w:ascii="仿宋_GB2312"/>
      <w:szCs w:val="32"/>
    </w:rPr>
  </w:style>
  <w:style w:type="paragraph" w:styleId="11">
    <w:name w:val="toc 3"/>
    <w:basedOn w:val="1"/>
    <w:next w:val="1"/>
    <w:unhideWhenUsed/>
    <w:qFormat/>
    <w:uiPriority w:val="39"/>
    <w:pPr>
      <w:tabs>
        <w:tab w:val="right" w:leader="dot" w:pos="8296"/>
      </w:tabs>
      <w:ind w:left="840" w:leftChars="400"/>
    </w:pPr>
  </w:style>
  <w:style w:type="paragraph" w:styleId="12">
    <w:name w:val="Plain Text"/>
    <w:basedOn w:val="1"/>
    <w:qFormat/>
    <w:uiPriority w:val="0"/>
    <w:pPr>
      <w:spacing w:before="0" w:beforeAutospacing="0" w:after="0" w:afterAutospacing="0"/>
      <w:ind w:left="0" w:right="0"/>
      <w:jc w:val="left"/>
    </w:pPr>
    <w:rPr>
      <w:rFonts w:hint="eastAsia" w:ascii="宋体" w:hAnsi="宋体" w:eastAsia="宋体" w:cs="Courier New"/>
      <w:kern w:val="0"/>
      <w:sz w:val="24"/>
      <w:szCs w:val="24"/>
      <w:lang w:val="en-US" w:eastAsia="zh-CN" w:bidi="ar"/>
    </w:rPr>
  </w:style>
  <w:style w:type="paragraph" w:styleId="13">
    <w:name w:val="Balloon Text"/>
    <w:basedOn w:val="1"/>
    <w:link w:val="36"/>
    <w:semiHidden/>
    <w:unhideWhenUsed/>
    <w:qFormat/>
    <w:uiPriority w:val="99"/>
    <w:rPr>
      <w:sz w:val="18"/>
      <w:szCs w:val="18"/>
    </w:rPr>
  </w:style>
  <w:style w:type="paragraph" w:styleId="14">
    <w:name w:val="footer"/>
    <w:basedOn w:val="1"/>
    <w:link w:val="28"/>
    <w:qFormat/>
    <w:uiPriority w:val="99"/>
    <w:pPr>
      <w:tabs>
        <w:tab w:val="center" w:pos="4153"/>
        <w:tab w:val="right" w:pos="8306"/>
      </w:tabs>
      <w:snapToGrid w:val="0"/>
      <w:jc w:val="left"/>
    </w:pPr>
    <w:rPr>
      <w:rFonts w:ascii="Calibri" w:hAnsi="Calibri"/>
      <w:kern w:val="0"/>
      <w:sz w:val="18"/>
      <w:szCs w:val="18"/>
    </w:rPr>
  </w:style>
  <w:style w:type="paragraph" w:styleId="15">
    <w:name w:val="header"/>
    <w:basedOn w:val="1"/>
    <w:link w:val="26"/>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6">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7">
    <w:name w:val="table of figures"/>
    <w:basedOn w:val="1"/>
    <w:next w:val="1"/>
    <w:qFormat/>
    <w:uiPriority w:val="0"/>
    <w:pPr>
      <w:ind w:left="400" w:leftChars="200" w:hanging="200" w:hangingChars="200"/>
    </w:pPr>
  </w:style>
  <w:style w:type="paragraph" w:styleId="18">
    <w:name w:val="toc 2"/>
    <w:basedOn w:val="1"/>
    <w:next w:val="1"/>
    <w:unhideWhenUsed/>
    <w:qFormat/>
    <w:uiPriority w:val="39"/>
    <w:pPr>
      <w:tabs>
        <w:tab w:val="right" w:leader="dot" w:pos="8296"/>
      </w:tabs>
      <w:ind w:left="420" w:leftChars="200"/>
    </w:pPr>
  </w:style>
  <w:style w:type="paragraph" w:styleId="19">
    <w:name w:val="Normal (Web)"/>
    <w:basedOn w:val="1"/>
    <w:qFormat/>
    <w:uiPriority w:val="0"/>
    <w:pPr>
      <w:spacing w:before="100" w:beforeAutospacing="1" w:after="100" w:afterAutospacing="1"/>
      <w:ind w:left="0" w:right="0"/>
      <w:jc w:val="left"/>
    </w:pPr>
    <w:rPr>
      <w:rFonts w:hint="default" w:ascii="宋体" w:hAnsi="宋体" w:eastAsia="宋体" w:cs="宋体"/>
      <w:kern w:val="0"/>
      <w:sz w:val="24"/>
      <w:lang w:val="en-US" w:eastAsia="zh-CN" w:bidi="ar"/>
    </w:rPr>
  </w:style>
  <w:style w:type="paragraph" w:styleId="20">
    <w:name w:val="Body Text First Indent 2"/>
    <w:basedOn w:val="10"/>
    <w:unhideWhenUsed/>
    <w:qFormat/>
    <w:uiPriority w:val="99"/>
    <w:pPr>
      <w:ind w:firstLine="420" w:firstLineChars="200"/>
    </w:pPr>
  </w:style>
  <w:style w:type="character" w:styleId="23">
    <w:name w:val="Strong"/>
    <w:basedOn w:val="22"/>
    <w:qFormat/>
    <w:uiPriority w:val="99"/>
    <w:rPr>
      <w:b/>
    </w:rPr>
  </w:style>
  <w:style w:type="character" w:styleId="24">
    <w:name w:val="Hyperlink"/>
    <w:basedOn w:val="22"/>
    <w:unhideWhenUsed/>
    <w:qFormat/>
    <w:uiPriority w:val="99"/>
    <w:rPr>
      <w:color w:val="0000FF" w:themeColor="hyperlink"/>
      <w:u w:val="single"/>
      <w14:textFill>
        <w14:solidFill>
          <w14:schemeClr w14:val="hlink"/>
        </w14:solidFill>
      </w14:textFill>
    </w:rPr>
  </w:style>
  <w:style w:type="character" w:customStyle="1" w:styleId="25">
    <w:name w:val="Header Char"/>
    <w:basedOn w:val="22"/>
    <w:semiHidden/>
    <w:qFormat/>
    <w:uiPriority w:val="99"/>
    <w:rPr>
      <w:rFonts w:ascii="Times New Roman" w:hAnsi="Times New Roman"/>
      <w:sz w:val="18"/>
      <w:szCs w:val="18"/>
    </w:rPr>
  </w:style>
  <w:style w:type="character" w:customStyle="1" w:styleId="26">
    <w:name w:val="页眉 字符"/>
    <w:link w:val="15"/>
    <w:semiHidden/>
    <w:qFormat/>
    <w:locked/>
    <w:uiPriority w:val="99"/>
    <w:rPr>
      <w:sz w:val="18"/>
    </w:rPr>
  </w:style>
  <w:style w:type="character" w:customStyle="1" w:styleId="27">
    <w:name w:val="Footer Char"/>
    <w:basedOn w:val="22"/>
    <w:semiHidden/>
    <w:qFormat/>
    <w:uiPriority w:val="99"/>
    <w:rPr>
      <w:rFonts w:ascii="Times New Roman" w:hAnsi="Times New Roman"/>
      <w:sz w:val="18"/>
      <w:szCs w:val="18"/>
    </w:rPr>
  </w:style>
  <w:style w:type="character" w:customStyle="1" w:styleId="28">
    <w:name w:val="页脚 字符"/>
    <w:link w:val="14"/>
    <w:qFormat/>
    <w:locked/>
    <w:uiPriority w:val="99"/>
    <w:rPr>
      <w:sz w:val="18"/>
    </w:rPr>
  </w:style>
  <w:style w:type="character" w:customStyle="1" w:styleId="29">
    <w:name w:val="Body Text Char"/>
    <w:basedOn w:val="22"/>
    <w:semiHidden/>
    <w:qFormat/>
    <w:uiPriority w:val="99"/>
    <w:rPr>
      <w:rFonts w:ascii="Times New Roman" w:hAnsi="Times New Roman"/>
      <w:szCs w:val="24"/>
    </w:rPr>
  </w:style>
  <w:style w:type="character" w:customStyle="1" w:styleId="30">
    <w:name w:val="正文文本 字符"/>
    <w:link w:val="9"/>
    <w:qFormat/>
    <w:locked/>
    <w:uiPriority w:val="99"/>
    <w:rPr>
      <w:rFonts w:ascii="仿宋_GB2312" w:hAnsi="Times New Roman" w:eastAsia="仿宋_GB2312"/>
      <w:sz w:val="24"/>
    </w:rPr>
  </w:style>
  <w:style w:type="paragraph" w:customStyle="1" w:styleId="31">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2">
    <w:name w:val="List Paragraph"/>
    <w:basedOn w:val="1"/>
    <w:qFormat/>
    <w:uiPriority w:val="34"/>
    <w:pPr>
      <w:ind w:firstLine="420" w:firstLineChars="200"/>
    </w:pPr>
  </w:style>
  <w:style w:type="character" w:customStyle="1" w:styleId="33">
    <w:name w:val="标题 1 字符"/>
    <w:basedOn w:val="22"/>
    <w:link w:val="3"/>
    <w:qFormat/>
    <w:uiPriority w:val="9"/>
    <w:rPr>
      <w:rFonts w:ascii="Times New Roman" w:hAnsi="Times New Roman"/>
      <w:b/>
      <w:bCs/>
      <w:kern w:val="44"/>
      <w:sz w:val="44"/>
      <w:szCs w:val="44"/>
    </w:rPr>
  </w:style>
  <w:style w:type="character" w:customStyle="1" w:styleId="34">
    <w:name w:val="标题 2 字符"/>
    <w:basedOn w:val="22"/>
    <w:link w:val="4"/>
    <w:qFormat/>
    <w:uiPriority w:val="9"/>
    <w:rPr>
      <w:rFonts w:asciiTheme="majorHAnsi" w:hAnsiTheme="majorHAnsi" w:eastAsiaTheme="majorEastAsia" w:cstheme="majorBidi"/>
      <w:b/>
      <w:bCs/>
      <w:kern w:val="2"/>
      <w:sz w:val="32"/>
      <w:szCs w:val="32"/>
    </w:rPr>
  </w:style>
  <w:style w:type="paragraph" w:customStyle="1" w:styleId="35">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6">
    <w:name w:val="批注框文本 字符"/>
    <w:basedOn w:val="22"/>
    <w:link w:val="13"/>
    <w:semiHidden/>
    <w:qFormat/>
    <w:uiPriority w:val="99"/>
    <w:rPr>
      <w:rFonts w:ascii="Times New Roman" w:hAnsi="Times New Roman"/>
      <w:kern w:val="2"/>
      <w:sz w:val="18"/>
      <w:szCs w:val="18"/>
    </w:rPr>
  </w:style>
  <w:style w:type="character" w:customStyle="1" w:styleId="37">
    <w:name w:val="标题 3 字符"/>
    <w:basedOn w:val="22"/>
    <w:link w:val="5"/>
    <w:qFormat/>
    <w:uiPriority w:val="9"/>
    <w:rPr>
      <w:rFonts w:ascii="Times New Roman" w:hAnsi="Times New Roman"/>
      <w:b/>
      <w:bCs/>
      <w:kern w:val="2"/>
      <w:sz w:val="32"/>
      <w:szCs w:val="32"/>
    </w:rPr>
  </w:style>
  <w:style w:type="paragraph" w:customStyle="1" w:styleId="38">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9">
    <w:name w:val="四号正文"/>
    <w:basedOn w:val="1"/>
    <w:qFormat/>
    <w:uiPriority w:val="0"/>
    <w:pPr>
      <w:spacing w:line="360" w:lineRule="auto"/>
    </w:pPr>
    <w:rPr>
      <w:rFonts w:ascii="??" w:hAnsi="??"/>
      <w:color w:val="000000"/>
      <w:kern w:val="0"/>
      <w:sz w:val="28"/>
      <w:szCs w:val="21"/>
      <w:lang w:val="zh-CN"/>
    </w:rPr>
  </w:style>
  <w:style w:type="paragraph" w:customStyle="1" w:styleId="40">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41">
    <w:name w:val="WPSOffice手动目录 1"/>
    <w:qFormat/>
    <w:uiPriority w:val="0"/>
    <w:pPr>
      <w:ind w:leftChars="0"/>
    </w:pPr>
    <w:rPr>
      <w:rFonts w:asciiTheme="minorHAnsi" w:hAnsiTheme="minorHAnsi" w:eastAsiaTheme="minorEastAsia" w:cstheme="minorBidi"/>
      <w:sz w:val="20"/>
      <w:szCs w:val="20"/>
    </w:rPr>
  </w:style>
  <w:style w:type="character" w:customStyle="1" w:styleId="42">
    <w:name w:val="16"/>
    <w:basedOn w:val="22"/>
    <w:qFormat/>
    <w:uiPriority w:val="0"/>
    <w:rPr>
      <w:rFonts w:hint="default" w:ascii="Times New Roman" w:hAnsi="Times New Roman" w:cs="Times New Roman"/>
      <w:b/>
    </w:rPr>
  </w:style>
  <w:style w:type="paragraph" w:customStyle="1" w:styleId="43">
    <w:name w:val="WPSOffice手动目录 2"/>
    <w:qFormat/>
    <w:uiPriority w:val="0"/>
    <w:pPr>
      <w:ind w:leftChars="200"/>
    </w:pPr>
    <w:rPr>
      <w:rFonts w:asciiTheme="minorHAnsi" w:hAnsiTheme="minorHAnsi" w:eastAsiaTheme="minorEastAsia" w:cstheme="minorBidi"/>
      <w:sz w:val="20"/>
      <w:szCs w:val="20"/>
    </w:rPr>
  </w:style>
  <w:style w:type="character" w:customStyle="1" w:styleId="44">
    <w:name w:val="标题 1 Char"/>
    <w:basedOn w:val="22"/>
    <w:link w:val="3"/>
    <w:qFormat/>
    <w:uiPriority w:val="0"/>
    <w:rPr>
      <w:rFonts w:ascii="Times New Roman" w:hAnsi="Times New Roman" w:eastAsia="宋体" w:cs="Times New Roman"/>
      <w:b/>
      <w:bCs/>
      <w:kern w:val="44"/>
      <w:sz w:val="44"/>
      <w:szCs w:val="44"/>
      <w:lang w:val="en-US" w:eastAsia="zh-CN" w:bidi="ar-SA"/>
    </w:rPr>
  </w:style>
  <w:style w:type="paragraph" w:customStyle="1" w:styleId="45">
    <w:name w:val="Heading3"/>
    <w:basedOn w:val="1"/>
    <w:next w:val="1"/>
    <w:qFormat/>
    <w:uiPriority w:val="0"/>
    <w:pPr>
      <w:spacing w:before="104" w:after="104"/>
      <w:ind w:firstLineChars="0"/>
      <w:jc w:val="both"/>
      <w:textAlignment w:val="baseline"/>
    </w:pPr>
    <w:rPr>
      <w:rFonts w:ascii="Calibri" w:hAnsi="Calibri" w:eastAsia="黑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X%20&#24037;&#20316;&#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5195;&#30721;&#30456;&#20851;&#24773;&#20917;.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Desktop\&#26032;&#24314;%20XLS%20&#24037;&#20316;&#34920;.xls"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dministrator\Desktop\&#26032;&#24314;%20XLS%20&#24037;&#20316;&#34920;.xls"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Administrator\Desktop\&#26032;&#24314;%20XLS%20&#24037;&#20316;&#34920;.xls"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Administrator\Desktop\&#26032;&#24314;%20XLSX%20&#24037;&#20316;&#34920;.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Administrator\Desktop\&#26032;&#24314;%20XLS%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404040">
                    <a:lumMod val="75000"/>
                    <a:lumOff val="25000"/>
                  </a:srgbClr>
                </a:solidFill>
                <a:latin typeface="+mn-lt"/>
                <a:ea typeface="+mn-ea"/>
                <a:cs typeface="+mn-cs"/>
              </a:defRPr>
            </a:pPr>
            <a:r>
              <a:t>收入支出结构分析</a:t>
            </a:r>
          </a:p>
        </c:rich>
      </c:tx>
      <c:layout/>
      <c:overlay val="0"/>
      <c:spPr>
        <a:noFill/>
        <a:ln>
          <a:noFill/>
        </a:ln>
        <a:effectLst/>
      </c:spPr>
    </c:title>
    <c:autoTitleDeleted val="0"/>
    <c:plotArea>
      <c:layout/>
      <c:pieChart>
        <c:varyColors val="1"/>
        <c:ser>
          <c:idx val="0"/>
          <c:order val="0"/>
          <c:spPr/>
          <c:explosion val="0"/>
          <c:dPt>
            <c:idx val="0"/>
            <c:bubble3D val="0"/>
            <c:spPr>
              <a:solidFill>
                <a:srgbClr val="4F81BD"/>
              </a:solidFill>
              <a:ln>
                <a:solidFill>
                  <a:srgbClr val="FFFFFF"/>
                </a:solidFill>
              </a:ln>
              <a:effectLst/>
            </c:spPr>
          </c:dPt>
          <c:dPt>
            <c:idx val="1"/>
            <c:bubble3D val="0"/>
            <c:spPr>
              <a:solidFill>
                <a:srgbClr val="C0504D"/>
              </a:solidFill>
              <a:ln>
                <a:solidFill>
                  <a:srgbClr val="FFFFFF"/>
                </a:solidFill>
              </a:ln>
              <a:effectLst/>
            </c:spPr>
          </c:dPt>
          <c:dPt>
            <c:idx val="2"/>
            <c:bubble3D val="0"/>
            <c:spPr>
              <a:solidFill>
                <a:srgbClr val="9BBB59"/>
              </a:solidFill>
              <a:ln>
                <a:solidFill>
                  <a:srgbClr val="FFFFFF"/>
                </a:solidFill>
              </a:ln>
              <a:effectLst/>
            </c:spPr>
          </c:dPt>
          <c:dPt>
            <c:idx val="3"/>
            <c:bubble3D val="0"/>
            <c:spPr>
              <a:solidFill>
                <a:srgbClr val="8064A2"/>
              </a:solidFill>
              <a:ln>
                <a:solidFill>
                  <a:srgbClr val="FFFFFF"/>
                </a:solidFill>
              </a:ln>
              <a:effectLst/>
            </c:spPr>
          </c:dPt>
          <c:dPt>
            <c:idx val="4"/>
            <c:bubble3D val="0"/>
            <c:spPr>
              <a:solidFill>
                <a:srgbClr val="4BACC6"/>
              </a:solidFill>
              <a:ln>
                <a:solidFill>
                  <a:srgbClr val="FFFFFF"/>
                </a:solidFill>
              </a:ln>
              <a:effectLst/>
            </c:spPr>
          </c:dPt>
          <c:dPt>
            <c:idx val="5"/>
            <c:bubble3D val="0"/>
            <c:spPr>
              <a:solidFill>
                <a:srgbClr val="F79646"/>
              </a:solidFill>
              <a:ln>
                <a:solidFill>
                  <a:srgbClr val="FFFFFF"/>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lumMod val="75000"/>
                        <a:lumOff val="25000"/>
                      </a:srgb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multiLvlStrRef>
              <c:f>'[新建 XLSX 工作表.xlsx]Sheet1'!$H$15:$I$20</c:f>
              <c:multiLvlStrCache>
                <c:ptCount val="6"/>
                <c:lvl>
                  <c:pt idx="0">
                    <c:v>656万元</c:v>
                  </c:pt>
                  <c:pt idx="1">
                    <c:v>104.66万元</c:v>
                  </c:pt>
                  <c:pt idx="2">
                    <c:v>66.34万元</c:v>
                  </c:pt>
                  <c:pt idx="3">
                    <c:v>29.52万元</c:v>
                  </c:pt>
                  <c:pt idx="4">
                    <c:v>35.96万元</c:v>
                  </c:pt>
                  <c:pt idx="5">
                    <c:v>25.52万元</c:v>
                  </c:pt>
                </c:lvl>
                <c:lvl>
                  <c:pt idx="0">
                    <c:v>一般公共服务支出</c:v>
                  </c:pt>
                  <c:pt idx="1">
                    <c:v>文化旅游体育与传媒支出</c:v>
                  </c:pt>
                  <c:pt idx="2">
                    <c:v>社会保障和就业支出</c:v>
                  </c:pt>
                  <c:pt idx="3">
                    <c:v>卫生健康支出</c:v>
                  </c:pt>
                  <c:pt idx="4">
                    <c:v>住房保障支出</c:v>
                  </c:pt>
                  <c:pt idx="5">
                    <c:v>农林水支出</c:v>
                  </c:pt>
                </c:lvl>
              </c:multiLvlStrCache>
            </c:multiLvlStrRef>
          </c:cat>
          <c:val>
            <c:numRef>
              <c:f>'[新建 XLSX 工作表.xlsx]Sheet1'!$J$15:$J$20</c:f>
              <c:numCache>
                <c:formatCode>0.00%</c:formatCode>
                <c:ptCount val="6"/>
                <c:pt idx="0">
                  <c:v>0.7146</c:v>
                </c:pt>
                <c:pt idx="1">
                  <c:v>0.114</c:v>
                </c:pt>
                <c:pt idx="2">
                  <c:v>0.0723</c:v>
                </c:pt>
                <c:pt idx="3">
                  <c:v>0.0322</c:v>
                </c:pt>
                <c:pt idx="4">
                  <c:v>0.0392</c:v>
                </c:pt>
                <c:pt idx="5">
                  <c:v>0.0278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extLst>
      <c:ext uri="{0b15fc19-7d7d-44ad-8c2d-2c3a37ce22c3}">
        <chartProps xmlns="https://web.wps.cn/et/2018/main" chartId="{dc92a4da-470c-4d01-91eb-f3190c76b602}"/>
      </c:ext>
    </c:extLst>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收入决算情况</a:t>
            </a:r>
          </a:p>
        </c:rich>
      </c:tx>
      <c:layout/>
      <c:overlay val="0"/>
      <c:spPr>
        <a:noFill/>
        <a:ln>
          <a:noFill/>
        </a:ln>
        <a:effectLst/>
      </c:spPr>
    </c:title>
    <c:autoTitleDeleted val="0"/>
    <c:plotArea>
      <c:layout/>
      <c:pieChart>
        <c:varyColors val="1"/>
        <c:ser>
          <c:idx val="0"/>
          <c:order val="0"/>
          <c:tx>
            <c:strRef>
              <c:f>[扫码相关情况.xlsx]Sheet1!$G$7</c:f>
              <c:strCache>
                <c:ptCount val="1"/>
                <c:pt idx="0">
                  <c:v>一般公共预算财政拨款收入</c:v>
                </c:pt>
              </c:strCache>
            </c:strRef>
          </c:tx>
          <c:spPr/>
          <c:explosion val="0"/>
          <c:dPt>
            <c:idx val="0"/>
            <c:bubble3D val="0"/>
            <c:spPr>
              <a:solidFill>
                <a:schemeClr val="accent1"/>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[扫码相关情况.xlsx]Sheet1!$H$7</c:f>
              <c:numCache>
                <c:formatCode>0%</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1ec707ae-af86-4138-af30-ccf40b25128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支出情况分析</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工作表.xls]Sheet1'!$A$9:$A$14</c:f>
              <c:strCache>
                <c:ptCount val="6"/>
                <c:pt idx="0">
                  <c:v>一般公共服务支出</c:v>
                </c:pt>
                <c:pt idx="1">
                  <c:v>文化旅游体育与传媒支出</c:v>
                </c:pt>
                <c:pt idx="2">
                  <c:v>社会保障和就业支出</c:v>
                </c:pt>
                <c:pt idx="3">
                  <c:v>卫生健康支出</c:v>
                </c:pt>
                <c:pt idx="4">
                  <c:v>住房保障支出</c:v>
                </c:pt>
                <c:pt idx="5">
                  <c:v>农林水支出</c:v>
                </c:pt>
              </c:strCache>
            </c:strRef>
          </c:cat>
          <c:val>
            <c:numRef>
              <c:f>'[新建 XLS 工作表.xls]Sheet1'!$B$9:$B$14</c:f>
              <c:numCache>
                <c:formatCode>0.00%</c:formatCode>
                <c:ptCount val="6"/>
                <c:pt idx="0">
                  <c:v>0.7146</c:v>
                </c:pt>
                <c:pt idx="1">
                  <c:v>0.114</c:v>
                </c:pt>
                <c:pt idx="2">
                  <c:v>0.0723</c:v>
                </c:pt>
                <c:pt idx="3">
                  <c:v>0.0322</c:v>
                </c:pt>
                <c:pt idx="4">
                  <c:v>0.0392</c:v>
                </c:pt>
                <c:pt idx="5">
                  <c:v>0.0278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7a9a040-dc67-4073-bb7d-6d4f94334b7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财政拨款收入支出决算</a:t>
            </a:r>
          </a:p>
        </c:rich>
      </c:tx>
      <c:layout>
        <c:manualLayout>
          <c:xMode val="edge"/>
          <c:yMode val="edge"/>
          <c:x val="0.341447368421053"/>
          <c:y val="0.03125"/>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工作表.xls]Sheet1'!$B$5:$B$10</c:f>
              <c:strCache>
                <c:ptCount val="6"/>
                <c:pt idx="0">
                  <c:v>一般公共服务支出</c:v>
                </c:pt>
                <c:pt idx="1">
                  <c:v>文化旅游体育与传媒支出</c:v>
                </c:pt>
                <c:pt idx="2">
                  <c:v>社会保障和就业支出</c:v>
                </c:pt>
                <c:pt idx="3">
                  <c:v>卫生健康支出</c:v>
                </c:pt>
                <c:pt idx="4">
                  <c:v>住房保障支出</c:v>
                </c:pt>
                <c:pt idx="5">
                  <c:v>农林水支出支出</c:v>
                </c:pt>
              </c:strCache>
            </c:strRef>
          </c:cat>
          <c:val>
            <c:numRef>
              <c:f>'[新建 XLS 工作表.xls]Sheet1'!$C$5:$C$10</c:f>
              <c:numCache>
                <c:formatCode>General</c:formatCode>
                <c:ptCount val="6"/>
                <c:pt idx="0">
                  <c:v>656</c:v>
                </c:pt>
                <c:pt idx="1">
                  <c:v>104.66</c:v>
                </c:pt>
                <c:pt idx="2">
                  <c:v>66.34</c:v>
                </c:pt>
                <c:pt idx="3">
                  <c:v>29.52</c:v>
                </c:pt>
                <c:pt idx="4">
                  <c:v>35.96</c:v>
                </c:pt>
                <c:pt idx="5">
                  <c:v>25.52</c:v>
                </c:pt>
              </c:numCache>
            </c:numRef>
          </c:val>
        </c:ser>
        <c:dLbls>
          <c:showLegendKey val="0"/>
          <c:showVal val="1"/>
          <c:showCatName val="0"/>
          <c:showSerName val="0"/>
          <c:showPercent val="0"/>
          <c:showBubbleSize val="0"/>
        </c:dLbls>
        <c:gapWidth val="246"/>
        <c:overlap val="-28"/>
        <c:axId val="745482029"/>
        <c:axId val="511838321"/>
      </c:barChart>
      <c:catAx>
        <c:axId val="74548202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1838321"/>
        <c:crosses val="autoZero"/>
        <c:auto val="1"/>
        <c:lblAlgn val="ctr"/>
        <c:lblOffset val="100"/>
        <c:noMultiLvlLbl val="0"/>
      </c:catAx>
      <c:valAx>
        <c:axId val="51183832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548202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17159d53-49a1-458b-9966-d41bb07b2c8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一般公共预算财政拨款支出决算变动情况</a:t>
            </a:r>
          </a:p>
        </c:rich>
      </c:tx>
      <c:layout/>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'[新建 XLS 工作表.xls]Sheet1'!$F$18:$F$19</c:f>
              <c:strCache>
                <c:ptCount val="2"/>
                <c:pt idx="0">
                  <c:v>2024年</c:v>
                </c:pt>
                <c:pt idx="1">
                  <c:v>2025年</c:v>
                </c:pt>
              </c:strCache>
            </c:strRef>
          </c:cat>
          <c:val>
            <c:numRef>
              <c:f>'[新建 XLS 工作表.xls]Sheet1'!$G$18:$G$19</c:f>
              <c:numCache>
                <c:formatCode>General</c:formatCode>
                <c:ptCount val="2"/>
                <c:pt idx="0">
                  <c:v>1095.32</c:v>
                </c:pt>
                <c:pt idx="1">
                  <c:v>918</c:v>
                </c:pt>
              </c:numCache>
            </c:numRef>
          </c:val>
        </c:ser>
        <c:dLbls>
          <c:showLegendKey val="0"/>
          <c:showVal val="1"/>
          <c:showCatName val="0"/>
          <c:showSerName val="0"/>
          <c:showPercent val="0"/>
          <c:showBubbleSize val="0"/>
        </c:dLbls>
        <c:gapWidth val="140"/>
        <c:overlap val="-40"/>
        <c:axId val="368622105"/>
        <c:axId val="439296851"/>
      </c:barChart>
      <c:catAx>
        <c:axId val="368622105"/>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9296851"/>
        <c:crosses val="autoZero"/>
        <c:auto val="1"/>
        <c:lblAlgn val="ctr"/>
        <c:lblOffset val="100"/>
        <c:noMultiLvlLbl val="0"/>
      </c:catAx>
      <c:valAx>
        <c:axId val="439296851"/>
        <c:scaling>
          <c:orientation val="minMax"/>
        </c:scaling>
        <c:delete val="0"/>
        <c:axPos val="b"/>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862210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48b0de38-920a-4292-9795-42bce2ad82f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一般公共预算财政拨款支出情况</a:t>
            </a:r>
          </a:p>
        </c:rich>
      </c:tx>
      <c:layout/>
      <c:overlay val="0"/>
      <c:spPr>
        <a:noFill/>
        <a:ln>
          <a:noFill/>
        </a:ln>
        <a:effectLst/>
      </c:spPr>
    </c:title>
    <c:autoTitleDeleted val="0"/>
    <c:plotArea>
      <c:layout/>
      <c:pieChart>
        <c:varyColors val="1"/>
        <c:ser>
          <c:idx val="0"/>
          <c:order val="0"/>
          <c:spPr/>
          <c:explosion val="0"/>
          <c:dPt>
            <c:idx val="0"/>
            <c:bubble3D val="0"/>
            <c:spPr>
              <a:solidFill>
                <a:schemeClr val="accent2"/>
              </a:solidFill>
              <a:ln>
                <a:solidFill>
                  <a:schemeClr val="bg1"/>
                </a:solidFill>
              </a:ln>
              <a:effectLst/>
            </c:spPr>
          </c:dPt>
          <c:dPt>
            <c:idx val="1"/>
            <c:bubble3D val="0"/>
            <c:spPr>
              <a:solidFill>
                <a:schemeClr val="accent4"/>
              </a:solidFill>
              <a:ln>
                <a:solidFill>
                  <a:schemeClr val="bg1"/>
                </a:solidFill>
              </a:ln>
              <a:effectLst/>
            </c:spPr>
          </c:dPt>
          <c:dPt>
            <c:idx val="2"/>
            <c:bubble3D val="0"/>
            <c:spPr>
              <a:solidFill>
                <a:schemeClr val="accent6"/>
              </a:solidFill>
              <a:ln>
                <a:solidFill>
                  <a:schemeClr val="bg1"/>
                </a:solidFill>
              </a:ln>
              <a:effectLst/>
            </c:spPr>
          </c:dPt>
          <c:dPt>
            <c:idx val="3"/>
            <c:bubble3D val="0"/>
            <c:spPr>
              <a:solidFill>
                <a:schemeClr val="accent2">
                  <a:lumMod val="60000"/>
                </a:schemeClr>
              </a:solidFill>
              <a:ln>
                <a:solidFill>
                  <a:schemeClr val="bg1"/>
                </a:solidFill>
              </a:ln>
              <a:effectLst/>
            </c:spPr>
          </c:dPt>
          <c:dPt>
            <c:idx val="4"/>
            <c:bubble3D val="0"/>
            <c:spPr>
              <a:solidFill>
                <a:schemeClr val="accent4">
                  <a:lumMod val="60000"/>
                </a:schemeClr>
              </a:solidFill>
              <a:ln>
                <a:solidFill>
                  <a:schemeClr val="bg1"/>
                </a:solidFill>
              </a:ln>
              <a:effectLst/>
            </c:spPr>
          </c:dPt>
          <c:dPt>
            <c:idx val="5"/>
            <c:bubble3D val="0"/>
            <c:spPr>
              <a:solidFill>
                <a:schemeClr val="accent6">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'[新建 XLSX 工作表.xlsx]Sheet1'!$H$15:$I$20</c:f>
              <c:multiLvlStrCache>
                <c:ptCount val="6"/>
                <c:lvl>
                  <c:pt idx="0">
                    <c:v>656万元</c:v>
                  </c:pt>
                  <c:pt idx="1">
                    <c:v>104.66万元</c:v>
                  </c:pt>
                  <c:pt idx="2">
                    <c:v>66.34万元</c:v>
                  </c:pt>
                  <c:pt idx="3">
                    <c:v>29.52万元</c:v>
                  </c:pt>
                  <c:pt idx="4">
                    <c:v>35.96万元</c:v>
                  </c:pt>
                  <c:pt idx="5">
                    <c:v>25.52万元</c:v>
                  </c:pt>
                </c:lvl>
                <c:lvl>
                  <c:pt idx="0">
                    <c:v>一般公共服务支出</c:v>
                  </c:pt>
                  <c:pt idx="1">
                    <c:v>文化旅游体育与传媒支出</c:v>
                  </c:pt>
                  <c:pt idx="2">
                    <c:v>社会保障和就业支出</c:v>
                  </c:pt>
                  <c:pt idx="3">
                    <c:v>卫生健康支出</c:v>
                  </c:pt>
                  <c:pt idx="4">
                    <c:v>住房保障支出</c:v>
                  </c:pt>
                  <c:pt idx="5">
                    <c:v>农林水支出</c:v>
                  </c:pt>
                </c:lvl>
              </c:multiLvlStrCache>
            </c:multiLvlStrRef>
          </c:cat>
          <c:val>
            <c:numRef>
              <c:f>'[新建 XLSX 工作表.xlsx]Sheet1'!$J$15:$J$20</c:f>
              <c:numCache>
                <c:formatCode>0.00%</c:formatCode>
                <c:ptCount val="6"/>
                <c:pt idx="0">
                  <c:v>0.7146</c:v>
                </c:pt>
                <c:pt idx="1">
                  <c:v>0.114</c:v>
                </c:pt>
                <c:pt idx="2">
                  <c:v>0.0723</c:v>
                </c:pt>
                <c:pt idx="3">
                  <c:v>0.0322</c:v>
                </c:pt>
                <c:pt idx="4">
                  <c:v>0.0392</c:v>
                </c:pt>
                <c:pt idx="5">
                  <c:v>0.0278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c92a4da-470c-4d01-91eb-f3190c76b60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“三公”经费财政拨款支出结构</a:t>
            </a:r>
          </a:p>
          <a:p>
            <a:pPr defTabSz="914400">
              <a:defRPr lang="zh-CN" sz="1400" b="1" i="0" u="none" strike="noStrike" kern="1200" baseline="0">
                <a:solidFill>
                  <a:schemeClr val="tx1">
                    <a:lumMod val="75000"/>
                    <a:lumOff val="25000"/>
                  </a:schemeClr>
                </a:solidFill>
                <a:latin typeface="+mn-lt"/>
                <a:ea typeface="+mn-ea"/>
                <a:cs typeface="+mn-cs"/>
              </a:defRPr>
            </a:pPr>
          </a:p>
        </c:rich>
      </c:tx>
      <c:layout>
        <c:manualLayout>
          <c:xMode val="edge"/>
          <c:yMode val="edge"/>
          <c:x val="0.219078947368421"/>
          <c:y val="0.0277777777777778"/>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'[新建 XLS 工作表.xls]Sheet1'!$L$8:$M$9</c:f>
              <c:multiLvlStrCache>
                <c:ptCount val="2"/>
                <c:lvl>
                  <c:pt idx="0">
                    <c:v>50.49万元</c:v>
                  </c:pt>
                  <c:pt idx="1">
                    <c:v>0.13万元</c:v>
                  </c:pt>
                </c:lvl>
                <c:lvl>
                  <c:pt idx="0">
                    <c:v>公务用车购置及运行维护费支出</c:v>
                  </c:pt>
                  <c:pt idx="1">
                    <c:v>公务接待费支出</c:v>
                  </c:pt>
                </c:lvl>
              </c:multiLvlStrCache>
            </c:multiLvlStrRef>
          </c:cat>
          <c:val>
            <c:numRef>
              <c:f>'[新建 XLS 工作表.xls]Sheet1'!$L$10:$M$10</c:f>
              <c:numCache>
                <c:formatCode>0.00%</c:formatCode>
                <c:ptCount val="2"/>
                <c:pt idx="0">
                  <c:v>0.9976</c:v>
                </c:pt>
                <c:pt idx="1">
                  <c:v>0.0026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7b64e38-c5d6-4916-9bad-0b1962c9e1c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900" kern="1200"/>
  </cs:chartArea>
  <cs:dataLabel>
    <cs:lnRef idx="0"/>
    <cs:fillRef idx="0"/>
    <cs:effectRef idx="0"/>
    <cs:fontRef idx="minor">
      <a:srgbClr val="404040">
        <a:lumMod val="75000"/>
        <a:lumOff val="25000"/>
      </a:srgbClr>
    </cs:fontRef>
    <cs:defRPr sz="10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rgbClr val="000000"/>
    </cs:fontRef>
    <cs:spPr>
      <a:ln>
        <a:solidFill>
          <a:srgbClr val="FFFFFF"/>
        </a:solidFill>
      </a:ln>
      <a:effectLst/>
    </cs:spPr>
  </cs:dataPoint>
  <cs:dataPoint3D>
    <cs:lnRef idx="0"/>
    <cs:fillRef idx="1">
      <cs:styleClr val="auto"/>
    </cs:fillRef>
    <cs:effectRef idx="0"/>
    <cs:fontRef idx="minor">
      <a:srgbClr val="000000"/>
    </cs:fontRef>
    <cs:spPr>
      <a:ln w="25400">
        <a:solidFill>
          <a:srgbClr val="FFFFFF"/>
        </a:solidFill>
      </a:ln>
    </cs:spPr>
  </cs:dataPoint3D>
  <cs:dataPointLine>
    <cs:lnRef idx="0">
      <cs:styleClr val="auto"/>
    </cs:lnRef>
    <cs:fillRef idx="0"/>
    <cs:effectRef idx="0"/>
    <cs:fontRef idx="minor">
      <a:srgbClr val="000000"/>
    </cs:fontRef>
    <cs:spPr>
      <a:ln w="28575"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cs:spPr>
  </cs:dataPointMarker>
  <cs:dataPointMarkerLayout symbol="circle" size="5"/>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E6E6E6">
            <a:lumMod val="902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404040">
        <a:lumMod val="75000"/>
        <a:lumOff val="25000"/>
      </a:srgbClr>
    </cs:fontRef>
    <cs:defRPr sz="1400" b="1" kern="120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11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24</Pages>
  <Words>8882</Words>
  <Characters>9931</Characters>
  <Lines>72</Lines>
  <Paragraphs>20</Paragraphs>
  <TotalTime>6</TotalTime>
  <ScaleCrop>false</ScaleCrop>
  <LinksUpToDate>false</LinksUpToDate>
  <CharactersWithSpaces>10029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豆豆</cp:lastModifiedBy>
  <cp:lastPrinted>2026-10-15T08:29:15Z</cp:lastPrinted>
  <dcterms:modified xsi:type="dcterms:W3CDTF">2026-10-15T08:36:18Z</dcterms:modified>
  <dc:title>四川省***</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2ACC4396220040FD987541CDD13A1CAA_13</vt:lpwstr>
  </property>
  <property fmtid="{D5CDD505-2E9C-101B-9397-08002B2CF9AE}" pid="4" name="KSOTemplateDocerSaveRecord">
    <vt:lpwstr>eyJoZGlkIjoiNDk0NzJjZWQzZTc1YjM3YjExZjQ3MmViZWNmNDUxOTYiLCJ1c2VySWQiOiIzOTc1OTM5MjAifQ==</vt:lpwstr>
  </property>
</Properties>
</file>