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Times New Roman" w:hAnsi="Times New Roman" w:eastAsia="方正小标宋简体" w:cs="Times New Roman"/>
          <w:color w:val="auto"/>
          <w:kern w:val="2"/>
          <w:sz w:val="72"/>
          <w:szCs w:val="72"/>
          <w:highlight w:val="none"/>
          <w:lang w:val="en-US" w:eastAsia="zh-CN" w:bidi="ar-SA"/>
        </w:rPr>
      </w:pPr>
      <w:bookmarkStart w:id="0" w:name="_Toc15378441"/>
      <w:bookmarkStart w:id="1" w:name="_Toc15396597"/>
      <w:bookmarkStart w:id="2" w:name="_Toc15306267"/>
      <w:bookmarkStart w:id="3" w:name="_Toc15377425"/>
      <w:bookmarkStart w:id="4" w:name="_Toc15377193"/>
      <w:bookmarkStart w:id="5" w:name="_Toc15396475"/>
    </w:p>
    <w:p>
      <w:pPr>
        <w:pStyle w:val="2"/>
        <w:rPr>
          <w:rFonts w:hint="eastAsia" w:ascii="Times New Roman" w:hAnsi="Times New Roman" w:eastAsia="方正小标宋简体" w:cs="Times New Roman"/>
          <w:color w:val="auto"/>
          <w:kern w:val="2"/>
          <w:sz w:val="72"/>
          <w:szCs w:val="72"/>
          <w:highlight w:val="none"/>
          <w:lang w:val="en-US" w:eastAsia="zh-CN" w:bidi="ar-SA"/>
        </w:rPr>
      </w:pPr>
    </w:p>
    <w:p>
      <w:pPr>
        <w:pStyle w:val="2"/>
        <w:rPr>
          <w:rFonts w:hint="eastAsia" w:ascii="Times New Roman" w:hAnsi="Times New Roman" w:eastAsia="方正小标宋简体" w:cs="Times New Roman"/>
          <w:color w:val="auto"/>
          <w:kern w:val="2"/>
          <w:sz w:val="72"/>
          <w:szCs w:val="72"/>
          <w:highlight w:val="none"/>
          <w:lang w:val="en-US" w:eastAsia="zh-CN" w:bidi="ar-SA"/>
        </w:rPr>
      </w:pPr>
    </w:p>
    <w:bookmarkEnd w:id="0"/>
    <w:bookmarkEnd w:id="1"/>
    <w:bookmarkEnd w:id="2"/>
    <w:bookmarkEnd w:id="3"/>
    <w:bookmarkEnd w:id="4"/>
    <w:bookmarkEnd w:id="5"/>
    <w:p>
      <w:pPr>
        <w:pStyle w:val="2"/>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2025年度中共红原县委政法委员会</w:t>
      </w:r>
      <w:r>
        <w:rPr>
          <w:rFonts w:hint="eastAsia" w:ascii="Times New Roman" w:hAnsi="Times New Roman" w:eastAsia="方正小标宋简体" w:cs="Times New Roman"/>
          <w:color w:val="auto"/>
          <w:kern w:val="2"/>
          <w:sz w:val="44"/>
          <w:szCs w:val="44"/>
          <w:highlight w:val="none"/>
          <w:lang w:val="en-US" w:eastAsia="zh-CN" w:bidi="ar-SA"/>
        </w:rPr>
        <w:t>决算</w:t>
      </w:r>
    </w:p>
    <w:p>
      <w:pPr>
        <w:pStyle w:val="2"/>
        <w:jc w:val="center"/>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公开文字说明</w:t>
      </w:r>
    </w:p>
    <w:p>
      <w:pPr>
        <w:spacing w:line="600" w:lineRule="exact"/>
        <w:jc w:val="center"/>
        <w:outlineLvl w:val="0"/>
        <w:rPr>
          <w:rFonts w:ascii="Times New Roman" w:hAnsi="Times New Roman" w:eastAsia="方正小标宋简体"/>
          <w:color w:val="auto"/>
          <w:sz w:val="72"/>
          <w:szCs w:val="72"/>
          <w:highlight w:val="none"/>
        </w:rPr>
      </w:pPr>
    </w:p>
    <w:p>
      <w:pPr>
        <w:pStyle w:val="21"/>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pPr>
        <w:widowControl/>
        <w:jc w:val="both"/>
        <w:rPr>
          <w:rFonts w:ascii="Times New Roman" w:hAnsi="Times New Roman" w:eastAsia="黑体"/>
          <w:color w:val="auto"/>
          <w:sz w:val="48"/>
          <w:szCs w:val="48"/>
          <w:highlight w:val="none"/>
        </w:rPr>
      </w:pPr>
      <w:bookmarkStart w:id="6" w:name="_Toc15377196"/>
      <w:bookmarkStart w:id="7" w:name="_Toc15396599"/>
      <w:r>
        <w:rPr>
          <w:rFonts w:hint="eastAsia" w:ascii="Times New Roman" w:hAnsi="Times New Roman" w:eastAsia="黑体"/>
          <w:color w:val="auto"/>
          <w:sz w:val="48"/>
          <w:szCs w:val="48"/>
          <w:highlight w:val="none"/>
        </w:rPr>
        <w:t>目录</w:t>
      </w:r>
    </w:p>
    <w:p>
      <w:pPr>
        <w:widowControl/>
        <w:jc w:val="center"/>
        <w:rPr>
          <w:rFonts w:ascii="Times New Roman" w:hAnsi="Times New Roman" w:eastAsia="黑体" w:cstheme="minorBidi"/>
          <w:color w:val="auto"/>
          <w:sz w:val="28"/>
          <w:szCs w:val="28"/>
          <w:highlight w:val="none"/>
        </w:rPr>
      </w:pPr>
    </w:p>
    <w:p>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日</w:t>
      </w:r>
    </w:p>
    <w:p>
      <w:pPr>
        <w:rPr>
          <w:rFonts w:ascii="Times New Roman" w:hAnsi="Times New Roman"/>
          <w:color w:val="auto"/>
          <w:highlight w:val="none"/>
        </w:rPr>
      </w:pPr>
    </w:p>
    <w:p>
      <w:pPr>
        <w:pStyle w:val="12"/>
        <w:keepNext w:val="0"/>
        <w:keepLines w:val="0"/>
        <w:pageBreakBefore w:val="0"/>
        <w:numPr>
          <w:numId w:val="0"/>
        </w:numPr>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黑体" w:cs="黑体"/>
          <w:color w:val="auto"/>
          <w:sz w:val="32"/>
          <w:szCs w:val="32"/>
          <w:highlight w:val="none"/>
        </w:rPr>
        <w:t>第</w:t>
      </w:r>
      <w:r>
        <w:rPr>
          <w:rFonts w:hint="eastAsia" w:ascii="Times New Roman" w:hAnsi="Times New Roman" w:eastAsia="黑体" w:cs="黑体"/>
          <w:color w:val="auto"/>
          <w:sz w:val="32"/>
          <w:szCs w:val="32"/>
          <w:highlight w:val="none"/>
          <w:lang w:eastAsia="zh-CN"/>
        </w:rPr>
        <w:t>一</w:t>
      </w:r>
      <w:r>
        <w:rPr>
          <w:rFonts w:hint="eastAsia" w:ascii="Times New Roman" w:hAnsi="Times New Roman" w:eastAsia="黑体" w:cs="黑体"/>
          <w:color w:val="auto"/>
          <w:sz w:val="32"/>
          <w:szCs w:val="32"/>
          <w:highlight w:val="none"/>
        </w:rPr>
        <w:t>部分部门概况</w:t>
      </w:r>
      <w:r>
        <w:rPr>
          <w:rFonts w:hint="eastAsia" w:ascii="Times New Roman" w:hAnsi="Times New Roman" w:eastAsia="仿宋_GB2312" w:cs="仿宋_GB2312"/>
          <w:color w:val="auto"/>
          <w:kern w:val="2"/>
          <w:sz w:val="32"/>
          <w:szCs w:val="32"/>
          <w:highlight w:val="none"/>
          <w:lang w:val="en-US" w:eastAsia="zh-CN" w:bidi="ar-SA"/>
        </w:rPr>
        <w:t>……………………………………………1</w:t>
      </w:r>
    </w:p>
    <w:p>
      <w:pPr>
        <w:pStyle w:val="12"/>
        <w:keepNext w:val="0"/>
        <w:keepLines w:val="0"/>
        <w:pageBreakBefore w:val="0"/>
        <w:numPr>
          <w:numId w:val="0"/>
        </w:numPr>
        <w:kinsoku/>
        <w:wordWrap/>
        <w:overflowPunct/>
        <w:topLinePunct w:val="0"/>
        <w:autoSpaceDE/>
        <w:autoSpaceDN/>
        <w:bidi w:val="0"/>
        <w:adjustRightInd w:val="0"/>
        <w:snapToGrid w:val="0"/>
        <w:spacing w:before="0" w:line="560" w:lineRule="exact"/>
        <w:ind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r>
        <w:rPr>
          <w:rFonts w:hint="eastAsia" w:ascii="Times New Roman" w:hAnsi="Times New Roman" w:eastAsia="仿宋_GB2312" w:cs="仿宋_GB2312"/>
          <w:color w:val="auto"/>
          <w:kern w:val="2"/>
          <w:sz w:val="32"/>
          <w:szCs w:val="32"/>
          <w:highlight w:val="none"/>
          <w:lang w:val="en-US" w:eastAsia="zh-CN" w:bidi="ar-SA"/>
        </w:rPr>
        <w:t>……………………………………………3</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ind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二、机构设置</w:t>
      </w:r>
      <w:r>
        <w:rPr>
          <w:rFonts w:hint="eastAsia" w:ascii="Times New Roman" w:hAnsi="Times New Roman" w:eastAsia="仿宋_GB2312" w:cs="仿宋_GB2312"/>
          <w:color w:val="auto"/>
          <w:kern w:val="2"/>
          <w:sz w:val="32"/>
          <w:szCs w:val="32"/>
          <w:highlight w:val="none"/>
          <w:lang w:val="en-US" w:eastAsia="zh-CN" w:bidi="ar-SA"/>
        </w:rPr>
        <w:t>……………………………………………3</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黑体"/>
          <w:color w:val="auto"/>
          <w:sz w:val="32"/>
          <w:szCs w:val="32"/>
          <w:highlight w:val="none"/>
          <w:lang w:val="en-US"/>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r>
        <w:rPr>
          <w:rFonts w:hint="eastAsia" w:ascii="Times New Roman" w:hAnsi="Times New Roman" w:eastAsia="仿宋_GB2312" w:cs="仿宋_GB2312"/>
          <w:color w:val="auto"/>
          <w:kern w:val="2"/>
          <w:sz w:val="32"/>
          <w:szCs w:val="32"/>
          <w:highlight w:val="none"/>
          <w:lang w:val="en-US" w:eastAsia="zh-CN" w:bidi="ar-SA"/>
        </w:rPr>
        <w:t>……………………3</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ind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r>
        <w:rPr>
          <w:rFonts w:hint="eastAsia" w:ascii="Times New Roman" w:hAnsi="Times New Roman" w:eastAsia="仿宋_GB2312" w:cs="仿宋_GB2312"/>
          <w:color w:val="auto"/>
          <w:kern w:val="2"/>
          <w:sz w:val="32"/>
          <w:szCs w:val="32"/>
          <w:highlight w:val="none"/>
          <w:lang w:val="en-US" w:eastAsia="zh-CN" w:bidi="ar-SA"/>
        </w:rPr>
        <w:t>………………………3</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ind w:left="638" w:leftChars="304" w:firstLine="0" w:firstLineChars="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二、收入决算情况说明</w:t>
      </w:r>
      <w:r>
        <w:rPr>
          <w:rFonts w:hint="eastAsia" w:ascii="Times New Roman" w:hAnsi="Times New Roman" w:eastAsia="仿宋_GB2312" w:cs="仿宋_GB2312"/>
          <w:color w:val="auto"/>
          <w:kern w:val="2"/>
          <w:sz w:val="32"/>
          <w:szCs w:val="32"/>
          <w:highlight w:val="none"/>
          <w:lang w:val="en-US" w:eastAsia="zh-CN" w:bidi="ar-SA"/>
        </w:rPr>
        <w:t>…………………………………4</w:t>
      </w:r>
      <w:r>
        <w:rPr>
          <w:rFonts w:hint="eastAsia" w:ascii="Times New Roman" w:hAnsi="Times New Roman" w:eastAsia="仿宋_GB2312" w:cs="仿宋_GB2312"/>
          <w:color w:val="auto"/>
          <w:sz w:val="32"/>
          <w:szCs w:val="32"/>
          <w:highlight w:val="none"/>
        </w:rPr>
        <w:t>三、支出决算情况说明</w:t>
      </w:r>
      <w:r>
        <w:rPr>
          <w:rFonts w:hint="eastAsia" w:ascii="Times New Roman" w:hAnsi="Times New Roman" w:eastAsia="仿宋_GB2312" w:cs="仿宋_GB2312"/>
          <w:color w:val="auto"/>
          <w:kern w:val="2"/>
          <w:sz w:val="32"/>
          <w:szCs w:val="32"/>
          <w:highlight w:val="none"/>
          <w:lang w:val="en-US" w:eastAsia="zh-CN" w:bidi="ar-SA"/>
        </w:rPr>
        <w:t>…………………………………4</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ind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四、财政拨款收入支出决算总体情况说明</w:t>
      </w:r>
      <w:r>
        <w:rPr>
          <w:rFonts w:hint="eastAsia" w:ascii="Times New Roman" w:hAnsi="Times New Roman" w:eastAsia="仿宋_GB2312" w:cs="仿宋_GB2312"/>
          <w:color w:val="auto"/>
          <w:kern w:val="2"/>
          <w:sz w:val="32"/>
          <w:szCs w:val="32"/>
          <w:highlight w:val="none"/>
          <w:lang w:val="en-US" w:eastAsia="zh-CN" w:bidi="ar-SA"/>
        </w:rPr>
        <w:t>……………5</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ind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五、一般公共预算财政拨款支出决算情况说明</w:t>
      </w:r>
      <w:r>
        <w:rPr>
          <w:rFonts w:hint="eastAsia" w:ascii="Times New Roman" w:hAnsi="Times New Roman" w:eastAsia="仿宋_GB2312" w:cs="仿宋_GB2312"/>
          <w:color w:val="auto"/>
          <w:kern w:val="2"/>
          <w:sz w:val="32"/>
          <w:szCs w:val="32"/>
          <w:highlight w:val="none"/>
          <w:lang w:val="en-US" w:eastAsia="zh-CN" w:bidi="ar-SA"/>
        </w:rPr>
        <w:t>………6</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六、一般公共预算财政拨款基本支出决算情况说明</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8</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ind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r>
        <w:rPr>
          <w:rFonts w:hint="eastAsia" w:ascii="Times New Roman" w:hAnsi="Times New Roman" w:eastAsia="仿宋_GB2312" w:cs="仿宋_GB2312"/>
          <w:color w:val="auto"/>
          <w:kern w:val="2"/>
          <w:sz w:val="32"/>
          <w:szCs w:val="32"/>
          <w:highlight w:val="none"/>
          <w:lang w:val="en-US" w:eastAsia="zh-CN" w:bidi="ar-SA"/>
        </w:rPr>
        <w:t>………9</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八、政府性基金预算支出决算情况说明</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 xml:space="preserve">  </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10</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10</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ind w:firstLine="640" w:firstLineChars="200"/>
        <w:jc w:val="left"/>
        <w:textAlignment w:val="auto"/>
        <w:rPr>
          <w:rFonts w:hint="default" w:ascii="Times New Roman" w:hAnsi="Times New Roman" w:eastAsia="仿宋_GB2312" w:cs="仿宋_GB2312"/>
          <w:color w:val="auto"/>
          <w:sz w:val="32"/>
          <w:szCs w:val="32"/>
          <w:highlight w:val="none"/>
          <w:lang w:val="en-US"/>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r>
        <w:rPr>
          <w:rFonts w:hint="eastAsia" w:ascii="Times New Roman" w:hAnsi="Times New Roman" w:eastAsia="仿宋_GB2312" w:cs="仿宋_GB2312"/>
          <w:color w:val="auto"/>
          <w:kern w:val="2"/>
          <w:sz w:val="32"/>
          <w:szCs w:val="32"/>
          <w:highlight w:val="none"/>
          <w:lang w:val="en-US" w:eastAsia="zh-CN" w:bidi="ar-SA"/>
        </w:rPr>
        <w:t>…………………………11</w:t>
      </w:r>
    </w:p>
    <w:p>
      <w:pPr>
        <w:pStyle w:val="12"/>
        <w:keepNext w:val="0"/>
        <w:keepLines w:val="0"/>
        <w:pageBreakBefore w:val="0"/>
        <w:numPr>
          <w:ilvl w:val="0"/>
          <w:numId w:val="0"/>
        </w:numPr>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黑体"/>
          <w:color w:val="auto"/>
          <w:sz w:val="32"/>
          <w:szCs w:val="32"/>
          <w:highlight w:val="none"/>
          <w:lang w:val="en-US"/>
        </w:rPr>
      </w:pPr>
      <w:r>
        <w:rPr>
          <w:rFonts w:hint="eastAsia" w:ascii="Times New Roman" w:hAnsi="Times New Roman" w:eastAsia="黑体" w:cs="黑体"/>
          <w:color w:val="auto"/>
          <w:sz w:val="32"/>
          <w:szCs w:val="32"/>
          <w:highlight w:val="none"/>
        </w:rPr>
        <w:t xml:space="preserve">第三部分 </w:t>
      </w:r>
      <w:r>
        <w:rPr>
          <w:rFonts w:hint="eastAsia" w:ascii="Times New Roman" w:hAnsi="Times New Roman" w:eastAsia="黑体" w:cs="黑体"/>
          <w:color w:val="auto"/>
          <w:sz w:val="32"/>
          <w:szCs w:val="32"/>
          <w:highlight w:val="none"/>
          <w:lang w:eastAsia="zh-CN"/>
        </w:rPr>
        <w:t>名词解</w:t>
      </w:r>
      <w:r>
        <w:rPr>
          <w:rFonts w:hint="eastAsia" w:ascii="Times New Roman" w:hAnsi="Times New Roman" w:eastAsia="仿宋_GB2312" w:cs="仿宋_GB2312"/>
          <w:color w:val="auto"/>
          <w:kern w:val="2"/>
          <w:sz w:val="32"/>
          <w:szCs w:val="32"/>
          <w:highlight w:val="none"/>
          <w:lang w:val="en-US" w:eastAsia="zh-CN" w:bidi="ar-SA"/>
        </w:rPr>
        <w:t>……………………………………………12</w:t>
      </w:r>
    </w:p>
    <w:p>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default" w:ascii="Times New Roman" w:hAnsi="Times New Roman" w:eastAsia="黑体" w:cs="黑体"/>
          <w:color w:val="auto"/>
          <w:sz w:val="32"/>
          <w:szCs w:val="32"/>
          <w:highlight w:val="none"/>
          <w:lang w:val="en-US"/>
        </w:rPr>
      </w:pPr>
      <w:r>
        <w:rPr>
          <w:rFonts w:hint="eastAsia" w:ascii="Times New Roman" w:hAnsi="Times New Roman" w:eastAsia="黑体" w:cs="黑体"/>
          <w:color w:val="auto"/>
          <w:sz w:val="32"/>
          <w:szCs w:val="32"/>
          <w:highlight w:val="none"/>
        </w:rPr>
        <w:t>第</w:t>
      </w:r>
      <w:r>
        <w:rPr>
          <w:rFonts w:hint="eastAsia" w:ascii="Times New Roman" w:hAnsi="Times New Roman" w:eastAsia="黑体" w:cs="黑体"/>
          <w:color w:val="auto"/>
          <w:sz w:val="32"/>
          <w:szCs w:val="32"/>
          <w:highlight w:val="none"/>
          <w:lang w:eastAsia="zh-CN"/>
        </w:rPr>
        <w:t>四</w:t>
      </w:r>
      <w:r>
        <w:rPr>
          <w:rFonts w:hint="eastAsia" w:ascii="Times New Roman" w:hAnsi="Times New Roman" w:eastAsia="黑体" w:cs="黑体"/>
          <w:color w:val="auto"/>
          <w:sz w:val="32"/>
          <w:szCs w:val="32"/>
          <w:highlight w:val="none"/>
        </w:rPr>
        <w:t>部分 附表</w:t>
      </w:r>
      <w:r>
        <w:rPr>
          <w:rFonts w:hint="eastAsia" w:ascii="Times New Roman" w:hAnsi="Times New Roman" w:eastAsia="仿宋_GB2312" w:cs="仿宋_GB2312"/>
          <w:color w:val="auto"/>
          <w:kern w:val="2"/>
          <w:sz w:val="32"/>
          <w:szCs w:val="32"/>
          <w:highlight w:val="none"/>
          <w:lang w:val="en-US" w:eastAsia="zh-CN" w:bidi="ar-SA"/>
        </w:rPr>
        <w:t>………………………………………………15</w:t>
      </w:r>
    </w:p>
    <w:p>
      <w:pPr>
        <w:pStyle w:val="12"/>
        <w:keepNext w:val="0"/>
        <w:keepLines w:val="0"/>
        <w:pageBreakBefore w:val="0"/>
        <w:kinsoku/>
        <w:wordWrap/>
        <w:overflowPunct/>
        <w:topLinePunct w:val="0"/>
        <w:autoSpaceDE/>
        <w:autoSpaceDN/>
        <w:bidi w:val="0"/>
        <w:adjustRightInd w:val="0"/>
        <w:snapToGrid w:val="0"/>
        <w:spacing w:before="0" w:line="560" w:lineRule="exact"/>
        <w:ind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pPr>
        <w:pStyle w:val="12"/>
        <w:keepNext w:val="0"/>
        <w:keepLines w:val="0"/>
        <w:pageBreakBefore w:val="0"/>
        <w:kinsoku/>
        <w:wordWrap/>
        <w:overflowPunct/>
        <w:topLinePunct w:val="0"/>
        <w:autoSpaceDE/>
        <w:autoSpaceDN/>
        <w:bidi w:val="0"/>
        <w:adjustRightInd w:val="0"/>
        <w:snapToGrid w:val="0"/>
        <w:spacing w:before="0" w:line="560" w:lineRule="exact"/>
        <w:ind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pPr>
        <w:pStyle w:val="12"/>
        <w:keepNext w:val="0"/>
        <w:keepLines w:val="0"/>
        <w:pageBreakBefore w:val="0"/>
        <w:kinsoku/>
        <w:wordWrap/>
        <w:overflowPunct/>
        <w:topLinePunct w:val="0"/>
        <w:autoSpaceDE/>
        <w:autoSpaceDN/>
        <w:bidi w:val="0"/>
        <w:adjustRightInd w:val="0"/>
        <w:snapToGrid w:val="0"/>
        <w:spacing w:before="0" w:line="560" w:lineRule="exact"/>
        <w:ind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pPr>
        <w:pStyle w:val="3"/>
        <w:jc w:val="center"/>
        <w:rPr>
          <w:rFonts w:hint="eastAsia" w:ascii="Times New Roman" w:hAnsi="Times New Roman" w:eastAsia="方正小标宋简体" w:cs="方正小标宋简体"/>
          <w:b w:val="0"/>
          <w:color w:val="auto"/>
          <w:highlight w:val="none"/>
        </w:rPr>
        <w:sectPr>
          <w:footerReference r:id="rId7" w:type="first"/>
          <w:headerReference r:id="rId5" w:type="default"/>
          <w:footerReference r:id="rId6" w:type="default"/>
          <w:pgSz w:w="11906" w:h="16838"/>
          <w:pgMar w:top="1440" w:right="1800" w:bottom="1440" w:left="1800" w:header="851" w:footer="992" w:gutter="0"/>
          <w:pgNumType w:fmt="numberInDash" w:start="1"/>
          <w:cols w:space="425" w:num="1"/>
          <w:titlePg/>
          <w:docGrid w:type="lines" w:linePitch="312" w:charSpace="0"/>
        </w:sectPr>
      </w:pPr>
    </w:p>
    <w:p>
      <w:pPr>
        <w:pStyle w:val="3"/>
        <w:jc w:val="center"/>
        <w:rPr>
          <w:rFonts w:ascii="Times New Roman" w:hAnsi="Times New Roman" w:eastAsia="黑体"/>
          <w:color w:val="auto"/>
          <w:sz w:val="32"/>
          <w:szCs w:val="32"/>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0"/>
          <w:rFonts w:hint="eastAsia" w:ascii="Times New Roman" w:hAnsi="Times New Roman" w:eastAsia="方正小标宋简体" w:cs="方正小标宋简体"/>
          <w:b w:val="0"/>
          <w:bCs w:val="0"/>
          <w:color w:val="auto"/>
          <w:highlight w:val="none"/>
        </w:rPr>
        <w:t>部门概况</w:t>
      </w:r>
      <w:bookmarkEnd w:id="6"/>
      <w:bookmarkEnd w:id="7"/>
    </w:p>
    <w:p>
      <w:pPr>
        <w:pStyle w:val="4"/>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3" w:firstLineChars="200"/>
        <w:jc w:val="both"/>
        <w:textAlignment w:val="auto"/>
        <w:rPr>
          <w:rStyle w:val="17"/>
          <w:rFonts w:hint="eastAsia" w:ascii="方正楷体简体" w:hAnsi="方正楷体简体" w:eastAsia="方正楷体简体" w:cs="方正楷体简体"/>
          <w:b/>
          <w:bCs/>
          <w:sz w:val="32"/>
          <w:szCs w:val="32"/>
          <w:rtl w:val="0"/>
        </w:rPr>
      </w:pPr>
      <w:r>
        <w:rPr>
          <w:rStyle w:val="17"/>
          <w:rFonts w:hint="eastAsia" w:ascii="方正楷体简体" w:hAnsi="方正楷体简体" w:eastAsia="方正楷体简体" w:cs="方正楷体简体"/>
          <w:b/>
          <w:bCs/>
          <w:sz w:val="32"/>
          <w:szCs w:val="32"/>
          <w:rtl w:val="0"/>
          <w:lang w:eastAsia="zh-CN"/>
        </w:rPr>
        <w:t>（一）</w:t>
      </w:r>
      <w:r>
        <w:rPr>
          <w:rStyle w:val="17"/>
          <w:rFonts w:hint="eastAsia" w:ascii="方正楷体简体" w:hAnsi="方正楷体简体" w:eastAsia="方正楷体简体" w:cs="方正楷体简体"/>
          <w:b/>
          <w:bCs/>
          <w:sz w:val="32"/>
          <w:szCs w:val="32"/>
          <w:rtl w:val="0"/>
        </w:rPr>
        <w:t>主要职能。</w:t>
      </w:r>
    </w:p>
    <w:p>
      <w:pPr>
        <w:keepNext w:val="0"/>
        <w:keepLines w:val="0"/>
        <w:pageBreakBefore w:val="0"/>
        <w:widowControl/>
        <w:suppressLineNumbers w:val="0"/>
        <w:kinsoku/>
        <w:wordWrap/>
        <w:overflowPunct/>
        <w:topLinePunct w:val="0"/>
        <w:autoSpaceDN/>
        <w:bidi w:val="0"/>
        <w:adjustRightInd/>
        <w:snapToGrid w:val="0"/>
        <w:spacing w:before="0" w:beforeAutospacing="0" w:after="0" w:afterAutospacing="0" w:line="560" w:lineRule="exact"/>
        <w:ind w:left="0" w:right="0" w:firstLine="640" w:firstLineChars="200"/>
        <w:jc w:val="both"/>
        <w:textAlignment w:val="auto"/>
        <w:rPr>
          <w:rFonts w:hint="default" w:ascii="仿宋_GB2312" w:hAnsi="仿宋_GB2312" w:eastAsia="仿宋_GB2312" w:cs="仿宋_GB2312"/>
          <w:i w:val="0"/>
          <w:caps w:val="0"/>
          <w:color w:val="333333"/>
          <w:spacing w:val="0"/>
          <w:kern w:val="0"/>
          <w:sz w:val="32"/>
          <w:szCs w:val="32"/>
          <w:shd w:val="clear" w:color="auto" w:fill="FFFFFF"/>
          <w:lang w:val="en-US" w:eastAsia="zh-CN" w:bidi="ar"/>
        </w:rPr>
      </w:pPr>
      <w:bookmarkStart w:id="8" w:name="_Toc15396601"/>
      <w:bookmarkStart w:id="9" w:name="_Toc15377200"/>
      <w:r>
        <w:rPr>
          <w:rFonts w:hint="eastAsia" w:ascii="仿宋_GB2312" w:hAnsi="仿宋_GB2312" w:eastAsia="仿宋_GB2312" w:cs="仿宋_GB2312"/>
          <w:i w:val="0"/>
          <w:caps w:val="0"/>
          <w:color w:val="333333"/>
          <w:spacing w:val="0"/>
          <w:kern w:val="0"/>
          <w:sz w:val="32"/>
          <w:szCs w:val="32"/>
          <w:shd w:val="clear" w:color="auto" w:fill="FFFFFF"/>
          <w:lang w:val="en-US" w:eastAsia="zh-CN" w:bidi="ar"/>
        </w:rPr>
        <w:t>按照中共红原县委县政府办公室关于印发『中共红原县委政法委员会机关配置、内设机构和人员编制规定的通知』（红委办发[2024]85号）文件规定，中共红原县委政法委员会是中共红原县委领导政法工作的职能部门，为正科级，列县委工作机关序列。县委政法委主要职责是：一是贯彻习近平新时代中国特色社会主义思想，坚持党对政法工作的绝对领导，坚决执行党的路线方针政策和党中央、省委、州委及县委重大决策部署，推动完善和落实政治轮训、政治督查制度，推进平安红原、法治红原建设，加强过硬队伍建设，深化职能化建设，坚决维护国家政治安全、确保社会大局稳定、促进社会公平正义、保障人民安居乐业。二是贯彻党中央、省委、州委和县委以及上级党组织决定，研究协调政法单位之间以及政法单位和有关部门（乡镇）之间有关重大事项，统一政法单位思想和行动。三是组织开展政法领域重大实践和理论问题的调查研究，研究拟订全县政法工作的政策措施，及时向县委提出重大决策部署和改革措施的意见和建议。协助县委决策和统筹推进政法领域改革等各项工作。参与有关地方性法规和规章的起草、修改工作，及时提出立法建议。四是督促落实《维护社会稳定责任制规定》，了解掌握和分析研判社会稳定形势、政法工作情况动态，健全社会风险防范化解制度，创新完善各部门参与的综治维稳工作机制，构建社会矛盾纠纷多元预防调处化解综合机制，推动落实社会稳定分析评估，协调推动预防化解影响稳定的社会矛盾和风险，协调应对和妥善处置重大突发事件，统筹推动全县反分裂斗争和维护稳定工作，协调指导政法单位和相关部门做好反渗透、反颠覆、反邪教、反暴恐工作。五是加强对政法工作的督查，统筹协调维护政治安全、维护社会稳定、社会治安综合治理、反邪教、反暴恐等有关法律法规和政策的实施工作。六是支持和监督政法单位依法行使职权，检查政法单位执行党的路线方针政策、党中央、省委、州委和县委重大决策部署以及法律法规的情况，指导和协调政法单位密切配合，研究和协调重大、疑难案件，完善和纪检监察机关工作衔接和协助配合机制，推进严格执法、公正司法。七是指导推动政法系统党的建设和政法队伍建设，协助县委及县委组织部加强政法单位领导班子和干部队伍建设，协助县委和县纪委监委做好监督检查、审查调查工作。八是落实各级国家安全领导机构、全面依法治国领导机构以及县委城乡基层治理领导机构的各项部署，支持配合其办事机构工作。指导政法单位加强政治安全、社会稳定、平安建设、法治建设等重大问题研究，提出建议和工作意见。指导和协调政法单位开展维护政治安全、维护社会稳定、执法司法、创新社会治理等有关工作。九是掌握分析政法舆情动态，指导协调政法单位和有关部门做好依法办理、宣传报道和舆论引导等相关工作，推动政法网络新媒体发展。统筹指导并推动政法系统网络安全工作和职能化建设。十是组织研究政法改革中带有方向性、倾向性和普遍性的重大问题，深化政法改革。十一是完成县委和上级党委政法委员会交办的其他任务。</w:t>
      </w:r>
    </w:p>
    <w:p>
      <w:pPr>
        <w:pStyle w:val="4"/>
        <w:rPr>
          <w:rStyle w:val="31"/>
          <w:rFonts w:ascii="Times New Roman" w:hAnsi="Times New Roman"/>
          <w:b w:val="0"/>
          <w:bCs w:val="0"/>
          <w:color w:val="auto"/>
          <w:highlight w:val="none"/>
        </w:rPr>
      </w:pPr>
      <w:r>
        <w:rPr>
          <w:rFonts w:hint="eastAsia" w:ascii="Times New Roman" w:hAnsi="Times New Roman" w:eastAsia="黑体"/>
          <w:b w:val="0"/>
          <w:color w:val="auto"/>
          <w:highlight w:val="none"/>
        </w:rPr>
        <w:t>二、机</w:t>
      </w:r>
      <w:r>
        <w:rPr>
          <w:rStyle w:val="31"/>
          <w:rFonts w:hint="eastAsia" w:ascii="Times New Roman" w:hAnsi="Times New Roman" w:eastAsia="黑体"/>
          <w:b w:val="0"/>
          <w:bCs w:val="0"/>
          <w:color w:val="auto"/>
          <w:highlight w:val="none"/>
        </w:rPr>
        <w:t>构设置</w:t>
      </w:r>
      <w:bookmarkEnd w:id="8"/>
      <w:bookmarkEnd w:id="9"/>
    </w:p>
    <w:p>
      <w:pPr>
        <w:ind w:firstLine="800" w:firstLineChars="250"/>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红原县政法委</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w:t>
      </w:r>
      <w:r>
        <w:rPr>
          <w:rFonts w:hint="eastAsia" w:eastAsia="仿宋_GB2312" w:cs="仿宋_GB2312"/>
          <w:color w:val="auto"/>
          <w:sz w:val="32"/>
          <w:szCs w:val="32"/>
          <w:highlight w:val="none"/>
          <w:lang w:eastAsia="zh-CN"/>
        </w:rPr>
        <w:t>位</w:t>
      </w:r>
      <w:r>
        <w:rPr>
          <w:rFonts w:hint="eastAsia" w:eastAsia="仿宋_GB2312" w:cs="仿宋_GB2312"/>
          <w:color w:val="auto"/>
          <w:sz w:val="32"/>
          <w:szCs w:val="32"/>
          <w:highlight w:val="none"/>
          <w:lang w:val="en-US" w:eastAsia="zh-CN"/>
        </w:rPr>
        <w:t>2</w:t>
      </w:r>
      <w:r>
        <w:rPr>
          <w:rFonts w:hint="eastAsia" w:ascii="Times New Roman" w:hAnsi="Times New Roman" w:eastAsia="仿宋_GB2312" w:cs="仿宋_GB2312"/>
          <w:color w:val="auto"/>
          <w:sz w:val="32"/>
          <w:szCs w:val="32"/>
          <w:highlight w:val="none"/>
        </w:rPr>
        <w:t>个，其中行政单位</w:t>
      </w:r>
      <w:r>
        <w:rPr>
          <w:rFonts w:hint="eastAsia" w:ascii="Times New Roman" w:hAnsi="Times New Roman" w:eastAsia="仿宋_GB2312" w:cs="仿宋_GB2312"/>
          <w:color w:val="auto"/>
          <w:sz w:val="32"/>
          <w:szCs w:val="32"/>
          <w:highlight w:val="none"/>
          <w:lang w:val="en-US" w:eastAsia="zh-CN"/>
        </w:rPr>
        <w:t>1</w:t>
      </w:r>
      <w:r>
        <w:rPr>
          <w:rFonts w:hint="eastAsia" w:ascii="Times New Roman" w:hAnsi="Times New Roman" w:eastAsia="仿宋_GB2312" w:cs="仿宋_GB2312"/>
          <w:color w:val="auto"/>
          <w:sz w:val="32"/>
          <w:szCs w:val="32"/>
          <w:highlight w:val="none"/>
        </w:rPr>
        <w:t>个，其他事业单位</w:t>
      </w:r>
      <w:r>
        <w:rPr>
          <w:rFonts w:hint="eastAsia" w:ascii="Times New Roman" w:hAnsi="Times New Roman" w:eastAsia="仿宋_GB2312" w:cs="仿宋_GB2312"/>
          <w:color w:val="auto"/>
          <w:sz w:val="32"/>
          <w:szCs w:val="32"/>
          <w:highlight w:val="none"/>
          <w:lang w:val="en-US" w:eastAsia="zh-CN"/>
        </w:rPr>
        <w:t>1</w:t>
      </w:r>
      <w:r>
        <w:rPr>
          <w:rFonts w:hint="eastAsia" w:ascii="Times New Roman" w:hAnsi="Times New Roman" w:eastAsia="仿宋_GB2312" w:cs="仿宋_GB2312"/>
          <w:color w:val="auto"/>
          <w:sz w:val="32"/>
          <w:szCs w:val="32"/>
          <w:highlight w:val="none"/>
        </w:rPr>
        <w:t>个。纳入红原县政法委（本级）</w:t>
      </w:r>
      <w:r>
        <w:rPr>
          <w:rFonts w:hint="eastAsia" w:ascii="Times New Roman" w:hAnsi="Times New Roman" w:eastAsia="仿宋_GB2312" w:cs="仿宋_GB2312"/>
          <w:color w:val="auto"/>
          <w:sz w:val="32"/>
          <w:szCs w:val="32"/>
          <w:highlight w:val="none"/>
          <w:lang w:eastAsia="zh-CN"/>
        </w:rPr>
        <w:t>202</w:t>
      </w:r>
      <w:r>
        <w:rPr>
          <w:rFonts w:hint="eastAsia"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w:t>
      </w:r>
      <w:r>
        <w:rPr>
          <w:rFonts w:hint="eastAsia" w:ascii="Times New Roman" w:hAnsi="Times New Roman" w:eastAsia="仿宋_GB2312" w:cs="仿宋_GB2312"/>
          <w:color w:val="auto"/>
          <w:sz w:val="32"/>
          <w:szCs w:val="32"/>
          <w:highlight w:val="none"/>
        </w:rPr>
        <w:t>部门决算编制范围的二级预算单位包括：</w:t>
      </w:r>
    </w:p>
    <w:p>
      <w:pPr>
        <w:pStyle w:val="2"/>
        <w:numPr>
          <w:ilvl w:val="0"/>
          <w:numId w:val="2"/>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r>
        <w:rPr>
          <w:rFonts w:hint="eastAsia" w:ascii="Times New Roman" w:cs="仿宋_GB2312"/>
          <w:color w:val="auto"/>
          <w:sz w:val="32"/>
          <w:szCs w:val="32"/>
          <w:highlight w:val="none"/>
          <w:lang w:eastAsia="zh-CN"/>
        </w:rPr>
        <w:t>红原县政法委机关</w:t>
      </w:r>
    </w:p>
    <w:p>
      <w:pPr>
        <w:pStyle w:val="2"/>
        <w:numPr>
          <w:ilvl w:val="0"/>
          <w:numId w:val="2"/>
        </w:numPr>
        <w:adjustRightInd w:val="0"/>
        <w:snapToGrid w:val="0"/>
        <w:spacing w:before="93" w:line="600" w:lineRule="exact"/>
        <w:outlineLvl w:val="2"/>
        <w:rPr>
          <w:rFonts w:hint="eastAsia" w:ascii="Times New Roman" w:cs="仿宋_GB2312"/>
          <w:color w:val="auto"/>
          <w:sz w:val="32"/>
          <w:szCs w:val="32"/>
          <w:highlight w:val="none"/>
          <w:lang w:eastAsia="zh-CN"/>
        </w:rPr>
      </w:pPr>
      <w:r>
        <w:rPr>
          <w:rFonts w:hint="eastAsia" w:ascii="仿宋_GB2312" w:hAnsi="仿宋_GB2312" w:eastAsia="仿宋_GB2312" w:cs="仿宋_GB2312"/>
          <w:b w:val="0"/>
          <w:bCs w:val="0"/>
          <w:kern w:val="2"/>
          <w:sz w:val="32"/>
          <w:szCs w:val="32"/>
          <w:lang w:val="en-US" w:eastAsia="zh-CN" w:bidi="ar-SA"/>
        </w:rPr>
        <w:t>红原县矛盾纠纷多元化解领导小组办公室</w:t>
      </w:r>
    </w:p>
    <w:p>
      <w:pPr>
        <w:pStyle w:val="3"/>
        <w:jc w:val="center"/>
        <w:rPr>
          <w:rFonts w:hint="eastAsia" w:ascii="Times New Roman" w:hAnsi="Times New Roman" w:eastAsia="方正小标宋简体" w:cs="方正小标宋简体"/>
          <w:b w:val="0"/>
          <w:color w:val="auto"/>
          <w:highlight w:val="none"/>
        </w:rPr>
      </w:pPr>
      <w:bookmarkStart w:id="10" w:name="_Toc15396602"/>
      <w:bookmarkStart w:id="11"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ascii="Times New Roman" w:hAnsi="Times New Roman" w:eastAsia="方正小标宋简体" w:cs="方正小标宋简体"/>
          <w:b w:val="0"/>
          <w:color w:val="auto"/>
          <w:highlight w:val="none"/>
          <w:lang w:val="en-US" w:eastAsia="zh-CN"/>
        </w:rPr>
        <w:t>2025</w:t>
      </w:r>
      <w:r>
        <w:rPr>
          <w:rFonts w:hint="eastAsia" w:ascii="Times New Roman" w:hAnsi="Times New Roman" w:eastAsia="方正小标宋简体" w:cs="方正小标宋简体"/>
          <w:b w:val="0"/>
          <w:color w:val="auto"/>
          <w:highlight w:val="none"/>
          <w:lang w:val="en-US" w:eastAsia="zh-CN"/>
        </w:rPr>
        <w:t>年度</w:t>
      </w:r>
      <w:r>
        <w:rPr>
          <w:rFonts w:hint="eastAsia" w:ascii="Times New Roman" w:hAnsi="Times New Roman" w:eastAsia="方正小标宋简体" w:cs="方正小标宋简体"/>
          <w:b w:val="0"/>
          <w:color w:val="auto"/>
          <w:highlight w:val="none"/>
        </w:rPr>
        <w:t>部门决算情况说明</w:t>
      </w:r>
      <w:bookmarkEnd w:id="10"/>
      <w:bookmarkEnd w:id="11"/>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1"/>
          <w:rFonts w:hint="eastAsia" w:ascii="Times New Roman" w:hAnsi="Times New Roman" w:eastAsia="黑体"/>
          <w:b w:val="0"/>
          <w:color w:val="auto"/>
          <w:highlight w:val="none"/>
        </w:rPr>
        <w:t>入支出决算总体情况说明</w:t>
      </w:r>
      <w:bookmarkEnd w:id="12"/>
      <w:bookmarkEnd w:id="13"/>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809.29</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41.01</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5.06</w:t>
      </w:r>
      <w:r>
        <w:rPr>
          <w:rFonts w:hint="eastAsia" w:ascii="Times New Roman" w:hAnsi="Times New Roman" w:eastAsia="仿宋_GB2312" w:cs="仿宋_GB2312"/>
          <w:color w:val="auto"/>
          <w:sz w:val="32"/>
          <w:szCs w:val="32"/>
          <w:highlight w:val="none"/>
        </w:rPr>
        <w:t>%。主要变动</w:t>
      </w:r>
      <w:r>
        <w:rPr>
          <w:rFonts w:hint="eastAsia" w:eastAsia="仿宋_GB2312" w:cs="仿宋_GB2312"/>
          <w:color w:val="auto"/>
          <w:sz w:val="32"/>
          <w:szCs w:val="32"/>
          <w:highlight w:val="none"/>
          <w:lang w:eastAsia="zh-CN"/>
        </w:rPr>
        <w:t>原因是人员经费及项目经费增加。</w:t>
      </w:r>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imes New Roman" w:hAnsi="Times New Roman" w:eastAsia="仿宋_GB2312" w:cs="仿宋_GB2312"/>
          <w:color w:val="auto"/>
          <w:sz w:val="32"/>
          <w:szCs w:val="32"/>
          <w:highlight w:val="none"/>
        </w:rPr>
      </w:pPr>
      <w:r>
        <w:rPr>
          <w:rFonts w:hint="eastAsia" w:eastAsia="仿宋_GB2312"/>
          <w:lang w:eastAsia="zh-CN"/>
        </w:rPr>
        <w:object>
          <v:shape id="_x0000_i1025" o:spt="75" type="#_x0000_t75" style="height:218.85pt;width:387.75pt;" o:ole="t" filled="f" o:preferrelative="t" stroked="f" coordsize="21600,21600">
            <v:path/>
            <v:fill on="f" focussize="0,0"/>
            <v:stroke on="f"/>
            <v:imagedata r:id="rId12" o:title=""/>
            <o:lock v:ext="edit" aspectratio="t"/>
            <w10:wrap type="none"/>
            <w10:anchorlock/>
          </v:shape>
          <o:OLEObject Type="Embed" ProgID="Excel.Chart.8" ShapeID="_x0000_i1025" DrawAspect="Content" ObjectID="_1468075725" r:id="rId11">
            <o:LockedField>false</o:LockedField>
          </o:OLEObject>
        </w:object>
      </w:r>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96604"/>
      <w:bookmarkStart w:id="15" w:name="_Toc15377206"/>
      <w:r>
        <w:rPr>
          <w:rFonts w:hint="eastAsia" w:ascii="Times New Roman" w:hAnsi="Times New Roman" w:eastAsia="黑体"/>
          <w:color w:val="auto"/>
          <w:sz w:val="32"/>
          <w:szCs w:val="32"/>
          <w:highlight w:val="none"/>
          <w:lang w:eastAsia="zh-CN"/>
        </w:rPr>
        <w:t>二、收入决算情况说明</w:t>
      </w:r>
      <w:bookmarkEnd w:id="14"/>
      <w:bookmarkEnd w:id="15"/>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809.29</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809.29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%。（图2：收入决算结构图）（饼状图）</w:t>
      </w:r>
    </w:p>
    <w:p>
      <w:pPr>
        <w:ind w:firstLine="525" w:firstLineChars="250"/>
        <w:rPr>
          <w:rFonts w:hint="eastAsia" w:ascii="Times New Roman" w:hAnsi="Times New Roman" w:eastAsia="仿宋_GB2312" w:cs="仿宋_GB2312"/>
          <w:color w:val="auto"/>
          <w:sz w:val="32"/>
          <w:szCs w:val="32"/>
          <w:highlight w:val="none"/>
          <w:lang w:eastAsia="zh-CN"/>
        </w:rPr>
      </w:pPr>
      <w:r>
        <w:object>
          <v:shape id="_x0000_i1026" o:spt="75" type="#_x0000_t75" style="height:177.65pt;width:378.6pt;" o:ole="t" filled="f" o:preferrelative="t" stroked="f" coordsize="21600,21600">
            <v:path/>
            <v:fill on="f" focussize="0,0"/>
            <v:stroke on="f"/>
            <v:imagedata r:id="rId14" o:title=""/>
            <o:lock v:ext="edit" aspectratio="t"/>
            <w10:wrap type="none"/>
            <w10:anchorlock/>
          </v:shape>
          <o:OLEObject Type="Embed" ProgID="Excel.Chart.8" ShapeID="_x0000_i1026" DrawAspect="Content" ObjectID="_1468075726" r:id="rId13">
            <o:LockedField>false</o:LockedField>
          </o:OLEObject>
        </w:object>
      </w:r>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6" w:name="_Toc15377207"/>
      <w:bookmarkStart w:id="17" w:name="_Toc15396605"/>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1"/>
          <w:rFonts w:hint="eastAsia" w:ascii="Times New Roman" w:hAnsi="Times New Roman" w:eastAsia="黑体"/>
          <w:b w:val="0"/>
          <w:color w:val="auto"/>
          <w:highlight w:val="none"/>
        </w:rPr>
        <w:t>出决算情况说明</w:t>
      </w:r>
      <w:bookmarkEnd w:id="16"/>
      <w:bookmarkEnd w:id="17"/>
    </w:p>
    <w:p>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809.29</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465.21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57.48</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344.08</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42.51</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p>
    <w:p>
      <w:pPr>
        <w:ind w:firstLine="800" w:firstLineChars="250"/>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pPr>
        <w:pStyle w:val="13"/>
        <w:rPr>
          <w:rFonts w:hint="eastAsia" w:ascii="Times New Roman" w:hAnsi="Times New Roman" w:eastAsia="仿宋_GB2312" w:cs="仿宋_GB2312"/>
          <w:color w:val="auto"/>
          <w:sz w:val="32"/>
          <w:szCs w:val="32"/>
          <w:highlight w:val="none"/>
          <w:lang w:eastAsia="zh-CN"/>
        </w:rPr>
      </w:pPr>
    </w:p>
    <w:p>
      <w:pPr>
        <w:pStyle w:val="7"/>
        <w:rPr>
          <w:rFonts w:hint="eastAsia"/>
          <w:lang w:eastAsia="zh-CN"/>
        </w:rPr>
      </w:pPr>
      <w:r>
        <w:object>
          <v:shape id="_x0000_i1027" o:spt="75" type="#_x0000_t75" style="height:229.65pt;width:369.9pt;" o:ole="t" filled="f" o:preferrelative="t" stroked="f" coordsize="21600,21600">
            <v:path/>
            <v:fill on="f" focussize="0,0"/>
            <v:stroke on="f"/>
            <v:imagedata r:id="rId16" o:title=""/>
            <o:lock v:ext="edit" aspectratio="t"/>
            <w10:wrap type="none"/>
            <w10:anchorlock/>
          </v:shape>
          <o:OLEObject Type="Embed" ProgID="Excel.Chart.8" ShapeID="_x0000_i1027" DrawAspect="Content" ObjectID="_1468075727" r:id="rId15">
            <o:LockedField>false</o:LockedField>
          </o:OLEObject>
        </w:object>
      </w:r>
    </w:p>
    <w:p>
      <w:pPr>
        <w:spacing w:line="600" w:lineRule="exact"/>
        <w:ind w:firstLine="640" w:firstLineChars="200"/>
        <w:outlineLvl w:val="1"/>
        <w:rPr>
          <w:rStyle w:val="31"/>
          <w:rFonts w:ascii="Times New Roman" w:hAnsi="Times New Roman" w:eastAsia="黑体"/>
          <w:b w:val="0"/>
          <w:color w:val="auto"/>
          <w:highlight w:val="none"/>
        </w:rPr>
      </w:pPr>
      <w:bookmarkStart w:id="18" w:name="_Toc15377208"/>
      <w:bookmarkStart w:id="19" w:name="_Toc15396606"/>
      <w:r>
        <w:rPr>
          <w:rFonts w:hint="eastAsia" w:ascii="Times New Roman" w:hAnsi="Times New Roman" w:eastAsia="黑体"/>
          <w:color w:val="auto"/>
          <w:sz w:val="32"/>
          <w:szCs w:val="32"/>
          <w:highlight w:val="none"/>
        </w:rPr>
        <w:t>四、财</w:t>
      </w:r>
      <w:r>
        <w:rPr>
          <w:rStyle w:val="31"/>
          <w:rFonts w:hint="eastAsia" w:ascii="Times New Roman" w:hAnsi="Times New Roman" w:eastAsia="黑体"/>
          <w:b w:val="0"/>
          <w:color w:val="auto"/>
          <w:highlight w:val="none"/>
        </w:rPr>
        <w:t>政拨款收入支出决算总体情况说明</w:t>
      </w:r>
      <w:bookmarkEnd w:id="18"/>
      <w:bookmarkEnd w:id="19"/>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809.29</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w:t>
      </w:r>
      <w:r>
        <w:rPr>
          <w:rFonts w:hint="eastAsia" w:eastAsia="仿宋_GB2312" w:cs="仿宋_GB2312"/>
          <w:color w:val="auto"/>
          <w:kern w:val="2"/>
          <w:sz w:val="32"/>
          <w:szCs w:val="32"/>
          <w:highlight w:val="none"/>
          <w:lang w:val="en-US" w:eastAsia="zh-CN" w:bidi="ar-SA"/>
        </w:rPr>
        <w:t>41.01</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5.06</w:t>
      </w:r>
      <w:r>
        <w:rPr>
          <w:rFonts w:hint="eastAsia" w:ascii="Times New Roman" w:hAnsi="Times New Roman" w:eastAsia="仿宋_GB2312" w:cs="仿宋_GB2312"/>
          <w:color w:val="auto"/>
          <w:kern w:val="2"/>
          <w:sz w:val="32"/>
          <w:szCs w:val="32"/>
          <w:highlight w:val="none"/>
          <w:lang w:val="en-US" w:eastAsia="zh-CN" w:bidi="ar-SA"/>
        </w:rPr>
        <w:t>%。主要变动原因</w:t>
      </w:r>
      <w:r>
        <w:rPr>
          <w:rFonts w:hint="eastAsia" w:eastAsia="仿宋_GB2312" w:cs="仿宋_GB2312"/>
          <w:color w:val="auto"/>
          <w:kern w:val="2"/>
          <w:sz w:val="32"/>
          <w:szCs w:val="32"/>
          <w:highlight w:val="none"/>
          <w:lang w:val="en-US" w:eastAsia="zh-CN" w:bidi="ar-SA"/>
        </w:rPr>
        <w:t>是人员工资收入、支出及项目收入、支出增加。</w:t>
      </w:r>
    </w:p>
    <w:p>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pPr>
        <w:pStyle w:val="20"/>
        <w:spacing w:line="240" w:lineRule="auto"/>
        <w:ind w:firstLine="0" w:firstLineChars="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lang w:eastAsia="zh-CN"/>
        </w:rPr>
        <w:object>
          <v:shape id="_x0000_i1028" o:spt="75" type="#_x0000_t75" style="height:218.6pt;width:411.25pt;" o:ole="t" filled="f" o:preferrelative="t" stroked="f" coordsize="21600,21600">
            <v:path/>
            <v:fill on="f" focussize="0,0"/>
            <v:stroke on="f"/>
            <v:imagedata r:id="rId18" o:title=""/>
            <o:lock v:ext="edit" aspectratio="t"/>
            <w10:wrap type="none"/>
            <w10:anchorlock/>
          </v:shape>
          <o:OLEObject Type="Embed" ProgID="Excel.Chart.8" ShapeID="_x0000_i1028" DrawAspect="Content" ObjectID="_1468075728" r:id="rId17">
            <o:LockedField>false</o:LockedField>
          </o:OLEObject>
        </w:object>
      </w:r>
    </w:p>
    <w:p>
      <w:pPr>
        <w:spacing w:line="600" w:lineRule="exact"/>
        <w:ind w:firstLine="640" w:firstLineChars="200"/>
        <w:outlineLvl w:val="1"/>
        <w:rPr>
          <w:rStyle w:val="31"/>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般公共预算财政拨款支出决算情况说明</w:t>
      </w:r>
      <w:bookmarkEnd w:id="20"/>
      <w:bookmarkEnd w:id="2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809.29</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41.01</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5.06</w:t>
      </w:r>
      <w:r>
        <w:rPr>
          <w:rFonts w:hint="eastAsia" w:ascii="Times New Roman" w:hAnsi="Times New Roman" w:eastAsia="仿宋_GB2312" w:cs="仿宋_GB2312"/>
          <w:color w:val="auto"/>
          <w:kern w:val="2"/>
          <w:sz w:val="32"/>
          <w:szCs w:val="32"/>
          <w:highlight w:val="none"/>
          <w:lang w:val="en-US" w:eastAsia="zh-CN" w:bidi="ar-SA"/>
        </w:rPr>
        <w:t>%。主要变动原因是主要变动原因</w:t>
      </w:r>
      <w:r>
        <w:rPr>
          <w:rFonts w:hint="eastAsia" w:eastAsia="仿宋_GB2312" w:cs="仿宋_GB2312"/>
          <w:color w:val="auto"/>
          <w:kern w:val="2"/>
          <w:sz w:val="32"/>
          <w:szCs w:val="32"/>
          <w:highlight w:val="none"/>
          <w:lang w:val="en-US" w:eastAsia="zh-CN" w:bidi="ar-SA"/>
        </w:rPr>
        <w:t>是人员工资支出及项目支出增加。</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spacing w:line="600" w:lineRule="exact"/>
        <w:ind w:firstLine="640"/>
        <w:rPr>
          <w:rFonts w:hint="eastAsia" w:ascii="仿宋_GB2312" w:hAnsi="仿宋_GB2312" w:eastAsia="仿宋_GB2312" w:cs="仿宋_GB2312"/>
          <w:sz w:val="32"/>
          <w:szCs w:val="32"/>
          <w:rtl w:val="0"/>
          <w:lang w:val="en-US" w:eastAsia="zh-CN"/>
        </w:rPr>
      </w:pPr>
      <w:r>
        <w:rPr>
          <w:rStyle w:val="17"/>
          <w:rFonts w:hint="eastAsia" w:ascii="仿宋_GB2312" w:hAnsi="仿宋_GB2312" w:eastAsia="仿宋_GB2312" w:cs="仿宋_GB2312"/>
          <w:sz w:val="32"/>
          <w:szCs w:val="32"/>
          <w:rtl w:val="0"/>
          <w:lang w:eastAsia="zh-CN"/>
        </w:rPr>
        <w:pict>
          <v:shape id="_x0000_s1029" o:spid="_x0000_s1029" o:spt="75" type="#_x0000_t75" style="position:absolute;left:0pt;margin-left:22.55pt;margin-top:71.45pt;height:194.15pt;width:398.65pt;mso-wrap-distance-bottom:0pt;mso-wrap-distance-top:0pt;z-index:251659264;mso-width-relative:page;mso-height-relative:page;" o:ole="t" filled="f" o:preferrelative="t" stroked="f" coordsize="21600,21600">
            <v:path/>
            <v:fill on="f" focussize="0,0"/>
            <v:stroke on="f"/>
            <v:imagedata r:id="rId20" o:title=""/>
            <o:lock v:ext="edit" aspectratio="t"/>
            <w10:wrap type="topAndBottom"/>
          </v:shape>
          <o:OLEObject Type="Embed" ProgID="Excel.Chart.8" ShapeID="_x0000_s1029" DrawAspect="Content" ObjectID="_1468075729" r:id="rId19">
            <o:LockedField>false</o:LockedField>
          </o:OLEObject>
        </w:pict>
      </w: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lang w:val="en-US" w:eastAsia="zh-CN"/>
        </w:rPr>
        <w:t>809.29</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435.5</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53.81</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62.33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7.70</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23.2</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2.87</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33.36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4.12</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公共安全支出254.9万元，占31.50%。</w:t>
      </w: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pPr>
        <w:pStyle w:val="2"/>
        <w:rPr>
          <w:rFonts w:hint="eastAsia" w:ascii="Times New Roman" w:hAnsi="Times New Roman" w:eastAsia="仿宋_GB2312" w:cs="仿宋_GB2312"/>
          <w:color w:val="auto"/>
          <w:kern w:val="2"/>
          <w:sz w:val="32"/>
          <w:szCs w:val="32"/>
          <w:highlight w:val="none"/>
          <w:lang w:val="en-US" w:eastAsia="zh-CN" w:bidi="ar-SA"/>
        </w:rPr>
      </w:pPr>
      <w:r>
        <w:object>
          <v:shape id="_x0000_i1029" o:spt="75" type="#_x0000_t75" style="height:267.2pt;width:430.4pt;" o:ole="t" filled="f" o:preferrelative="t" stroked="f" coordsize="21600,21600">
            <v:path/>
            <v:fill on="f" focussize="0,0"/>
            <v:stroke on="f"/>
            <v:imagedata r:id="rId22" o:title=""/>
            <o:lock v:ext="edit" aspectratio="t"/>
            <w10:wrap type="none"/>
            <w10:anchorlock/>
          </v:shape>
          <o:OLEObject Type="Embed" ProgID="Excel.Chart.8" ShapeID="_x0000_i1029" DrawAspect="Content" ObjectID="_1468075730" r:id="rId21">
            <o:LockedField>false</o:LockedField>
          </o:OLEObject>
        </w:objec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eastAsia="楷体_GB2312" w:cs="楷体_GB2312"/>
          <w:b/>
          <w:color w:val="auto"/>
          <w:sz w:val="32"/>
          <w:szCs w:val="32"/>
          <w:highlight w:val="none"/>
          <w:lang w:eastAsia="zh-CN"/>
        </w:rPr>
        <w:t>（</w:t>
      </w:r>
      <w:r>
        <w:rPr>
          <w:rFonts w:hint="eastAsia" w:ascii="Times New Roman" w:hAnsi="Times New Roman" w:eastAsia="楷体_GB2312" w:cs="楷体_GB2312"/>
          <w:b/>
          <w:color w:val="auto"/>
          <w:sz w:val="32"/>
          <w:szCs w:val="32"/>
          <w:highlight w:val="none"/>
        </w:rPr>
        <w:t>三）一般公共预算财政拨款支出决算具体情况</w:t>
      </w:r>
      <w:bookmarkEnd w:id="24"/>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8460"/>
      <w:bookmarkStart w:id="26" w:name="_Toc15377444"/>
      <w:bookmarkStart w:id="27" w:name="_Toc15377213"/>
      <w:r>
        <w:rPr>
          <w:rFonts w:hint="eastAsia" w:ascii="Times New Roman" w:hAnsi="Times New Roman" w:eastAsia="仿宋_GB2312" w:cs="仿宋_GB2312"/>
          <w:color w:val="auto"/>
          <w:kern w:val="2"/>
          <w:sz w:val="32"/>
          <w:szCs w:val="32"/>
          <w:highlight w:val="none"/>
          <w:lang w:val="en-US" w:eastAsia="zh-CN" w:bidi="ar-SA"/>
        </w:rPr>
        <w:t>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年度一般公共预算财政拨款支出决算数为</w:t>
      </w:r>
      <w:r>
        <w:rPr>
          <w:rFonts w:hint="eastAsia" w:ascii="仿宋_GB2312" w:hAnsi="仿宋_GB2312" w:eastAsia="仿宋_GB2312" w:cs="仿宋_GB2312"/>
          <w:sz w:val="32"/>
          <w:szCs w:val="32"/>
          <w:lang w:val="en-US" w:eastAsia="zh-CN"/>
        </w:rPr>
        <w:t>809.29万元，</w:t>
      </w:r>
      <w:r>
        <w:rPr>
          <w:rFonts w:hint="eastAsia" w:ascii="Times New Roman" w:hAnsi="Times New Roman" w:eastAsia="仿宋_GB2312" w:cs="仿宋_GB2312"/>
          <w:color w:val="auto"/>
          <w:kern w:val="2"/>
          <w:sz w:val="32"/>
          <w:szCs w:val="32"/>
          <w:highlight w:val="none"/>
          <w:lang w:val="en-US" w:eastAsia="zh-CN" w:bidi="ar-SA"/>
        </w:rPr>
        <w:t>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%。其中：</w:t>
      </w:r>
      <w:bookmarkEnd w:id="25"/>
      <w:bookmarkEnd w:id="26"/>
      <w:bookmarkEnd w:id="27"/>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w:t>
      </w:r>
      <w:r>
        <w:rPr>
          <w:rStyle w:val="18"/>
          <w:rFonts w:hint="eastAsia" w:ascii="仿宋_GB2312" w:hAnsi="仿宋_GB2312" w:eastAsia="仿宋_GB2312" w:cs="仿宋_GB2312"/>
          <w:bCs/>
          <w:color w:val="000000"/>
          <w:sz w:val="32"/>
          <w:szCs w:val="32"/>
        </w:rPr>
        <w:t>20136</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435.5</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default"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.社会保障和就业</w:t>
      </w:r>
      <w:r>
        <w:rPr>
          <w:rStyle w:val="18"/>
          <w:rFonts w:hint="eastAsia" w:ascii="仿宋_GB2312" w:hAnsi="仿宋_GB2312" w:eastAsia="仿宋_GB2312" w:cs="仿宋_GB2312"/>
          <w:bCs/>
          <w:color w:val="000000"/>
          <w:sz w:val="32"/>
          <w:szCs w:val="32"/>
        </w:rPr>
        <w:t>20805</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62.33</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en-US" w:eastAsia="zh-CN" w:bidi="ar-SA"/>
        </w:rPr>
        <w:t>.卫生健康</w:t>
      </w:r>
      <w:r>
        <w:rPr>
          <w:rStyle w:val="18"/>
          <w:rFonts w:hint="eastAsia" w:ascii="仿宋_GB2312" w:hAnsi="仿宋_GB2312" w:eastAsia="仿宋_GB2312" w:cs="仿宋_GB2312"/>
          <w:bCs/>
          <w:color w:val="000000"/>
          <w:sz w:val="32"/>
          <w:szCs w:val="32"/>
        </w:rPr>
        <w:t>21011</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23.2</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4.住房保障</w:t>
      </w:r>
      <w:r>
        <w:rPr>
          <w:rStyle w:val="18"/>
          <w:rFonts w:hint="eastAsia" w:ascii="仿宋_GB2312" w:hAnsi="仿宋_GB2312" w:eastAsia="仿宋_GB2312" w:cs="仿宋_GB2312"/>
          <w:b/>
          <w:bCs w:val="0"/>
          <w:color w:val="000000"/>
          <w:sz w:val="32"/>
          <w:szCs w:val="32"/>
          <w:lang w:val="en-US" w:eastAsia="zh-CN"/>
        </w:rPr>
        <w:t>22102</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33.36</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5.公共安全支出</w:t>
      </w:r>
      <w:r>
        <w:rPr>
          <w:rStyle w:val="18"/>
          <w:rFonts w:hint="eastAsia" w:ascii="仿宋_GB2312" w:hAnsi="仿宋_GB2312" w:eastAsia="仿宋_GB2312" w:cs="仿宋_GB2312"/>
          <w:bCs w:val="0"/>
          <w:color w:val="000000"/>
          <w:kern w:val="0"/>
          <w:sz w:val="32"/>
          <w:szCs w:val="32"/>
          <w:rtl w:val="0"/>
          <w:lang w:val="en-US" w:eastAsia="zh-CN"/>
        </w:rPr>
        <w:t>20402</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254.9</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pPr>
        <w:tabs>
          <w:tab w:val="right" w:pos="8306"/>
        </w:tabs>
        <w:spacing w:line="600" w:lineRule="exact"/>
        <w:ind w:firstLine="640"/>
        <w:outlineLvl w:val="1"/>
        <w:rPr>
          <w:rStyle w:val="31"/>
          <w:rFonts w:ascii="Times New Roman" w:hAnsi="Times New Roman"/>
          <w:color w:val="auto"/>
          <w:highlight w:val="none"/>
        </w:rPr>
      </w:pPr>
      <w:bookmarkStart w:id="28" w:name="_Toc15396608"/>
      <w:bookmarkStart w:id="29"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般公共预算财政拨款基本支出决算情况说明</w:t>
      </w:r>
      <w:bookmarkEnd w:id="28"/>
      <w:bookmarkEnd w:id="29"/>
      <w:r>
        <w:rPr>
          <w:rStyle w:val="31"/>
          <w:rFonts w:ascii="Times New Roman" w:hAnsi="Times New Roman" w:eastAsia="黑体"/>
          <w:b w:val="0"/>
          <w:color w:val="auto"/>
          <w:highlight w:val="none"/>
        </w:rPr>
        <w:tab/>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465.21</w:t>
      </w:r>
      <w:r>
        <w:rPr>
          <w:rFonts w:hint="eastAsia" w:ascii="Times New Roman" w:hAnsi="Times New Roman" w:eastAsia="仿宋_GB2312" w:cs="仿宋_GB2312"/>
          <w:color w:val="auto"/>
          <w:kern w:val="2"/>
          <w:sz w:val="32"/>
          <w:szCs w:val="32"/>
          <w:highlight w:val="none"/>
          <w:lang w:val="en-US" w:eastAsia="zh-CN" w:bidi="ar-SA"/>
        </w:rPr>
        <w:t>万元，其中：</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lang w:val="en-US" w:eastAsia="zh-CN"/>
        </w:rPr>
        <w:t>427.76</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元，主要包括：基本工资</w:t>
      </w:r>
      <w:r>
        <w:rPr>
          <w:rFonts w:hint="eastAsia" w:eastAsia="仿宋_GB2312" w:cs="仿宋_GB2312"/>
          <w:color w:val="auto"/>
          <w:kern w:val="2"/>
          <w:sz w:val="32"/>
          <w:szCs w:val="32"/>
          <w:highlight w:val="none"/>
          <w:lang w:val="en-US" w:eastAsia="zh-CN" w:bidi="ar-SA"/>
        </w:rPr>
        <w:t>81.97万元</w:t>
      </w:r>
      <w:r>
        <w:rPr>
          <w:rFonts w:hint="eastAsia" w:ascii="Times New Roman" w:hAnsi="Times New Roman" w:eastAsia="仿宋_GB2312" w:cs="仿宋_GB2312"/>
          <w:color w:val="auto"/>
          <w:kern w:val="2"/>
          <w:sz w:val="32"/>
          <w:szCs w:val="32"/>
          <w:highlight w:val="none"/>
          <w:lang w:val="en-US" w:eastAsia="zh-CN" w:bidi="ar-SA"/>
        </w:rPr>
        <w:t>、津贴补贴</w:t>
      </w:r>
      <w:r>
        <w:rPr>
          <w:rFonts w:hint="eastAsia" w:eastAsia="仿宋_GB2312" w:cs="仿宋_GB2312"/>
          <w:color w:val="auto"/>
          <w:kern w:val="2"/>
          <w:sz w:val="32"/>
          <w:szCs w:val="32"/>
          <w:highlight w:val="none"/>
          <w:lang w:val="en-US" w:eastAsia="zh-CN" w:bidi="ar-SA"/>
        </w:rPr>
        <w:t>108.89万元</w:t>
      </w:r>
      <w:r>
        <w:rPr>
          <w:rFonts w:hint="eastAsia" w:ascii="Times New Roman" w:hAnsi="Times New Roman" w:eastAsia="仿宋_GB2312" w:cs="仿宋_GB2312"/>
          <w:color w:val="auto"/>
          <w:kern w:val="2"/>
          <w:sz w:val="32"/>
          <w:szCs w:val="32"/>
          <w:highlight w:val="none"/>
          <w:lang w:val="en-US" w:eastAsia="zh-CN" w:bidi="ar-SA"/>
        </w:rPr>
        <w:t>、奖金</w:t>
      </w:r>
      <w:r>
        <w:rPr>
          <w:rFonts w:hint="eastAsia" w:eastAsia="仿宋_GB2312" w:cs="仿宋_GB2312"/>
          <w:color w:val="auto"/>
          <w:kern w:val="2"/>
          <w:sz w:val="32"/>
          <w:szCs w:val="32"/>
          <w:highlight w:val="none"/>
          <w:lang w:val="en-US" w:eastAsia="zh-CN" w:bidi="ar-SA"/>
        </w:rPr>
        <w:t>99.21万元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绩效工资8.46万元、</w:t>
      </w:r>
      <w:r>
        <w:rPr>
          <w:rFonts w:hint="eastAsia" w:ascii="Times New Roman" w:hAnsi="Times New Roman" w:eastAsia="仿宋_GB2312" w:cs="仿宋_GB2312"/>
          <w:color w:val="auto"/>
          <w:kern w:val="2"/>
          <w:sz w:val="32"/>
          <w:szCs w:val="32"/>
          <w:highlight w:val="none"/>
          <w:lang w:val="en-US" w:eastAsia="zh-CN" w:bidi="ar-SA"/>
        </w:rPr>
        <w:t>机关事业单位基本养老保险缴费</w:t>
      </w:r>
      <w:r>
        <w:rPr>
          <w:rFonts w:hint="eastAsia" w:eastAsia="仿宋_GB2312" w:cs="仿宋_GB2312"/>
          <w:color w:val="auto"/>
          <w:kern w:val="2"/>
          <w:sz w:val="32"/>
          <w:szCs w:val="32"/>
          <w:highlight w:val="none"/>
          <w:lang w:val="en-US" w:eastAsia="zh-CN" w:bidi="ar-SA"/>
        </w:rPr>
        <w:t>41.55万元</w:t>
      </w:r>
      <w:r>
        <w:rPr>
          <w:rFonts w:hint="eastAsia" w:ascii="Times New Roman" w:hAnsi="Times New Roman" w:eastAsia="仿宋_GB2312" w:cs="仿宋_GB2312"/>
          <w:color w:val="auto"/>
          <w:kern w:val="2"/>
          <w:sz w:val="32"/>
          <w:szCs w:val="32"/>
          <w:highlight w:val="none"/>
          <w:lang w:val="en-US" w:eastAsia="zh-CN" w:bidi="ar-SA"/>
        </w:rPr>
        <w:t>、职业年金缴费</w:t>
      </w:r>
      <w:r>
        <w:rPr>
          <w:rFonts w:hint="eastAsia" w:eastAsia="仿宋_GB2312" w:cs="仿宋_GB2312"/>
          <w:color w:val="auto"/>
          <w:kern w:val="2"/>
          <w:sz w:val="32"/>
          <w:szCs w:val="32"/>
          <w:highlight w:val="none"/>
          <w:lang w:val="en-US" w:eastAsia="zh-CN" w:bidi="ar-SA"/>
        </w:rPr>
        <w:t>20.78万元</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职工基本医疗保险19.02万元，公务员医疗补助缴费4.18万元，</w:t>
      </w:r>
      <w:r>
        <w:rPr>
          <w:rFonts w:hint="eastAsia" w:ascii="Times New Roman" w:hAnsi="Times New Roman" w:eastAsia="仿宋_GB2312" w:cs="仿宋_GB2312"/>
          <w:color w:val="auto"/>
          <w:kern w:val="2"/>
          <w:sz w:val="32"/>
          <w:szCs w:val="32"/>
          <w:highlight w:val="none"/>
          <w:lang w:val="en-US" w:eastAsia="zh-CN" w:bidi="ar-SA"/>
        </w:rPr>
        <w:t>其他社会保障缴费</w:t>
      </w:r>
      <w:r>
        <w:rPr>
          <w:rFonts w:hint="eastAsia" w:eastAsia="仿宋_GB2312" w:cs="仿宋_GB2312"/>
          <w:color w:val="auto"/>
          <w:kern w:val="2"/>
          <w:sz w:val="32"/>
          <w:szCs w:val="32"/>
          <w:highlight w:val="none"/>
          <w:lang w:val="en-US" w:eastAsia="zh-CN" w:bidi="ar-SA"/>
        </w:rPr>
        <w:t>1万元</w:t>
      </w:r>
      <w:r>
        <w:rPr>
          <w:rFonts w:hint="eastAsia" w:ascii="Times New Roman" w:hAnsi="Times New Roman" w:eastAsia="仿宋_GB2312" w:cs="仿宋_GB2312"/>
          <w:color w:val="auto"/>
          <w:kern w:val="2"/>
          <w:sz w:val="32"/>
          <w:szCs w:val="32"/>
          <w:highlight w:val="none"/>
          <w:lang w:val="en-US" w:eastAsia="zh-CN" w:bidi="ar-SA"/>
        </w:rPr>
        <w:t>、住房公积金</w:t>
      </w:r>
      <w:r>
        <w:rPr>
          <w:rFonts w:hint="eastAsia" w:eastAsia="仿宋_GB2312" w:cs="仿宋_GB2312"/>
          <w:color w:val="auto"/>
          <w:kern w:val="2"/>
          <w:sz w:val="32"/>
          <w:szCs w:val="32"/>
          <w:highlight w:val="none"/>
          <w:lang w:val="en-US" w:eastAsia="zh-CN" w:bidi="ar-SA"/>
        </w:rPr>
        <w:t>33.36万元、</w:t>
      </w:r>
      <w:r>
        <w:rPr>
          <w:rFonts w:hint="eastAsia" w:ascii="Times New Roman" w:hAnsi="Times New Roman" w:eastAsia="仿宋_GB2312" w:cs="仿宋_GB2312"/>
          <w:color w:val="auto"/>
          <w:kern w:val="2"/>
          <w:sz w:val="32"/>
          <w:szCs w:val="32"/>
          <w:highlight w:val="none"/>
          <w:lang w:val="en-US" w:eastAsia="zh-CN" w:bidi="ar-SA"/>
        </w:rPr>
        <w:t>生活补助</w:t>
      </w:r>
      <w:r>
        <w:rPr>
          <w:rFonts w:hint="eastAsia" w:eastAsia="仿宋_GB2312" w:cs="仿宋_GB2312"/>
          <w:color w:val="auto"/>
          <w:kern w:val="2"/>
          <w:sz w:val="32"/>
          <w:szCs w:val="32"/>
          <w:highlight w:val="none"/>
          <w:lang w:val="en-US" w:eastAsia="zh-CN" w:bidi="ar-SA"/>
        </w:rPr>
        <w:t>7万元、</w:t>
      </w:r>
      <w:r>
        <w:rPr>
          <w:rFonts w:hint="eastAsia" w:ascii="Times New Roman" w:hAnsi="Times New Roman" w:eastAsia="仿宋_GB2312" w:cs="仿宋_GB2312"/>
          <w:color w:val="auto"/>
          <w:kern w:val="2"/>
          <w:sz w:val="32"/>
          <w:szCs w:val="32"/>
          <w:highlight w:val="none"/>
          <w:lang w:val="en-US" w:eastAsia="zh-CN" w:bidi="ar-SA"/>
        </w:rPr>
        <w:t>医疗费</w:t>
      </w:r>
      <w:r>
        <w:rPr>
          <w:rFonts w:hint="eastAsia" w:eastAsia="仿宋_GB2312" w:cs="仿宋_GB2312"/>
          <w:color w:val="auto"/>
          <w:kern w:val="2"/>
          <w:sz w:val="32"/>
          <w:szCs w:val="32"/>
          <w:highlight w:val="none"/>
          <w:lang w:val="en-US" w:eastAsia="zh-CN" w:bidi="ar-SA"/>
        </w:rPr>
        <w:t>1.25万元、医疗费补助1.08万元。</w:t>
      </w:r>
    </w:p>
    <w:p>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公用经费</w:t>
      </w:r>
      <w:r>
        <w:rPr>
          <w:rFonts w:hint="eastAsia" w:ascii="仿宋_GB2312" w:hAnsi="仿宋_GB2312" w:eastAsia="仿宋_GB2312" w:cs="仿宋_GB2312"/>
          <w:sz w:val="32"/>
          <w:szCs w:val="32"/>
          <w:lang w:val="en-US" w:eastAsia="zh-CN"/>
        </w:rPr>
        <w:t>37.45</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元，主要包括：办公费</w:t>
      </w:r>
      <w:r>
        <w:rPr>
          <w:rFonts w:hint="eastAsia" w:eastAsia="仿宋_GB2312" w:cs="仿宋_GB2312"/>
          <w:color w:val="auto"/>
          <w:kern w:val="2"/>
          <w:sz w:val="32"/>
          <w:szCs w:val="32"/>
          <w:highlight w:val="none"/>
          <w:lang w:val="en-US" w:eastAsia="zh-CN" w:bidi="ar-SA"/>
        </w:rPr>
        <w:t>4.21</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元、印刷费</w:t>
      </w:r>
      <w:r>
        <w:rPr>
          <w:rFonts w:hint="eastAsia" w:eastAsia="仿宋_GB2312" w:cs="仿宋_GB2312"/>
          <w:color w:val="auto"/>
          <w:kern w:val="2"/>
          <w:sz w:val="32"/>
          <w:szCs w:val="32"/>
          <w:highlight w:val="none"/>
          <w:lang w:val="en-US" w:eastAsia="zh-CN" w:bidi="ar-SA"/>
        </w:rPr>
        <w:t>4万</w:t>
      </w:r>
      <w:r>
        <w:rPr>
          <w:rFonts w:hint="eastAsia" w:ascii="Times New Roman" w:hAnsi="Times New Roman" w:eastAsia="仿宋_GB2312" w:cs="仿宋_GB2312"/>
          <w:color w:val="auto"/>
          <w:kern w:val="2"/>
          <w:sz w:val="32"/>
          <w:szCs w:val="32"/>
          <w:highlight w:val="none"/>
          <w:lang w:val="en-US" w:eastAsia="zh-CN" w:bidi="ar-SA"/>
        </w:rPr>
        <w:t>、电费</w:t>
      </w:r>
      <w:r>
        <w:rPr>
          <w:rFonts w:hint="eastAsia" w:eastAsia="仿宋_GB2312" w:cs="仿宋_GB2312"/>
          <w:color w:val="auto"/>
          <w:kern w:val="2"/>
          <w:sz w:val="32"/>
          <w:szCs w:val="32"/>
          <w:highlight w:val="none"/>
          <w:lang w:val="en-US" w:eastAsia="zh-CN" w:bidi="ar-SA"/>
        </w:rPr>
        <w:t>2</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元、邮电费</w:t>
      </w:r>
      <w:r>
        <w:rPr>
          <w:rFonts w:hint="eastAsia" w:eastAsia="仿宋_GB2312" w:cs="仿宋_GB2312"/>
          <w:color w:val="auto"/>
          <w:kern w:val="2"/>
          <w:sz w:val="32"/>
          <w:szCs w:val="32"/>
          <w:highlight w:val="none"/>
          <w:lang w:val="en-US" w:eastAsia="zh-CN" w:bidi="ar-SA"/>
        </w:rPr>
        <w:t>2</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元、差旅费</w:t>
      </w:r>
      <w:r>
        <w:rPr>
          <w:rFonts w:hint="eastAsia" w:eastAsia="仿宋_GB2312" w:cs="仿宋_GB2312"/>
          <w:color w:val="auto"/>
          <w:kern w:val="2"/>
          <w:sz w:val="32"/>
          <w:szCs w:val="32"/>
          <w:highlight w:val="none"/>
          <w:lang w:val="en-US" w:eastAsia="zh-CN" w:bidi="ar-SA"/>
        </w:rPr>
        <w:t>6.5</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元、公务接待费</w:t>
      </w:r>
      <w:r>
        <w:rPr>
          <w:rFonts w:hint="eastAsia" w:eastAsia="仿宋_GB2312" w:cs="仿宋_GB2312"/>
          <w:color w:val="auto"/>
          <w:kern w:val="2"/>
          <w:sz w:val="32"/>
          <w:szCs w:val="32"/>
          <w:highlight w:val="none"/>
          <w:lang w:val="en-US" w:eastAsia="zh-CN" w:bidi="ar-SA"/>
        </w:rPr>
        <w:t>0.38</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w:t>
      </w:r>
      <w:r>
        <w:rPr>
          <w:rFonts w:hint="eastAsia" w:eastAsia="仿宋_GB2312" w:cs="仿宋_GB2312"/>
          <w:color w:val="auto"/>
          <w:kern w:val="2"/>
          <w:sz w:val="32"/>
          <w:szCs w:val="32"/>
          <w:highlight w:val="none"/>
          <w:lang w:val="en-US" w:eastAsia="zh-CN" w:bidi="ar-SA"/>
        </w:rPr>
        <w:t>委托业务费0.03</w:t>
      </w:r>
      <w:r>
        <w:rPr>
          <w:rFonts w:hint="eastAsia" w:ascii="Times New Roman" w:hAnsi="Times New Roman" w:eastAsia="仿宋_GB2312" w:cs="仿宋_GB2312"/>
          <w:color w:val="auto"/>
          <w:kern w:val="2"/>
          <w:sz w:val="32"/>
          <w:szCs w:val="32"/>
          <w:highlight w:val="none"/>
          <w:lang w:val="en-US" w:eastAsia="zh-CN" w:bidi="ar-SA"/>
        </w:rPr>
        <w:t>工会经费</w:t>
      </w:r>
      <w:r>
        <w:rPr>
          <w:rFonts w:hint="eastAsia" w:eastAsia="仿宋_GB2312" w:cs="仿宋_GB2312"/>
          <w:color w:val="auto"/>
          <w:kern w:val="2"/>
          <w:sz w:val="32"/>
          <w:szCs w:val="32"/>
          <w:highlight w:val="none"/>
          <w:lang w:val="en-US" w:eastAsia="zh-CN" w:bidi="ar-SA"/>
        </w:rPr>
        <w:t>3.04</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元、公务用车运行维护费</w:t>
      </w:r>
      <w:r>
        <w:rPr>
          <w:rFonts w:hint="eastAsia" w:eastAsia="仿宋_GB2312" w:cs="仿宋_GB2312"/>
          <w:color w:val="auto"/>
          <w:kern w:val="2"/>
          <w:sz w:val="32"/>
          <w:szCs w:val="32"/>
          <w:highlight w:val="none"/>
          <w:lang w:val="en-US" w:eastAsia="zh-CN" w:bidi="ar-SA"/>
        </w:rPr>
        <w:t>11.3</w:t>
      </w:r>
      <w:r>
        <w:rPr>
          <w:rFonts w:hint="eastAsia" w:ascii="仿宋_GB2312" w:hAnsi="仿宋_GB2312" w:eastAsia="仿宋_GB2312" w:cs="仿宋_GB2312"/>
          <w:color w:val="auto"/>
          <w:kern w:val="2"/>
          <w:sz w:val="32"/>
          <w:szCs w:val="32"/>
          <w:highlight w:val="none"/>
          <w:lang w:val="en-US" w:eastAsia="zh-CN" w:bidi="ar-SA"/>
        </w:rPr>
        <w:t>万</w:t>
      </w:r>
      <w:r>
        <w:rPr>
          <w:rFonts w:hint="eastAsia" w:ascii="Times New Roman" w:hAnsi="Times New Roman" w:eastAsia="仿宋_GB2312" w:cs="仿宋_GB2312"/>
          <w:color w:val="auto"/>
          <w:kern w:val="2"/>
          <w:sz w:val="32"/>
          <w:szCs w:val="32"/>
          <w:highlight w:val="none"/>
          <w:lang w:val="en-US" w:eastAsia="zh-CN" w:bidi="ar-SA"/>
        </w:rPr>
        <w:t>元、</w:t>
      </w:r>
      <w:r>
        <w:rPr>
          <w:rFonts w:hint="eastAsia" w:eastAsia="仿宋_GB2312" w:cs="仿宋_GB2312"/>
          <w:color w:val="auto"/>
          <w:kern w:val="2"/>
          <w:sz w:val="32"/>
          <w:szCs w:val="32"/>
          <w:highlight w:val="none"/>
          <w:lang w:val="en-US" w:eastAsia="zh-CN" w:bidi="ar-SA"/>
        </w:rPr>
        <w:t>福利费0.4万元、其他商品服务支出3.59万元。</w:t>
      </w:r>
    </w:p>
    <w:p>
      <w:pPr>
        <w:spacing w:line="600" w:lineRule="exact"/>
        <w:ind w:firstLine="640"/>
        <w:outlineLvl w:val="1"/>
        <w:rPr>
          <w:rStyle w:val="31"/>
          <w:rFonts w:ascii="Times New Roman" w:hAnsi="Times New Roman" w:eastAsia="黑体"/>
          <w:b w:val="0"/>
          <w:color w:val="auto"/>
          <w:highlight w:val="none"/>
        </w:rPr>
      </w:pPr>
      <w:bookmarkStart w:id="30" w:name="_Toc15377215"/>
      <w:bookmarkStart w:id="31" w:name="_Toc15396609"/>
      <w:r>
        <w:rPr>
          <w:rFonts w:hint="eastAsia" w:ascii="Times New Roman" w:hAnsi="Times New Roman" w:eastAsia="黑体"/>
          <w:color w:val="auto"/>
          <w:sz w:val="32"/>
          <w:szCs w:val="32"/>
          <w:highlight w:val="none"/>
        </w:rPr>
        <w:t>七、</w:t>
      </w:r>
      <w:r>
        <w:rPr>
          <w:rStyle w:val="31"/>
          <w:rFonts w:hint="eastAsia" w:ascii="Times New Roman" w:hAnsi="Times New Roman" w:eastAsia="黑体"/>
          <w:b w:val="0"/>
          <w:color w:val="auto"/>
          <w:highlight w:val="none"/>
        </w:rPr>
        <w:t>财政拨款</w:t>
      </w:r>
      <w:r>
        <w:rPr>
          <w:rStyle w:val="31"/>
          <w:rFonts w:hint="eastAsia" w:ascii="Times New Roman" w:hAnsi="Times New Roman" w:eastAsia="黑体"/>
          <w:color w:val="auto"/>
          <w:highlight w:val="none"/>
        </w:rPr>
        <w:t>“</w:t>
      </w:r>
      <w:r>
        <w:rPr>
          <w:rStyle w:val="31"/>
          <w:rFonts w:hint="eastAsia" w:ascii="Times New Roman" w:hAnsi="Times New Roman" w:eastAsia="黑体"/>
          <w:b w:val="0"/>
          <w:color w:val="auto"/>
          <w:highlight w:val="none"/>
        </w:rPr>
        <w:t>三公”经费支出决算情况说明</w:t>
      </w:r>
      <w:bookmarkEnd w:id="30"/>
      <w:bookmarkEnd w:id="31"/>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（一）“三公”经费财政拨款支出决算总体情况说明</w:t>
      </w:r>
      <w:bookmarkEnd w:id="3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11.68</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93.45</w:t>
      </w:r>
      <w:r>
        <w:rPr>
          <w:rFonts w:hint="eastAsia" w:ascii="Times New Roman" w:hAnsi="Times New Roman" w:eastAsia="仿宋_GB2312" w:cs="仿宋_GB2312"/>
          <w:color w:val="auto"/>
          <w:kern w:val="2"/>
          <w:sz w:val="32"/>
          <w:szCs w:val="32"/>
          <w:highlight w:val="none"/>
          <w:lang w:val="en-US" w:eastAsia="zh-CN" w:bidi="ar-SA"/>
        </w:rPr>
        <w:t>%，较上年度增加</w:t>
      </w:r>
      <w:r>
        <w:rPr>
          <w:rFonts w:hint="eastAsia" w:eastAsia="仿宋_GB2312" w:cs="仿宋_GB2312"/>
          <w:color w:val="auto"/>
          <w:kern w:val="2"/>
          <w:sz w:val="32"/>
          <w:szCs w:val="32"/>
          <w:highlight w:val="none"/>
          <w:lang w:val="en-US" w:eastAsia="zh-CN" w:bidi="ar-SA"/>
        </w:rPr>
        <w:t>4.07</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34.84</w:t>
      </w:r>
      <w:r>
        <w:rPr>
          <w:rFonts w:hint="eastAsia" w:ascii="Times New Roman" w:hAnsi="Times New Roman" w:eastAsia="仿宋_GB2312" w:cs="仿宋_GB2312"/>
          <w:color w:val="auto"/>
          <w:kern w:val="2"/>
          <w:sz w:val="32"/>
          <w:szCs w:val="32"/>
          <w:highlight w:val="none"/>
          <w:lang w:val="en-US" w:eastAsia="zh-CN" w:bidi="ar-SA"/>
        </w:rPr>
        <w:t>%。决算数小于预算数（或与预算数持平）</w:t>
      </w:r>
      <w:r>
        <w:rPr>
          <w:rFonts w:hint="eastAsia"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（二）“三公”经费财政拨款支出决算具体情况说明</w:t>
      </w:r>
      <w:bookmarkEnd w:id="33"/>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w:t>
      </w:r>
      <w:r>
        <w:rPr>
          <w:rFonts w:hint="eastAsia" w:ascii="仿宋_GB2312" w:hAnsi="仿宋_GB2312" w:eastAsia="仿宋_GB2312" w:cs="仿宋_GB2312"/>
          <w:sz w:val="32"/>
          <w:szCs w:val="32"/>
        </w:rPr>
        <w:t>11.3</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96.74</w:t>
      </w:r>
      <w:r>
        <w:rPr>
          <w:rFonts w:hint="eastAsia" w:ascii="Times New Roman" w:hAnsi="Times New Roman" w:eastAsia="仿宋_GB2312" w:cs="仿宋_GB2312"/>
          <w:color w:val="auto"/>
          <w:kern w:val="2"/>
          <w:sz w:val="32"/>
          <w:szCs w:val="32"/>
          <w:highlight w:val="none"/>
          <w:lang w:val="en-US" w:eastAsia="zh-CN" w:bidi="ar-SA"/>
        </w:rPr>
        <w:t>%；公务接待费支出决算</w:t>
      </w:r>
      <w:r>
        <w:rPr>
          <w:rFonts w:hint="eastAsia" w:ascii="仿宋_GB2312" w:hAnsi="仿宋_GB2312" w:eastAsia="仿宋_GB2312" w:cs="仿宋_GB2312"/>
          <w:sz w:val="32"/>
          <w:szCs w:val="32"/>
        </w:rPr>
        <w:t>0.38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3.25</w:t>
      </w:r>
      <w:r>
        <w:rPr>
          <w:rFonts w:hint="eastAsia" w:ascii="Times New Roman" w:hAnsi="Times New Roman" w:eastAsia="仿宋_GB2312" w:cs="仿宋_GB2312"/>
          <w:color w:val="auto"/>
          <w:kern w:val="2"/>
          <w:sz w:val="32"/>
          <w:szCs w:val="32"/>
          <w:highlight w:val="none"/>
          <w:lang w:val="en-US" w:eastAsia="zh-CN" w:bidi="ar-SA"/>
        </w:rPr>
        <w:t>%。具体情况如下：</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（图7：“三公”经费财政拨款支出结构）（饼状图）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drawing>
          <wp:anchor distT="0" distB="0" distL="114300" distR="114300" simplePos="0" relativeHeight="251664384" behindDoc="0" locked="0" layoutInCell="1" allowOverlap="1">
            <wp:simplePos x="0" y="0"/>
            <wp:positionH relativeFrom="column">
              <wp:posOffset>135890</wp:posOffset>
            </wp:positionH>
            <wp:positionV relativeFrom="paragraph">
              <wp:posOffset>82550</wp:posOffset>
            </wp:positionV>
            <wp:extent cx="5090795" cy="3138170"/>
            <wp:effectExtent l="4445" t="4445" r="10160" b="19685"/>
            <wp:wrapTopAndBottom/>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11.3</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94.17</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w:t>
      </w:r>
      <w:r>
        <w:rPr>
          <w:rFonts w:hint="eastAsia" w:eastAsia="仿宋_GB2312" w:cs="仿宋_GB2312"/>
          <w:color w:val="auto"/>
          <w:kern w:val="2"/>
          <w:sz w:val="32"/>
          <w:szCs w:val="32"/>
          <w:highlight w:val="none"/>
          <w:lang w:val="en-US" w:eastAsia="zh-CN" w:bidi="ar-SA"/>
        </w:rPr>
        <w:t>3.69</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32.65</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因微网实格业务量增加，因此公务用车运维费增加。</w:t>
      </w:r>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辆，截至202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辆，其中：越野车</w:t>
      </w: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辆</w:t>
      </w:r>
      <w:r>
        <w:rPr>
          <w:rFonts w:hint="eastAsia" w:eastAsia="仿宋_GB2312" w:cs="仿宋_GB2312"/>
          <w:color w:val="auto"/>
          <w:kern w:val="2"/>
          <w:sz w:val="32"/>
          <w:szCs w:val="32"/>
          <w:highlight w:val="none"/>
          <w:lang w:val="en-US" w:eastAsia="zh-CN" w:bidi="ar-SA"/>
        </w:rPr>
        <w:t>。</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11.3</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下乡、出差开展相关工作</w:t>
      </w:r>
      <w:r>
        <w:rPr>
          <w:rFonts w:hint="eastAsia" w:ascii="Times New Roman" w:hAnsi="Times New Roman" w:eastAsia="仿宋_GB2312" w:cs="仿宋_GB2312"/>
          <w:color w:val="auto"/>
          <w:kern w:val="2"/>
          <w:sz w:val="32"/>
          <w:szCs w:val="32"/>
          <w:highlight w:val="none"/>
          <w:lang w:val="en-US" w:eastAsia="zh-CN" w:bidi="ar-SA"/>
        </w:rPr>
        <w:t>所需的公务用车燃料费、维修费、过路过桥费、保险费等支出。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0.38</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年度减少</w:t>
      </w:r>
      <w:r>
        <w:rPr>
          <w:rFonts w:hint="eastAsia" w:eastAsia="仿宋_GB2312" w:cs="仿宋_GB2312"/>
          <w:color w:val="auto"/>
          <w:kern w:val="2"/>
          <w:sz w:val="32"/>
          <w:szCs w:val="32"/>
          <w:highlight w:val="none"/>
          <w:lang w:val="en-US" w:eastAsia="zh-CN" w:bidi="ar-SA"/>
        </w:rPr>
        <w:t>0.43</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53.08</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严格遵守八项规定相关制度对公务接待费用进行限额</w:t>
      </w: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0.38</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上级部门开展督导产生的业务用餐（</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0"/>
        <w:outlineLvl w:val="1"/>
        <w:rPr>
          <w:rStyle w:val="31"/>
          <w:rFonts w:ascii="Times New Roman" w:hAnsi="Times New Roman" w:eastAsia="黑体"/>
          <w:color w:val="auto"/>
          <w:highlight w:val="none"/>
        </w:rPr>
      </w:pPr>
      <w:bookmarkStart w:id="34" w:name="_Toc15377218"/>
      <w:bookmarkStart w:id="35" w:name="_Toc15396610"/>
      <w:r>
        <w:rPr>
          <w:rFonts w:hint="eastAsia" w:ascii="Times New Roman" w:hAnsi="Times New Roman" w:eastAsia="黑体"/>
          <w:color w:val="auto"/>
          <w:sz w:val="32"/>
          <w:szCs w:val="32"/>
          <w:highlight w:val="none"/>
        </w:rPr>
        <w:t>八、</w:t>
      </w:r>
      <w:r>
        <w:rPr>
          <w:rStyle w:val="31"/>
          <w:rFonts w:hint="eastAsia" w:ascii="Times New Roman" w:hAnsi="Times New Roman" w:eastAsia="黑体"/>
          <w:b w:val="0"/>
          <w:color w:val="auto"/>
          <w:highlight w:val="none"/>
        </w:rPr>
        <w:t>政府性基金预算支出决算情况说明</w:t>
      </w:r>
      <w:bookmarkEnd w:id="34"/>
      <w:bookmarkEnd w:id="35"/>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0"/>
        </w:numPr>
        <w:spacing w:line="600" w:lineRule="exact"/>
        <w:ind w:left="630" w:leftChars="0"/>
        <w:outlineLvl w:val="1"/>
        <w:rPr>
          <w:rStyle w:val="31"/>
          <w:rFonts w:ascii="Times New Roman" w:hAnsi="Times New Roman" w:eastAsia="黑体"/>
          <w:b w:val="0"/>
          <w:color w:val="auto"/>
          <w:highlight w:val="none"/>
        </w:rPr>
      </w:pPr>
      <w:bookmarkStart w:id="36" w:name="_Toc15396611"/>
      <w:bookmarkStart w:id="37" w:name="_Toc15377219"/>
      <w:r>
        <w:rPr>
          <w:rStyle w:val="31"/>
          <w:rFonts w:hint="eastAsia" w:ascii="Times New Roman" w:hAnsi="Times New Roman" w:eastAsia="黑体"/>
          <w:b w:val="0"/>
          <w:color w:val="auto"/>
          <w:highlight w:val="none"/>
          <w:lang w:eastAsia="zh-CN"/>
        </w:rPr>
        <w:t>九、</w:t>
      </w:r>
      <w:r>
        <w:rPr>
          <w:rStyle w:val="31"/>
          <w:rFonts w:hint="eastAsia" w:ascii="Times New Roman" w:hAnsi="Times New Roman" w:eastAsia="黑体"/>
          <w:b w:val="0"/>
          <w:color w:val="auto"/>
          <w:highlight w:val="none"/>
        </w:rPr>
        <w:t>国有资本经营预算支出决算情况说明</w:t>
      </w:r>
      <w:bookmarkEnd w:id="36"/>
      <w:bookmarkEnd w:id="37"/>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pPr>
        <w:numPr>
          <w:ilvl w:val="0"/>
          <w:numId w:val="0"/>
        </w:numPr>
        <w:spacing w:line="600" w:lineRule="exact"/>
        <w:ind w:left="630" w:leftChars="0"/>
        <w:outlineLvl w:val="1"/>
        <w:rPr>
          <w:rStyle w:val="31"/>
          <w:rFonts w:hint="eastAsia" w:ascii="Times New Roman" w:hAnsi="Times New Roman" w:eastAsia="黑体"/>
          <w:b w:val="0"/>
          <w:color w:val="auto"/>
          <w:highlight w:val="none"/>
        </w:rPr>
      </w:pPr>
      <w:bookmarkStart w:id="38" w:name="_Toc15377221"/>
      <w:bookmarkStart w:id="39" w:name="_Toc15396612"/>
      <w:r>
        <w:rPr>
          <w:rStyle w:val="31"/>
          <w:rFonts w:hint="eastAsia" w:ascii="Times New Roman" w:hAnsi="Times New Roman" w:eastAsia="黑体"/>
          <w:b w:val="0"/>
          <w:color w:val="auto"/>
          <w:highlight w:val="none"/>
          <w:lang w:eastAsia="zh-CN"/>
        </w:rPr>
        <w:t>十、</w:t>
      </w:r>
      <w:r>
        <w:rPr>
          <w:rStyle w:val="31"/>
          <w:rFonts w:hint="eastAsia" w:ascii="Times New Roman" w:hAnsi="Times New Roman" w:eastAsia="黑体"/>
          <w:b w:val="0"/>
          <w:color w:val="auto"/>
          <w:highlight w:val="none"/>
        </w:rPr>
        <w:t>其他重要事项的情况说明</w:t>
      </w:r>
      <w:bookmarkEnd w:id="38"/>
      <w:bookmarkEnd w:id="39"/>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pPr>
        <w:spacing w:line="600" w:lineRule="exact"/>
        <w:ind w:firstLine="640" w:firstLineChars="200"/>
        <w:outlineLvl w:val="2"/>
        <w:rPr>
          <w:rFonts w:hint="eastAsia" w:ascii="Times New Roman" w:hAnsi="Times New Roman" w:eastAsia="仿宋_GB2312" w:cs="仿宋_GB2312"/>
          <w:color w:val="auto"/>
          <w:kern w:val="2"/>
          <w:sz w:val="32"/>
          <w:szCs w:val="32"/>
          <w:highlight w:val="none"/>
          <w:lang w:val="en-US" w:eastAsia="zh-CN" w:bidi="ar-SA"/>
        </w:rPr>
      </w:pPr>
      <w:bookmarkStart w:id="41" w:name="_Toc1537722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红原县政法委(本级）</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31.88</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2.15</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6.74</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人员经费支出增加。</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（二）政府采购支出情况</w:t>
      </w:r>
      <w:bookmarkEnd w:id="41"/>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红原县政法委(本级）</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4.28</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4.28</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公务用车运维费</w:t>
      </w:r>
      <w:r>
        <w:rPr>
          <w:rFonts w:hint="eastAsia" w:ascii="Times New Roman" w:hAnsi="Times New Roman" w:eastAsia="仿宋_GB2312" w:cs="仿宋_GB2312"/>
          <w:color w:val="auto"/>
          <w:kern w:val="2"/>
          <w:sz w:val="32"/>
          <w:szCs w:val="32"/>
          <w:highlight w:val="none"/>
          <w:lang w:val="en-US" w:eastAsia="zh-CN" w:bidi="ar-SA"/>
        </w:rPr>
        <w:t>。</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红原县政法委(本级）</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辆，其中：应急保障用车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本部门在2025预算编制阶段，组织对大调解工作、“雪亮工程”项目等项目开展了预算事前绩效评估，对53个项目编制了绩效目标，预算执行过程中，选取53个项目开展绩效监控，年终执行完毕后，对1个项目开展了绩效目标完成情况自评。（维稳工作经费、群防群治综治经费、扫黑除恶工作经费涉秘不予公开）。</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本部门按要求对2025年部门整体支出开展绩效自评，从评价情况来看从评价情况来看完成效果较好。本部门还自行组织了1个项目支出绩效评价，从评价情况来看完成情况较好。2025年特定目标类部门预算项目绩效目标自评为97分。</w:t>
      </w:r>
      <w:r>
        <w:rPr>
          <w:rFonts w:hint="eastAsia" w:ascii="Times New Roman" w:hAnsi="Times New Roman" w:eastAsia="仿宋_GB2312" w:cs="仿宋_GB2312"/>
          <w:color w:val="auto"/>
          <w:kern w:val="2"/>
          <w:sz w:val="32"/>
          <w:szCs w:val="32"/>
          <w:highlight w:val="none"/>
          <w:rtl w:val="0"/>
          <w:lang w:val="en-US" w:eastAsia="zh-CN" w:bidi="ar-SA"/>
        </w:rPr>
        <w:t>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pPr>
        <w:spacing w:line="600" w:lineRule="exact"/>
        <w:jc w:val="left"/>
        <w:rPr>
          <w:rFonts w:ascii="Times New Roman" w:hAnsi="Times New Roman"/>
          <w:b/>
          <w:color w:val="auto"/>
          <w:sz w:val="44"/>
          <w:szCs w:val="44"/>
          <w:highlight w:val="none"/>
        </w:rPr>
      </w:pP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201类20136款2013601指委机关工作人员工资及日常商品服务支出。2013602指一般行政管理事务用于“雪亮工程”运维费、综治工作经费、大调解工作经费项目等经费，2013699指其他共产党事务支出用于办公楼装修尾款</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公共安全204类204款公共安全支出，2049999其他公共安全支出，主要用于维稳指挥部日常工作经费支出，“雪亮工程”运维费、指挥部情报信息费等项目，2049999其他公共安全支出：指扫黑工作经费项目，主要用于全县扫黑日常工作经费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11.社会保障和就业：208类2080505款指机关事业单位基本养老保险缴费支出，2080506指机关事业单位职业年金缴费支出。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12.卫生健康210类21011款2101101项：指行政单位医疗支出。210类21011款2101102项：指事业单位医疗支出，210类21011款2101103项：指公务员医疗补助支出，210类21011款2101199项：指其他行政事业单位医疗支出</w:t>
      </w:r>
    </w:p>
    <w:p>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w:t>
      </w:r>
      <w:r>
        <w:rPr>
          <w:rFonts w:hint="eastAsia" w:ascii="Times New Roman" w:hAnsi="Times New Roman" w:eastAsia="仿宋_GB2312" w:cs="仿宋_GB2312"/>
          <w:color w:val="auto"/>
          <w:kern w:val="2"/>
          <w:sz w:val="32"/>
          <w:szCs w:val="32"/>
          <w:highlight w:val="none"/>
          <w:lang w:val="en-US" w:eastAsia="zh-CN" w:bidi="ar-SA"/>
        </w:rPr>
        <w:t>住房保障支出221</w:t>
      </w:r>
      <w:r>
        <w:rPr>
          <w:rFonts w:hint="eastAsia" w:ascii="Times New Roman" w:hAnsi="Times New Roman" w:eastAsia="仿宋_GB2312" w:cs="仿宋_GB2312"/>
          <w:color w:val="auto"/>
          <w:kern w:val="2"/>
          <w:sz w:val="32"/>
          <w:szCs w:val="32"/>
          <w:highlight w:val="none"/>
          <w:lang w:val="en-US" w:eastAsia="zh-CN" w:bidi="ar-SA"/>
        </w:rPr>
        <w:t>类22102</w:t>
      </w:r>
      <w:r>
        <w:rPr>
          <w:rFonts w:hint="eastAsia" w:ascii="Times New Roman" w:hAnsi="Times New Roman" w:eastAsia="仿宋_GB2312" w:cs="仿宋_GB2312"/>
          <w:color w:val="auto"/>
          <w:kern w:val="2"/>
          <w:sz w:val="32"/>
          <w:szCs w:val="32"/>
          <w:highlight w:val="none"/>
          <w:lang w:val="en-US" w:eastAsia="zh-CN" w:bidi="ar-SA"/>
        </w:rPr>
        <w:t>住房改革支出（款）住房公积金（项）反映行政事业单位按人力资源和社会保障部、财政部规定的基本工资和津贴补贴以及规定比例为职工缴纳的住房公积金。</w:t>
      </w:r>
    </w:p>
    <w:p>
      <w:pPr>
        <w:numPr>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14.</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pPr>
        <w:numPr>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15.</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pPr>
        <w:numPr>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16.</w:t>
      </w:r>
      <w:r>
        <w:rPr>
          <w:rFonts w:hint="eastAsia" w:ascii="Times New Roman" w:hAnsi="Times New Roman" w:eastAsia="仿宋_GB2312" w:cs="仿宋_GB2312"/>
          <w:color w:val="auto"/>
          <w:kern w:val="2"/>
          <w:sz w:val="32"/>
          <w:szCs w:val="32"/>
          <w:highlight w:val="none"/>
          <w:lang w:val="en-US" w:eastAsia="zh-CN" w:bidi="ar-SA"/>
        </w:rPr>
        <w:t>经营支出：指事业单位在专业业务活动及其辅助活动之外开展非独立核算经营活动发生的支出。</w:t>
      </w:r>
    </w:p>
    <w:p>
      <w:pPr>
        <w:numPr>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17.</w:t>
      </w:r>
      <w:r>
        <w:rPr>
          <w:rFonts w:hint="eastAsia" w:ascii="Times New Roman" w:hAnsi="Times New Roman" w:eastAsia="仿宋_GB2312" w:cs="仿宋_GB2312"/>
          <w:color w:val="auto"/>
          <w:kern w:val="2"/>
          <w:sz w:val="32"/>
          <w:szCs w:val="32"/>
          <w:highlight w:val="none"/>
          <w:lang w:val="en-US" w:eastAsia="zh-CN" w:bidi="ar-SA"/>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numPr>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18.</w:t>
      </w:r>
      <w:r>
        <w:rPr>
          <w:rFonts w:hint="eastAsia" w:ascii="Times New Roman" w:hAnsi="Times New Roman" w:eastAsia="仿宋_GB2312" w:cs="仿宋_GB2312"/>
          <w:color w:val="auto"/>
          <w:kern w:val="2"/>
          <w:sz w:val="32"/>
          <w:szCs w:val="32"/>
          <w:highlight w:val="none"/>
          <w:lang w:val="en-US" w:eastAsia="zh-CN" w:bidi="ar-SA"/>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numPr>
          <w:numId w:val="0"/>
        </w:num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19.</w:t>
      </w:r>
      <w:r>
        <w:rPr>
          <w:rFonts w:hint="eastAsia" w:ascii="Times New Roman" w:hAnsi="Times New Roman" w:eastAsia="仿宋_GB2312" w:cs="仿宋_GB2312"/>
          <w:color w:val="auto"/>
          <w:kern w:val="2"/>
          <w:sz w:val="32"/>
          <w:szCs w:val="32"/>
          <w:highlight w:val="none"/>
          <w:lang w:val="en-US" w:eastAsia="zh-CN" w:bidi="ar-SA"/>
        </w:rPr>
        <w:t>财政应返还额度：为行政事业单位会计核算科目，用于核算实行国库集中支付的行政事业单位应收财政返还的资金额度。</w:t>
      </w:r>
    </w:p>
    <w:p>
      <w:pPr>
        <w:numPr>
          <w:ilvl w:val="0"/>
          <w:numId w:val="3"/>
        </w:numPr>
        <w:spacing w:line="600" w:lineRule="exact"/>
        <w:ind w:firstLine="640"/>
        <w:rPr>
          <w:rStyle w:val="37"/>
          <w:rFonts w:hint="eastAsia" w:ascii="思源黑体 CN Normal" w:hAnsi="思源黑体 CN Normal" w:eastAsia="思源黑体 CN Normal" w:cs="思源黑体 CN Normal"/>
        </w:rPr>
      </w:pPr>
      <w:r>
        <w:rPr>
          <w:rFonts w:hint="eastAsia" w:ascii="Times New Roman" w:hAnsi="Times New Roman" w:eastAsia="仿宋_GB2312" w:cs="仿宋_GB2312"/>
          <w:color w:val="auto"/>
          <w:kern w:val="2"/>
          <w:sz w:val="32"/>
          <w:szCs w:val="32"/>
          <w:highlight w:val="none"/>
          <w:lang w:val="en-US" w:eastAsia="zh-CN" w:bidi="ar-SA"/>
        </w:rPr>
        <w:br w:type="page"/>
      </w:r>
    </w:p>
    <w:p>
      <w:pPr>
        <w:pStyle w:val="20"/>
        <w:rPr>
          <w:rFonts w:hint="eastAsia"/>
          <w:lang w:val="en-US" w:eastAsia="zh-CN"/>
        </w:rPr>
      </w:pPr>
    </w:p>
    <w:p>
      <w:pPr>
        <w:widowControl/>
        <w:jc w:val="center"/>
        <w:rPr>
          <w:rFonts w:hint="eastAsia" w:ascii="Times New Roman" w:hAnsi="Times New Roman" w:eastAsia="仿宋"/>
          <w:b w:val="0"/>
          <w:color w:val="auto"/>
          <w:highlight w:val="none"/>
        </w:rPr>
      </w:pPr>
      <w:bookmarkStart w:id="45" w:name="_Toc15377226"/>
      <w:bookmarkStart w:id="46" w:name="_Toc15396618"/>
      <w:r>
        <w:rPr>
          <w:rFonts w:hint="eastAsia" w:ascii="Times New Roman" w:hAnsi="Times New Roman" w:eastAsia="黑体"/>
          <w:color w:val="auto"/>
          <w:sz w:val="44"/>
          <w:szCs w:val="44"/>
          <w:highlight w:val="none"/>
        </w:rPr>
        <w:t>第</w:t>
      </w:r>
      <w:r>
        <w:rPr>
          <w:rStyle w:val="30"/>
          <w:rFonts w:hint="eastAsia" w:eastAsia="黑体"/>
          <w:b w:val="0"/>
          <w:color w:val="auto"/>
          <w:highlight w:val="none"/>
          <w:lang w:eastAsia="zh-CN"/>
        </w:rPr>
        <w:t>四</w:t>
      </w:r>
      <w:r>
        <w:rPr>
          <w:rStyle w:val="30"/>
          <w:rFonts w:hint="eastAsia" w:ascii="Times New Roman" w:hAnsi="Times New Roman" w:eastAsia="黑体"/>
          <w:b w:val="0"/>
          <w:color w:val="auto"/>
          <w:highlight w:val="none"/>
        </w:rPr>
        <w:t>部分 附表</w:t>
      </w:r>
      <w:bookmarkEnd w:id="45"/>
      <w:bookmarkEnd w:id="46"/>
      <w:bookmarkStart w:id="47" w:name="_Toc1539661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7"/>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8" w:name="_Toc15396620"/>
      <w:r>
        <w:rPr>
          <w:rFonts w:hint="eastAsia" w:ascii="Times New Roman" w:hAnsi="Times New Roman" w:eastAsia="仿宋_GB2312" w:cs="仿宋_GB2312"/>
          <w:color w:val="auto"/>
          <w:sz w:val="32"/>
          <w:szCs w:val="32"/>
          <w:highlight w:val="none"/>
        </w:rPr>
        <w:t>二、收入决算表</w:t>
      </w:r>
      <w:bookmarkEnd w:id="48"/>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1"/>
      <w:r>
        <w:rPr>
          <w:rFonts w:hint="eastAsia" w:ascii="Times New Roman" w:hAnsi="Times New Roman" w:eastAsia="仿宋_GB2312" w:cs="仿宋_GB2312"/>
          <w:color w:val="auto"/>
          <w:sz w:val="32"/>
          <w:szCs w:val="32"/>
          <w:highlight w:val="none"/>
        </w:rPr>
        <w:t>三、支出决算表</w:t>
      </w:r>
      <w:bookmarkEnd w:id="49"/>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2"/>
      <w:r>
        <w:rPr>
          <w:rFonts w:hint="eastAsia" w:ascii="Times New Roman" w:hAnsi="Times New Roman" w:eastAsia="仿宋_GB2312" w:cs="仿宋_GB2312"/>
          <w:color w:val="auto"/>
          <w:sz w:val="32"/>
          <w:szCs w:val="32"/>
          <w:highlight w:val="none"/>
        </w:rPr>
        <w:t>四、财政拨款收入支出决算总表</w:t>
      </w:r>
      <w:bookmarkEnd w:id="50"/>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3"/>
      <w:r>
        <w:rPr>
          <w:rFonts w:hint="eastAsia" w:ascii="Times New Roman" w:hAnsi="Times New Roman" w:eastAsia="仿宋_GB2312" w:cs="仿宋_GB2312"/>
          <w:color w:val="auto"/>
          <w:sz w:val="32"/>
          <w:szCs w:val="32"/>
          <w:highlight w:val="none"/>
        </w:rPr>
        <w:t>五、财政拨款支出决算明细表</w:t>
      </w:r>
      <w:bookmarkEnd w:id="51"/>
      <w:bookmarkStart w:id="52" w:name="_Toc1539662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2"/>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5"/>
      <w:r>
        <w:rPr>
          <w:rFonts w:hint="eastAsia" w:ascii="Times New Roman" w:hAnsi="Times New Roman" w:eastAsia="仿宋_GB2312" w:cs="仿宋_GB2312"/>
          <w:color w:val="auto"/>
          <w:sz w:val="32"/>
          <w:szCs w:val="32"/>
          <w:highlight w:val="none"/>
        </w:rPr>
        <w:t>七、一般公共预算财政拨款支出决算明细表</w:t>
      </w:r>
      <w:bookmarkEnd w:id="53"/>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6"/>
      <w:r>
        <w:rPr>
          <w:rFonts w:hint="eastAsia" w:ascii="Times New Roman" w:hAnsi="Times New Roman" w:eastAsia="仿宋_GB2312" w:cs="仿宋_GB2312"/>
          <w:color w:val="auto"/>
          <w:sz w:val="32"/>
          <w:szCs w:val="32"/>
          <w:highlight w:val="none"/>
        </w:rPr>
        <w:t>八、一般公共预算财政拨款基本支出决算表</w:t>
      </w:r>
      <w:bookmarkEnd w:id="54"/>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7"/>
      <w:r>
        <w:rPr>
          <w:rFonts w:hint="eastAsia" w:ascii="Times New Roman" w:hAnsi="Times New Roman" w:eastAsia="仿宋_GB2312" w:cs="仿宋_GB2312"/>
          <w:color w:val="auto"/>
          <w:sz w:val="32"/>
          <w:szCs w:val="32"/>
          <w:highlight w:val="none"/>
        </w:rPr>
        <w:t>九、一般公共预算财政拨款项目支出决算表</w:t>
      </w:r>
      <w:bookmarkEnd w:id="55"/>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8"/>
      <w:r>
        <w:rPr>
          <w:rFonts w:hint="eastAsia" w:ascii="Times New Roman" w:hAnsi="Times New Roman" w:eastAsia="仿宋_GB2312" w:cs="仿宋_GB2312"/>
          <w:color w:val="auto"/>
          <w:sz w:val="32"/>
          <w:szCs w:val="32"/>
          <w:highlight w:val="none"/>
        </w:rPr>
        <w:t>十、</w:t>
      </w:r>
      <w:bookmarkEnd w:id="56"/>
      <w:r>
        <w:rPr>
          <w:rFonts w:hint="eastAsia" w:ascii="Times New Roman" w:hAnsi="Times New Roman" w:eastAsia="仿宋_GB2312" w:cs="仿宋_GB2312"/>
          <w:color w:val="auto"/>
          <w:sz w:val="32"/>
          <w:szCs w:val="32"/>
          <w:highlight w:val="none"/>
        </w:rPr>
        <w:t>政府性基金预算财政拨款收入支出决算表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9"/>
      <w:r>
        <w:rPr>
          <w:rFonts w:hint="eastAsia" w:ascii="Times New Roman" w:hAnsi="Times New Roman" w:eastAsia="仿宋_GB2312" w:cs="仿宋_GB2312"/>
          <w:color w:val="auto"/>
          <w:sz w:val="32"/>
          <w:szCs w:val="32"/>
          <w:highlight w:val="none"/>
        </w:rPr>
        <w:t>十一、</w:t>
      </w:r>
      <w:bookmarkEnd w:id="57"/>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30"/>
      <w:r>
        <w:rPr>
          <w:rFonts w:hint="eastAsia" w:ascii="Times New Roman" w:hAnsi="Times New Roman" w:eastAsia="仿宋_GB2312" w:cs="仿宋_GB2312"/>
          <w:color w:val="auto"/>
          <w:sz w:val="32"/>
          <w:szCs w:val="32"/>
          <w:highlight w:val="none"/>
        </w:rPr>
        <w:t>十二、</w:t>
      </w:r>
      <w:bookmarkEnd w:id="58"/>
      <w:r>
        <w:rPr>
          <w:rFonts w:hint="eastAsia" w:ascii="Times New Roman" w:hAnsi="Times New Roman" w:eastAsia="仿宋_GB2312" w:cs="仿宋_GB2312"/>
          <w:color w:val="auto"/>
          <w:sz w:val="32"/>
          <w:szCs w:val="32"/>
          <w:highlight w:val="none"/>
          <w:lang w:eastAsia="zh-CN"/>
        </w:rPr>
        <w:t>国有资本经营预算财政拨款支出决算表</w:t>
      </w:r>
    </w:p>
    <w:p>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59" w:name="_Toc15396631"/>
      <w:r>
        <w:rPr>
          <w:rFonts w:hint="eastAsia" w:ascii="Times New Roman" w:hAnsi="Times New Roman" w:eastAsia="仿宋_GB2312" w:cs="仿宋_GB2312"/>
          <w:color w:val="auto"/>
          <w:sz w:val="32"/>
          <w:szCs w:val="32"/>
          <w:highlight w:val="none"/>
        </w:rPr>
        <w:t>十三、</w:t>
      </w:r>
      <w:bookmarkEnd w:id="59"/>
      <w:r>
        <w:rPr>
          <w:rFonts w:hint="eastAsia" w:ascii="Times New Roman" w:hAnsi="Times New Roman" w:eastAsia="仿宋_GB2312" w:cs="仿宋_GB2312"/>
          <w:color w:val="auto"/>
          <w:sz w:val="32"/>
          <w:szCs w:val="32"/>
          <w:highlight w:val="none"/>
          <w:lang w:eastAsia="zh-CN"/>
        </w:rPr>
        <w:t>财政拨款“三公”经费支出决算表</w:t>
      </w:r>
    </w:p>
    <w:p>
      <w:pPr>
        <w:rPr>
          <w:rFonts w:hint="eastAsia" w:ascii="Times New Roman" w:hAnsi="Times New Roman"/>
          <w:lang w:eastAsia="zh-CN"/>
        </w:rPr>
      </w:pPr>
      <w:bookmarkStart w:id="60" w:name="_GoBack"/>
      <w:bookmarkEnd w:id="60"/>
    </w:p>
    <w:sectPr>
      <w:footerReference r:id="rId9" w:type="first"/>
      <w:footerReference r:id="rId8"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思源黑体 CN Normal">
    <w:altName w:val="黑体"/>
    <w:panose1 w:val="020B0400000000000000"/>
    <w:charset w:val="86"/>
    <w:family w:val="auto"/>
    <w:pitch w:val="default"/>
    <w:sig w:usb0="00000000" w:usb1="0000000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KQQ1tcICAADYBQAADgAAAAAA&#10;AAABACAAAAAfAQAAZHJzL2Uyb0RvYy54bWxQSwUGAAAAAAYABgBZAQAAUwY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p>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fzsLH8ICAADYBQAADgAAAAAA&#10;AAABACAAAAAfAQAAZHJzL2Uyb0RvYy54bWxQSwUGAAAAAAYABgBZAQAAUwY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DABD24"/>
    <w:multiLevelType w:val="singleLevel"/>
    <w:tmpl w:val="B9DABD24"/>
    <w:lvl w:ilvl="0" w:tentative="0">
      <w:start w:val="1"/>
      <w:numFmt w:val="chineseCounting"/>
      <w:suff w:val="nothing"/>
      <w:lvlText w:val="%1、"/>
      <w:lvlJc w:val="left"/>
      <w:rPr>
        <w:rFonts w:hint="eastAsia"/>
      </w:rPr>
    </w:lvl>
  </w:abstractNum>
  <w:abstractNum w:abstractNumId="1">
    <w:nsid w:val="225E0A2E"/>
    <w:multiLevelType w:val="singleLevel"/>
    <w:tmpl w:val="225E0A2E"/>
    <w:lvl w:ilvl="0" w:tentative="0">
      <w:start w:val="11"/>
      <w:numFmt w:val="decimal"/>
      <w:lvlText w:val="%1."/>
      <w:lvlJc w:val="left"/>
      <w:pPr>
        <w:tabs>
          <w:tab w:val="left" w:pos="312"/>
        </w:tabs>
      </w:pPr>
    </w:lvl>
  </w:abstractNum>
  <w:abstractNum w:abstractNumId="2">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B4AAA"/>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2A5EC2"/>
    <w:rsid w:val="015975B8"/>
    <w:rsid w:val="02BC05A0"/>
    <w:rsid w:val="02FEBE30"/>
    <w:rsid w:val="04916F1E"/>
    <w:rsid w:val="061E35DE"/>
    <w:rsid w:val="066E0107"/>
    <w:rsid w:val="07996F6E"/>
    <w:rsid w:val="07DFD8BA"/>
    <w:rsid w:val="08EE3249"/>
    <w:rsid w:val="09867E8F"/>
    <w:rsid w:val="0A2032A3"/>
    <w:rsid w:val="0B1D54DD"/>
    <w:rsid w:val="0C704D66"/>
    <w:rsid w:val="0CA8290A"/>
    <w:rsid w:val="0D35B1ED"/>
    <w:rsid w:val="0E254B6B"/>
    <w:rsid w:val="0F98263C"/>
    <w:rsid w:val="0FD41106"/>
    <w:rsid w:val="101860EC"/>
    <w:rsid w:val="101F47CC"/>
    <w:rsid w:val="10C055FF"/>
    <w:rsid w:val="11694EBD"/>
    <w:rsid w:val="11772AA4"/>
    <w:rsid w:val="118107EC"/>
    <w:rsid w:val="12E24EE2"/>
    <w:rsid w:val="13D50BC4"/>
    <w:rsid w:val="14B17F78"/>
    <w:rsid w:val="161214D1"/>
    <w:rsid w:val="165E0673"/>
    <w:rsid w:val="16B831D5"/>
    <w:rsid w:val="16BB723D"/>
    <w:rsid w:val="17E50567"/>
    <w:rsid w:val="186504BB"/>
    <w:rsid w:val="19A445FC"/>
    <w:rsid w:val="19C70FED"/>
    <w:rsid w:val="1AB82AFE"/>
    <w:rsid w:val="1BE8440E"/>
    <w:rsid w:val="1C64018C"/>
    <w:rsid w:val="1D155CEE"/>
    <w:rsid w:val="1D1638FE"/>
    <w:rsid w:val="1E312DEB"/>
    <w:rsid w:val="1E740ACF"/>
    <w:rsid w:val="1FF35744"/>
    <w:rsid w:val="1FF6BC77"/>
    <w:rsid w:val="20984288"/>
    <w:rsid w:val="2186353C"/>
    <w:rsid w:val="227A31DC"/>
    <w:rsid w:val="23860B96"/>
    <w:rsid w:val="240371BF"/>
    <w:rsid w:val="244F3473"/>
    <w:rsid w:val="24A663EF"/>
    <w:rsid w:val="24C97D99"/>
    <w:rsid w:val="2536467A"/>
    <w:rsid w:val="25A718F0"/>
    <w:rsid w:val="25BB59F6"/>
    <w:rsid w:val="260F557C"/>
    <w:rsid w:val="26970054"/>
    <w:rsid w:val="27B91F07"/>
    <w:rsid w:val="281408E2"/>
    <w:rsid w:val="29FD04D3"/>
    <w:rsid w:val="2BFF7BC6"/>
    <w:rsid w:val="2C700705"/>
    <w:rsid w:val="2C8A61B5"/>
    <w:rsid w:val="2DF04E50"/>
    <w:rsid w:val="2E586DFA"/>
    <w:rsid w:val="2F040D46"/>
    <w:rsid w:val="2F6B035B"/>
    <w:rsid w:val="2FAE5751"/>
    <w:rsid w:val="2FB1A395"/>
    <w:rsid w:val="2FD9A7D8"/>
    <w:rsid w:val="2FDBF714"/>
    <w:rsid w:val="30AB6865"/>
    <w:rsid w:val="319F7F4E"/>
    <w:rsid w:val="32BD1EF1"/>
    <w:rsid w:val="3304709D"/>
    <w:rsid w:val="33A773CB"/>
    <w:rsid w:val="346C0B79"/>
    <w:rsid w:val="349D6851"/>
    <w:rsid w:val="366A72AD"/>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EBA265"/>
    <w:rsid w:val="3D5C1C56"/>
    <w:rsid w:val="3D98207C"/>
    <w:rsid w:val="3DEE7CF3"/>
    <w:rsid w:val="3E740A63"/>
    <w:rsid w:val="3E78745D"/>
    <w:rsid w:val="3EBB69C7"/>
    <w:rsid w:val="3EE17838"/>
    <w:rsid w:val="3F55381A"/>
    <w:rsid w:val="3F7F7599"/>
    <w:rsid w:val="3F8C0242"/>
    <w:rsid w:val="3FC716B6"/>
    <w:rsid w:val="3FF4CAE0"/>
    <w:rsid w:val="3FF7B227"/>
    <w:rsid w:val="437A6F8C"/>
    <w:rsid w:val="44E268DA"/>
    <w:rsid w:val="450D13D7"/>
    <w:rsid w:val="45506656"/>
    <w:rsid w:val="45E10879"/>
    <w:rsid w:val="486A6C7A"/>
    <w:rsid w:val="49CC75C3"/>
    <w:rsid w:val="4A627F82"/>
    <w:rsid w:val="4B0E749A"/>
    <w:rsid w:val="4B2477C4"/>
    <w:rsid w:val="4B4F25DA"/>
    <w:rsid w:val="4BE068DB"/>
    <w:rsid w:val="4D077A16"/>
    <w:rsid w:val="4D577224"/>
    <w:rsid w:val="4DBF1CEB"/>
    <w:rsid w:val="4DF0007C"/>
    <w:rsid w:val="4EAB630A"/>
    <w:rsid w:val="4ECE2238"/>
    <w:rsid w:val="4F833267"/>
    <w:rsid w:val="4FE9BD67"/>
    <w:rsid w:val="4FFB052F"/>
    <w:rsid w:val="537E6D0A"/>
    <w:rsid w:val="53F74C96"/>
    <w:rsid w:val="55170BA8"/>
    <w:rsid w:val="553218C9"/>
    <w:rsid w:val="567E1AA5"/>
    <w:rsid w:val="56E47B74"/>
    <w:rsid w:val="57175D52"/>
    <w:rsid w:val="57BD3DD4"/>
    <w:rsid w:val="59E532F2"/>
    <w:rsid w:val="5AF92295"/>
    <w:rsid w:val="5B250254"/>
    <w:rsid w:val="5BDD79E6"/>
    <w:rsid w:val="5BF561CA"/>
    <w:rsid w:val="5BFF5DFC"/>
    <w:rsid w:val="5C5B3E99"/>
    <w:rsid w:val="5CD71FC4"/>
    <w:rsid w:val="5CEE7F24"/>
    <w:rsid w:val="5D1F11B5"/>
    <w:rsid w:val="5D595359"/>
    <w:rsid w:val="5D695134"/>
    <w:rsid w:val="5DAE1B18"/>
    <w:rsid w:val="5DE7D9E5"/>
    <w:rsid w:val="5ECEC941"/>
    <w:rsid w:val="5FBF9FF3"/>
    <w:rsid w:val="5FCD4E2C"/>
    <w:rsid w:val="5FEF394A"/>
    <w:rsid w:val="5FF67715"/>
    <w:rsid w:val="61B82B15"/>
    <w:rsid w:val="62BF3928"/>
    <w:rsid w:val="63B3701E"/>
    <w:rsid w:val="647F5392"/>
    <w:rsid w:val="652A3232"/>
    <w:rsid w:val="65E66580"/>
    <w:rsid w:val="65F3705D"/>
    <w:rsid w:val="664B1D71"/>
    <w:rsid w:val="664B4E8E"/>
    <w:rsid w:val="67277B67"/>
    <w:rsid w:val="67AA3209"/>
    <w:rsid w:val="67B43E7C"/>
    <w:rsid w:val="67D82FB5"/>
    <w:rsid w:val="698D0931"/>
    <w:rsid w:val="6A7FE5F3"/>
    <w:rsid w:val="6B053271"/>
    <w:rsid w:val="6BDD78B3"/>
    <w:rsid w:val="6C4A05C8"/>
    <w:rsid w:val="6C8742B8"/>
    <w:rsid w:val="6DBF5E93"/>
    <w:rsid w:val="6DFF077E"/>
    <w:rsid w:val="6E714EF0"/>
    <w:rsid w:val="6E7E3605"/>
    <w:rsid w:val="6E7FDCC7"/>
    <w:rsid w:val="6E997FE2"/>
    <w:rsid w:val="6ED6A62E"/>
    <w:rsid w:val="6EE00B15"/>
    <w:rsid w:val="6EFB2D88"/>
    <w:rsid w:val="6F6FB3EB"/>
    <w:rsid w:val="6F8731EA"/>
    <w:rsid w:val="6FCE6052"/>
    <w:rsid w:val="6FD57C00"/>
    <w:rsid w:val="6FEE2962"/>
    <w:rsid w:val="6FEFFFD8"/>
    <w:rsid w:val="6FF5CC65"/>
    <w:rsid w:val="6FFB47EC"/>
    <w:rsid w:val="6FFF034A"/>
    <w:rsid w:val="70484440"/>
    <w:rsid w:val="712A28F1"/>
    <w:rsid w:val="715C0E4B"/>
    <w:rsid w:val="71992E7C"/>
    <w:rsid w:val="72233669"/>
    <w:rsid w:val="72734D90"/>
    <w:rsid w:val="73160E6D"/>
    <w:rsid w:val="7332FE48"/>
    <w:rsid w:val="73AB61DA"/>
    <w:rsid w:val="73AD73D5"/>
    <w:rsid w:val="73B6EB34"/>
    <w:rsid w:val="73FA497D"/>
    <w:rsid w:val="744731E5"/>
    <w:rsid w:val="74BBD01D"/>
    <w:rsid w:val="74ED5379"/>
    <w:rsid w:val="75DEEEC2"/>
    <w:rsid w:val="75E32345"/>
    <w:rsid w:val="76E3355F"/>
    <w:rsid w:val="76FF5125"/>
    <w:rsid w:val="776F6FFA"/>
    <w:rsid w:val="778769C8"/>
    <w:rsid w:val="77A75DCA"/>
    <w:rsid w:val="77DC22F5"/>
    <w:rsid w:val="783E271A"/>
    <w:rsid w:val="78616DE9"/>
    <w:rsid w:val="78E875D7"/>
    <w:rsid w:val="79086DAD"/>
    <w:rsid w:val="79D7FD79"/>
    <w:rsid w:val="79EE5BA4"/>
    <w:rsid w:val="7A894339"/>
    <w:rsid w:val="7AD284E8"/>
    <w:rsid w:val="7AFF7572"/>
    <w:rsid w:val="7B6C7DFB"/>
    <w:rsid w:val="7BBFBED0"/>
    <w:rsid w:val="7BC3E394"/>
    <w:rsid w:val="7C1F3737"/>
    <w:rsid w:val="7C656F6E"/>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33D92"/>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7"/>
    <w:qFormat/>
    <w:uiPriority w:val="99"/>
    <w:pPr>
      <w:spacing w:beforeLines="30"/>
    </w:pPr>
    <w:rPr>
      <w:rFonts w:ascii="仿宋_GB2312" w:eastAsia="仿宋_GB2312"/>
      <w:kern w:val="0"/>
      <w:sz w:val="30"/>
    </w:rPr>
  </w:style>
  <w:style w:type="paragraph" w:styleId="6">
    <w:name w:val="Body Text Indent"/>
    <w:basedOn w:val="1"/>
    <w:next w:val="7"/>
    <w:qFormat/>
    <w:uiPriority w:val="0"/>
    <w:pPr>
      <w:spacing w:after="120"/>
      <w:ind w:leftChars="200"/>
    </w:pPr>
    <w:rPr>
      <w:rFonts w:ascii="仿宋_GB2312"/>
      <w:szCs w:val="32"/>
    </w:rPr>
  </w:style>
  <w:style w:type="paragraph" w:styleId="7">
    <w:name w:val="Body Text First Indent 2"/>
    <w:basedOn w:val="6"/>
    <w:next w:val="1"/>
    <w:unhideWhenUsed/>
    <w:qFormat/>
    <w:uiPriority w:val="99"/>
    <w:pPr>
      <w:ind w:firstLine="420" w:firstLineChars="200"/>
    </w:p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3"/>
    <w:semiHidden/>
    <w:unhideWhenUsed/>
    <w:qFormat/>
    <w:uiPriority w:val="99"/>
    <w:rPr>
      <w:sz w:val="18"/>
      <w:szCs w:val="18"/>
    </w:rPr>
  </w:style>
  <w:style w:type="paragraph" w:styleId="10">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7"/>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正文首行缩进 21"/>
    <w:basedOn w:val="1"/>
    <w:qFormat/>
    <w:uiPriority w:val="0"/>
    <w:pPr>
      <w:spacing w:line="540" w:lineRule="exact"/>
      <w:ind w:firstLine="200" w:firstLineChars="200"/>
      <w:textAlignment w:val="baseline"/>
    </w:pPr>
    <w:rPr>
      <w:kern w:val="0"/>
      <w:szCs w:val="32"/>
    </w:rPr>
  </w:style>
  <w:style w:type="paragraph" w:customStyle="1" w:styleId="21">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2">
    <w:name w:val="Header Char"/>
    <w:basedOn w:val="17"/>
    <w:semiHidden/>
    <w:qFormat/>
    <w:uiPriority w:val="99"/>
    <w:rPr>
      <w:rFonts w:ascii="Times New Roman" w:hAnsi="Times New Roman"/>
      <w:sz w:val="18"/>
      <w:szCs w:val="18"/>
    </w:rPr>
  </w:style>
  <w:style w:type="character" w:customStyle="1" w:styleId="23">
    <w:name w:val="页眉 Char"/>
    <w:link w:val="11"/>
    <w:semiHidden/>
    <w:qFormat/>
    <w:locked/>
    <w:uiPriority w:val="99"/>
    <w:rPr>
      <w:sz w:val="18"/>
    </w:rPr>
  </w:style>
  <w:style w:type="character" w:customStyle="1" w:styleId="24">
    <w:name w:val="Footer Char"/>
    <w:basedOn w:val="17"/>
    <w:semiHidden/>
    <w:qFormat/>
    <w:uiPriority w:val="99"/>
    <w:rPr>
      <w:rFonts w:ascii="Times New Roman" w:hAnsi="Times New Roman"/>
      <w:sz w:val="18"/>
      <w:szCs w:val="18"/>
    </w:rPr>
  </w:style>
  <w:style w:type="character" w:customStyle="1" w:styleId="25">
    <w:name w:val="页脚 Char"/>
    <w:link w:val="10"/>
    <w:qFormat/>
    <w:locked/>
    <w:uiPriority w:val="99"/>
    <w:rPr>
      <w:sz w:val="18"/>
    </w:rPr>
  </w:style>
  <w:style w:type="character" w:customStyle="1" w:styleId="26">
    <w:name w:val="Body Text Char"/>
    <w:basedOn w:val="17"/>
    <w:semiHidden/>
    <w:qFormat/>
    <w:uiPriority w:val="99"/>
    <w:rPr>
      <w:rFonts w:ascii="Times New Roman" w:hAnsi="Times New Roman"/>
      <w:szCs w:val="24"/>
    </w:rPr>
  </w:style>
  <w:style w:type="character" w:customStyle="1" w:styleId="27">
    <w:name w:val="正文文本 Char"/>
    <w:link w:val="2"/>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7"/>
    <w:link w:val="3"/>
    <w:qFormat/>
    <w:uiPriority w:val="9"/>
    <w:rPr>
      <w:rFonts w:ascii="Times New Roman" w:hAnsi="Times New Roman"/>
      <w:b/>
      <w:bCs/>
      <w:kern w:val="44"/>
      <w:sz w:val="44"/>
      <w:szCs w:val="44"/>
    </w:rPr>
  </w:style>
  <w:style w:type="character" w:customStyle="1" w:styleId="31">
    <w:name w:val="标题 2 Char"/>
    <w:basedOn w:val="17"/>
    <w:link w:val="4"/>
    <w:qFormat/>
    <w:uiPriority w:val="9"/>
    <w:rPr>
      <w:rFonts w:asciiTheme="majorHAnsi" w:hAnsiTheme="majorHAnsi" w:eastAsiaTheme="majorEastAsia" w:cstheme="majorBidi"/>
      <w:b/>
      <w:bCs/>
      <w:kern w:val="2"/>
      <w:sz w:val="32"/>
      <w:szCs w:val="32"/>
    </w:rPr>
  </w:style>
  <w:style w:type="paragraph" w:customStyle="1" w:styleId="32">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7"/>
    <w:link w:val="9"/>
    <w:semiHidden/>
    <w:qFormat/>
    <w:uiPriority w:val="99"/>
    <w:rPr>
      <w:rFonts w:ascii="Times New Roman" w:hAnsi="Times New Roman"/>
      <w:kern w:val="2"/>
      <w:sz w:val="18"/>
      <w:szCs w:val="18"/>
    </w:rPr>
  </w:style>
  <w:style w:type="character" w:customStyle="1" w:styleId="34">
    <w:name w:val="标题 3 Char"/>
    <w:basedOn w:val="17"/>
    <w:link w:val="5"/>
    <w:qFormat/>
    <w:uiPriority w:val="9"/>
    <w:rPr>
      <w:rFonts w:ascii="Times New Roman" w:hAnsi="Times New Roman"/>
      <w:b/>
      <w:bCs/>
      <w:kern w:val="2"/>
      <w:sz w:val="32"/>
      <w:szCs w:val="32"/>
    </w:rPr>
  </w:style>
  <w:style w:type="paragraph" w:customStyle="1" w:styleId="35">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eastAsia="宋体"/>
      <w:color w:val="000000"/>
      <w:kern w:val="0"/>
      <w:sz w:val="28"/>
      <w:szCs w:val="21"/>
      <w:lang w:val="zh-CN" w:eastAsia="zh-CN"/>
    </w:rPr>
  </w:style>
  <w:style w:type="character" w:customStyle="1" w:styleId="37">
    <w:name w:val="标题 1 字符"/>
    <w:basedOn w:val="17"/>
    <w:link w:val="3"/>
    <w:qFormat/>
    <w:uiPriority w:val="9"/>
    <w:rPr>
      <w:rFonts w:ascii="Times New Roman" w:hAnsi="Times New Roman"/>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chart" Target="charts/chart1.xml"/><Relationship Id="rId22" Type="http://schemas.openxmlformats.org/officeDocument/2006/relationships/image" Target="media/image6.emf"/><Relationship Id="rId21" Type="http://schemas.openxmlformats.org/officeDocument/2006/relationships/oleObject" Target="embeddings/oleObject6.bin"/><Relationship Id="rId20" Type="http://schemas.openxmlformats.org/officeDocument/2006/relationships/image" Target="media/image5.emf"/><Relationship Id="rId2" Type="http://schemas.openxmlformats.org/officeDocument/2006/relationships/settings" Target="settings.xml"/><Relationship Id="rId19" Type="http://schemas.openxmlformats.org/officeDocument/2006/relationships/oleObject" Target="embeddings/oleObject5.bin"/><Relationship Id="rId18" Type="http://schemas.openxmlformats.org/officeDocument/2006/relationships/image" Target="media/image4.emf"/><Relationship Id="rId17" Type="http://schemas.openxmlformats.org/officeDocument/2006/relationships/oleObject" Target="embeddings/oleObject4.bin"/><Relationship Id="rId16" Type="http://schemas.openxmlformats.org/officeDocument/2006/relationships/image" Target="media/image3.emf"/><Relationship Id="rId15" Type="http://schemas.openxmlformats.org/officeDocument/2006/relationships/oleObject" Target="embeddings/oleObject3.bin"/><Relationship Id="rId14" Type="http://schemas.openxmlformats.org/officeDocument/2006/relationships/image" Target="media/image2.emf"/><Relationship Id="rId13" Type="http://schemas.openxmlformats.org/officeDocument/2006/relationships/oleObject" Target="embeddings/oleObject2.bin"/><Relationship Id="rId12" Type="http://schemas.openxmlformats.org/officeDocument/2006/relationships/image" Target="media/image1.e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6032;&#24314;%20XLS%20&#24037;&#20316;&#34920;%20(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三公经费财政拨款支出情况</a:t>
            </a:r>
          </a:p>
        </c:rich>
      </c:tx>
      <c:layout/>
      <c:overlay val="0"/>
      <c:spPr>
        <a:noFill/>
        <a:ln>
          <a:noFill/>
        </a:ln>
        <a:effectLst/>
      </c:spPr>
    </c:title>
    <c:autoTitleDeleted val="0"/>
    <c:plotArea>
      <c:layout>
        <c:manualLayout>
          <c:layoutTarget val="inner"/>
          <c:xMode val="edge"/>
          <c:yMode val="edge"/>
          <c:x val="0.115"/>
          <c:y val="0.14153769345981"/>
          <c:w val="0.42"/>
          <c:h val="0.754867698452321"/>
        </c:manualLayout>
      </c:layout>
      <c:pieChart>
        <c:varyColors val="1"/>
        <c:ser>
          <c:idx val="0"/>
          <c:order val="0"/>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Sheet1!$A$5:$A$6</c:f>
              <c:strCache>
                <c:ptCount val="2"/>
                <c:pt idx="0">
                  <c:v>公务用车运行维护费</c:v>
                </c:pt>
                <c:pt idx="1">
                  <c:v>公务接待费</c:v>
                </c:pt>
              </c:strCache>
            </c:strRef>
          </c:cat>
          <c:val>
            <c:numRef>
              <c:f>Sheet1!$B$5:$B$6</c:f>
              <c:numCache>
                <c:formatCode>General</c:formatCode>
                <c:ptCount val="2"/>
                <c:pt idx="0">
                  <c:v>11.3</c:v>
                </c:pt>
                <c:pt idx="1">
                  <c:v>0.38</c:v>
                </c:pt>
              </c:numCache>
            </c:numRef>
          </c:val>
        </c:ser>
        <c:ser>
          <c:idx val="1"/>
          <c:order val="1"/>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Sheet1!$A$5:$A$6</c:f>
              <c:strCache>
                <c:ptCount val="2"/>
                <c:pt idx="0">
                  <c:v>公务用车运行维护费</c:v>
                </c:pt>
                <c:pt idx="1">
                  <c:v>公务接待费</c:v>
                </c:pt>
              </c:strCache>
            </c:strRef>
          </c:cat>
          <c:val>
            <c:numRef>
              <c:f>Sheet1!$C$5:$C$6</c:f>
              <c:numCache>
                <c:formatCode>General</c:formatCode>
                <c:ptCount val="2"/>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625"/>
          <c:y val="0.36914811972371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1299</Words>
  <Characters>7410</Characters>
  <Lines>61</Lines>
  <Paragraphs>17</Paragraphs>
  <TotalTime>1</TotalTime>
  <ScaleCrop>false</ScaleCrop>
  <LinksUpToDate>false</LinksUpToDate>
  <CharactersWithSpaces>8692</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2020-08-09T09:49:00Z</dcterms:created>
  <dc:creator>曹颖</dc:creator>
  <cp:lastModifiedBy>Administrator</cp:lastModifiedBy>
  <cp:lastPrinted>2025-08-06T17:34:00Z</cp:lastPrinted>
  <dcterms:modified xsi:type="dcterms:W3CDTF">2026-10-22T22:35:11Z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y fmtid="{D5CDD505-2E9C-101B-9397-08002B2CF9AE}" pid="3" name="ICV">
    <vt:lpwstr>04787F2533EB45DC91BCDE4AB213247F</vt:lpwstr>
  </property>
</Properties>
</file>