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597"/>
      <w:bookmarkStart w:id="2" w:name="_Toc15396475"/>
      <w:bookmarkStart w:id="3" w:name="_Toc1537742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9"/>
        <w:rPr>
          <w:rFonts w:hint="eastAsia" w:ascii="方正小标宋简体" w:hAnsi="宋体" w:eastAsia="方正小标宋简体"/>
          <w:color w:val="000000"/>
          <w:sz w:val="72"/>
          <w:szCs w:val="72"/>
          <w:lang w:val="en-US" w:eastAsia="zh-CN"/>
        </w:rPr>
      </w:pPr>
      <w:bookmarkStart w:id="6" w:name="_Toc15378442"/>
      <w:bookmarkStart w:id="7" w:name="_Toc15377426"/>
      <w:bookmarkStart w:id="8" w:name="_Toc15396598"/>
      <w:bookmarkStart w:id="9" w:name="_Toc15396476"/>
      <w:bookmarkStart w:id="10"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val="en-US" w:eastAsia="zh-CN"/>
        </w:rPr>
        <w:t>森林公安局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r>
        <w:rPr>
          <w:rFonts w:hint="eastAsia" w:ascii="方正小标宋简体" w:hAnsi="宋体" w:eastAsia="方正小标宋简体"/>
          <w:color w:val="000000"/>
          <w:sz w:val="72"/>
          <w:szCs w:val="72"/>
          <w:lang w:val="en-US" w:eastAsia="zh-CN"/>
        </w:rPr>
        <w:t xml:space="preserve"> </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both"/>
        <w:rPr>
          <w:rFonts w:hint="eastAsia" w:ascii="黑体" w:hAnsi="黑体" w:eastAsia="黑体"/>
          <w:color w:val="000000"/>
          <w:sz w:val="48"/>
          <w:szCs w:val="48"/>
        </w:rPr>
      </w:pPr>
      <w:bookmarkStart w:id="104" w:name="_GoBack"/>
      <w:bookmarkEnd w:id="104"/>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0"/>
        <w:tabs>
          <w:tab w:val="right" w:leader="dot" w:pos="8300"/>
          <w:tab w:val="clear" w:pos="8296"/>
        </w:tabs>
      </w:pPr>
      <w:r>
        <w:rPr>
          <w:rFonts w:ascii="黑体" w:hAnsi="黑体" w:eastAsia="黑体" w:cstheme="minorBidi"/>
          <w:sz w:val="28"/>
          <w:szCs w:val="28"/>
        </w:rPr>
        <w:fldChar w:fldCharType="begin"/>
      </w:r>
      <w:r>
        <w:rPr>
          <w:rFonts w:ascii="黑体" w:hAnsi="黑体" w:eastAsia="黑体" w:cstheme="minorBidi"/>
          <w:sz w:val="28"/>
          <w:szCs w:val="28"/>
        </w:rPr>
        <w:instrText xml:space="preserve">TOC \o "1-2" \h \u </w:instrText>
      </w:r>
      <w:r>
        <w:rPr>
          <w:rFonts w:ascii="黑体" w:hAnsi="黑体" w:eastAsia="黑体" w:cstheme="minorBidi"/>
          <w:sz w:val="28"/>
          <w:szCs w:val="28"/>
        </w:rPr>
        <w:fldChar w:fldCharType="separate"/>
      </w:r>
      <w:r>
        <w:rPr>
          <w:rFonts w:ascii="黑体" w:hAnsi="黑体" w:eastAsia="黑体" w:cstheme="minorBidi"/>
          <w:szCs w:val="28"/>
        </w:rPr>
        <w:fldChar w:fldCharType="begin"/>
      </w:r>
      <w:r>
        <w:rPr>
          <w:rFonts w:ascii="黑体" w:hAnsi="黑体" w:eastAsia="黑体" w:cstheme="minorBidi"/>
          <w:szCs w:val="28"/>
        </w:rPr>
        <w:instrText xml:space="preserve"> HYPERLINK \l _Toc21824 </w:instrText>
      </w:r>
      <w:r>
        <w:rPr>
          <w:rFonts w:ascii="黑体" w:hAnsi="黑体" w:eastAsia="黑体" w:cstheme="minorBidi"/>
          <w:szCs w:val="28"/>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_Toc21824 </w:instrText>
      </w:r>
      <w:r>
        <w:fldChar w:fldCharType="separate"/>
      </w:r>
      <w:r>
        <w:t>2</w:t>
      </w:r>
      <w:r>
        <w:fldChar w:fldCharType="end"/>
      </w:r>
      <w:r>
        <w:rPr>
          <w:rFonts w:ascii="黑体" w:hAnsi="黑体" w:eastAsia="黑体" w:cstheme="minorBidi"/>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_Toc1228 </w:instrText>
      </w:r>
      <w:r>
        <w:rPr>
          <w:rFonts w:hint="eastAsia" w:ascii="仿宋" w:hAnsi="仿宋" w:eastAsia="仿宋" w:cs="仿宋"/>
          <w:szCs w:val="28"/>
        </w:rPr>
        <w:fldChar w:fldCharType="separate"/>
      </w:r>
      <w:r>
        <w:rPr>
          <w:rFonts w:hint="eastAsia" w:ascii="仿宋" w:hAnsi="仿宋" w:eastAsia="仿宋" w:cs="仿宋"/>
        </w:rPr>
        <w:t>一、基</w:t>
      </w:r>
      <w:r>
        <w:rPr>
          <w:rFonts w:hint="eastAsia" w:ascii="仿宋" w:hAnsi="仿宋" w:eastAsia="仿宋" w:cs="仿宋"/>
          <w:bCs w:val="0"/>
        </w:rPr>
        <w:t>本职能及主要工作</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_Toc1228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_Toc20989 </w:instrText>
      </w:r>
      <w:r>
        <w:rPr>
          <w:rFonts w:hint="eastAsia" w:ascii="仿宋" w:hAnsi="仿宋" w:eastAsia="仿宋" w:cs="仿宋"/>
          <w:szCs w:val="28"/>
        </w:rPr>
        <w:fldChar w:fldCharType="separate"/>
      </w:r>
      <w:r>
        <w:rPr>
          <w:rFonts w:hint="eastAsia" w:ascii="仿宋" w:hAnsi="仿宋" w:eastAsia="仿宋" w:cs="仿宋"/>
        </w:rPr>
        <w:t>二、机</w:t>
      </w:r>
      <w:r>
        <w:rPr>
          <w:rFonts w:hint="eastAsia" w:ascii="仿宋" w:hAnsi="仿宋" w:eastAsia="仿宋" w:cs="仿宋"/>
          <w:bCs w:val="0"/>
        </w:rPr>
        <w:t>构设置</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_Toc20989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szCs w:val="28"/>
        </w:rPr>
        <w:fldChar w:fldCharType="end"/>
      </w:r>
    </w:p>
    <w:p>
      <w:pPr>
        <w:pStyle w:val="10"/>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_Toc1307 </w:instrText>
      </w:r>
      <w:r>
        <w:rPr>
          <w:rFonts w:ascii="黑体" w:hAnsi="黑体" w:eastAsia="黑体" w:cstheme="minorBidi"/>
          <w:szCs w:val="28"/>
        </w:rP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_Toc1307 </w:instrText>
      </w:r>
      <w:r>
        <w:fldChar w:fldCharType="separate"/>
      </w:r>
      <w:r>
        <w:t>4</w:t>
      </w:r>
      <w:r>
        <w:fldChar w:fldCharType="end"/>
      </w:r>
      <w:r>
        <w:rPr>
          <w:rFonts w:ascii="黑体" w:hAnsi="黑体" w:eastAsia="黑体" w:cstheme="minorBidi"/>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_Toc20773 </w:instrText>
      </w:r>
      <w:r>
        <w:rPr>
          <w:rFonts w:hint="eastAsia" w:ascii="仿宋" w:hAnsi="仿宋" w:eastAsia="仿宋" w:cs="仿宋"/>
          <w:szCs w:val="28"/>
        </w:rPr>
        <w:fldChar w:fldCharType="separate"/>
      </w:r>
      <w:r>
        <w:rPr>
          <w:rFonts w:hint="eastAsia" w:ascii="仿宋" w:hAnsi="仿宋" w:eastAsia="仿宋" w:cs="仿宋"/>
        </w:rPr>
        <w:t xml:space="preserve">一、 </w:t>
      </w:r>
      <w:r>
        <w:rPr>
          <w:rFonts w:hint="eastAsia" w:ascii="仿宋" w:hAnsi="仿宋" w:eastAsia="仿宋" w:cs="仿宋"/>
          <w:szCs w:val="32"/>
        </w:rPr>
        <w:t>收</w:t>
      </w:r>
      <w:r>
        <w:rPr>
          <w:rFonts w:hint="eastAsia" w:ascii="仿宋" w:hAnsi="仿宋" w:eastAsia="仿宋" w:cs="仿宋"/>
        </w:rPr>
        <w:t>入支出决算总体情况说明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_Toc20773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_Toc23689 </w:instrText>
      </w:r>
      <w:r>
        <w:rPr>
          <w:rFonts w:hint="eastAsia" w:ascii="仿宋" w:hAnsi="仿宋" w:eastAsia="仿宋" w:cs="仿宋"/>
          <w:szCs w:val="28"/>
        </w:rPr>
        <w:fldChar w:fldCharType="separate"/>
      </w:r>
      <w:r>
        <w:rPr>
          <w:rFonts w:hint="eastAsia" w:ascii="仿宋" w:hAnsi="仿宋" w:eastAsia="仿宋" w:cs="仿宋"/>
        </w:rPr>
        <w:t xml:space="preserve">二、 </w:t>
      </w:r>
      <w:r>
        <w:rPr>
          <w:rFonts w:hint="eastAsia" w:ascii="仿宋" w:hAnsi="仿宋" w:eastAsia="仿宋" w:cs="仿宋"/>
          <w:szCs w:val="32"/>
        </w:rPr>
        <w:t>收</w:t>
      </w:r>
      <w:r>
        <w:rPr>
          <w:rFonts w:hint="eastAsia" w:ascii="仿宋" w:hAnsi="仿宋" w:eastAsia="仿宋" w:cs="仿宋"/>
        </w:rPr>
        <w:t>入决算情况说明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_Toc23689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_Toc25105 </w:instrText>
      </w:r>
      <w:r>
        <w:rPr>
          <w:rFonts w:hint="eastAsia" w:ascii="仿宋" w:hAnsi="仿宋" w:eastAsia="仿宋" w:cs="仿宋"/>
          <w:szCs w:val="28"/>
        </w:rPr>
        <w:fldChar w:fldCharType="separate"/>
      </w:r>
      <w:r>
        <w:rPr>
          <w:rFonts w:hint="eastAsia" w:ascii="仿宋" w:hAnsi="仿宋" w:eastAsia="仿宋" w:cs="仿宋"/>
        </w:rPr>
        <w:t xml:space="preserve">三、 </w:t>
      </w:r>
      <w:r>
        <w:rPr>
          <w:rFonts w:hint="eastAsia" w:ascii="仿宋" w:hAnsi="仿宋" w:eastAsia="仿宋" w:cs="仿宋"/>
          <w:szCs w:val="32"/>
        </w:rPr>
        <w:t>支</w:t>
      </w:r>
      <w:r>
        <w:rPr>
          <w:rFonts w:hint="eastAsia" w:ascii="仿宋" w:hAnsi="仿宋" w:eastAsia="仿宋" w:cs="仿宋"/>
        </w:rPr>
        <w:t>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_Toc25105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_Toc22615 </w:instrText>
      </w:r>
      <w:r>
        <w:rPr>
          <w:rFonts w:hint="eastAsia" w:ascii="仿宋" w:hAnsi="仿宋" w:eastAsia="仿宋" w:cs="仿宋"/>
          <w:szCs w:val="28"/>
        </w:rPr>
        <w:fldChar w:fldCharType="separate"/>
      </w:r>
      <w:r>
        <w:rPr>
          <w:rFonts w:hint="eastAsia" w:ascii="仿宋" w:hAnsi="仿宋" w:eastAsia="仿宋" w:cs="仿宋"/>
          <w:szCs w:val="32"/>
        </w:rPr>
        <w:t>四、财</w:t>
      </w:r>
      <w:r>
        <w:rPr>
          <w:rFonts w:hint="eastAsia" w:ascii="仿宋" w:hAnsi="仿宋" w:eastAsia="仿宋" w:cs="仿宋"/>
        </w:rPr>
        <w:t>政拨款收入支出决算总体情况说明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_Toc22615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_Toc23302 </w:instrText>
      </w:r>
      <w:r>
        <w:rPr>
          <w:rFonts w:hint="eastAsia" w:ascii="仿宋" w:hAnsi="仿宋" w:eastAsia="仿宋" w:cs="仿宋"/>
          <w:szCs w:val="28"/>
        </w:rPr>
        <w:fldChar w:fldCharType="separate"/>
      </w:r>
      <w:r>
        <w:rPr>
          <w:rFonts w:hint="eastAsia" w:ascii="仿宋" w:hAnsi="仿宋" w:eastAsia="仿宋" w:cs="仿宋"/>
          <w:szCs w:val="32"/>
        </w:rPr>
        <w:t>五、一</w:t>
      </w:r>
      <w:r>
        <w:rPr>
          <w:rFonts w:hint="eastAsia" w:ascii="仿宋" w:hAnsi="仿宋" w:eastAsia="仿宋" w:cs="仿宋"/>
        </w:rPr>
        <w:t>般公共预算财政拨款支出决算情况说明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_Toc23302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_Toc2438 </w:instrText>
      </w:r>
      <w:r>
        <w:rPr>
          <w:rFonts w:hint="eastAsia" w:ascii="仿宋" w:hAnsi="仿宋" w:eastAsia="仿宋" w:cs="仿宋"/>
          <w:szCs w:val="28"/>
        </w:rPr>
        <w:fldChar w:fldCharType="separate"/>
      </w:r>
      <w:r>
        <w:rPr>
          <w:rFonts w:hint="eastAsia" w:ascii="仿宋" w:hAnsi="仿宋" w:eastAsia="仿宋" w:cs="仿宋"/>
          <w:szCs w:val="32"/>
        </w:rPr>
        <w:t>六、一</w:t>
      </w:r>
      <w:r>
        <w:rPr>
          <w:rFonts w:hint="eastAsia" w:ascii="仿宋" w:hAnsi="仿宋" w:eastAsia="仿宋" w:cs="仿宋"/>
        </w:rPr>
        <w:t>般公共预算财政拨款基本支出决算情况说明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_Toc2438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_Toc26065 </w:instrText>
      </w:r>
      <w:r>
        <w:rPr>
          <w:rFonts w:hint="eastAsia" w:ascii="仿宋" w:hAnsi="仿宋" w:eastAsia="仿宋" w:cs="仿宋"/>
          <w:szCs w:val="28"/>
        </w:rPr>
        <w:fldChar w:fldCharType="separate"/>
      </w:r>
      <w:r>
        <w:rPr>
          <w:rFonts w:hint="eastAsia" w:ascii="仿宋" w:hAnsi="仿宋" w:eastAsia="仿宋" w:cs="仿宋"/>
          <w:szCs w:val="32"/>
        </w:rPr>
        <w:t>七、</w:t>
      </w:r>
      <w:r>
        <w:rPr>
          <w:rFonts w:hint="eastAsia" w:ascii="仿宋" w:hAnsi="仿宋" w:eastAsia="仿宋" w:cs="仿宋"/>
        </w:rPr>
        <w:t>“三公”经费财政拨款支出决算情况说明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_Toc26065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_Toc14141 </w:instrText>
      </w:r>
      <w:r>
        <w:rPr>
          <w:rFonts w:hint="eastAsia" w:ascii="仿宋" w:hAnsi="仿宋" w:eastAsia="仿宋" w:cs="仿宋"/>
          <w:szCs w:val="28"/>
        </w:rPr>
        <w:fldChar w:fldCharType="separate"/>
      </w:r>
      <w:r>
        <w:rPr>
          <w:rFonts w:hint="eastAsia" w:ascii="仿宋" w:hAnsi="仿宋" w:eastAsia="仿宋" w:cs="仿宋"/>
          <w:szCs w:val="32"/>
        </w:rPr>
        <w:t>八、</w:t>
      </w:r>
      <w:r>
        <w:rPr>
          <w:rFonts w:hint="eastAsia" w:ascii="仿宋" w:hAnsi="仿宋" w:eastAsia="仿宋" w:cs="仿宋"/>
        </w:rPr>
        <w:t>政府性基金预算支出决算情况说明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_Toc14141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rPr>
          <w:rFonts w:hint="eastAsia" w:ascii="仿宋" w:hAnsi="仿宋" w:eastAsia="仿宋" w:cs="仿宋"/>
        </w:rPr>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_Toc30465 </w:instrText>
      </w:r>
      <w:r>
        <w:rPr>
          <w:rFonts w:hint="eastAsia" w:ascii="仿宋" w:hAnsi="仿宋" w:eastAsia="仿宋" w:cs="仿宋"/>
          <w:szCs w:val="28"/>
        </w:rPr>
        <w:fldChar w:fldCharType="separate"/>
      </w:r>
      <w:r>
        <w:rPr>
          <w:rFonts w:hint="eastAsia" w:ascii="仿宋" w:hAnsi="仿宋" w:eastAsia="仿宋" w:cs="仿宋"/>
        </w:rPr>
        <w:t>九、 国有资本经营预算支出决算情况说明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_Toc30465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szCs w:val="28"/>
        </w:rPr>
        <w:fldChar w:fldCharType="end"/>
      </w:r>
    </w:p>
    <w:p>
      <w:pPr>
        <w:pStyle w:val="11"/>
        <w:tabs>
          <w:tab w:val="right" w:leader="dot" w:pos="8300"/>
          <w:tab w:val="clear" w:pos="8296"/>
        </w:tabs>
      </w:pPr>
      <w:r>
        <w:rPr>
          <w:rFonts w:hint="eastAsia" w:ascii="仿宋" w:hAnsi="仿宋" w:eastAsia="仿宋" w:cs="仿宋"/>
          <w:szCs w:val="28"/>
        </w:rPr>
        <w:fldChar w:fldCharType="begin"/>
      </w:r>
      <w:r>
        <w:rPr>
          <w:rFonts w:hint="eastAsia" w:ascii="仿宋" w:hAnsi="仿宋" w:eastAsia="仿宋" w:cs="仿宋"/>
          <w:szCs w:val="28"/>
        </w:rPr>
        <w:instrText xml:space="preserve"> HYPERLINK \l _Toc9931 </w:instrText>
      </w:r>
      <w:r>
        <w:rPr>
          <w:rFonts w:hint="eastAsia" w:ascii="仿宋" w:hAnsi="仿宋" w:eastAsia="仿宋" w:cs="仿宋"/>
          <w:szCs w:val="28"/>
        </w:rPr>
        <w:fldChar w:fldCharType="separate"/>
      </w:r>
      <w:r>
        <w:rPr>
          <w:rFonts w:hint="eastAsia" w:ascii="仿宋" w:hAnsi="仿宋" w:eastAsia="仿宋" w:cs="仿宋"/>
          <w:szCs w:val="32"/>
        </w:rPr>
        <w:t>十</w:t>
      </w:r>
      <w:r>
        <w:rPr>
          <w:rFonts w:hint="eastAsia" w:ascii="仿宋" w:hAnsi="仿宋" w:eastAsia="仿宋" w:cs="仿宋"/>
        </w:rPr>
        <w:t>、其他重要事项的情况说明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_Toc9931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szCs w:val="28"/>
        </w:rPr>
        <w:fldChar w:fldCharType="end"/>
      </w:r>
    </w:p>
    <w:p>
      <w:pPr>
        <w:pStyle w:val="10"/>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_Toc26783 </w:instrText>
      </w:r>
      <w:r>
        <w:rPr>
          <w:rFonts w:ascii="黑体" w:hAnsi="黑体" w:eastAsia="黑体" w:cstheme="minorBidi"/>
          <w:szCs w:val="28"/>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_Toc26783 </w:instrText>
      </w:r>
      <w:r>
        <w:fldChar w:fldCharType="separate"/>
      </w:r>
      <w:r>
        <w:t>15</w:t>
      </w:r>
      <w:r>
        <w:fldChar w:fldCharType="end"/>
      </w:r>
      <w:r>
        <w:rPr>
          <w:rFonts w:ascii="黑体" w:hAnsi="黑体" w:eastAsia="黑体" w:cstheme="minorBidi"/>
          <w:szCs w:val="28"/>
        </w:rPr>
        <w:fldChar w:fldCharType="end"/>
      </w:r>
    </w:p>
    <w:p>
      <w:pPr>
        <w:pStyle w:val="10"/>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_Toc5183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_Toc5183 </w:instrText>
      </w:r>
      <w:r>
        <w:fldChar w:fldCharType="separate"/>
      </w:r>
      <w:r>
        <w:t>18</w:t>
      </w:r>
      <w:r>
        <w:fldChar w:fldCharType="end"/>
      </w:r>
      <w:r>
        <w:rPr>
          <w:rFonts w:ascii="黑体" w:hAnsi="黑体" w:eastAsia="黑体" w:cstheme="minorBidi"/>
          <w:szCs w:val="28"/>
        </w:rPr>
        <w:fldChar w:fldCharType="end"/>
      </w:r>
    </w:p>
    <w:p>
      <w:pPr>
        <w:pStyle w:val="10"/>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_Toc20474 </w:instrText>
      </w:r>
      <w:r>
        <w:rPr>
          <w:rFonts w:ascii="黑体" w:hAnsi="黑体" w:eastAsia="黑体" w:cstheme="minorBidi"/>
          <w:szCs w:val="28"/>
        </w:rPr>
        <w:fldChar w:fldCharType="separate"/>
      </w:r>
      <w:r>
        <w:rPr>
          <w:rFonts w:hint="eastAsia" w:ascii="黑体" w:hAnsi="黑体" w:eastAsia="黑体" w:cs="黑体"/>
          <w:szCs w:val="32"/>
        </w:rPr>
        <w:t>附件1</w:t>
      </w:r>
      <w:r>
        <w:tab/>
      </w:r>
      <w:r>
        <w:fldChar w:fldCharType="begin"/>
      </w:r>
      <w:r>
        <w:instrText xml:space="preserve"> PAGEREF _Toc20474 </w:instrText>
      </w:r>
      <w:r>
        <w:fldChar w:fldCharType="separate"/>
      </w:r>
      <w:r>
        <w:t>18</w:t>
      </w:r>
      <w:r>
        <w:fldChar w:fldCharType="end"/>
      </w:r>
      <w:r>
        <w:rPr>
          <w:rFonts w:ascii="黑体" w:hAnsi="黑体" w:eastAsia="黑体" w:cstheme="minorBidi"/>
          <w:szCs w:val="28"/>
        </w:rPr>
        <w:fldChar w:fldCharType="end"/>
      </w:r>
    </w:p>
    <w:p>
      <w:pPr>
        <w:pStyle w:val="10"/>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_Toc27426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_Toc27426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_Toc20493 </w:instrText>
      </w:r>
      <w:r>
        <w:rPr>
          <w:rFonts w:ascii="黑体" w:hAnsi="黑体" w:eastAsia="黑体" w:cstheme="minorBidi"/>
          <w:szCs w:val="28"/>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_Toc20493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_Toc22995 </w:instrText>
      </w:r>
      <w:r>
        <w:rPr>
          <w:rFonts w:ascii="黑体" w:hAnsi="黑体" w:eastAsia="黑体" w:cstheme="minorBidi"/>
          <w:szCs w:val="28"/>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_Toc22995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_Toc16351 </w:instrText>
      </w:r>
      <w:r>
        <w:rPr>
          <w:rFonts w:ascii="黑体" w:hAnsi="黑体" w:eastAsia="黑体" w:cstheme="minorBidi"/>
          <w:szCs w:val="28"/>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_Toc16351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_Toc15571 </w:instrText>
      </w:r>
      <w:r>
        <w:rPr>
          <w:rFonts w:ascii="黑体" w:hAnsi="黑体" w:eastAsia="黑体" w:cstheme="minorBidi"/>
          <w:szCs w:val="28"/>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_Toc15571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_Toc19737 </w:instrText>
      </w:r>
      <w:r>
        <w:rPr>
          <w:rFonts w:ascii="黑体" w:hAnsi="黑体" w:eastAsia="黑体" w:cstheme="minorBidi"/>
          <w:szCs w:val="28"/>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_Toc19737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_Toc2452 </w:instrText>
      </w:r>
      <w:r>
        <w:rPr>
          <w:rFonts w:ascii="黑体" w:hAnsi="黑体" w:eastAsia="黑体" w:cstheme="minorBidi"/>
          <w:szCs w:val="28"/>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_Toc2452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_Toc17452 </w:instrText>
      </w:r>
      <w:r>
        <w:rPr>
          <w:rFonts w:ascii="黑体" w:hAnsi="黑体" w:eastAsia="黑体" w:cstheme="minorBidi"/>
          <w:szCs w:val="28"/>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_Toc17452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_Toc23676 </w:instrText>
      </w:r>
      <w:r>
        <w:rPr>
          <w:rFonts w:ascii="黑体" w:hAnsi="黑体" w:eastAsia="黑体" w:cstheme="minorBidi"/>
          <w:szCs w:val="28"/>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_Toc23676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_Toc12981 </w:instrText>
      </w:r>
      <w:r>
        <w:rPr>
          <w:rFonts w:ascii="黑体" w:hAnsi="黑体" w:eastAsia="黑体" w:cstheme="minorBidi"/>
          <w:szCs w:val="28"/>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_Toc12981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_Toc11322 </w:instrText>
      </w:r>
      <w:r>
        <w:rPr>
          <w:rFonts w:ascii="黑体" w:hAnsi="黑体" w:eastAsia="黑体" w:cstheme="minorBidi"/>
          <w:szCs w:val="28"/>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_Toc11322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_Toc32267 </w:instrText>
      </w:r>
      <w:r>
        <w:rPr>
          <w:rFonts w:ascii="黑体" w:hAnsi="黑体" w:eastAsia="黑体" w:cstheme="minorBidi"/>
          <w:szCs w:val="28"/>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_Toc32267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_Toc29865 </w:instrText>
      </w:r>
      <w:r>
        <w:rPr>
          <w:rFonts w:ascii="黑体" w:hAnsi="黑体" w:eastAsia="黑体" w:cstheme="minorBidi"/>
          <w:szCs w:val="28"/>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_Toc29865 </w:instrText>
      </w:r>
      <w:r>
        <w:fldChar w:fldCharType="separate"/>
      </w:r>
      <w:r>
        <w:t>23</w:t>
      </w:r>
      <w:r>
        <w:fldChar w:fldCharType="end"/>
      </w:r>
      <w:r>
        <w:rPr>
          <w:rFonts w:ascii="黑体" w:hAnsi="黑体" w:eastAsia="黑体" w:cstheme="minorBidi"/>
          <w:szCs w:val="28"/>
        </w:rPr>
        <w:fldChar w:fldCharType="end"/>
      </w:r>
    </w:p>
    <w:p>
      <w:pPr>
        <w:pStyle w:val="11"/>
        <w:tabs>
          <w:tab w:val="right" w:leader="dot" w:pos="8300"/>
          <w:tab w:val="clear" w:pos="8296"/>
        </w:tabs>
      </w:pPr>
      <w:r>
        <w:rPr>
          <w:rFonts w:ascii="黑体" w:hAnsi="黑体" w:eastAsia="黑体" w:cstheme="minorBidi"/>
          <w:szCs w:val="28"/>
        </w:rPr>
        <w:fldChar w:fldCharType="begin"/>
      </w:r>
      <w:r>
        <w:rPr>
          <w:rFonts w:ascii="黑体" w:hAnsi="黑体" w:eastAsia="黑体" w:cstheme="minorBidi"/>
          <w:szCs w:val="28"/>
        </w:rPr>
        <w:instrText xml:space="preserve"> HYPERLINK \l _Toc5904 </w:instrText>
      </w:r>
      <w:r>
        <w:rPr>
          <w:rFonts w:ascii="黑体" w:hAnsi="黑体" w:eastAsia="黑体" w:cstheme="minorBidi"/>
          <w:szCs w:val="28"/>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_Toc5904 </w:instrText>
      </w:r>
      <w:r>
        <w:fldChar w:fldCharType="separate"/>
      </w:r>
      <w:r>
        <w:t>23</w:t>
      </w:r>
      <w:r>
        <w:fldChar w:fldCharType="end"/>
      </w:r>
      <w:r>
        <w:rPr>
          <w:rFonts w:ascii="黑体" w:hAnsi="黑体" w:eastAsia="黑体" w:cstheme="minorBidi"/>
          <w:szCs w:val="28"/>
        </w:rPr>
        <w:fldChar w:fldCharType="end"/>
      </w:r>
    </w:p>
    <w:p>
      <w:pPr>
        <w:widowControl/>
        <w:jc w:val="center"/>
        <w:rPr>
          <w:rFonts w:ascii="黑体" w:hAnsi="黑体" w:eastAsia="黑体" w:cstheme="minorBidi"/>
          <w:sz w:val="28"/>
          <w:szCs w:val="28"/>
        </w:rPr>
      </w:pPr>
      <w:r>
        <w:rPr>
          <w:rFonts w:ascii="黑体" w:hAnsi="黑体" w:eastAsia="黑体" w:cstheme="minorBidi"/>
          <w:szCs w:val="28"/>
        </w:rPr>
        <w:fldChar w:fldCharType="end"/>
      </w:r>
    </w:p>
    <w:p/>
    <w:p>
      <w:pPr>
        <w:pStyle w:val="2"/>
        <w:jc w:val="center"/>
        <w:outlineLvl w:val="0"/>
        <w:rPr>
          <w:rStyle w:val="24"/>
          <w:rFonts w:ascii="黑体" w:hAnsi="黑体" w:eastAsia="黑体"/>
          <w:b/>
          <w:bCs w:val="0"/>
        </w:rPr>
      </w:pPr>
      <w:bookmarkStart w:id="12" w:name="_Toc15396599"/>
      <w:bookmarkStart w:id="13" w:name="_Toc15377196"/>
      <w:bookmarkStart w:id="14" w:name="_Toc21824"/>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bookmarkEnd w:id="14"/>
    </w:p>
    <w:p>
      <w:pPr>
        <w:pStyle w:val="3"/>
        <w:outlineLvl w:val="1"/>
        <w:rPr>
          <w:rStyle w:val="25"/>
          <w:rFonts w:ascii="仿宋" w:hAnsi="仿宋" w:eastAsia="仿宋"/>
          <w:b w:val="0"/>
          <w:bCs w:val="0"/>
        </w:rPr>
      </w:pPr>
      <w:bookmarkStart w:id="15" w:name="_Toc15377197"/>
      <w:bookmarkStart w:id="16" w:name="_Toc15396600"/>
      <w:bookmarkStart w:id="17" w:name="_Toc1228"/>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5"/>
      <w:bookmarkEnd w:id="16"/>
      <w:bookmarkEnd w:id="17"/>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rPr>
      </w:pPr>
      <w:bookmarkStart w:id="18" w:name="_Toc15378445"/>
      <w:bookmarkStart w:id="19" w:name="_Toc15377198"/>
      <w:r>
        <w:rPr>
          <w:rFonts w:hint="eastAsia" w:ascii="仿宋" w:hAnsi="仿宋" w:eastAsia="仿宋"/>
          <w:bCs/>
          <w:color w:val="000000"/>
          <w:sz w:val="32"/>
          <w:szCs w:val="32"/>
        </w:rPr>
        <w:t>（一）主要职能。</w:t>
      </w:r>
    </w:p>
    <w:bookmarkEnd w:id="18"/>
    <w:bookmarkEnd w:id="19"/>
    <w:p>
      <w:pPr>
        <w:ind w:firstLine="800" w:firstLineChars="250"/>
        <w:outlineLvl w:val="9"/>
        <w:rPr>
          <w:rFonts w:ascii="仿宋" w:hAnsi="仿宋" w:eastAsia="仿宋"/>
          <w:sz w:val="32"/>
          <w:szCs w:val="32"/>
        </w:rPr>
      </w:pPr>
      <w:bookmarkStart w:id="20" w:name="_Toc15378446"/>
      <w:bookmarkStart w:id="21" w:name="_Toc15377199"/>
      <w:r>
        <w:rPr>
          <w:rFonts w:hint="eastAsia" w:ascii="仿宋" w:hAnsi="仿宋" w:eastAsia="仿宋"/>
          <w:sz w:val="32"/>
          <w:szCs w:val="32"/>
        </w:rPr>
        <w:t>1、认真贯彻执行《森林法》、《野生动物保护法》、《治安管理处罚法》、《刑法》、《刑事诉讼法》等法律法规和党的方针政策；</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2、负责预防、制止、侦破各类破坏森林、林地和野生动植物资源的刑事犯罪，负责办理林区治安行政案件，负责办理法律授权和林业部门委托的林业行政案件；</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3、负责全县林区治安管理工作，负责全县森林公安基层基础和业务建设工作；</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4、负责全县森林公安民警招收录用协调、警籍警衔管理及教育培训、立功受奖、优抚、宣传等工作；</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5、负责编制全县森林公安发展建设规划，承担警用装备专用物资的申请、购置、发放和管理工作；</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6、负责全县森林公安法制建设工作；</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7、负责全县森林公安队伍警务督察工作，协助查处全县森林公安民警违法、违纪案件，负责全县森林公安队伍党风廉政建设；</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8、承办县林业局、县公安局和州森林公安局及其他上级部门交办的其他工作；</w:t>
      </w:r>
    </w:p>
    <w:p>
      <w:pPr>
        <w:ind w:firstLine="800" w:firstLineChars="250"/>
        <w:outlineLvl w:val="9"/>
        <w:rPr>
          <w:rFonts w:ascii="仿宋" w:hAnsi="仿宋" w:eastAsia="仿宋"/>
          <w:sz w:val="32"/>
          <w:szCs w:val="32"/>
        </w:rPr>
      </w:pPr>
      <w:r>
        <w:rPr>
          <w:rFonts w:hint="eastAsia" w:ascii="仿宋" w:hAnsi="仿宋" w:eastAsia="仿宋"/>
          <w:sz w:val="32"/>
          <w:szCs w:val="32"/>
        </w:rPr>
        <w:t xml:space="preserve">  9、法律、法规规定的森林公安机关其他职责。</w:t>
      </w:r>
    </w:p>
    <w:p>
      <w:pPr>
        <w:pStyle w:val="5"/>
        <w:adjustRightInd w:val="0"/>
        <w:snapToGrid w:val="0"/>
        <w:spacing w:before="93" w:line="600" w:lineRule="exact"/>
        <w:ind w:firstLine="672" w:firstLineChars="210"/>
        <w:outlineLvl w:val="9"/>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0"/>
      <w:bookmarkEnd w:id="21"/>
    </w:p>
    <w:p>
      <w:pPr>
        <w:ind w:firstLine="640" w:firstLineChars="200"/>
        <w:outlineLvl w:val="9"/>
        <w:rPr>
          <w:rFonts w:hint="eastAsia" w:ascii="仿宋_GB2312" w:eastAsia="仿宋_GB2312"/>
          <w:b/>
          <w:sz w:val="32"/>
          <w:szCs w:val="32"/>
        </w:rPr>
      </w:pPr>
      <w:r>
        <w:rPr>
          <w:rFonts w:hint="eastAsia" w:ascii="仿宋" w:hAnsi="仿宋" w:eastAsia="仿宋"/>
          <w:bCs/>
          <w:color w:val="000000"/>
          <w:sz w:val="32"/>
          <w:szCs w:val="32"/>
          <w:lang w:val="en-US" w:eastAsia="zh-CN"/>
        </w:rPr>
        <w:t>1.</w:t>
      </w:r>
      <w:r>
        <w:rPr>
          <w:rFonts w:ascii="仿宋_GB2312" w:eastAsia="仿宋_GB2312"/>
          <w:sz w:val="32"/>
          <w:szCs w:val="32"/>
          <w:lang w:eastAsia="zh-CN"/>
        </w:rPr>
        <w:t>今年</w:t>
      </w:r>
      <w:r>
        <w:rPr>
          <w:rFonts w:hint="eastAsia" w:ascii="仿宋_GB2312" w:eastAsia="仿宋_GB2312"/>
          <w:sz w:val="32"/>
          <w:szCs w:val="32"/>
          <w:lang w:eastAsia="zh-CN"/>
        </w:rPr>
        <w:t>以来，</w:t>
      </w:r>
      <w:r>
        <w:rPr>
          <w:rFonts w:hint="eastAsia" w:ascii="仿宋_GB2312" w:eastAsia="仿宋_GB2312"/>
          <w:sz w:val="32"/>
          <w:szCs w:val="32"/>
        </w:rPr>
        <w:t>我局共出动警力</w:t>
      </w:r>
      <w:r>
        <w:rPr>
          <w:rFonts w:ascii="仿宋_GB2312" w:eastAsia="仿宋_GB2312"/>
          <w:sz w:val="32"/>
          <w:szCs w:val="32"/>
          <w:lang w:val="en-US" w:eastAsia="zh-CN"/>
        </w:rPr>
        <w:t>850余</w:t>
      </w:r>
      <w:r>
        <w:rPr>
          <w:rFonts w:hint="eastAsia" w:ascii="仿宋_GB2312" w:eastAsia="仿宋_GB2312"/>
          <w:sz w:val="32"/>
          <w:szCs w:val="32"/>
        </w:rPr>
        <w:t>人次，</w:t>
      </w:r>
      <w:r>
        <w:rPr>
          <w:rFonts w:hint="eastAsia" w:ascii="仿宋_GB2312" w:eastAsia="仿宋_GB2312"/>
          <w:sz w:val="32"/>
          <w:szCs w:val="32"/>
          <w:lang w:eastAsia="zh-CN"/>
        </w:rPr>
        <w:t>出动警车</w:t>
      </w:r>
      <w:r>
        <w:rPr>
          <w:rFonts w:ascii="仿宋_GB2312" w:eastAsia="仿宋_GB2312"/>
          <w:sz w:val="32"/>
          <w:szCs w:val="32"/>
          <w:lang w:val="en-US" w:eastAsia="zh-CN"/>
        </w:rPr>
        <w:t>240</w:t>
      </w:r>
      <w:r>
        <w:rPr>
          <w:rFonts w:hint="eastAsia" w:ascii="仿宋_GB2312" w:eastAsia="仿宋_GB2312"/>
          <w:sz w:val="32"/>
          <w:szCs w:val="32"/>
          <w:lang w:val="en-US" w:eastAsia="zh-CN"/>
        </w:rPr>
        <w:t>余台次，</w:t>
      </w:r>
      <w:r>
        <w:rPr>
          <w:rFonts w:hint="eastAsia" w:ascii="仿宋_GB2312" w:eastAsia="仿宋_GB2312"/>
          <w:sz w:val="32"/>
          <w:szCs w:val="32"/>
        </w:rPr>
        <w:t>利用林区乡镇群众农忙时节、群众集会等契机，</w:t>
      </w:r>
      <w:r>
        <w:rPr>
          <w:rFonts w:hint="eastAsia" w:ascii="仿宋_GB2312" w:eastAsia="仿宋_GB2312"/>
          <w:sz w:val="32"/>
          <w:szCs w:val="32"/>
          <w:lang w:eastAsia="zh-CN"/>
        </w:rPr>
        <w:t>结合“亮剑行动”、“</w:t>
      </w:r>
      <w:r>
        <w:rPr>
          <w:rFonts w:hint="eastAsia" w:ascii="仿宋_GB2312" w:eastAsia="仿宋_GB2312"/>
          <w:sz w:val="32"/>
          <w:szCs w:val="32"/>
          <w:lang w:val="en-US" w:eastAsia="zh-CN"/>
        </w:rPr>
        <w:t>6.26国际禁毒宣传日”等活动的开展，</w:t>
      </w:r>
      <w:r>
        <w:rPr>
          <w:rFonts w:hint="eastAsia" w:ascii="仿宋_GB2312" w:eastAsia="仿宋_GB2312"/>
          <w:sz w:val="32"/>
          <w:szCs w:val="32"/>
        </w:rPr>
        <w:t>深入林区田间地头、</w:t>
      </w:r>
      <w:r>
        <w:rPr>
          <w:rFonts w:hint="eastAsia" w:ascii="仿宋_GB2312" w:eastAsia="仿宋_GB2312"/>
          <w:sz w:val="32"/>
          <w:szCs w:val="32"/>
          <w:lang w:eastAsia="zh-CN"/>
        </w:rPr>
        <w:t>牧民定居点和远牧</w:t>
      </w:r>
      <w:r>
        <w:rPr>
          <w:rFonts w:hint="eastAsia" w:ascii="仿宋_GB2312" w:eastAsia="仿宋_GB2312"/>
          <w:sz w:val="32"/>
          <w:szCs w:val="32"/>
        </w:rPr>
        <w:t>点广泛宣传《森林法》、《野生动物保护法》、《森林防火条例》等各项林业法律法规</w:t>
      </w:r>
      <w:r>
        <w:rPr>
          <w:rFonts w:hint="eastAsia" w:ascii="仿宋_GB2312" w:eastAsia="仿宋_GB2312"/>
          <w:sz w:val="32"/>
          <w:szCs w:val="32"/>
          <w:lang w:eastAsia="zh-CN"/>
        </w:rPr>
        <w:t>和禁毒铲种专题宣传活动。全年共开展专题宣传</w:t>
      </w:r>
      <w:r>
        <w:rPr>
          <w:rFonts w:hint="eastAsia" w:ascii="仿宋_GB2312" w:eastAsia="仿宋_GB2312"/>
          <w:sz w:val="32"/>
          <w:szCs w:val="32"/>
        </w:rPr>
        <w:t>余次，张贴各种宣传标语</w:t>
      </w:r>
      <w:r>
        <w:rPr>
          <w:rFonts w:hint="eastAsia" w:ascii="仿宋_GB2312" w:eastAsia="仿宋_GB2312"/>
          <w:sz w:val="32"/>
          <w:szCs w:val="32"/>
          <w:lang w:val="en-US" w:eastAsia="zh-CN"/>
        </w:rPr>
        <w:t>12</w:t>
      </w:r>
      <w:r>
        <w:rPr>
          <w:rFonts w:hint="eastAsia" w:ascii="仿宋_GB2312" w:eastAsia="仿宋_GB2312"/>
          <w:sz w:val="32"/>
          <w:szCs w:val="32"/>
        </w:rPr>
        <w:t>00余份</w:t>
      </w:r>
      <w:r>
        <w:rPr>
          <w:rFonts w:hint="eastAsia" w:ascii="仿宋_GB2312" w:eastAsia="仿宋_GB2312"/>
          <w:sz w:val="32"/>
          <w:szCs w:val="32"/>
          <w:lang w:eastAsia="zh-CN"/>
        </w:rPr>
        <w:t>，在全县各酒楼饭店张贴警示标牌</w:t>
      </w:r>
      <w:r>
        <w:rPr>
          <w:rFonts w:ascii="仿宋_GB2312" w:eastAsia="仿宋_GB2312"/>
          <w:sz w:val="32"/>
          <w:szCs w:val="32"/>
          <w:lang w:val="en-US" w:eastAsia="zh-CN"/>
        </w:rPr>
        <w:t>100</w:t>
      </w:r>
      <w:r>
        <w:rPr>
          <w:rFonts w:hint="eastAsia" w:ascii="仿宋_GB2312" w:eastAsia="仿宋_GB2312"/>
          <w:sz w:val="32"/>
          <w:szCs w:val="32"/>
          <w:lang w:val="en-US" w:eastAsia="zh-CN"/>
        </w:rPr>
        <w:t>余张，</w:t>
      </w:r>
      <w:r>
        <w:rPr>
          <w:rFonts w:hint="eastAsia" w:ascii="仿宋_GB2312" w:eastAsia="仿宋_GB2312"/>
          <w:sz w:val="32"/>
          <w:szCs w:val="32"/>
          <w:lang w:eastAsia="zh-CN"/>
        </w:rPr>
        <w:t>悬挂各类宣传横幅</w:t>
      </w:r>
      <w:r>
        <w:rPr>
          <w:rFonts w:hint="eastAsia" w:ascii="仿宋_GB2312" w:eastAsia="仿宋_GB2312"/>
          <w:sz w:val="32"/>
          <w:szCs w:val="32"/>
          <w:lang w:val="en-US" w:eastAsia="zh-CN"/>
        </w:rPr>
        <w:t>15</w:t>
      </w:r>
      <w:r>
        <w:rPr>
          <w:rFonts w:ascii="仿宋_GB2312" w:eastAsia="仿宋_GB2312"/>
          <w:sz w:val="32"/>
          <w:szCs w:val="32"/>
          <w:lang w:val="en-US" w:eastAsia="zh-CN"/>
        </w:rPr>
        <w:t>幅</w:t>
      </w:r>
      <w:r>
        <w:rPr>
          <w:rFonts w:hint="eastAsia" w:ascii="仿宋_GB2312" w:eastAsia="仿宋_GB2312"/>
          <w:sz w:val="32"/>
          <w:szCs w:val="32"/>
          <w:lang w:val="en-US" w:eastAsia="zh-CN"/>
        </w:rPr>
        <w:t>，</w:t>
      </w:r>
      <w:r>
        <w:rPr>
          <w:rFonts w:hint="eastAsia" w:ascii="仿宋_GB2312" w:eastAsia="仿宋_GB2312"/>
          <w:sz w:val="32"/>
          <w:szCs w:val="32"/>
        </w:rPr>
        <w:t>发放各种宣传资料</w:t>
      </w:r>
      <w:r>
        <w:rPr>
          <w:rFonts w:hint="eastAsia" w:ascii="仿宋_GB2312" w:eastAsia="仿宋_GB2312"/>
          <w:sz w:val="32"/>
          <w:szCs w:val="32"/>
          <w:lang w:val="en-US" w:eastAsia="zh-CN"/>
        </w:rPr>
        <w:t>28</w:t>
      </w:r>
      <w:r>
        <w:rPr>
          <w:rFonts w:hint="eastAsia" w:ascii="仿宋_GB2312" w:eastAsia="仿宋_GB2312"/>
          <w:sz w:val="32"/>
          <w:szCs w:val="32"/>
        </w:rPr>
        <w:t>00余份，组织开展送法律下乡活动</w:t>
      </w:r>
      <w:r>
        <w:rPr>
          <w:rFonts w:hint="eastAsia" w:ascii="仿宋_GB2312" w:eastAsia="仿宋_GB2312"/>
          <w:sz w:val="32"/>
          <w:szCs w:val="32"/>
          <w:lang w:val="en-US" w:eastAsia="zh-CN"/>
        </w:rPr>
        <w:t>40余</w:t>
      </w:r>
      <w:r>
        <w:rPr>
          <w:rFonts w:hint="eastAsia" w:ascii="仿宋_GB2312" w:eastAsia="仿宋_GB2312"/>
          <w:sz w:val="32"/>
          <w:szCs w:val="32"/>
        </w:rPr>
        <w:t>次，开展法律法规专题宣传</w:t>
      </w:r>
      <w:r>
        <w:rPr>
          <w:rFonts w:hint="eastAsia" w:ascii="仿宋_GB2312" w:eastAsia="仿宋_GB2312"/>
          <w:sz w:val="32"/>
          <w:szCs w:val="32"/>
          <w:lang w:val="en-US" w:eastAsia="zh-CN"/>
        </w:rPr>
        <w:t>12</w:t>
      </w:r>
      <w:r>
        <w:rPr>
          <w:rFonts w:hint="eastAsia" w:ascii="仿宋_GB2312" w:eastAsia="仿宋_GB2312"/>
          <w:sz w:val="32"/>
          <w:szCs w:val="32"/>
        </w:rPr>
        <w:t>场次。</w:t>
      </w:r>
    </w:p>
    <w:p>
      <w:pPr>
        <w:ind w:left="0" w:firstLine="630"/>
        <w:outlineLvl w:val="9"/>
        <w:rPr>
          <w:rFonts w:hint="eastAsia" w:ascii="仿宋_GB2312" w:eastAsia="仿宋_GB2312"/>
          <w:sz w:val="32"/>
          <w:szCs w:val="32"/>
          <w:lang w:val="en-US" w:eastAsia="zh-CN"/>
        </w:rPr>
      </w:pPr>
      <w:r>
        <w:rPr>
          <w:rFonts w:hint="eastAsia" w:ascii="仿宋_GB2312" w:eastAsia="仿宋_GB2312" w:cs="黑体"/>
          <w:color w:val="000000"/>
          <w:kern w:val="0"/>
          <w:sz w:val="32"/>
          <w:szCs w:val="32"/>
        </w:rPr>
        <w:t>通过</w:t>
      </w:r>
      <w:r>
        <w:rPr>
          <w:rFonts w:ascii="仿宋_GB2312" w:eastAsia="仿宋_GB2312" w:cs="黑体"/>
          <w:color w:val="000000"/>
          <w:kern w:val="0"/>
          <w:sz w:val="32"/>
          <w:szCs w:val="32"/>
        </w:rPr>
        <w:t>开展法律法规宣传活动,</w:t>
      </w:r>
      <w:r>
        <w:rPr>
          <w:rFonts w:hint="eastAsia" w:ascii="仿宋_GB2312" w:eastAsia="仿宋_GB2312"/>
          <w:sz w:val="32"/>
          <w:szCs w:val="32"/>
        </w:rPr>
        <w:t>使广大林区群众对各类林业法规有所了解和掌握，</w:t>
      </w:r>
      <w:r>
        <w:rPr>
          <w:rFonts w:hint="eastAsia" w:ascii="仿宋_GB2312" w:eastAsia="仿宋_GB2312"/>
          <w:sz w:val="32"/>
          <w:szCs w:val="32"/>
          <w:lang w:val="en-US" w:eastAsia="zh-CN"/>
        </w:rPr>
        <w:t>提高</w:t>
      </w:r>
      <w:r>
        <w:rPr>
          <w:rFonts w:ascii="仿宋_GB2312" w:eastAsia="仿宋_GB2312"/>
          <w:sz w:val="32"/>
          <w:szCs w:val="32"/>
          <w:lang w:val="en-US" w:eastAsia="zh-CN"/>
        </w:rPr>
        <w:t>了</w:t>
      </w:r>
      <w:r>
        <w:rPr>
          <w:rFonts w:hint="eastAsia" w:ascii="仿宋_GB2312" w:eastAsia="仿宋_GB2312"/>
          <w:sz w:val="32"/>
          <w:szCs w:val="32"/>
          <w:lang w:val="en-US" w:eastAsia="zh-CN"/>
        </w:rPr>
        <w:t>辖区群众保护生态资源的意识和积极性。</w:t>
      </w:r>
    </w:p>
    <w:p>
      <w:pPr>
        <w:numPr>
          <w:ilvl w:val="0"/>
          <w:numId w:val="1"/>
        </w:numPr>
        <w:ind w:firstLine="640"/>
        <w:outlineLvl w:val="9"/>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今年以来，我局严格按照州森林公安局的安排部署，</w:t>
      </w:r>
      <w:r>
        <w:rPr>
          <w:rFonts w:ascii="仿宋_GB2312" w:eastAsia="仿宋_GB2312" w:cs="仿宋_GB2312"/>
          <w:color w:val="000000"/>
          <w:kern w:val="0"/>
          <w:sz w:val="32"/>
          <w:szCs w:val="32"/>
        </w:rPr>
        <w:t>先后组织</w:t>
      </w:r>
      <w:r>
        <w:rPr>
          <w:rFonts w:hint="eastAsia" w:ascii="仿宋_GB2312" w:eastAsia="仿宋_GB2312" w:cs="仿宋_GB2312"/>
          <w:color w:val="000000"/>
          <w:kern w:val="0"/>
          <w:sz w:val="32"/>
          <w:szCs w:val="32"/>
        </w:rPr>
        <w:t>开展</w:t>
      </w:r>
      <w:r>
        <w:rPr>
          <w:rFonts w:ascii="仿宋_GB2312" w:eastAsia="仿宋_GB2312" w:cs="仿宋_GB2312"/>
          <w:color w:val="000000"/>
          <w:kern w:val="0"/>
          <w:sz w:val="32"/>
          <w:szCs w:val="32"/>
        </w:rPr>
        <w:t>了</w:t>
      </w:r>
      <w:r>
        <w:rPr>
          <w:rFonts w:hint="eastAsia" w:ascii="仿宋_GB2312" w:eastAsia="仿宋_GB2312" w:cs="仿宋_GB2312"/>
          <w:sz w:val="32"/>
          <w:szCs w:val="32"/>
        </w:rPr>
        <w:t>“守护</w:t>
      </w:r>
      <w:r>
        <w:rPr>
          <w:rFonts w:ascii="仿宋_GB2312" w:eastAsia="仿宋_GB2312" w:cs="仿宋_GB2312"/>
          <w:sz w:val="32"/>
          <w:szCs w:val="32"/>
        </w:rPr>
        <w:t>青山</w:t>
      </w:r>
      <w:r>
        <w:rPr>
          <w:rFonts w:hint="eastAsia" w:ascii="仿宋_GB2312" w:eastAsia="仿宋_GB2312" w:cs="仿宋_GB2312"/>
          <w:sz w:val="32"/>
          <w:szCs w:val="32"/>
        </w:rPr>
        <w:t>2号行动”、“</w:t>
      </w:r>
      <w:r>
        <w:rPr>
          <w:rFonts w:ascii="仿宋_GB2312" w:eastAsia="仿宋_GB2312" w:cs="仿宋_GB2312"/>
          <w:sz w:val="32"/>
          <w:szCs w:val="32"/>
        </w:rPr>
        <w:t>火案查处专项行动</w:t>
      </w:r>
      <w:r>
        <w:rPr>
          <w:rFonts w:hint="eastAsia" w:ascii="仿宋_GB2312" w:eastAsia="仿宋_GB2312" w:cs="仿宋_GB2312"/>
          <w:sz w:val="32"/>
          <w:szCs w:val="32"/>
        </w:rPr>
        <w:t>”、“打击破坏野生动物资源违法犯罪</w:t>
      </w:r>
      <w:r>
        <w:rPr>
          <w:rFonts w:ascii="仿宋_GB2312" w:eastAsia="仿宋_GB2312" w:cs="仿宋_GB2312"/>
          <w:sz w:val="32"/>
          <w:szCs w:val="32"/>
        </w:rPr>
        <w:t>专项行动</w:t>
      </w:r>
      <w:r>
        <w:rPr>
          <w:rFonts w:hint="eastAsia" w:ascii="仿宋_GB2312" w:eastAsia="仿宋_GB2312" w:cs="仿宋_GB2312"/>
          <w:sz w:val="32"/>
          <w:szCs w:val="32"/>
        </w:rPr>
        <w:t>”、“扫黑除恶</w:t>
      </w:r>
      <w:r>
        <w:rPr>
          <w:rFonts w:ascii="仿宋_GB2312" w:eastAsia="仿宋_GB2312" w:cs="仿宋_GB2312"/>
          <w:sz w:val="32"/>
          <w:szCs w:val="32"/>
        </w:rPr>
        <w:t>专项行动</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“森林督察移交案件查处专项行动”</w:t>
      </w:r>
      <w:r>
        <w:rPr>
          <w:rFonts w:hint="eastAsia" w:ascii="仿宋_GB2312" w:eastAsia="仿宋_GB2312" w:cs="仿宋_GB2312"/>
          <w:color w:val="000000"/>
          <w:kern w:val="0"/>
          <w:sz w:val="32"/>
          <w:szCs w:val="32"/>
        </w:rPr>
        <w:t>等各类严打整治专项行动，全体民警</w:t>
      </w:r>
      <w:r>
        <w:rPr>
          <w:rFonts w:ascii="仿宋_GB2312" w:eastAsia="仿宋_GB2312" w:cs="仿宋_GB2312"/>
          <w:color w:val="000000"/>
          <w:kern w:val="0"/>
          <w:sz w:val="32"/>
          <w:szCs w:val="32"/>
        </w:rPr>
        <w:t>克服一切困难</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白天巡山巡逻，夜晚设卡蹲点，</w:t>
      </w:r>
      <w:r>
        <w:rPr>
          <w:rFonts w:hint="eastAsia" w:ascii="仿宋_GB2312" w:eastAsia="仿宋_GB2312" w:cs="仿宋_GB2312"/>
          <w:color w:val="000000"/>
          <w:kern w:val="0"/>
          <w:sz w:val="32"/>
          <w:szCs w:val="32"/>
        </w:rPr>
        <w:t>积极采取各项措施，始终保持对</w:t>
      </w:r>
      <w:r>
        <w:rPr>
          <w:rFonts w:ascii="仿宋_GB2312" w:eastAsia="仿宋_GB2312" w:cs="仿宋_GB2312"/>
          <w:color w:val="000000"/>
          <w:kern w:val="0"/>
          <w:sz w:val="32"/>
          <w:szCs w:val="32"/>
        </w:rPr>
        <w:t>我县</w:t>
      </w:r>
      <w:r>
        <w:rPr>
          <w:rFonts w:hint="eastAsia" w:ascii="仿宋_GB2312" w:eastAsia="仿宋_GB2312" w:cs="仿宋_GB2312"/>
          <w:color w:val="000000"/>
          <w:kern w:val="0"/>
          <w:sz w:val="32"/>
          <w:szCs w:val="32"/>
        </w:rPr>
        <w:t>涉林违法犯罪的高压态势，严厉打击各类违法犯罪活动，确保辖区生态资源安全、林区社会治安持续稳定。</w:t>
      </w:r>
      <w:r>
        <w:rPr>
          <w:rFonts w:ascii="仿宋_GB2312" w:eastAsia="仿宋_GB2312" w:cs="仿宋_GB2312"/>
          <w:color w:val="000000"/>
          <w:kern w:val="0"/>
          <w:sz w:val="32"/>
          <w:szCs w:val="32"/>
        </w:rPr>
        <w:t>2019</w:t>
      </w:r>
      <w:r>
        <w:rPr>
          <w:rFonts w:hint="eastAsia" w:ascii="仿宋_GB2312" w:eastAsia="仿宋_GB2312" w:cs="仿宋_GB2312"/>
          <w:color w:val="000000"/>
          <w:kern w:val="0"/>
          <w:sz w:val="32"/>
          <w:szCs w:val="32"/>
        </w:rPr>
        <w:t>年，我局共收缴木材</w:t>
      </w:r>
      <w:r>
        <w:rPr>
          <w:rFonts w:ascii="仿宋_GB2312" w:eastAsia="仿宋_GB2312" w:cs="仿宋_GB2312"/>
          <w:color w:val="000000"/>
          <w:kern w:val="0"/>
          <w:sz w:val="32"/>
          <w:szCs w:val="32"/>
        </w:rPr>
        <w:t>23.853</w:t>
      </w:r>
      <w:r>
        <w:rPr>
          <w:rFonts w:hint="eastAsia" w:ascii="仿宋_GB2312" w:eastAsia="仿宋_GB2312" w:cs="仿宋_GB2312"/>
          <w:color w:val="000000"/>
          <w:kern w:val="0"/>
          <w:sz w:val="32"/>
          <w:szCs w:val="32"/>
        </w:rPr>
        <w:t>立方米，收缴野生动物猎捕工具</w:t>
      </w:r>
      <w:r>
        <w:rPr>
          <w:rFonts w:ascii="仿宋_GB2312" w:eastAsia="仿宋_GB2312" w:cs="仿宋_GB2312"/>
          <w:color w:val="000000"/>
          <w:kern w:val="0"/>
          <w:sz w:val="32"/>
          <w:szCs w:val="32"/>
        </w:rPr>
        <w:t>122</w:t>
      </w:r>
      <w:r>
        <w:rPr>
          <w:rFonts w:hint="eastAsia" w:ascii="仿宋_GB2312" w:eastAsia="仿宋_GB2312" w:cs="仿宋_GB2312"/>
          <w:color w:val="000000"/>
          <w:kern w:val="0"/>
          <w:sz w:val="32"/>
          <w:szCs w:val="32"/>
        </w:rPr>
        <w:t>件，为国家挽回经济损失</w:t>
      </w:r>
      <w:r>
        <w:rPr>
          <w:rFonts w:ascii="仿宋_GB2312" w:eastAsia="仿宋_GB2312" w:cs="仿宋_GB2312"/>
          <w:color w:val="000000"/>
          <w:kern w:val="0"/>
          <w:sz w:val="32"/>
          <w:szCs w:val="32"/>
        </w:rPr>
        <w:t>40</w:t>
      </w:r>
      <w:r>
        <w:rPr>
          <w:rFonts w:hint="eastAsia" w:ascii="仿宋_GB2312" w:eastAsia="仿宋_GB2312" w:cs="仿宋_GB2312"/>
          <w:color w:val="000000"/>
          <w:kern w:val="0"/>
          <w:sz w:val="32"/>
          <w:szCs w:val="32"/>
        </w:rPr>
        <w:t>余万元。</w:t>
      </w:r>
    </w:p>
    <w:p>
      <w:pPr>
        <w:ind w:firstLine="640" w:firstLineChars="200"/>
        <w:outlineLvl w:val="9"/>
        <w:rPr>
          <w:rFonts w:hint="default" w:ascii="仿宋_GB2312" w:eastAsia="仿宋_GB2312" w:cs="仿宋_GB2312"/>
          <w:color w:val="000000"/>
          <w:kern w:val="0"/>
          <w:sz w:val="32"/>
          <w:szCs w:val="32"/>
          <w:lang w:val="en-US" w:eastAsia="zh-CN"/>
        </w:rPr>
      </w:pPr>
      <w:r>
        <w:rPr>
          <w:rFonts w:hint="eastAsia" w:ascii="仿宋_GB2312" w:eastAsia="仿宋_GB2312" w:cs="仿宋"/>
          <w:sz w:val="32"/>
          <w:szCs w:val="32"/>
          <w:lang w:val="en-US" w:eastAsia="zh-CN"/>
        </w:rPr>
        <w:t>3.</w:t>
      </w:r>
      <w:r>
        <w:rPr>
          <w:rFonts w:ascii="仿宋_GB2312" w:eastAsia="仿宋_GB2312" w:cs="仿宋"/>
          <w:sz w:val="32"/>
          <w:szCs w:val="32"/>
        </w:rPr>
        <w:t>今年来，我局共组织班子成员和民警120余人次深入刷经寺镇三家寨村开展脱贫攻坚工作和联户联情工作</w:t>
      </w:r>
      <w:r>
        <w:rPr>
          <w:rFonts w:hint="eastAsia" w:ascii="仿宋_GB2312" w:eastAsia="仿宋_GB2312" w:cs="仿宋"/>
          <w:sz w:val="32"/>
          <w:szCs w:val="32"/>
        </w:rPr>
        <w:t>，</w:t>
      </w:r>
      <w:r>
        <w:rPr>
          <w:rFonts w:ascii="仿宋_GB2312" w:eastAsia="仿宋_GB2312" w:cs="仿宋"/>
          <w:sz w:val="32"/>
          <w:szCs w:val="32"/>
        </w:rPr>
        <w:t>为4户联系贫困户发放米、面、油、电热毯等价值1600余元的慰问品，并投入资金4000元为联系户购买化肥、农药等生产资料；组织班子成员20余人次分3次深入查尔玛乡查龙寺开展联寺联僧活动，为4户联系僧人和寺庙民管会发放价值2000余元的春节慰问品，为寺庙赠送价值1.55万元的寺庙书屋书桌30张、椅子50张。</w:t>
      </w:r>
    </w:p>
    <w:p>
      <w:pPr>
        <w:pStyle w:val="3"/>
        <w:outlineLvl w:val="1"/>
        <w:rPr>
          <w:rStyle w:val="25"/>
          <w:b w:val="0"/>
          <w:bCs w:val="0"/>
        </w:rPr>
      </w:pPr>
      <w:bookmarkStart w:id="22" w:name="_Toc20989"/>
      <w:bookmarkStart w:id="23" w:name="_Toc15377200"/>
      <w:bookmarkStart w:id="24"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bookmarkEnd w:id="24"/>
    </w:p>
    <w:p>
      <w:pPr>
        <w:ind w:firstLine="800" w:firstLineChars="250"/>
        <w:outlineLvl w:val="9"/>
        <w:rPr>
          <w:rFonts w:ascii="仿宋" w:hAnsi="仿宋" w:eastAsia="仿宋"/>
          <w:color w:val="000000"/>
          <w:kern w:val="0"/>
          <w:sz w:val="32"/>
          <w:szCs w:val="32"/>
        </w:rPr>
      </w:pPr>
      <w:r>
        <w:rPr>
          <w:rFonts w:hint="eastAsia" w:ascii="仿宋" w:hAnsi="仿宋" w:eastAsia="仿宋"/>
          <w:sz w:val="32"/>
          <w:szCs w:val="32"/>
        </w:rPr>
        <w:t>我单位为独立核算全额拨款行政单位</w:t>
      </w:r>
      <w:r>
        <w:rPr>
          <w:rFonts w:hint="eastAsia" w:ascii="仿宋" w:hAnsi="仿宋" w:eastAsia="仿宋"/>
          <w:sz w:val="32"/>
          <w:szCs w:val="32"/>
          <w:lang w:eastAsia="zh-CN"/>
        </w:rPr>
        <w:t>，</w:t>
      </w:r>
      <w:r>
        <w:rPr>
          <w:rFonts w:hint="eastAsia" w:ascii="仿宋" w:hAnsi="仿宋" w:eastAsia="仿宋"/>
          <w:sz w:val="32"/>
          <w:szCs w:val="32"/>
        </w:rPr>
        <w:t>截止201</w:t>
      </w:r>
      <w:r>
        <w:rPr>
          <w:rFonts w:hint="eastAsia" w:ascii="仿宋" w:hAnsi="仿宋" w:eastAsia="仿宋"/>
          <w:sz w:val="32"/>
          <w:szCs w:val="32"/>
          <w:lang w:val="en-US" w:eastAsia="zh-CN"/>
        </w:rPr>
        <w:t>9</w:t>
      </w:r>
      <w:r>
        <w:rPr>
          <w:rFonts w:hint="eastAsia" w:ascii="仿宋" w:hAnsi="仿宋" w:eastAsia="仿宋"/>
          <w:sz w:val="32"/>
          <w:szCs w:val="32"/>
        </w:rPr>
        <w:t>年底我单位共有编制17个，其中公务员编制15个，行政工勤编制2个，在职</w:t>
      </w:r>
      <w:r>
        <w:rPr>
          <w:rFonts w:hint="eastAsia" w:ascii="仿宋" w:hAnsi="仿宋" w:eastAsia="仿宋"/>
          <w:sz w:val="32"/>
          <w:szCs w:val="32"/>
          <w:lang w:val="en-US" w:eastAsia="zh-CN"/>
        </w:rPr>
        <w:t>16</w:t>
      </w:r>
      <w:r>
        <w:rPr>
          <w:rFonts w:hint="eastAsia" w:ascii="仿宋" w:hAnsi="仿宋" w:eastAsia="仿宋"/>
          <w:sz w:val="32"/>
          <w:szCs w:val="32"/>
        </w:rPr>
        <w:t>人，其中公务员</w:t>
      </w:r>
      <w:r>
        <w:rPr>
          <w:rFonts w:hint="eastAsia" w:ascii="仿宋" w:hAnsi="仿宋" w:eastAsia="仿宋"/>
          <w:sz w:val="32"/>
          <w:szCs w:val="32"/>
          <w:lang w:val="en-US" w:eastAsia="zh-CN"/>
        </w:rPr>
        <w:t>14</w:t>
      </w:r>
      <w:r>
        <w:rPr>
          <w:rFonts w:hint="eastAsia" w:ascii="仿宋" w:hAnsi="仿宋" w:eastAsia="仿宋"/>
          <w:sz w:val="32"/>
          <w:szCs w:val="32"/>
        </w:rPr>
        <w:t>人，行政工勤2人。</w:t>
      </w:r>
    </w:p>
    <w:p>
      <w:pPr>
        <w:pStyle w:val="2"/>
        <w:ind w:right="440"/>
        <w:jc w:val="right"/>
      </w:pPr>
      <w:bookmarkStart w:id="25" w:name="_Toc15396602"/>
      <w:bookmarkStart w:id="26" w:name="_Toc1307"/>
      <w:bookmarkStart w:id="27"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5"/>
      <w:bookmarkEnd w:id="26"/>
      <w:bookmarkEnd w:id="27"/>
    </w:p>
    <w:p>
      <w:pPr>
        <w:pStyle w:val="23"/>
        <w:numPr>
          <w:ilvl w:val="0"/>
          <w:numId w:val="2"/>
        </w:numPr>
        <w:spacing w:line="600" w:lineRule="exact"/>
        <w:ind w:firstLineChars="0"/>
        <w:outlineLvl w:val="1"/>
        <w:rPr>
          <w:rStyle w:val="25"/>
          <w:rFonts w:ascii="黑体" w:hAnsi="黑体" w:eastAsia="黑体"/>
          <w:b w:val="0"/>
        </w:rPr>
      </w:pPr>
      <w:bookmarkStart w:id="28" w:name="_Toc20773"/>
      <w:bookmarkStart w:id="29" w:name="_Toc15377205"/>
      <w:bookmarkStart w:id="30"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8"/>
      <w:bookmarkEnd w:id="29"/>
      <w:bookmarkEnd w:id="30"/>
    </w:p>
    <w:p>
      <w:pPr>
        <w:spacing w:line="600" w:lineRule="exact"/>
        <w:ind w:firstLine="640" w:firstLineChars="200"/>
        <w:outlineLvl w:val="9"/>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394.93</w:t>
      </w:r>
      <w:r>
        <w:rPr>
          <w:rFonts w:hint="eastAsia" w:ascii="仿宋" w:hAnsi="仿宋" w:eastAsia="仿宋"/>
          <w:color w:val="000000"/>
          <w:sz w:val="32"/>
          <w:szCs w:val="32"/>
        </w:rPr>
        <w:t>万元。与2018年相比，收、支总计</w:t>
      </w:r>
      <w:r>
        <w:rPr>
          <w:rFonts w:hint="eastAsia" w:ascii="仿宋" w:hAnsi="仿宋" w:eastAsia="仿宋"/>
          <w:color w:val="000000"/>
          <w:sz w:val="32"/>
          <w:szCs w:val="32"/>
          <w:lang w:val="en-US" w:eastAsia="zh-CN"/>
        </w:rPr>
        <w:t>减少21.56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5.18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2018年初项目资金结余较2019年年初结余资金多。</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anchor distT="0" distB="0" distL="114300" distR="114300" simplePos="0" relativeHeight="251658240" behindDoc="0" locked="0" layoutInCell="1" allowOverlap="1">
            <wp:simplePos x="0" y="0"/>
            <wp:positionH relativeFrom="column">
              <wp:posOffset>337820</wp:posOffset>
            </wp:positionH>
            <wp:positionV relativeFrom="paragraph">
              <wp:posOffset>224790</wp:posOffset>
            </wp:positionV>
            <wp:extent cx="5086985" cy="4289425"/>
            <wp:effectExtent l="4445" t="4445" r="13970" b="1905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jc w:val="center"/>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3"/>
        <w:numPr>
          <w:ilvl w:val="0"/>
          <w:numId w:val="2"/>
        </w:numPr>
        <w:spacing w:line="600" w:lineRule="exact"/>
        <w:ind w:firstLineChars="0"/>
        <w:outlineLvl w:val="1"/>
        <w:rPr>
          <w:rStyle w:val="25"/>
          <w:rFonts w:ascii="黑体" w:hAnsi="黑体" w:eastAsia="黑体"/>
          <w:b w:val="0"/>
        </w:rPr>
      </w:pPr>
      <w:bookmarkStart w:id="31" w:name="_Toc15377206"/>
      <w:bookmarkStart w:id="32" w:name="_Toc23689"/>
      <w:bookmarkStart w:id="33"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31"/>
      <w:bookmarkEnd w:id="32"/>
      <w:bookmarkEnd w:id="33"/>
    </w:p>
    <w:p>
      <w:pPr>
        <w:spacing w:line="600" w:lineRule="exact"/>
        <w:ind w:firstLine="640" w:firstLineChars="200"/>
        <w:outlineLvl w:val="9"/>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9年本年收入合计386.78万元，其中：一般公共预算财政拨款收入386.78万元，占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-70485</wp:posOffset>
            </wp:positionH>
            <wp:positionV relativeFrom="paragraph">
              <wp:posOffset>104775</wp:posOffset>
            </wp:positionV>
            <wp:extent cx="5361305" cy="3586480"/>
            <wp:effectExtent l="4445" t="4445" r="13970" b="571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ind w:firstLine="640" w:firstLineChars="200"/>
        <w:outlineLvl w:val="1"/>
        <w:rPr>
          <w:rFonts w:hint="eastAsia" w:ascii="仿宋" w:hAnsi="仿宋" w:eastAsia="仿宋"/>
          <w:color w:val="000000"/>
          <w:sz w:val="32"/>
          <w:szCs w:val="32"/>
          <w:lang w:eastAsia="zh-CN"/>
        </w:rPr>
      </w:pPr>
    </w:p>
    <w:p>
      <w:pPr>
        <w:spacing w:line="600" w:lineRule="exact"/>
        <w:rPr>
          <w:rFonts w:hint="eastAsia" w:ascii="仿宋" w:hAnsi="仿宋" w:eastAsia="仿宋"/>
          <w:color w:val="000000" w:themeColor="text1"/>
          <w:sz w:val="32"/>
          <w:szCs w:val="32"/>
        </w:rPr>
      </w:pPr>
    </w:p>
    <w:p>
      <w:pPr>
        <w:spacing w:line="600" w:lineRule="exact"/>
        <w:jc w:val="center"/>
        <w:rPr>
          <w:rFonts w:hint="eastAsia" w:ascii="仿宋" w:hAnsi="仿宋" w:eastAsia="仿宋"/>
          <w:color w:val="000000" w:themeColor="text1"/>
          <w:sz w:val="32"/>
          <w:szCs w:val="32"/>
        </w:rPr>
      </w:pPr>
    </w:p>
    <w:p>
      <w:pPr>
        <w:spacing w:line="600" w:lineRule="exact"/>
        <w:jc w:val="center"/>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pStyle w:val="23"/>
        <w:numPr>
          <w:ilvl w:val="0"/>
          <w:numId w:val="2"/>
        </w:numPr>
        <w:spacing w:line="600" w:lineRule="exact"/>
        <w:ind w:firstLineChars="0"/>
        <w:outlineLvl w:val="1"/>
        <w:rPr>
          <w:rStyle w:val="25"/>
          <w:rFonts w:ascii="黑体" w:hAnsi="黑体" w:eastAsia="黑体"/>
          <w:b w:val="0"/>
        </w:rPr>
      </w:pPr>
      <w:bookmarkStart w:id="34" w:name="_Toc15396605"/>
      <w:bookmarkStart w:id="35" w:name="_Toc25105"/>
      <w:bookmarkStart w:id="36"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4"/>
      <w:bookmarkEnd w:id="35"/>
      <w:bookmarkEnd w:id="36"/>
    </w:p>
    <w:p>
      <w:pPr>
        <w:spacing w:line="600" w:lineRule="exact"/>
        <w:ind w:firstLine="640" w:firstLineChars="200"/>
        <w:outlineLvl w:val="9"/>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9年本年支出合计394.93万元，其中：基本支出377.93万元，占</w:t>
      </w:r>
      <w:r>
        <w:rPr>
          <w:rFonts w:hint="eastAsia" w:ascii="仿宋" w:hAnsi="仿宋" w:eastAsia="仿宋"/>
          <w:color w:val="000000"/>
          <w:sz w:val="32"/>
          <w:szCs w:val="32"/>
          <w:lang w:val="en-US" w:eastAsia="zh-CN"/>
        </w:rPr>
        <w:t>95.70</w:t>
      </w:r>
      <w:r>
        <w:rPr>
          <w:rFonts w:ascii="仿宋" w:hAnsi="仿宋" w:eastAsia="仿宋"/>
          <w:color w:val="000000"/>
          <w:sz w:val="32"/>
          <w:szCs w:val="32"/>
        </w:rPr>
        <w:t>%</w:t>
      </w:r>
      <w:r>
        <w:rPr>
          <w:rFonts w:hint="eastAsia" w:ascii="仿宋" w:hAnsi="仿宋" w:eastAsia="仿宋"/>
          <w:color w:val="000000"/>
          <w:sz w:val="32"/>
          <w:szCs w:val="32"/>
        </w:rPr>
        <w:t>；项目支出17</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4.3</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179705</wp:posOffset>
            </wp:positionH>
            <wp:positionV relativeFrom="paragraph">
              <wp:posOffset>13335</wp:posOffset>
            </wp:positionV>
            <wp:extent cx="4688205" cy="2748280"/>
            <wp:effectExtent l="4445" t="4445" r="16510" b="571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outlineLvl w:val="1"/>
        <w:rPr>
          <w:rFonts w:hint="eastAsia"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5"/>
          <w:rFonts w:ascii="黑体" w:hAnsi="黑体" w:eastAsia="黑体"/>
          <w:b w:val="0"/>
        </w:rPr>
      </w:pPr>
      <w:bookmarkStart w:id="37" w:name="_Toc15396606"/>
      <w:bookmarkStart w:id="38" w:name="_Toc15377208"/>
      <w:bookmarkStart w:id="39" w:name="_Toc22615"/>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7"/>
      <w:bookmarkEnd w:id="38"/>
      <w:bookmarkEnd w:id="39"/>
    </w:p>
    <w:p>
      <w:pPr>
        <w:spacing w:line="600" w:lineRule="exact"/>
        <w:ind w:firstLine="640"/>
        <w:outlineLvl w:val="9"/>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394.93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21.55</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5.17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是2018年年初项目结余资金较2019年年初结余资金多。</w:t>
      </w: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61312" behindDoc="0" locked="0" layoutInCell="1" allowOverlap="1">
            <wp:simplePos x="0" y="0"/>
            <wp:positionH relativeFrom="column">
              <wp:posOffset>88265</wp:posOffset>
            </wp:positionH>
            <wp:positionV relativeFrom="paragraph">
              <wp:posOffset>82550</wp:posOffset>
            </wp:positionV>
            <wp:extent cx="5080000" cy="3810000"/>
            <wp:effectExtent l="4445" t="4445" r="5715" b="1079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5"/>
          <w:rFonts w:ascii="黑体" w:hAnsi="黑体" w:eastAsia="黑体"/>
          <w:b w:val="0"/>
        </w:rPr>
      </w:pPr>
      <w:bookmarkStart w:id="40" w:name="_Toc15396607"/>
      <w:bookmarkStart w:id="41" w:name="_Toc23302"/>
      <w:bookmarkStart w:id="4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0"/>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outlineLvl w:val="9"/>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394.93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w:t>
      </w:r>
      <w:r>
        <w:rPr>
          <w:rFonts w:hint="eastAsia" w:ascii="仿宋" w:hAnsi="仿宋" w:eastAsia="仿宋"/>
          <w:color w:val="000000"/>
          <w:sz w:val="32"/>
          <w:szCs w:val="32"/>
          <w:lang w:val="en-US" w:eastAsia="zh-CN"/>
        </w:rPr>
        <w:t>拨款支出减少21.55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降低5.17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2018年年初结余较2019年年初结余多。</w:t>
      </w: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156845</wp:posOffset>
            </wp:positionH>
            <wp:positionV relativeFrom="paragraph">
              <wp:posOffset>-139065</wp:posOffset>
            </wp:positionV>
            <wp:extent cx="5080000" cy="3810000"/>
            <wp:effectExtent l="4445" t="4445" r="5715" b="1079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44" w:name="_Toc15377211"/>
      <w:r>
        <w:rPr>
          <w:rFonts w:hint="eastAsia" w:ascii="仿宋" w:hAnsi="仿宋" w:eastAsia="仿宋"/>
          <w:b/>
          <w:color w:val="000000"/>
          <w:sz w:val="32"/>
          <w:szCs w:val="32"/>
        </w:rPr>
        <w:t>（二）一般公共预算财政拨款支出决算结构情况</w:t>
      </w:r>
      <w:bookmarkEnd w:id="44"/>
    </w:p>
    <w:p>
      <w:pPr>
        <w:spacing w:line="600" w:lineRule="exact"/>
        <w:ind w:firstLine="640"/>
        <w:outlineLvl w:val="9"/>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394.93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公共安全支出（204）</w:t>
      </w:r>
      <w:r>
        <w:rPr>
          <w:rFonts w:hint="eastAsia" w:ascii="仿宋" w:hAnsi="仿宋" w:eastAsia="仿宋"/>
          <w:color w:val="000000" w:themeColor="text1"/>
          <w:sz w:val="32"/>
          <w:szCs w:val="32"/>
          <w:lang w:val="en-US" w:eastAsia="zh-CN"/>
        </w:rPr>
        <w:t>298.17万元</w:t>
      </w:r>
      <w:r>
        <w:rPr>
          <w:rFonts w:hint="default" w:ascii="仿宋" w:hAnsi="仿宋" w:eastAsia="仿宋"/>
          <w:color w:val="000000" w:themeColor="text1"/>
          <w:sz w:val="32"/>
          <w:szCs w:val="32"/>
          <w:lang w:val="en-US" w:eastAsia="zh-CN"/>
        </w:rPr>
        <w:t>,</w:t>
      </w:r>
      <w:r>
        <w:rPr>
          <w:rFonts w:hint="eastAsia" w:ascii="仿宋" w:hAnsi="仿宋" w:eastAsia="仿宋"/>
          <w:color w:val="000000" w:themeColor="text1"/>
          <w:sz w:val="32"/>
          <w:szCs w:val="32"/>
          <w:lang w:val="en-US" w:eastAsia="zh-CN"/>
        </w:rPr>
        <w:t>占75.50%</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39.27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9.94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color w:val="000000" w:themeColor="text1"/>
          <w:sz w:val="32"/>
          <w:szCs w:val="32"/>
          <w:lang w:val="en-US" w:eastAsia="zh-CN"/>
        </w:rPr>
        <w:t>15.50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3.92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节能环保支出（211）</w:t>
      </w:r>
      <w:r>
        <w:rPr>
          <w:rFonts w:hint="eastAsia" w:ascii="仿宋" w:hAnsi="仿宋" w:eastAsia="仿宋"/>
          <w:color w:val="000000" w:themeColor="text1"/>
          <w:sz w:val="32"/>
          <w:szCs w:val="32"/>
          <w:lang w:val="en-US" w:eastAsia="zh-CN"/>
        </w:rPr>
        <w:t>3.00万元，占0.76%</w:t>
      </w:r>
      <w:r>
        <w:rPr>
          <w:rFonts w:hint="eastAsia" w:ascii="仿宋" w:hAnsi="仿宋" w:eastAsia="仿宋"/>
          <w:color w:val="000000" w:themeColor="text1"/>
          <w:sz w:val="32"/>
          <w:szCs w:val="32"/>
          <w:lang w:eastAsia="zh-CN"/>
        </w:rPr>
        <w:t>；</w:t>
      </w:r>
      <w:r>
        <w:rPr>
          <w:rFonts w:hint="eastAsia" w:ascii="仿宋" w:hAnsi="仿宋" w:eastAsia="仿宋"/>
          <w:b/>
          <w:bCs/>
          <w:color w:val="000000" w:themeColor="text1"/>
          <w:sz w:val="32"/>
          <w:szCs w:val="32"/>
          <w:lang w:val="en-US" w:eastAsia="zh-CN"/>
        </w:rPr>
        <w:t>农林水支出（213）</w:t>
      </w:r>
      <w:r>
        <w:rPr>
          <w:rFonts w:hint="eastAsia" w:ascii="仿宋" w:hAnsi="仿宋" w:eastAsia="仿宋"/>
          <w:color w:val="000000" w:themeColor="text1"/>
          <w:sz w:val="32"/>
          <w:szCs w:val="32"/>
          <w:lang w:val="en-US" w:eastAsia="zh-CN"/>
        </w:rPr>
        <w:t>14.00万元，占3.55%</w:t>
      </w:r>
      <w:r>
        <w:rPr>
          <w:rFonts w:hint="eastAsia" w:ascii="仿宋" w:hAnsi="仿宋" w:eastAsia="仿宋"/>
          <w:color w:val="000000" w:themeColor="text1"/>
          <w:sz w:val="32"/>
          <w:szCs w:val="32"/>
          <w:lang w:eastAsia="zh-CN"/>
        </w:rPr>
        <w:t>；</w:t>
      </w:r>
      <w:r>
        <w:rPr>
          <w:rFonts w:hint="eastAsia" w:ascii="仿宋" w:hAnsi="仿宋" w:eastAsia="仿宋"/>
          <w:b/>
          <w:bCs/>
          <w:color w:val="000000" w:themeColor="text1"/>
          <w:sz w:val="32"/>
          <w:szCs w:val="32"/>
          <w:lang w:val="en-US" w:eastAsia="zh-CN"/>
        </w:rPr>
        <w:t>住房保障支出（221）</w:t>
      </w:r>
      <w:r>
        <w:rPr>
          <w:rFonts w:hint="eastAsia" w:ascii="仿宋" w:hAnsi="仿宋" w:eastAsia="仿宋"/>
          <w:color w:val="000000" w:themeColor="text1"/>
          <w:sz w:val="32"/>
          <w:szCs w:val="32"/>
          <w:lang w:val="en-US" w:eastAsia="zh-CN"/>
        </w:rPr>
        <w:t>24.99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outlineLvl w:val="9"/>
        <w:rPr>
          <w:rFonts w:hint="default" w:ascii="仿宋" w:hAnsi="仿宋" w:eastAsia="仿宋"/>
          <w:color w:val="000000" w:themeColor="text1"/>
          <w:sz w:val="32"/>
          <w:szCs w:val="32"/>
          <w:lang w:val="en-US"/>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default" w:ascii="仿宋" w:hAnsi="仿宋" w:eastAsia="仿宋"/>
          <w:color w:val="000000" w:themeColor="text1"/>
          <w:sz w:val="32"/>
          <w:szCs w:val="32"/>
          <w:lang w:val="en-US"/>
        </w:rPr>
        <w:drawing>
          <wp:anchor distT="0" distB="0" distL="114300" distR="114300" simplePos="0" relativeHeight="251663360" behindDoc="0" locked="0" layoutInCell="1" allowOverlap="1">
            <wp:simplePos x="0" y="0"/>
            <wp:positionH relativeFrom="column">
              <wp:posOffset>28575</wp:posOffset>
            </wp:positionH>
            <wp:positionV relativeFrom="paragraph">
              <wp:posOffset>81280</wp:posOffset>
            </wp:positionV>
            <wp:extent cx="5139055" cy="3420745"/>
            <wp:effectExtent l="4445" t="4445" r="7620" b="1905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45" w:name="_Toc15377212"/>
      <w:r>
        <w:rPr>
          <w:rFonts w:hint="eastAsia" w:ascii="仿宋" w:hAnsi="仿宋" w:eastAsia="仿宋"/>
          <w:b/>
          <w:color w:val="000000"/>
          <w:sz w:val="32"/>
          <w:szCs w:val="32"/>
        </w:rPr>
        <w:t>（三）一般公共预算财政拨款支出决算具体情况</w:t>
      </w:r>
      <w:bookmarkEnd w:id="45"/>
    </w:p>
    <w:p>
      <w:pPr>
        <w:spacing w:line="600" w:lineRule="exact"/>
        <w:ind w:firstLine="643" w:firstLineChars="200"/>
        <w:outlineLvl w:val="9"/>
        <w:rPr>
          <w:rFonts w:ascii="仿宋" w:hAnsi="仿宋" w:eastAsia="仿宋"/>
          <w:color w:val="FF0000"/>
          <w:sz w:val="32"/>
          <w:szCs w:val="32"/>
        </w:rPr>
      </w:pPr>
      <w:bookmarkStart w:id="46" w:name="_Toc15377213"/>
      <w:bookmarkStart w:id="47" w:name="_Toc15378460"/>
      <w:bookmarkStart w:id="48" w:name="_Toc15377444"/>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般公共预算支出决算数为394.93</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97.25</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6"/>
      <w:bookmarkEnd w:id="47"/>
      <w:bookmarkEnd w:id="48"/>
    </w:p>
    <w:p>
      <w:pPr>
        <w:spacing w:line="600" w:lineRule="exact"/>
        <w:ind w:firstLine="643" w:firstLineChars="200"/>
        <w:outlineLvl w:val="9"/>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）公安（</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）行政运行（</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年初预算为305.1万元，</w:t>
      </w:r>
      <w:r>
        <w:rPr>
          <w:rStyle w:val="14"/>
          <w:rFonts w:hint="eastAsia" w:ascii="仿宋" w:hAnsi="仿宋" w:eastAsia="仿宋"/>
          <w:b w:val="0"/>
          <w:bCs/>
          <w:color w:val="000000"/>
          <w:sz w:val="32"/>
          <w:szCs w:val="32"/>
        </w:rPr>
        <w:t>支出决算为298.17万元，完成预算</w:t>
      </w:r>
      <w:r>
        <w:rPr>
          <w:rStyle w:val="14"/>
          <w:rFonts w:hint="eastAsia" w:ascii="仿宋" w:hAnsi="仿宋" w:eastAsia="仿宋"/>
          <w:b w:val="0"/>
          <w:bCs/>
          <w:color w:val="000000"/>
          <w:sz w:val="32"/>
          <w:szCs w:val="32"/>
          <w:lang w:val="en-US" w:eastAsia="zh-CN"/>
        </w:rPr>
        <w:t>97.73</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未合理估计2019年新招录民警工资、工伤保险</w:t>
      </w:r>
      <w:r>
        <w:rPr>
          <w:rStyle w:val="14"/>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社会保障和就业支出（</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）行政事业单位离退休（</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）机关事业单位基本养老保险缴费支出（</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年初预算为27.43万元，</w:t>
      </w:r>
      <w:r>
        <w:rPr>
          <w:rStyle w:val="14"/>
          <w:rFonts w:hint="eastAsia" w:ascii="仿宋" w:hAnsi="仿宋" w:eastAsia="仿宋"/>
          <w:b w:val="0"/>
          <w:bCs/>
          <w:color w:val="000000"/>
          <w:sz w:val="32"/>
          <w:szCs w:val="32"/>
        </w:rPr>
        <w:t>支出决算为26.83万元，完成预算</w:t>
      </w:r>
      <w:r>
        <w:rPr>
          <w:rStyle w:val="14"/>
          <w:rFonts w:hint="eastAsia" w:ascii="仿宋" w:hAnsi="仿宋" w:eastAsia="仿宋"/>
          <w:b w:val="0"/>
          <w:bCs/>
          <w:color w:val="000000"/>
          <w:sz w:val="32"/>
          <w:szCs w:val="32"/>
          <w:lang w:val="en-US" w:eastAsia="zh-CN"/>
        </w:rPr>
        <w:t>97.81</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未合理估计2019年新招录民警所需养老保险费用</w:t>
      </w:r>
      <w:r>
        <w:rPr>
          <w:rStyle w:val="14"/>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社会保障和就业支出（</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）行政事业单位离退休（</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）机关事业单位职业年金缴费支出（</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年初预算为13.17万元，</w:t>
      </w:r>
      <w:r>
        <w:rPr>
          <w:rStyle w:val="14"/>
          <w:rFonts w:hint="eastAsia" w:ascii="仿宋" w:hAnsi="仿宋" w:eastAsia="仿宋"/>
          <w:b w:val="0"/>
          <w:bCs/>
          <w:color w:val="000000"/>
          <w:sz w:val="32"/>
          <w:szCs w:val="32"/>
        </w:rPr>
        <w:t>支出决算为12.44万元，完成预算</w:t>
      </w:r>
      <w:r>
        <w:rPr>
          <w:rStyle w:val="14"/>
          <w:rFonts w:hint="eastAsia" w:ascii="仿宋" w:hAnsi="仿宋" w:eastAsia="仿宋"/>
          <w:b w:val="0"/>
          <w:bCs/>
          <w:color w:val="000000"/>
          <w:sz w:val="32"/>
          <w:szCs w:val="32"/>
          <w:lang w:val="en-US" w:eastAsia="zh-CN"/>
        </w:rPr>
        <w:t>94.46</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未合理估计2019年新招录民警所需职业年金单位部分</w:t>
      </w:r>
      <w:r>
        <w:rPr>
          <w:rStyle w:val="14"/>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卫生健康支出（</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）行政单位医疗（</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年初预算为14.18万元，</w:t>
      </w:r>
      <w:r>
        <w:rPr>
          <w:rStyle w:val="14"/>
          <w:rFonts w:hint="eastAsia" w:ascii="仿宋" w:hAnsi="仿宋" w:eastAsia="仿宋"/>
          <w:b w:val="0"/>
          <w:bCs/>
          <w:color w:val="000000"/>
          <w:sz w:val="32"/>
          <w:szCs w:val="32"/>
        </w:rPr>
        <w:t>支出决算为12.73万元，完成预算</w:t>
      </w:r>
      <w:r>
        <w:rPr>
          <w:rStyle w:val="14"/>
          <w:rFonts w:hint="eastAsia" w:ascii="仿宋" w:hAnsi="仿宋" w:eastAsia="仿宋"/>
          <w:b w:val="0"/>
          <w:bCs/>
          <w:color w:val="000000"/>
          <w:sz w:val="32"/>
          <w:szCs w:val="32"/>
          <w:lang w:val="en-US" w:eastAsia="zh-CN"/>
        </w:rPr>
        <w:t>89.77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未合理估计2019年新招录民警所需基本医疗保险</w:t>
      </w:r>
      <w:r>
        <w:rPr>
          <w:rStyle w:val="14"/>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卫生健康支出（</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）公务员医疗补助（</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val="en-US" w:eastAsia="zh-CN"/>
        </w:rPr>
        <w:t>年初预算为2.98万元，</w:t>
      </w:r>
      <w:r>
        <w:rPr>
          <w:rStyle w:val="14"/>
          <w:rFonts w:hint="eastAsia" w:ascii="仿宋" w:hAnsi="仿宋" w:eastAsia="仿宋"/>
          <w:b w:val="0"/>
          <w:bCs/>
          <w:color w:val="000000"/>
          <w:sz w:val="32"/>
          <w:szCs w:val="32"/>
        </w:rPr>
        <w:t>支出决算为2.77万元，完成预算</w:t>
      </w:r>
      <w:r>
        <w:rPr>
          <w:rStyle w:val="14"/>
          <w:rFonts w:hint="eastAsia" w:ascii="仿宋" w:hAnsi="仿宋" w:eastAsia="仿宋"/>
          <w:b w:val="0"/>
          <w:bCs/>
          <w:color w:val="000000"/>
          <w:sz w:val="32"/>
          <w:szCs w:val="32"/>
          <w:lang w:val="en-US" w:eastAsia="zh-CN"/>
        </w:rPr>
        <w:t>92.95</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未合理估计2019年新招录民警所需公务员补充医疗保险</w:t>
      </w:r>
      <w:r>
        <w:rPr>
          <w:rStyle w:val="14"/>
          <w:rFonts w:hint="eastAsia" w:ascii="仿宋" w:hAnsi="仿宋" w:eastAsia="仿宋"/>
          <w:b w:val="0"/>
          <w:bCs/>
          <w:color w:val="000000"/>
          <w:sz w:val="32"/>
          <w:szCs w:val="32"/>
        </w:rPr>
        <w:t>。</w:t>
      </w:r>
    </w:p>
    <w:p>
      <w:pPr>
        <w:spacing w:line="600" w:lineRule="exact"/>
        <w:ind w:firstLine="643" w:firstLineChars="200"/>
        <w:outlineLvl w:val="9"/>
        <w:rPr>
          <w:rStyle w:val="14"/>
          <w:rFonts w:hint="eastAsia" w:ascii="仿宋" w:hAnsi="仿宋" w:eastAsia="仿宋"/>
          <w:b w:val="0"/>
          <w:bCs/>
          <w:color w:val="000000"/>
          <w:sz w:val="32"/>
          <w:szCs w:val="32"/>
        </w:rPr>
      </w:pPr>
      <w:r>
        <w:rPr>
          <w:rStyle w:val="14"/>
          <w:rFonts w:ascii="仿宋" w:hAnsi="仿宋" w:eastAsia="仿宋"/>
          <w:bCs/>
          <w:color w:val="000000"/>
          <w:sz w:val="32"/>
          <w:szCs w:val="32"/>
        </w:rPr>
        <w:t>6.</w:t>
      </w:r>
      <w:r>
        <w:rPr>
          <w:rFonts w:hint="eastAsia" w:ascii="仿宋" w:hAnsi="仿宋" w:eastAsia="仿宋"/>
          <w:b/>
          <w:bCs/>
          <w:color w:val="000000" w:themeColor="text1"/>
          <w:sz w:val="32"/>
          <w:szCs w:val="32"/>
        </w:rPr>
        <w:t>节能环保支出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211</w:t>
      </w:r>
      <w:r>
        <w:rPr>
          <w:rStyle w:val="14"/>
          <w:rFonts w:hint="eastAsia" w:ascii="仿宋" w:hAnsi="仿宋" w:eastAsia="仿宋"/>
          <w:bCs/>
          <w:color w:val="000000"/>
          <w:sz w:val="32"/>
          <w:szCs w:val="32"/>
        </w:rPr>
        <w:t>）天然林保护（</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）社会保险补助（</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val="en-US" w:eastAsia="zh-CN"/>
        </w:rPr>
        <w:t>年初预算为3万元，</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outlineLvl w:val="9"/>
        <w:rPr>
          <w:rStyle w:val="14"/>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rPr>
        <w:t>7.</w:t>
      </w:r>
      <w:r>
        <w:rPr>
          <w:rFonts w:hint="eastAsia" w:ascii="仿宋" w:hAnsi="仿宋" w:eastAsia="仿宋"/>
          <w:b/>
          <w:bCs/>
          <w:color w:val="000000" w:themeColor="text1"/>
          <w:sz w:val="32"/>
          <w:szCs w:val="32"/>
        </w:rPr>
        <w:t>农林水支出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213</w:t>
      </w:r>
      <w:r>
        <w:rPr>
          <w:rStyle w:val="14"/>
          <w:rFonts w:hint="eastAsia" w:ascii="仿宋" w:hAnsi="仿宋" w:eastAsia="仿宋"/>
          <w:bCs/>
          <w:color w:val="000000"/>
          <w:sz w:val="32"/>
          <w:szCs w:val="32"/>
        </w:rPr>
        <w:t>）林业和草原（</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）执法与监督（</w:t>
      </w:r>
      <w:r>
        <w:rPr>
          <w:rStyle w:val="14"/>
          <w:rFonts w:hint="eastAsia" w:ascii="仿宋" w:hAnsi="仿宋" w:eastAsia="仿宋"/>
          <w:bCs/>
          <w:color w:val="000000"/>
          <w:sz w:val="32"/>
          <w:szCs w:val="32"/>
          <w:lang w:val="en-US" w:eastAsia="zh-CN"/>
        </w:rPr>
        <w:t>13</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val="en-US" w:eastAsia="zh-CN"/>
        </w:rPr>
        <w:t>年初预算为11万元，</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outlineLvl w:val="9"/>
        <w:rPr>
          <w:rStyle w:val="14"/>
          <w:rFonts w:ascii="仿宋" w:hAnsi="仿宋" w:eastAsia="仿宋"/>
          <w:bCs/>
          <w:color w:val="000000"/>
          <w:sz w:val="32"/>
          <w:szCs w:val="32"/>
        </w:rPr>
      </w:pPr>
      <w:r>
        <w:rPr>
          <w:rFonts w:hint="eastAsia" w:ascii="仿宋" w:hAnsi="仿宋" w:eastAsia="仿宋"/>
          <w:b/>
          <w:bCs/>
          <w:color w:val="000000" w:themeColor="text1"/>
          <w:sz w:val="32"/>
          <w:szCs w:val="32"/>
          <w:lang w:val="en-US" w:eastAsia="zh-CN"/>
        </w:rPr>
        <w:t>8.</w:t>
      </w:r>
      <w:r>
        <w:rPr>
          <w:rFonts w:hint="eastAsia" w:ascii="仿宋" w:hAnsi="仿宋" w:eastAsia="仿宋"/>
          <w:b/>
          <w:bCs/>
          <w:color w:val="000000" w:themeColor="text1"/>
          <w:sz w:val="32"/>
          <w:szCs w:val="32"/>
        </w:rPr>
        <w:t>农林水支出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213</w:t>
      </w:r>
      <w:r>
        <w:rPr>
          <w:rStyle w:val="14"/>
          <w:rFonts w:hint="eastAsia" w:ascii="仿宋" w:hAnsi="仿宋" w:eastAsia="仿宋"/>
          <w:bCs/>
          <w:color w:val="000000"/>
          <w:sz w:val="32"/>
          <w:szCs w:val="32"/>
        </w:rPr>
        <w:t>）林业和草原（</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）其他林业和草原支出（</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val="0"/>
          <w:color w:val="000000"/>
          <w:sz w:val="32"/>
          <w:szCs w:val="32"/>
          <w:lang w:val="en-US" w:eastAsia="zh-CN"/>
        </w:rPr>
        <w:t>年初预算为3万元，</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outlineLvl w:val="9"/>
        <w:rPr>
          <w:rFonts w:hint="eastAsia" w:ascii="仿宋" w:hAnsi="仿宋" w:eastAsia="仿宋"/>
          <w:color w:val="000000"/>
          <w:sz w:val="32"/>
          <w:szCs w:val="32"/>
        </w:rPr>
      </w:pPr>
      <w:r>
        <w:rPr>
          <w:rStyle w:val="14"/>
          <w:rFonts w:hint="eastAsia" w:ascii="仿宋" w:hAnsi="仿宋" w:eastAsia="仿宋"/>
          <w:bCs/>
          <w:color w:val="000000"/>
          <w:sz w:val="32"/>
          <w:szCs w:val="32"/>
          <w:lang w:val="en-US" w:eastAsia="zh-CN"/>
        </w:rPr>
        <w:t>9.</w:t>
      </w:r>
      <w:r>
        <w:rPr>
          <w:rFonts w:hint="eastAsia" w:ascii="仿宋" w:hAnsi="仿宋" w:eastAsia="仿宋"/>
          <w:b/>
          <w:bCs/>
          <w:color w:val="000000" w:themeColor="text1"/>
          <w:sz w:val="32"/>
          <w:szCs w:val="32"/>
        </w:rPr>
        <w:t>住房保障支出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221</w:t>
      </w:r>
      <w:r>
        <w:rPr>
          <w:rStyle w:val="14"/>
          <w:rFonts w:hint="eastAsia" w:ascii="仿宋" w:hAnsi="仿宋" w:eastAsia="仿宋"/>
          <w:bCs/>
          <w:color w:val="000000"/>
          <w:sz w:val="32"/>
          <w:szCs w:val="32"/>
        </w:rPr>
        <w:t>）住房改革支出（</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）住房公积金（</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val="en-US" w:eastAsia="zh-CN"/>
        </w:rPr>
        <w:t>年初预算为26.23万元，</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24.99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95.27%</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未合理估计2019年新招录民警所需住房公积金</w:t>
      </w:r>
      <w:r>
        <w:rPr>
          <w:rStyle w:val="14"/>
          <w:rFonts w:hint="eastAsia" w:ascii="仿宋" w:hAnsi="仿宋" w:eastAsia="仿宋"/>
          <w:b w:val="0"/>
          <w:bCs/>
          <w:color w:val="000000"/>
          <w:sz w:val="32"/>
          <w:szCs w:val="32"/>
        </w:rPr>
        <w:t>。</w:t>
      </w:r>
    </w:p>
    <w:p>
      <w:pPr>
        <w:tabs>
          <w:tab w:val="right" w:pos="8306"/>
        </w:tabs>
        <w:spacing w:line="600" w:lineRule="exact"/>
        <w:ind w:firstLine="640"/>
        <w:outlineLvl w:val="1"/>
        <w:rPr>
          <w:rStyle w:val="25"/>
        </w:rPr>
      </w:pPr>
      <w:bookmarkStart w:id="49" w:name="_Toc2438"/>
      <w:bookmarkStart w:id="50" w:name="_Toc15377214"/>
      <w:bookmarkStart w:id="5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9"/>
      <w:bookmarkEnd w:id="50"/>
      <w:bookmarkEnd w:id="51"/>
      <w:r>
        <w:rPr>
          <w:rStyle w:val="25"/>
          <w:rFonts w:ascii="黑体" w:hAnsi="黑体" w:eastAsia="黑体"/>
          <w:b w:val="0"/>
        </w:rPr>
        <w:tab/>
      </w:r>
    </w:p>
    <w:p>
      <w:pPr>
        <w:spacing w:line="600" w:lineRule="exact"/>
        <w:ind w:firstLine="645"/>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9年一般公共预算财政拨款基本支出377.93万元，其中：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 w:hAnsi="仿宋" w:eastAsia="仿宋"/>
          <w:color w:val="000000"/>
          <w:sz w:val="32"/>
          <w:szCs w:val="32"/>
        </w:rPr>
      </w:pPr>
      <w:r>
        <w:rPr>
          <w:rFonts w:hint="eastAsia" w:ascii="仿宋" w:hAnsi="仿宋" w:eastAsia="仿宋"/>
          <w:color w:val="000000"/>
          <w:sz w:val="32"/>
          <w:szCs w:val="32"/>
        </w:rPr>
        <w:t>人员经费329.75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48.15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52" w:name="_Toc26065"/>
      <w:bookmarkStart w:id="53" w:name="_Toc15396609"/>
      <w:bookmarkStart w:id="54"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2"/>
      <w:bookmarkEnd w:id="53"/>
      <w:bookmarkEnd w:id="54"/>
    </w:p>
    <w:p>
      <w:pPr>
        <w:spacing w:line="600" w:lineRule="exact"/>
        <w:ind w:firstLine="64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10.41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56" w:name="_Toc15377217"/>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-54610</wp:posOffset>
            </wp:positionH>
            <wp:positionV relativeFrom="paragraph">
              <wp:posOffset>90805</wp:posOffset>
            </wp:positionV>
            <wp:extent cx="5080000" cy="3810000"/>
            <wp:effectExtent l="4445" t="4445" r="5715" b="1079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无增减</w:t>
      </w:r>
      <w:r>
        <w:rPr>
          <w:rFonts w:hint="eastAsia" w:ascii="仿宋_GB2312" w:eastAsia="仿宋_GB2312"/>
          <w:color w:val="000000"/>
          <w:sz w:val="32"/>
          <w:szCs w:val="32"/>
        </w:rPr>
        <w:t>。</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10.41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3.46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49.78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19年汽车磨损比较严重。</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10.41</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执法车辆</w:t>
      </w:r>
      <w:r>
        <w:rPr>
          <w:rFonts w:hint="eastAsia" w:ascii="仿宋_GB2312" w:eastAsia="仿宋_GB2312"/>
          <w:color w:val="000000"/>
          <w:sz w:val="32"/>
          <w:szCs w:val="32"/>
        </w:rPr>
        <w:t>所需的燃料费、维修费。</w:t>
      </w:r>
    </w:p>
    <w:p>
      <w:pPr>
        <w:spacing w:line="600" w:lineRule="exact"/>
        <w:ind w:firstLine="643" w:firstLineChars="20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0.54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2019年无任何接待</w:t>
      </w:r>
      <w:bookmarkStart w:id="57" w:name="_Toc15396610"/>
      <w:bookmarkStart w:id="58" w:name="_Toc15377218"/>
      <w:r>
        <w:rPr>
          <w:rFonts w:hint="eastAsia" w:ascii="仿宋_GB2312" w:eastAsia="仿宋_GB2312"/>
          <w:color w:val="000000"/>
          <w:sz w:val="32"/>
          <w:szCs w:val="32"/>
          <w:lang w:val="en-US" w:eastAsia="zh-CN"/>
        </w:rPr>
        <w:t>。</w:t>
      </w:r>
    </w:p>
    <w:p>
      <w:pPr>
        <w:spacing w:line="600" w:lineRule="exact"/>
        <w:ind w:firstLine="640"/>
        <w:outlineLvl w:val="1"/>
        <w:rPr>
          <w:rStyle w:val="25"/>
          <w:rFonts w:ascii="黑体" w:hAnsi="黑体" w:eastAsia="黑体"/>
        </w:rPr>
      </w:pPr>
      <w:bookmarkStart w:id="59" w:name="_Toc14141"/>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57"/>
      <w:bookmarkEnd w:id="58"/>
      <w:bookmarkEnd w:id="5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60" w:name="_Toc30465"/>
      <w:bookmarkStart w:id="61" w:name="_Toc15396611"/>
      <w:bookmarkStart w:id="62" w:name="_Toc15377219"/>
      <w:r>
        <w:rPr>
          <w:rStyle w:val="25"/>
          <w:rFonts w:hint="eastAsia" w:ascii="黑体" w:hAnsi="黑体" w:eastAsia="黑体"/>
          <w:b w:val="0"/>
        </w:rPr>
        <w:t>国有资本经营预算支出决算情况说明</w:t>
      </w:r>
      <w:bookmarkEnd w:id="60"/>
      <w:bookmarkEnd w:id="61"/>
      <w:bookmarkEnd w:id="6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63" w:name="_Toc15396612"/>
      <w:bookmarkStart w:id="64" w:name="_Toc9931"/>
      <w:bookmarkStart w:id="65"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63"/>
      <w:bookmarkEnd w:id="64"/>
      <w:bookmarkEnd w:id="65"/>
    </w:p>
    <w:p>
      <w:pPr>
        <w:spacing w:line="600" w:lineRule="exact"/>
        <w:ind w:firstLine="643" w:firstLineChars="200"/>
        <w:outlineLvl w:val="2"/>
        <w:rPr>
          <w:rFonts w:ascii="仿宋" w:hAnsi="仿宋" w:eastAsia="仿宋"/>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机关运行经费支出48.15万元，比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10.23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17.52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2017年项目结余资金较多。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执法勤务用车3辆。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val="0"/>
        <w:snapToGrid/>
        <w:spacing w:line="580" w:lineRule="exact"/>
        <w:ind w:left="958" w:leftChars="304" w:hanging="320" w:hangingChars="1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本单位在2019年度部门决算中无反映专项项目的绩效自评情况。</w:t>
      </w:r>
    </w:p>
    <w:p>
      <w:pPr>
        <w:keepNext w:val="0"/>
        <w:keepLines w:val="0"/>
        <w:pageBreakBefore w:val="0"/>
        <w:widowControl w:val="0"/>
        <w:kinsoku/>
        <w:wordWrap/>
        <w:overflowPunct/>
        <w:topLinePunct w:val="0"/>
        <w:autoSpaceDE/>
        <w:autoSpaceDN/>
        <w:bidi w:val="0"/>
        <w:adjustRightInd w:val="0"/>
        <w:snapToGrid/>
        <w:spacing w:line="580" w:lineRule="exact"/>
        <w:ind w:left="958" w:leftChars="304" w:hanging="320" w:hangingChars="1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红原县公安局</w:t>
      </w:r>
      <w:r>
        <w:rPr>
          <w:rFonts w:hint="eastAsia" w:ascii="仿宋_GB2312" w:hAnsi="仿宋_GB2312" w:eastAsia="仿宋_GB2312" w:cs="仿宋_GB2312"/>
          <w:sz w:val="32"/>
          <w:szCs w:val="32"/>
        </w:rPr>
        <w:t>部门2019年部门整体支出绩效评价报告》见附件（附件1）</w:t>
      </w: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ascii="黑体" w:hAnsi="黑体" w:eastAsia="黑体"/>
          <w:b w:val="0"/>
        </w:rPr>
      </w:pPr>
      <w:bookmarkStart w:id="69" w:name="_Toc15377225"/>
      <w:bookmarkStart w:id="70" w:name="_Toc15396613"/>
      <w:bookmarkStart w:id="71" w:name="_Toc26783"/>
      <w:r>
        <w:rPr>
          <w:rFonts w:hint="eastAsia" w:ascii="黑体" w:hAnsi="黑体" w:eastAsia="黑体"/>
          <w:color w:val="000000"/>
          <w:sz w:val="44"/>
          <w:szCs w:val="44"/>
        </w:rPr>
        <w:t>名</w:t>
      </w:r>
      <w:r>
        <w:rPr>
          <w:rStyle w:val="24"/>
          <w:rFonts w:hint="eastAsia" w:ascii="黑体" w:hAnsi="黑体" w:eastAsia="黑体"/>
          <w:b w:val="0"/>
        </w:rPr>
        <w:t>词解释</w:t>
      </w:r>
      <w:bookmarkEnd w:id="69"/>
      <w:bookmarkEnd w:id="70"/>
      <w:bookmarkEnd w:id="71"/>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反映机关事业单位实施养老保险制度由单位缴纳的基本养老保险支出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节能环保支出（</w:t>
      </w:r>
      <w:r>
        <w:rPr>
          <w:rFonts w:hint="eastAsia" w:ascii="仿宋_GB2312" w:eastAsia="仿宋_GB2312"/>
          <w:color w:val="000000"/>
          <w:sz w:val="32"/>
          <w:szCs w:val="32"/>
          <w:lang w:val="en-US" w:eastAsia="zh-CN"/>
        </w:rPr>
        <w:t>211</w:t>
      </w:r>
      <w:r>
        <w:rPr>
          <w:rFonts w:hint="eastAsia" w:ascii="仿宋_GB2312" w:eastAsia="仿宋_GB2312"/>
          <w:color w:val="000000"/>
          <w:sz w:val="32"/>
          <w:szCs w:val="32"/>
        </w:rPr>
        <w:t>）天然林保护（</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）社会保险补助（</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反映专项用于由于木材减产或停产造成实施单位应缴纳社会保险费缺口的补助支出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农林水支出（</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）林业和草原（</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）执法与监督（</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反映执法与监督队伍建设，刑事、行政案件受理、查处和督办，行政许可、复议与诉讼管理等方面的支出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农林水支出（</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）林业和草原（</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）其他林业和草原支出（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反映除上述项目以外其他用于林业和草原方面的支出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反映行政事业按人力资源和社会保障部、财政部规定的基本工资和津贴补贴以及规定比例为职工缴纳的住房公积金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spacing w:line="600" w:lineRule="exact"/>
        <w:jc w:val="center"/>
        <w:outlineLvl w:val="0"/>
        <w:rPr>
          <w:rFonts w:hint="eastAsia" w:ascii="黑体" w:hAnsi="黑体" w:eastAsia="黑体"/>
          <w:color w:val="000000"/>
          <w:sz w:val="44"/>
          <w:szCs w:val="44"/>
        </w:rPr>
      </w:pPr>
      <w:bookmarkStart w:id="72" w:name="_Toc15396614"/>
      <w:bookmarkStart w:id="73" w:name="_Toc15377226"/>
    </w:p>
    <w:p>
      <w:pPr>
        <w:spacing w:line="600" w:lineRule="exact"/>
        <w:jc w:val="center"/>
        <w:outlineLvl w:val="0"/>
        <w:rPr>
          <w:rStyle w:val="24"/>
          <w:rFonts w:ascii="黑体" w:hAnsi="黑体" w:eastAsia="黑体"/>
          <w:b w:val="0"/>
        </w:rPr>
      </w:pPr>
      <w:bookmarkStart w:id="74" w:name="_Toc5183"/>
      <w:r>
        <w:rPr>
          <w:rFonts w:hint="eastAsia" w:ascii="黑体" w:hAnsi="黑体" w:eastAsia="黑体"/>
          <w:color w:val="000000"/>
          <w:sz w:val="44"/>
          <w:szCs w:val="44"/>
        </w:rPr>
        <w:t>第</w:t>
      </w:r>
      <w:r>
        <w:rPr>
          <w:rStyle w:val="24"/>
          <w:rFonts w:hint="eastAsia" w:ascii="黑体" w:hAnsi="黑体" w:eastAsia="黑体"/>
          <w:b w:val="0"/>
        </w:rPr>
        <w:t>四部分 附件</w:t>
      </w:r>
      <w:bookmarkEnd w:id="72"/>
      <w:bookmarkEnd w:id="74"/>
    </w:p>
    <w:p>
      <w:pPr>
        <w:spacing w:line="600" w:lineRule="exact"/>
        <w:jc w:val="left"/>
        <w:outlineLvl w:val="0"/>
        <w:rPr>
          <w:rFonts w:ascii="方正小标宋简体" w:hAnsi="方正小标宋简体" w:eastAsia="方正小标宋简体" w:cs="方正小标宋简体"/>
          <w:sz w:val="32"/>
          <w:szCs w:val="32"/>
        </w:rPr>
      </w:pPr>
      <w:bookmarkStart w:id="75" w:name="_Toc20474"/>
      <w:r>
        <w:rPr>
          <w:rFonts w:hint="eastAsia" w:ascii="黑体" w:hAnsi="黑体" w:eastAsia="黑体" w:cs="黑体"/>
          <w:sz w:val="32"/>
          <w:szCs w:val="32"/>
        </w:rPr>
        <w:t>附件1</w:t>
      </w:r>
      <w:bookmarkEnd w:id="7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红原县森林公安局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480" w:lineRule="exact"/>
        <w:ind w:firstLine="72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48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lang w:val="zh-CN"/>
        </w:rPr>
        <w:t>红原县森林公安局（红原县公安局森林警察大队）机构级别为正科级，下设红原县森林公安局刷金寺派出所（刷</w:t>
      </w:r>
      <w:r>
        <w:rPr>
          <w:rFonts w:hint="eastAsia" w:ascii="仿宋_GB2312" w:hAnsi="宋体" w:eastAsia="仿宋_GB2312" w:cs="宋体"/>
          <w:kern w:val="0"/>
          <w:sz w:val="32"/>
          <w:lang w:val="en-US" w:eastAsia="zh-CN"/>
        </w:rPr>
        <w:t>经</w:t>
      </w:r>
      <w:r>
        <w:rPr>
          <w:rFonts w:hint="eastAsia" w:ascii="仿宋_GB2312" w:hAnsi="宋体" w:eastAsia="仿宋_GB2312" w:cs="宋体"/>
          <w:kern w:val="0"/>
          <w:sz w:val="32"/>
          <w:lang w:val="zh-CN"/>
        </w:rPr>
        <w:t>寺森林警察中队），机构级别为副科级。红原县森林公安局内设</w:t>
      </w:r>
      <w:r>
        <w:rPr>
          <w:rFonts w:hint="eastAsia" w:ascii="仿宋_GB2312" w:hAnsi="宋体" w:eastAsia="仿宋_GB2312" w:cs="宋体"/>
          <w:kern w:val="0"/>
          <w:sz w:val="32"/>
        </w:rPr>
        <w:t>3个科室，即办公室、政工科、刑侦治安科。</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1、认真贯彻执行《森林法》、《野生动物保护法》、《治安管理处罚法》、《刑法》、《刑事诉讼法》等法律法规和党的方针政策；</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2、负责预防、制止、侦破各类破坏森林、林地和野生动植物资源的刑事犯罪，负责办理林区治安行政案件，负责办理法律授权和林业部门委托的林业行政案件；</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3、负责全县林区治安管理工作，负责全县森林公安基层基础和业务建设工作；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4、负责全县森林公安民警招收录用协调、警籍警衔管理及教育培训、立功受奖、优抚、宣传等工作；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5、负责编制全县森林公安发展建设规划，承担警用装备专用物资的申请、购置、发放和管理工作；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6、负责全县森林公安法制建设工作；</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7、负责全县森林公安队伍警务督察工作，协助查处全县森林公安民警违法、违纪案件，负责全县森林公安队伍党风廉政建设；</w:t>
      </w:r>
    </w:p>
    <w:p>
      <w:pPr>
        <w:widowControl/>
        <w:adjustRightInd w:val="0"/>
        <w:snapToGrid w:val="0"/>
        <w:spacing w:line="480" w:lineRule="exact"/>
        <w:ind w:firstLine="720"/>
        <w:jc w:val="left"/>
        <w:rPr>
          <w:rFonts w:ascii="仿宋_GB2312" w:hAnsi="宋体" w:eastAsia="仿宋_GB2312" w:cs="宋体"/>
          <w:kern w:val="0"/>
          <w:sz w:val="32"/>
          <w:lang w:val="zh-CN"/>
        </w:rPr>
      </w:pPr>
      <w:r>
        <w:rPr>
          <w:rFonts w:hint="eastAsia" w:ascii="仿宋_GB2312" w:hAnsi="宋体" w:eastAsia="仿宋_GB2312" w:cs="宋体"/>
          <w:kern w:val="0"/>
          <w:sz w:val="32"/>
          <w:lang w:val="zh-CN"/>
        </w:rPr>
        <w:t xml:space="preserve">  8、承办县林业局、县公安局和州森林公安局及其他上级部门交办的其他工作；</w:t>
      </w:r>
    </w:p>
    <w:p>
      <w:pPr>
        <w:widowControl/>
        <w:adjustRightInd w:val="0"/>
        <w:snapToGrid w:val="0"/>
        <w:spacing w:line="480" w:lineRule="exact"/>
        <w:ind w:firstLine="72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lang w:val="zh-CN"/>
        </w:rPr>
        <w:t xml:space="preserve">  9、法律、法规规定的森林公安机关其他职责。</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lang w:val="zh-CN"/>
        </w:rPr>
        <w:t>我单位为独立核算全额拨款行政单位，下设刷经寺派出所。截止201</w:t>
      </w:r>
      <w:r>
        <w:rPr>
          <w:rFonts w:hint="eastAsia" w:ascii="仿宋_GB2312" w:hAnsi="宋体" w:eastAsia="仿宋_GB2312" w:cs="宋体"/>
          <w:kern w:val="0"/>
          <w:sz w:val="32"/>
          <w:lang w:val="en-US" w:eastAsia="zh-CN"/>
        </w:rPr>
        <w:t>9</w:t>
      </w:r>
      <w:r>
        <w:rPr>
          <w:rFonts w:hint="eastAsia" w:ascii="仿宋_GB2312" w:hAnsi="宋体" w:eastAsia="仿宋_GB2312" w:cs="宋体"/>
          <w:kern w:val="0"/>
          <w:sz w:val="32"/>
          <w:lang w:val="zh-CN"/>
        </w:rPr>
        <w:t>年底我单位共有编制17个，其中公务员编制15个，行政工勤编制2个，在职</w:t>
      </w:r>
      <w:r>
        <w:rPr>
          <w:rFonts w:hint="eastAsia" w:ascii="仿宋_GB2312" w:hAnsi="宋体" w:eastAsia="仿宋_GB2312" w:cs="宋体"/>
          <w:kern w:val="0"/>
          <w:sz w:val="32"/>
          <w:lang w:val="en-US" w:eastAsia="zh-CN"/>
        </w:rPr>
        <w:t>16</w:t>
      </w:r>
      <w:r>
        <w:rPr>
          <w:rFonts w:hint="eastAsia" w:ascii="仿宋_GB2312" w:hAnsi="宋体" w:eastAsia="仿宋_GB2312" w:cs="宋体"/>
          <w:kern w:val="0"/>
          <w:sz w:val="32"/>
          <w:lang w:val="zh-CN"/>
        </w:rPr>
        <w:t>人，其中公务员</w:t>
      </w:r>
      <w:r>
        <w:rPr>
          <w:rFonts w:hint="eastAsia" w:ascii="仿宋_GB2312" w:hAnsi="宋体" w:eastAsia="仿宋_GB2312" w:cs="宋体"/>
          <w:kern w:val="0"/>
          <w:sz w:val="32"/>
          <w:lang w:val="en-US" w:eastAsia="zh-CN"/>
        </w:rPr>
        <w:t>14</w:t>
      </w:r>
      <w:r>
        <w:rPr>
          <w:rFonts w:hint="eastAsia" w:ascii="仿宋_GB2312" w:hAnsi="宋体" w:eastAsia="仿宋_GB2312" w:cs="宋体"/>
          <w:kern w:val="0"/>
          <w:sz w:val="32"/>
          <w:lang w:val="zh-CN"/>
        </w:rPr>
        <w:t>人，行政工勤2人。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ind w:firstLine="640" w:firstLineChars="200"/>
        <w:rPr>
          <w:rFonts w:hint="eastAsia" w:ascii="仿宋_GB2312" w:hAnsi="宋体" w:eastAsia="仿宋_GB2312" w:cs="宋体"/>
          <w:kern w:val="0"/>
          <w:sz w:val="32"/>
          <w:lang w:val="zh-CN"/>
        </w:rPr>
      </w:pPr>
      <w:r>
        <w:rPr>
          <w:rFonts w:hint="eastAsia" w:ascii="仿宋_GB2312" w:hAnsi="宋体" w:eastAsia="仿宋_GB2312" w:cs="宋体"/>
          <w:kern w:val="0"/>
          <w:sz w:val="32"/>
          <w:lang w:val="zh-CN"/>
        </w:rPr>
        <w:t>我局201</w:t>
      </w:r>
      <w:r>
        <w:rPr>
          <w:rFonts w:hint="eastAsia" w:ascii="仿宋_GB2312" w:hAnsi="宋体" w:eastAsia="仿宋_GB2312" w:cs="宋体"/>
          <w:kern w:val="0"/>
          <w:sz w:val="32"/>
          <w:lang w:val="en-US" w:eastAsia="zh-CN"/>
        </w:rPr>
        <w:t>9</w:t>
      </w:r>
      <w:r>
        <w:rPr>
          <w:rFonts w:hint="eastAsia" w:ascii="仿宋_GB2312" w:hAnsi="宋体" w:eastAsia="仿宋_GB2312" w:cs="宋体"/>
          <w:kern w:val="0"/>
          <w:sz w:val="32"/>
          <w:lang w:val="zh-CN"/>
        </w:rPr>
        <w:t>年收入总计386.78</w:t>
      </w:r>
      <w:r>
        <w:rPr>
          <w:rFonts w:hint="eastAsia" w:ascii="仿宋_GB2312" w:hAnsi="宋体" w:eastAsia="仿宋_GB2312" w:cs="宋体"/>
          <w:kern w:val="0"/>
          <w:sz w:val="32"/>
          <w:lang w:val="en-US" w:eastAsia="zh-CN"/>
        </w:rPr>
        <w:t>,</w:t>
      </w:r>
      <w:r>
        <w:rPr>
          <w:rFonts w:hint="eastAsia" w:ascii="仿宋_GB2312" w:hAnsi="宋体" w:eastAsia="仿宋_GB2312" w:cs="宋体"/>
          <w:kern w:val="0"/>
          <w:sz w:val="32"/>
          <w:lang w:val="zh-CN"/>
        </w:rPr>
        <w:t>万元，比上年增加</w:t>
      </w:r>
      <w:r>
        <w:rPr>
          <w:rFonts w:hint="eastAsia" w:ascii="仿宋_GB2312" w:hAnsi="宋体" w:eastAsia="仿宋_GB2312" w:cs="宋体"/>
          <w:kern w:val="0"/>
          <w:sz w:val="32"/>
          <w:lang w:val="en-US" w:eastAsia="zh-CN"/>
        </w:rPr>
        <w:t>12.35</w:t>
      </w:r>
      <w:r>
        <w:rPr>
          <w:rFonts w:hint="eastAsia" w:ascii="仿宋_GB2312" w:hAnsi="宋体" w:eastAsia="仿宋_GB2312" w:cs="宋体"/>
          <w:kern w:val="0"/>
          <w:sz w:val="32"/>
          <w:lang w:val="zh-CN"/>
        </w:rPr>
        <w:t>万元，增长3.</w:t>
      </w:r>
      <w:r>
        <w:rPr>
          <w:rFonts w:hint="eastAsia" w:ascii="仿宋_GB2312" w:hAnsi="宋体" w:eastAsia="仿宋_GB2312" w:cs="宋体"/>
          <w:kern w:val="0"/>
          <w:sz w:val="32"/>
          <w:lang w:val="en-US" w:eastAsia="zh-CN"/>
        </w:rPr>
        <w:t>3</w:t>
      </w:r>
      <w:r>
        <w:rPr>
          <w:rFonts w:hint="eastAsia" w:ascii="仿宋_GB2312" w:hAnsi="宋体" w:eastAsia="仿宋_GB2312" w:cs="宋体"/>
          <w:kern w:val="0"/>
          <w:sz w:val="32"/>
          <w:lang w:val="zh-CN"/>
        </w:rPr>
        <w:t>%。</w:t>
      </w:r>
      <w:r>
        <w:rPr>
          <w:rFonts w:ascii="仿宋_GB2312" w:hAnsi="宋体" w:eastAsia="仿宋_GB2312" w:cs="宋体"/>
          <w:kern w:val="0"/>
          <w:sz w:val="32"/>
          <w:lang w:val="zh-CN"/>
        </w:rPr>
        <w:t>其中一般公共预算拨款</w:t>
      </w:r>
      <w:r>
        <w:rPr>
          <w:rFonts w:hint="eastAsia" w:ascii="仿宋_GB2312" w:hAnsi="宋体" w:eastAsia="仿宋_GB2312" w:cs="宋体"/>
          <w:kern w:val="0"/>
          <w:sz w:val="32"/>
          <w:lang w:val="zh-CN"/>
        </w:rPr>
        <w:t>386.78</w:t>
      </w:r>
      <w:r>
        <w:rPr>
          <w:rFonts w:ascii="仿宋_GB2312" w:hAnsi="宋体" w:eastAsia="仿宋_GB2312" w:cs="宋体"/>
          <w:kern w:val="0"/>
          <w:sz w:val="32"/>
          <w:lang w:val="zh-CN"/>
        </w:rPr>
        <w:t>万元</w:t>
      </w:r>
      <w:r>
        <w:rPr>
          <w:rFonts w:hint="eastAsia" w:ascii="仿宋_GB2312" w:hAnsi="宋体" w:eastAsia="仿宋_GB2312" w:cs="宋体"/>
          <w:kern w:val="0"/>
          <w:sz w:val="32"/>
          <w:lang w:val="zh-CN"/>
        </w:rPr>
        <w:t>，</w:t>
      </w:r>
      <w:r>
        <w:rPr>
          <w:rFonts w:ascii="仿宋_GB2312" w:hAnsi="宋体" w:eastAsia="仿宋_GB2312" w:cs="宋体"/>
          <w:kern w:val="0"/>
          <w:sz w:val="32"/>
          <w:lang w:val="zh-CN"/>
        </w:rPr>
        <w:t>比上年增加</w:t>
      </w:r>
      <w:r>
        <w:rPr>
          <w:rFonts w:hint="eastAsia" w:ascii="仿宋_GB2312" w:hAnsi="宋体" w:eastAsia="仿宋_GB2312" w:cs="宋体"/>
          <w:kern w:val="0"/>
          <w:sz w:val="32"/>
          <w:lang w:val="en-US" w:eastAsia="zh-CN"/>
        </w:rPr>
        <w:t>12.35</w:t>
      </w:r>
      <w:r>
        <w:rPr>
          <w:rFonts w:ascii="仿宋_GB2312" w:hAnsi="宋体" w:eastAsia="仿宋_GB2312" w:cs="宋体"/>
          <w:kern w:val="0"/>
          <w:sz w:val="32"/>
          <w:lang w:val="zh-CN"/>
        </w:rPr>
        <w:t>万元</w:t>
      </w:r>
      <w:r>
        <w:rPr>
          <w:rFonts w:hint="eastAsia" w:ascii="仿宋_GB2312" w:hAnsi="宋体" w:eastAsia="仿宋_GB2312" w:cs="宋体"/>
          <w:kern w:val="0"/>
          <w:sz w:val="32"/>
          <w:lang w:val="zh-CN"/>
        </w:rPr>
        <w:t>，</w:t>
      </w:r>
      <w:r>
        <w:rPr>
          <w:rFonts w:ascii="仿宋_GB2312" w:hAnsi="宋体" w:eastAsia="仿宋_GB2312" w:cs="宋体"/>
          <w:kern w:val="0"/>
          <w:sz w:val="32"/>
          <w:lang w:val="zh-CN"/>
        </w:rPr>
        <w:t>增长</w:t>
      </w:r>
      <w:r>
        <w:rPr>
          <w:rFonts w:hint="eastAsia" w:ascii="仿宋_GB2312" w:hAnsi="宋体" w:eastAsia="仿宋_GB2312" w:cs="宋体"/>
          <w:kern w:val="0"/>
          <w:sz w:val="32"/>
          <w:lang w:val="en-US" w:eastAsia="zh-CN"/>
        </w:rPr>
        <w:t>3.3</w:t>
      </w:r>
      <w:r>
        <w:rPr>
          <w:rFonts w:hint="eastAsia" w:ascii="仿宋_GB2312" w:hAnsi="宋体" w:eastAsia="仿宋_GB2312" w:cs="宋体"/>
          <w:kern w:val="0"/>
          <w:sz w:val="32"/>
          <w:lang w:val="zh-CN"/>
        </w:rPr>
        <w:t>%，其他收入</w:t>
      </w:r>
      <w:r>
        <w:rPr>
          <w:rFonts w:hint="eastAsia" w:ascii="仿宋_GB2312" w:hAnsi="宋体" w:eastAsia="仿宋_GB2312" w:cs="宋体"/>
          <w:kern w:val="0"/>
          <w:sz w:val="32"/>
          <w:lang w:val="en-US" w:eastAsia="zh-CN"/>
        </w:rPr>
        <w:t>0</w:t>
      </w:r>
      <w:r>
        <w:rPr>
          <w:rFonts w:hint="eastAsia" w:ascii="仿宋_GB2312" w:hAnsi="宋体" w:eastAsia="仿宋_GB2312" w:cs="宋体"/>
          <w:kern w:val="0"/>
          <w:sz w:val="32"/>
          <w:lang w:val="zh-CN"/>
        </w:rPr>
        <w:t>万元。比上年</w:t>
      </w:r>
      <w:r>
        <w:rPr>
          <w:rFonts w:hint="eastAsia" w:ascii="仿宋_GB2312" w:hAnsi="宋体" w:eastAsia="仿宋_GB2312" w:cs="宋体"/>
          <w:kern w:val="0"/>
          <w:sz w:val="32"/>
          <w:lang w:val="en-US" w:eastAsia="zh-CN"/>
        </w:rPr>
        <w:t>减少</w:t>
      </w:r>
      <w:r>
        <w:rPr>
          <w:rFonts w:hint="eastAsia" w:ascii="仿宋_GB2312" w:hAnsi="宋体" w:eastAsia="仿宋_GB2312" w:cs="宋体"/>
          <w:kern w:val="0"/>
          <w:sz w:val="32"/>
          <w:lang w:val="zh-CN"/>
        </w:rPr>
        <w:t>0.01万元，</w:t>
      </w:r>
      <w:r>
        <w:rPr>
          <w:rFonts w:hint="eastAsia" w:ascii="仿宋_GB2312" w:hAnsi="宋体" w:eastAsia="仿宋_GB2312" w:cs="宋体"/>
          <w:kern w:val="0"/>
          <w:sz w:val="32"/>
          <w:lang w:val="en-US" w:eastAsia="zh-CN"/>
        </w:rPr>
        <w:t>降低100%。</w:t>
      </w:r>
      <w:r>
        <w:rPr>
          <w:rFonts w:hint="eastAsia" w:ascii="仿宋_GB2312" w:hAnsi="宋体" w:eastAsia="仿宋_GB2312" w:cs="宋体"/>
          <w:kern w:val="0"/>
          <w:sz w:val="32"/>
          <w:lang w:val="zh-CN"/>
        </w:rPr>
        <w:t>上年结转</w:t>
      </w:r>
      <w:r>
        <w:rPr>
          <w:rFonts w:hint="eastAsia" w:ascii="仿宋_GB2312" w:hAnsi="宋体" w:eastAsia="仿宋_GB2312" w:cs="宋体"/>
          <w:kern w:val="0"/>
          <w:sz w:val="32"/>
          <w:lang w:val="en-US" w:eastAsia="zh-CN"/>
        </w:rPr>
        <w:t>8.15</w:t>
      </w:r>
      <w:r>
        <w:rPr>
          <w:rFonts w:hint="eastAsia" w:ascii="仿宋_GB2312" w:hAnsi="宋体" w:eastAsia="仿宋_GB2312" w:cs="宋体"/>
          <w:kern w:val="0"/>
          <w:sz w:val="32"/>
          <w:lang w:val="zh-CN"/>
        </w:rPr>
        <w:t>万元。</w:t>
      </w:r>
    </w:p>
    <w:p>
      <w:pPr>
        <w:numPr>
          <w:ilvl w:val="0"/>
          <w:numId w:val="5"/>
        </w:numPr>
        <w:ind w:left="0" w:leftChars="0"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ind w:firstLine="640" w:firstLineChars="200"/>
        <w:rPr>
          <w:rFonts w:ascii="仿宋_GB2312" w:hAnsi="宋体" w:eastAsia="仿宋_GB2312" w:cs="宋体"/>
          <w:kern w:val="0"/>
          <w:sz w:val="32"/>
          <w:lang w:val="zh-CN"/>
        </w:rPr>
      </w:pPr>
      <w:r>
        <w:rPr>
          <w:rFonts w:hint="eastAsia" w:ascii="仿宋_GB2312" w:hAnsi="宋体" w:eastAsia="仿宋_GB2312" w:cs="宋体"/>
          <w:kern w:val="0"/>
          <w:sz w:val="32"/>
          <w:lang w:val="zh-CN"/>
        </w:rPr>
        <w:t>全年总支出394.93万元，比上年</w:t>
      </w:r>
      <w:r>
        <w:rPr>
          <w:rFonts w:hint="eastAsia" w:ascii="仿宋_GB2312" w:hAnsi="宋体" w:eastAsia="仿宋_GB2312" w:cs="宋体"/>
          <w:kern w:val="0"/>
          <w:sz w:val="32"/>
          <w:lang w:val="en-US" w:eastAsia="zh-CN"/>
        </w:rPr>
        <w:t>减少21.56</w:t>
      </w:r>
      <w:r>
        <w:rPr>
          <w:rFonts w:hint="eastAsia" w:ascii="仿宋_GB2312" w:hAnsi="宋体" w:eastAsia="仿宋_GB2312" w:cs="宋体"/>
          <w:kern w:val="0"/>
          <w:sz w:val="32"/>
          <w:lang w:val="zh-CN"/>
        </w:rPr>
        <w:t>万元，</w:t>
      </w:r>
      <w:r>
        <w:rPr>
          <w:rFonts w:hint="eastAsia" w:ascii="仿宋_GB2312" w:hAnsi="宋体" w:eastAsia="仿宋_GB2312" w:cs="宋体"/>
          <w:kern w:val="0"/>
          <w:sz w:val="32"/>
          <w:lang w:val="en-US" w:eastAsia="zh-CN"/>
        </w:rPr>
        <w:t>降低5.18</w:t>
      </w:r>
      <w:r>
        <w:rPr>
          <w:rFonts w:hint="eastAsia" w:ascii="仿宋_GB2312" w:hAnsi="宋体" w:eastAsia="仿宋_GB2312" w:cs="宋体"/>
          <w:kern w:val="0"/>
          <w:sz w:val="32"/>
          <w:lang w:val="zh-CN"/>
        </w:rPr>
        <w:t>%。其中基本支出377.93万元，比上年增长</w:t>
      </w:r>
      <w:r>
        <w:rPr>
          <w:rFonts w:hint="eastAsia" w:ascii="仿宋_GB2312" w:hAnsi="宋体" w:eastAsia="仿宋_GB2312" w:cs="宋体"/>
          <w:kern w:val="0"/>
          <w:sz w:val="32"/>
          <w:lang w:val="en-US" w:eastAsia="zh-CN"/>
        </w:rPr>
        <w:t>7.57</w:t>
      </w:r>
      <w:r>
        <w:rPr>
          <w:rFonts w:hint="eastAsia" w:ascii="仿宋_GB2312" w:hAnsi="宋体" w:eastAsia="仿宋_GB2312" w:cs="宋体"/>
          <w:kern w:val="0"/>
          <w:sz w:val="32"/>
          <w:lang w:val="zh-CN"/>
        </w:rPr>
        <w:t>%，本年基本支出较上年增加</w:t>
      </w:r>
      <w:r>
        <w:rPr>
          <w:rFonts w:hint="eastAsia" w:ascii="仿宋_GB2312" w:hAnsi="宋体" w:eastAsia="仿宋_GB2312" w:cs="宋体"/>
          <w:kern w:val="0"/>
          <w:sz w:val="32"/>
          <w:lang w:val="en-US" w:eastAsia="zh-CN"/>
        </w:rPr>
        <w:t>26.6</w:t>
      </w:r>
      <w:r>
        <w:rPr>
          <w:rFonts w:hint="eastAsia" w:ascii="仿宋_GB2312" w:hAnsi="宋体" w:eastAsia="仿宋_GB2312" w:cs="宋体"/>
          <w:kern w:val="0"/>
          <w:sz w:val="32"/>
          <w:lang w:val="zh-CN"/>
        </w:rPr>
        <w:t>万元；项目支出</w:t>
      </w:r>
      <w:r>
        <w:rPr>
          <w:rFonts w:hint="eastAsia" w:ascii="仿宋_GB2312" w:hAnsi="宋体" w:eastAsia="仿宋_GB2312" w:cs="宋体"/>
          <w:kern w:val="0"/>
          <w:sz w:val="32"/>
          <w:lang w:val="en-US" w:eastAsia="zh-CN"/>
        </w:rPr>
        <w:t>17.00</w:t>
      </w:r>
      <w:r>
        <w:rPr>
          <w:rFonts w:hint="eastAsia" w:ascii="仿宋_GB2312" w:hAnsi="宋体" w:eastAsia="仿宋_GB2312" w:cs="宋体"/>
          <w:kern w:val="0"/>
          <w:sz w:val="32"/>
          <w:lang w:val="zh-CN"/>
        </w:rPr>
        <w:t>万元，比上年</w:t>
      </w:r>
      <w:r>
        <w:rPr>
          <w:rFonts w:hint="eastAsia" w:ascii="仿宋_GB2312" w:hAnsi="宋体" w:eastAsia="仿宋_GB2312" w:cs="宋体"/>
          <w:kern w:val="0"/>
          <w:sz w:val="32"/>
          <w:lang w:val="en-US" w:eastAsia="zh-CN"/>
        </w:rPr>
        <w:t>降低73.91</w:t>
      </w:r>
      <w:r>
        <w:rPr>
          <w:rFonts w:hint="eastAsia" w:ascii="仿宋_GB2312" w:hAnsi="宋体" w:eastAsia="仿宋_GB2312" w:cs="宋体"/>
          <w:kern w:val="0"/>
          <w:sz w:val="32"/>
          <w:lang w:val="zh-CN"/>
        </w:rPr>
        <w:t>%，项目支出较上年度</w:t>
      </w:r>
      <w:r>
        <w:rPr>
          <w:rFonts w:hint="eastAsia" w:ascii="仿宋_GB2312" w:hAnsi="宋体" w:eastAsia="仿宋_GB2312" w:cs="宋体"/>
          <w:kern w:val="0"/>
          <w:sz w:val="32"/>
          <w:lang w:val="en-US" w:eastAsia="zh-CN"/>
        </w:rPr>
        <w:t>减少48.16</w:t>
      </w:r>
      <w:r>
        <w:rPr>
          <w:rFonts w:hint="eastAsia" w:ascii="仿宋_GB2312" w:hAnsi="宋体" w:eastAsia="仿宋_GB2312" w:cs="宋体"/>
          <w:kern w:val="0"/>
          <w:sz w:val="32"/>
          <w:lang w:val="zh-CN"/>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我局致力于在18年的基础上进一步优化支出结构，完善支出审批程序。贯彻执行量入为出，节约为主的支出原则，做好业务办案、装备购买、办公经费等保障。根据2019年预算实际执行来看，2019年我局业务办案、装备购买、办公经费基本得到保障，支出结构、支出审批程序也得到进一步优化。2019年预算初始金额为2,840,234.2元，预算调整1,220,700元，部门最终预算为4,060,934.2元，决算支出为3,949,255.13元。部门整体支出预算执行率为97.25%,其中:日常公用经费支出预算执行率100%，项目支出预算执行率100%，人员经费支出预算执行率不足96.83%，主要是人员经费预算执行拉低了部门整体预算执行，拉低的主要原因是未合理预计2019年新增人员工资、保险等。</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我局根据2019年部门自评情况进行公开，并且针对我局2019年出现未合理预计人员经费支出情况，进行反思和总结，计划于2020年开始将严格把控人员经费增减计划，做到合理申请预算调整，实实在在用多少，计划多少。</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sectPr>
          <w:footerReference r:id="rId5" w:type="first"/>
          <w:headerReference r:id="rId3" w:type="default"/>
          <w:footerReference r:id="rId4" w:type="default"/>
          <w:pgSz w:w="11906" w:h="16838"/>
          <w:pgMar w:top="1440" w:right="1803" w:bottom="1440" w:left="1803" w:header="851" w:footer="992" w:gutter="0"/>
          <w:pgNumType w:fmt="decimal" w:start="1"/>
          <w:cols w:space="0" w:num="1"/>
          <w:rtlGutter w:val="0"/>
          <w:docGrid w:type="lines" w:linePitch="319" w:charSpace="0"/>
        </w:sectPr>
      </w:pP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pPr>
    </w:p>
    <w:p>
      <w:pPr>
        <w:widowControl/>
        <w:adjustRightInd w:val="0"/>
        <w:snapToGrid w:val="0"/>
        <w:spacing w:line="580" w:lineRule="exact"/>
        <w:ind w:firstLine="640" w:firstLineChars="200"/>
        <w:contextualSpacing/>
        <w:jc w:val="left"/>
        <w:rPr>
          <w:rFonts w:hint="default" w:ascii="黑体" w:hAnsi="宋体" w:eastAsia="黑体" w:cs="宋体"/>
          <w:color w:val="000000"/>
          <w:kern w:val="0"/>
          <w:sz w:val="32"/>
          <w:szCs w:val="32"/>
          <w:shd w:val="clear" w:color="auto" w:fill="FFFFFF"/>
          <w:lang w:val="en-US" w:eastAsia="zh-CN"/>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2019年我局整体部门支出良好，但是还存在，眼高手低多做预算的情况，我局将在2020年严格执行实施预算管理，对实际情况进行预算调整。</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预算管理水平还需提高，费用报销审批流程还需加强完善，实实在在的做到监管有效。</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leftChars="200"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提高业务知识水平，加强业务知识学习，向预算做的好的单位学习。以提升预算、费用报销等管理。</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黑体" w:hAnsi="黑体" w:eastAsia="黑体"/>
          <w:color w:val="000000"/>
          <w:sz w:val="44"/>
          <w:szCs w:val="44"/>
        </w:rPr>
        <w:sectPr>
          <w:footerReference r:id="rId7" w:type="first"/>
          <w:footerReference r:id="rId6" w:type="default"/>
          <w:pgSz w:w="11906" w:h="16838"/>
          <w:pgMar w:top="1440" w:right="1803" w:bottom="1440" w:left="1803" w:header="851" w:footer="992" w:gutter="0"/>
          <w:pgNumType w:fmt="decimal" w:start="22"/>
          <w:cols w:space="0" w:num="1"/>
          <w:titlePg/>
          <w:rtlGutter w:val="0"/>
          <w:docGrid w:type="lines" w:linePitch="319" w:charSpace="0"/>
        </w:sectPr>
      </w:pPr>
      <w:bookmarkStart w:id="76" w:name="_Toc27426"/>
      <w:bookmarkStart w:id="77" w:name="_Toc15396618"/>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73"/>
      <w:bookmarkEnd w:id="76"/>
      <w:bookmarkEnd w:id="77"/>
    </w:p>
    <w:p>
      <w:pPr>
        <w:outlineLvl w:val="9"/>
        <w:rPr>
          <w:rStyle w:val="25"/>
          <w:rFonts w:hint="eastAsia" w:ascii="仿宋" w:hAnsi="仿宋" w:eastAsia="仿宋"/>
          <w:b w:val="0"/>
          <w:bCs w:val="0"/>
        </w:rPr>
      </w:pPr>
    </w:p>
    <w:p>
      <w:pPr>
        <w:outlineLvl w:val="9"/>
        <w:rPr>
          <w:rStyle w:val="25"/>
          <w:rFonts w:hint="eastAsia" w:ascii="仿宋" w:hAnsi="仿宋" w:eastAsia="仿宋"/>
          <w:b w:val="0"/>
          <w:bCs w:val="0"/>
        </w:rPr>
      </w:pPr>
      <w:bookmarkStart w:id="78" w:name="_Toc15396619"/>
      <w:bookmarkStart w:id="79" w:name="_Toc20493"/>
      <w:r>
        <w:rPr>
          <w:rStyle w:val="25"/>
          <w:rFonts w:hint="eastAsia" w:ascii="仿宋" w:hAnsi="仿宋" w:eastAsia="仿宋"/>
          <w:b w:val="0"/>
          <w:bCs w:val="0"/>
        </w:rPr>
        <w:t>一、收入支出决算总表</w:t>
      </w:r>
      <w:bookmarkEnd w:id="78"/>
      <w:bookmarkEnd w:id="79"/>
    </w:p>
    <w:p>
      <w:pPr>
        <w:outlineLvl w:val="9"/>
        <w:rPr>
          <w:rStyle w:val="25"/>
          <w:rFonts w:hint="eastAsia" w:ascii="仿宋" w:hAnsi="仿宋" w:eastAsia="仿宋"/>
          <w:b w:val="0"/>
          <w:bCs w:val="0"/>
        </w:rPr>
      </w:pPr>
      <w:bookmarkStart w:id="80" w:name="_Toc15396620"/>
      <w:bookmarkStart w:id="81" w:name="_Toc22995"/>
      <w:r>
        <w:rPr>
          <w:rStyle w:val="25"/>
          <w:rFonts w:hint="eastAsia" w:ascii="仿宋" w:hAnsi="仿宋" w:eastAsia="仿宋"/>
          <w:b w:val="0"/>
          <w:bCs w:val="0"/>
        </w:rPr>
        <w:t>二、收入决算表</w:t>
      </w:r>
      <w:bookmarkEnd w:id="80"/>
      <w:bookmarkEnd w:id="81"/>
    </w:p>
    <w:p>
      <w:pPr>
        <w:outlineLvl w:val="9"/>
        <w:rPr>
          <w:rStyle w:val="25"/>
          <w:rFonts w:hint="eastAsia" w:ascii="仿宋" w:hAnsi="仿宋" w:eastAsia="仿宋"/>
          <w:b w:val="0"/>
          <w:bCs w:val="0"/>
        </w:rPr>
      </w:pPr>
      <w:bookmarkStart w:id="82" w:name="_Toc15396621"/>
      <w:bookmarkStart w:id="83" w:name="_Toc16351"/>
      <w:r>
        <w:rPr>
          <w:rStyle w:val="25"/>
          <w:rFonts w:hint="eastAsia" w:ascii="仿宋" w:hAnsi="仿宋" w:eastAsia="仿宋"/>
          <w:b w:val="0"/>
          <w:bCs w:val="0"/>
        </w:rPr>
        <w:t>三、支出决算表</w:t>
      </w:r>
      <w:bookmarkEnd w:id="82"/>
      <w:bookmarkEnd w:id="83"/>
    </w:p>
    <w:p>
      <w:pPr>
        <w:outlineLvl w:val="9"/>
        <w:rPr>
          <w:rStyle w:val="25"/>
          <w:rFonts w:hint="eastAsia" w:ascii="仿宋" w:hAnsi="仿宋" w:eastAsia="仿宋"/>
          <w:b w:val="0"/>
          <w:bCs w:val="0"/>
        </w:rPr>
      </w:pPr>
      <w:bookmarkStart w:id="84" w:name="_Toc15571"/>
      <w:bookmarkStart w:id="85" w:name="_Toc15396622"/>
      <w:r>
        <w:rPr>
          <w:rStyle w:val="25"/>
          <w:rFonts w:hint="eastAsia" w:ascii="仿宋" w:hAnsi="仿宋" w:eastAsia="仿宋"/>
          <w:b w:val="0"/>
          <w:bCs w:val="0"/>
        </w:rPr>
        <w:t>四、财政拨款收入支出决算总表</w:t>
      </w:r>
      <w:bookmarkEnd w:id="84"/>
      <w:bookmarkEnd w:id="85"/>
    </w:p>
    <w:p>
      <w:pPr>
        <w:outlineLvl w:val="9"/>
        <w:rPr>
          <w:rStyle w:val="25"/>
          <w:rFonts w:hint="eastAsia" w:ascii="仿宋" w:hAnsi="仿宋" w:eastAsia="仿宋"/>
          <w:b w:val="0"/>
          <w:bCs w:val="0"/>
        </w:rPr>
      </w:pPr>
      <w:bookmarkStart w:id="86" w:name="_Toc19737"/>
      <w:bookmarkStart w:id="87" w:name="_Toc15396623"/>
      <w:r>
        <w:rPr>
          <w:rStyle w:val="25"/>
          <w:rFonts w:hint="eastAsia" w:ascii="仿宋" w:hAnsi="仿宋" w:eastAsia="仿宋"/>
          <w:b w:val="0"/>
          <w:bCs w:val="0"/>
        </w:rPr>
        <w:t>五、财政拨款支出决算明细表</w:t>
      </w:r>
      <w:bookmarkEnd w:id="86"/>
      <w:bookmarkEnd w:id="87"/>
      <w:bookmarkStart w:id="88" w:name="_Toc15396624"/>
    </w:p>
    <w:p>
      <w:pPr>
        <w:outlineLvl w:val="9"/>
        <w:rPr>
          <w:rStyle w:val="25"/>
          <w:rFonts w:hint="eastAsia" w:ascii="仿宋" w:hAnsi="仿宋" w:eastAsia="仿宋"/>
          <w:b w:val="0"/>
          <w:bCs w:val="0"/>
        </w:rPr>
      </w:pPr>
      <w:bookmarkStart w:id="89" w:name="_Toc2452"/>
      <w:r>
        <w:rPr>
          <w:rStyle w:val="25"/>
          <w:rFonts w:hint="eastAsia" w:ascii="仿宋" w:hAnsi="仿宋" w:eastAsia="仿宋"/>
          <w:b w:val="0"/>
          <w:bCs w:val="0"/>
        </w:rPr>
        <w:t>六、一般公共预算财政拨款支出决算表</w:t>
      </w:r>
      <w:bookmarkEnd w:id="88"/>
      <w:bookmarkEnd w:id="89"/>
    </w:p>
    <w:p>
      <w:pPr>
        <w:outlineLvl w:val="9"/>
        <w:rPr>
          <w:rStyle w:val="25"/>
          <w:rFonts w:hint="eastAsia" w:ascii="仿宋" w:hAnsi="仿宋" w:eastAsia="仿宋"/>
          <w:b w:val="0"/>
          <w:bCs w:val="0"/>
        </w:rPr>
      </w:pPr>
      <w:bookmarkStart w:id="90" w:name="_Toc15396625"/>
      <w:bookmarkStart w:id="91" w:name="_Toc17452"/>
      <w:r>
        <w:rPr>
          <w:rStyle w:val="25"/>
          <w:rFonts w:hint="eastAsia" w:ascii="仿宋" w:hAnsi="仿宋" w:eastAsia="仿宋"/>
          <w:b w:val="0"/>
          <w:bCs w:val="0"/>
        </w:rPr>
        <w:t>七、一般公共预算财政拨款支出决算明细表</w:t>
      </w:r>
      <w:bookmarkEnd w:id="90"/>
      <w:bookmarkEnd w:id="91"/>
    </w:p>
    <w:p>
      <w:pPr>
        <w:outlineLvl w:val="9"/>
        <w:rPr>
          <w:rStyle w:val="25"/>
          <w:rFonts w:hint="eastAsia" w:ascii="仿宋" w:hAnsi="仿宋" w:eastAsia="仿宋"/>
          <w:b w:val="0"/>
          <w:bCs w:val="0"/>
        </w:rPr>
      </w:pPr>
      <w:bookmarkStart w:id="92" w:name="_Toc15396626"/>
      <w:bookmarkStart w:id="93" w:name="_Toc23676"/>
      <w:r>
        <w:rPr>
          <w:rStyle w:val="25"/>
          <w:rFonts w:hint="eastAsia" w:ascii="仿宋" w:hAnsi="仿宋" w:eastAsia="仿宋"/>
          <w:b w:val="0"/>
          <w:bCs w:val="0"/>
        </w:rPr>
        <w:t>八、一般公共预算财政拨款基本支出决算表</w:t>
      </w:r>
      <w:bookmarkEnd w:id="92"/>
      <w:bookmarkEnd w:id="93"/>
    </w:p>
    <w:p>
      <w:pPr>
        <w:outlineLvl w:val="9"/>
        <w:rPr>
          <w:rStyle w:val="25"/>
          <w:rFonts w:hint="eastAsia" w:ascii="仿宋" w:hAnsi="仿宋" w:eastAsia="仿宋"/>
          <w:b w:val="0"/>
          <w:bCs w:val="0"/>
        </w:rPr>
      </w:pPr>
      <w:bookmarkStart w:id="94" w:name="_Toc15396627"/>
      <w:bookmarkStart w:id="95" w:name="_Toc12981"/>
      <w:r>
        <w:rPr>
          <w:rStyle w:val="25"/>
          <w:rFonts w:hint="eastAsia" w:ascii="仿宋" w:hAnsi="仿宋" w:eastAsia="仿宋"/>
          <w:b w:val="0"/>
          <w:bCs w:val="0"/>
        </w:rPr>
        <w:t>九、一般公共预算财政拨款项目支出决算表</w:t>
      </w:r>
      <w:bookmarkEnd w:id="94"/>
      <w:bookmarkEnd w:id="95"/>
    </w:p>
    <w:p>
      <w:pPr>
        <w:outlineLvl w:val="9"/>
        <w:rPr>
          <w:rStyle w:val="25"/>
          <w:rFonts w:hint="eastAsia" w:ascii="仿宋" w:hAnsi="仿宋" w:eastAsia="仿宋"/>
          <w:b w:val="0"/>
          <w:bCs w:val="0"/>
        </w:rPr>
      </w:pPr>
      <w:bookmarkStart w:id="96" w:name="_Toc15396628"/>
      <w:bookmarkStart w:id="97" w:name="_Toc11322"/>
      <w:r>
        <w:rPr>
          <w:rStyle w:val="25"/>
          <w:rFonts w:hint="eastAsia" w:ascii="仿宋" w:hAnsi="仿宋" w:eastAsia="仿宋"/>
          <w:b w:val="0"/>
          <w:bCs w:val="0"/>
        </w:rPr>
        <w:t>十、一般公共预算财政拨款“三公”经费支出决算表</w:t>
      </w:r>
      <w:bookmarkEnd w:id="96"/>
      <w:bookmarkEnd w:id="97"/>
    </w:p>
    <w:p>
      <w:pPr>
        <w:outlineLvl w:val="9"/>
        <w:rPr>
          <w:rStyle w:val="25"/>
          <w:rFonts w:hint="eastAsia" w:ascii="仿宋" w:hAnsi="仿宋" w:eastAsia="仿宋"/>
          <w:b w:val="0"/>
          <w:bCs w:val="0"/>
        </w:rPr>
      </w:pPr>
      <w:bookmarkStart w:id="98" w:name="_Toc15396629"/>
      <w:bookmarkStart w:id="99" w:name="_Toc32267"/>
      <w:r>
        <w:rPr>
          <w:rStyle w:val="25"/>
          <w:rFonts w:hint="eastAsia" w:ascii="仿宋" w:hAnsi="仿宋" w:eastAsia="仿宋"/>
          <w:b w:val="0"/>
          <w:bCs w:val="0"/>
        </w:rPr>
        <w:t>十一、政府性基金预算财政拨款收入支出决算表</w:t>
      </w:r>
      <w:bookmarkEnd w:id="98"/>
      <w:bookmarkEnd w:id="99"/>
    </w:p>
    <w:p>
      <w:pPr>
        <w:outlineLvl w:val="9"/>
        <w:rPr>
          <w:rStyle w:val="25"/>
          <w:rFonts w:hint="eastAsia" w:ascii="仿宋" w:hAnsi="仿宋" w:eastAsia="仿宋"/>
          <w:b w:val="0"/>
          <w:bCs w:val="0"/>
        </w:rPr>
      </w:pPr>
      <w:bookmarkStart w:id="100" w:name="_Toc15396630"/>
      <w:bookmarkStart w:id="101" w:name="_Toc29865"/>
      <w:r>
        <w:rPr>
          <w:rStyle w:val="25"/>
          <w:rFonts w:hint="eastAsia" w:ascii="仿宋" w:hAnsi="仿宋" w:eastAsia="仿宋"/>
          <w:b w:val="0"/>
          <w:bCs w:val="0"/>
        </w:rPr>
        <w:t>十二、政府性基金预算财政拨款“三公”经费支出决算表</w:t>
      </w:r>
      <w:bookmarkEnd w:id="100"/>
      <w:bookmarkEnd w:id="101"/>
    </w:p>
    <w:p>
      <w:pPr>
        <w:outlineLvl w:val="9"/>
        <w:rPr>
          <w:rStyle w:val="25"/>
          <w:rFonts w:hint="eastAsia" w:ascii="仿宋" w:hAnsi="仿宋" w:eastAsia="仿宋"/>
          <w:b w:val="0"/>
          <w:bCs w:val="0"/>
        </w:rPr>
      </w:pPr>
      <w:bookmarkStart w:id="102" w:name="_Toc15396631"/>
      <w:bookmarkStart w:id="103" w:name="_Toc5904"/>
      <w:r>
        <w:rPr>
          <w:rStyle w:val="25"/>
          <w:rFonts w:hint="eastAsia" w:ascii="仿宋" w:hAnsi="仿宋" w:eastAsia="仿宋"/>
          <w:b w:val="0"/>
          <w:bCs w:val="0"/>
        </w:rPr>
        <w:t>十三、国有资本经营预算支出决算表</w:t>
      </w:r>
      <w:bookmarkEnd w:id="102"/>
      <w:bookmarkEnd w:id="103"/>
    </w:p>
    <w:sectPr>
      <w:footerReference r:id="rId9" w:type="first"/>
      <w:footerReference r:id="rId8" w:type="default"/>
      <w:pgSz w:w="11906" w:h="16838"/>
      <w:pgMar w:top="1440" w:right="1803" w:bottom="1440" w:left="1803" w:header="851" w:footer="992" w:gutter="0"/>
      <w:pgNumType w:fmt="decimal" w:start="23"/>
      <w:cols w:space="0" w:num="1"/>
      <w:titlePg/>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88" o:spid="_x0000_s2088" o:spt="202" type="#_x0000_t202" style="position:absolute;left:0pt;margin-top:0pt;height:144pt;width:144pt;mso-position-horizontal:center;mso-position-horizontal-relative:margin;mso-wrap-style:none;z-index:25168384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150"/>
        <w:tab w:val="clear" w:pos="4153"/>
      </w:tabs>
    </w:pPr>
    <w:r>
      <w:rPr>
        <w:sz w:val="18"/>
      </w:rPr>
      <w:pict>
        <v:shape id="_x0000_s2089" o:spid="_x0000_s2089" o:spt="202" type="#_x0000_t202" style="position:absolute;left:0pt;margin-top:0pt;height:144pt;width:144pt;mso-position-horizontal:center;mso-position-horizontal-relative:margin;mso-wrap-style:none;z-index:25169920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90" o:spid="_x0000_s2090" o:spt="202" type="#_x0000_t202" style="position:absolute;left:0pt;margin-top:0pt;height:144pt;width:144pt;mso-position-horizontal:center;mso-position-horizontal-relative:margin;mso-wrap-style:none;z-index:251688960;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22</w:t>
                </w:r>
              </w:p>
            </w:txbxContent>
          </v:textbox>
        </v:shape>
      </w:pict>
    </w:r>
    <w:r>
      <w:rPr>
        <w:sz w:val="18"/>
      </w:rPr>
      <w:pict>
        <v:shape id="_x0000_s2091" o:spid="_x0000_s2091" o:spt="202" type="#_x0000_t202" style="position:absolute;left:0pt;margin-left:203.9pt;margin-top:0pt;height:144pt;width:144pt;mso-position-horizontal-relative:margin;mso-wrap-style:none;z-index:251685888;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p>
            </w:txbxContent>
          </v:textbox>
        </v:shape>
      </w:pic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2097" o:spid="_x0000_s2097"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62" o:spid="_x0000_s206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23</w:t>
                </w:r>
              </w:p>
            </w:txbxContent>
          </v:textbox>
        </v:shape>
      </w:pict>
    </w:r>
    <w:sdt>
      <w:sdtPr>
        <w:id w:val="-1994781956"/>
      </w:sdtPr>
      <w:sdtContent/>
    </w:sdt>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98" o:spid="_x0000_s2098"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78" o:spid="_x0000_s2078" o:spt="202" type="#_x0000_t202" style="position:absolute;left:0pt;margin-top:0pt;height:144pt;width:144pt;mso-position-horizontal:center;mso-position-horizontal-relative:margin;mso-wrap-style:none;z-index:251679744;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p>
            </w:txbxContent>
          </v:textbox>
        </v:shape>
      </w:pict>
    </w:r>
    <w:r>
      <w:rPr>
        <w:sz w:val="18"/>
      </w:rPr>
      <w:pict>
        <v:shape id="_x0000_s2079" o:spid="_x0000_s2079" o:spt="202" type="#_x0000_t202" style="position:absolute;left:0pt;margin-left:203.9pt;margin-top:0pt;height:144pt;width:144pt;mso-position-horizontal-relative:margin;mso-wrap-style:none;z-index:251676672;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2075" o:spid="_x0000_s2075" o:spt="202" type="#_x0000_t202" style="position:absolute;left:0pt;margin-top:0pt;height:144pt;width:144pt;mso-position-horizontal:center;mso-position-horizontal-relative:margin;mso-wrap-style:none;z-index:25167360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67" o:spid="_x0000_s2067"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23</w:t>
                </w:r>
              </w:p>
            </w:txbxContent>
          </v:textbox>
        </v:shape>
      </w:pict>
    </w:r>
    <w:sdt>
      <w:sdtPr>
        <w:id w:val="-1994781956"/>
      </w:sdtPr>
      <w:sdtContent/>
    </w:sdt>
  </w:p>
  <w:p>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96" o:spid="_x0000_s2096" o:spt="202" type="#_x0000_t202" style="position:absolute;left:0pt;margin-top:-4.65pt;height:144pt;width:144pt;mso-position-horizontal:center;mso-position-horizontal-relative:margin;mso-wrap-style:none;z-index:251691008;mso-width-relative:page;mso-height-relative:page;" filled="f" stroked="f" coordsize="21600,21600">
          <v:path/>
          <v:fill on="f" focussize="0,0"/>
          <v:stroke on="f"/>
          <v:imagedata o:title=""/>
          <o:lock v:ext="edit" aspectratio="f"/>
          <v:textbox inset="0mm,0mm,0mm,0mm" style="mso-fit-shape-to-text:t;">
            <w:txbxContent>
              <w:p>
                <w:pPr>
                  <w:pStyle w:val="8"/>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sz w:val="18"/>
      </w:rPr>
      <w:pict>
        <v:shape id="_x0000_s2069" o:spid="_x0000_s2069" o:spt="202" type="#_x0000_t202" style="position:absolute;left:0pt;margin-left:203.9pt;margin-top:-2.6pt;height:13.6pt;width:6pt;mso-position-horizontal-relative:margin;z-index:251671552;mso-width-relative:page;mso-height-relative:page;" filled="f" stroked="f" coordsize="21600,21600">
          <v:path/>
          <v:fill on="f" focussize="0,0"/>
          <v:stroke on="f"/>
          <v:imagedata o:title=""/>
          <o:lock v:ext="edit" aspectratio="f"/>
          <v:textbox inset="0mm,0mm,0mm,0mm">
            <w:txbxContent>
              <w:p>
                <w:pPr>
                  <w:pStyle w:val="8"/>
                  <w:rPr>
                    <w:rFonts w:hint="default" w:eastAsia="宋体"/>
                    <w:lang w:val="en-US" w:eastAsia="zh-CN"/>
                  </w:rPr>
                </w:pPr>
              </w:p>
            </w:txbxContent>
          </v:textbox>
        </v:shape>
      </w:pict>
    </w:r>
    <w:r>
      <w:rPr>
        <w:sz w:val="18"/>
      </w:rPr>
      <w:pict>
        <v:shape id="_x0000_s2076" o:spid="_x0000_s2076" o:spt="202" type="#_x0000_t202" style="position:absolute;left:0pt;margin-top:0pt;height:144pt;width:144pt;mso-position-horizontal:center;mso-position-horizontal-relative:margin;mso-wrap-style:none;z-index:251674624;mso-width-relative:page;mso-height-relative:page;" filled="f" stroked="f" coordsize="21600,21600">
          <v:path/>
          <v:fill on="f" focussize="0,0"/>
          <v:stroke on="f"/>
          <v:imagedata o:title=""/>
          <o:lock v:ext="edit" aspectratio="f"/>
          <v:textbox inset="0mm,0mm,0mm,0mm" style="mso-fit-shape-to-text:t;">
            <w:txbxContent>
              <w:p>
                <w:pPr>
                  <w:pStyle w:val="8"/>
                  <w:rPr>
                    <w:rFonts w:hint="default" w:eastAsia="宋体"/>
                    <w:lang w:val="en-US" w:eastAsia="zh-CN"/>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C7482FE"/>
    <w:multiLevelType w:val="singleLevel"/>
    <w:tmpl w:val="5C7482FE"/>
    <w:lvl w:ilvl="0" w:tentative="0">
      <w:start w:val="2"/>
      <w:numFmt w:val="chineseCounting"/>
      <w:suff w:val="nothing"/>
      <w:lvlText w:val="（%1）"/>
      <w:lvlJc w:val="left"/>
      <w:rPr>
        <w:rFonts w:hint="eastAsia"/>
      </w:rPr>
    </w:lvl>
  </w:abstractNum>
  <w:abstractNum w:abstractNumId="4">
    <w:nsid w:val="66030888"/>
    <w:multiLevelType w:val="singleLevel"/>
    <w:tmpl w:val="66030888"/>
    <w:lvl w:ilvl="0" w:tentative="0">
      <w:start w:val="2"/>
      <w:numFmt w:val="decimal"/>
      <w:lvlText w:val="%1."/>
      <w:lvlJc w:val="left"/>
      <w:pPr>
        <w:tabs>
          <w:tab w:val="left" w:pos="312"/>
        </w:tabs>
      </w:pPr>
    </w:lvl>
  </w:abstractNum>
  <w:abstractNum w:abstractNumId="5">
    <w:nsid w:val="7EBD7F42"/>
    <w:multiLevelType w:val="singleLevel"/>
    <w:tmpl w:val="7EBD7F42"/>
    <w:lvl w:ilvl="0" w:tentative="0">
      <w:start w:val="2"/>
      <w:numFmt w:val="chineseCounting"/>
      <w:suff w:val="nothing"/>
      <w:lvlText w:val="（%1）"/>
      <w:lvlJc w:val="left"/>
      <w:rPr>
        <w:rFonts w:hint="eastAsia"/>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62"/>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975"/>
    <w:rsid w:val="00204B7A"/>
    <w:rsid w:val="00204CDE"/>
    <w:rsid w:val="0021101A"/>
    <w:rsid w:val="00220536"/>
    <w:rsid w:val="00235629"/>
    <w:rsid w:val="00260C38"/>
    <w:rsid w:val="002616C0"/>
    <w:rsid w:val="00265372"/>
    <w:rsid w:val="002662AA"/>
    <w:rsid w:val="002712A9"/>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36D93"/>
    <w:rsid w:val="011E3B34"/>
    <w:rsid w:val="0126301A"/>
    <w:rsid w:val="013627B1"/>
    <w:rsid w:val="01BB43C7"/>
    <w:rsid w:val="01C647E9"/>
    <w:rsid w:val="01D4468A"/>
    <w:rsid w:val="01D574D7"/>
    <w:rsid w:val="024F20AB"/>
    <w:rsid w:val="02B47CBD"/>
    <w:rsid w:val="02EF4E0B"/>
    <w:rsid w:val="02FC272A"/>
    <w:rsid w:val="03514AD9"/>
    <w:rsid w:val="03703F74"/>
    <w:rsid w:val="037D5FA2"/>
    <w:rsid w:val="03845AA0"/>
    <w:rsid w:val="038B793C"/>
    <w:rsid w:val="03CB7FD7"/>
    <w:rsid w:val="03F22C32"/>
    <w:rsid w:val="041B4548"/>
    <w:rsid w:val="042F03FD"/>
    <w:rsid w:val="04376C9C"/>
    <w:rsid w:val="043F578D"/>
    <w:rsid w:val="046C24B9"/>
    <w:rsid w:val="04A3345F"/>
    <w:rsid w:val="04B43C74"/>
    <w:rsid w:val="04BA0691"/>
    <w:rsid w:val="04BB61A9"/>
    <w:rsid w:val="050A282A"/>
    <w:rsid w:val="05375DBB"/>
    <w:rsid w:val="0566610A"/>
    <w:rsid w:val="057B583D"/>
    <w:rsid w:val="05824757"/>
    <w:rsid w:val="05920C5D"/>
    <w:rsid w:val="059A4BF7"/>
    <w:rsid w:val="05A4141C"/>
    <w:rsid w:val="05DD4C5C"/>
    <w:rsid w:val="05DE5607"/>
    <w:rsid w:val="061B656B"/>
    <w:rsid w:val="063D047E"/>
    <w:rsid w:val="063D125E"/>
    <w:rsid w:val="06665BA9"/>
    <w:rsid w:val="066F3645"/>
    <w:rsid w:val="06D160B3"/>
    <w:rsid w:val="06D319EA"/>
    <w:rsid w:val="06D4177D"/>
    <w:rsid w:val="07312995"/>
    <w:rsid w:val="07603CCE"/>
    <w:rsid w:val="07992EE4"/>
    <w:rsid w:val="0799560F"/>
    <w:rsid w:val="07EC5909"/>
    <w:rsid w:val="08B42D78"/>
    <w:rsid w:val="08D4490C"/>
    <w:rsid w:val="08F26CB9"/>
    <w:rsid w:val="0927547E"/>
    <w:rsid w:val="097F6AD7"/>
    <w:rsid w:val="098A61BF"/>
    <w:rsid w:val="09C034A9"/>
    <w:rsid w:val="09D828FD"/>
    <w:rsid w:val="09E003EB"/>
    <w:rsid w:val="0A3515E0"/>
    <w:rsid w:val="0A5C60E1"/>
    <w:rsid w:val="0A643BCF"/>
    <w:rsid w:val="0A924ED9"/>
    <w:rsid w:val="0AE036D3"/>
    <w:rsid w:val="0B431B23"/>
    <w:rsid w:val="0B79733C"/>
    <w:rsid w:val="0B7A158E"/>
    <w:rsid w:val="0C3A1FDD"/>
    <w:rsid w:val="0C5C0FBD"/>
    <w:rsid w:val="0C67723A"/>
    <w:rsid w:val="0C833A07"/>
    <w:rsid w:val="0CAD5E68"/>
    <w:rsid w:val="0CAD6A53"/>
    <w:rsid w:val="0CF144CC"/>
    <w:rsid w:val="0D3B3079"/>
    <w:rsid w:val="0D8473B0"/>
    <w:rsid w:val="0D910F5D"/>
    <w:rsid w:val="0DB55B5B"/>
    <w:rsid w:val="0DC514CC"/>
    <w:rsid w:val="0DD24125"/>
    <w:rsid w:val="0E523456"/>
    <w:rsid w:val="0EA77F2A"/>
    <w:rsid w:val="0EAB4E56"/>
    <w:rsid w:val="0EBD27B6"/>
    <w:rsid w:val="0EE219C1"/>
    <w:rsid w:val="0F3E44CF"/>
    <w:rsid w:val="0FAB2456"/>
    <w:rsid w:val="0FF81ADD"/>
    <w:rsid w:val="102148AA"/>
    <w:rsid w:val="102261B1"/>
    <w:rsid w:val="10856E65"/>
    <w:rsid w:val="109E46B6"/>
    <w:rsid w:val="10A05A81"/>
    <w:rsid w:val="10C055FF"/>
    <w:rsid w:val="10DC5A8C"/>
    <w:rsid w:val="10E53DD8"/>
    <w:rsid w:val="10F15CD6"/>
    <w:rsid w:val="119F7BBA"/>
    <w:rsid w:val="11C676C3"/>
    <w:rsid w:val="11C8297D"/>
    <w:rsid w:val="11D32D8F"/>
    <w:rsid w:val="11D3397C"/>
    <w:rsid w:val="12036A35"/>
    <w:rsid w:val="12670F42"/>
    <w:rsid w:val="128F1828"/>
    <w:rsid w:val="12E07F95"/>
    <w:rsid w:val="13073655"/>
    <w:rsid w:val="13280E71"/>
    <w:rsid w:val="132B17BD"/>
    <w:rsid w:val="13341620"/>
    <w:rsid w:val="13363305"/>
    <w:rsid w:val="13373D23"/>
    <w:rsid w:val="133A2B6B"/>
    <w:rsid w:val="133B78C3"/>
    <w:rsid w:val="136973C8"/>
    <w:rsid w:val="13954127"/>
    <w:rsid w:val="139C34A4"/>
    <w:rsid w:val="13A05486"/>
    <w:rsid w:val="13CB6B9C"/>
    <w:rsid w:val="13E86584"/>
    <w:rsid w:val="140161C6"/>
    <w:rsid w:val="141A18A7"/>
    <w:rsid w:val="145163B7"/>
    <w:rsid w:val="146E374E"/>
    <w:rsid w:val="14BB06C7"/>
    <w:rsid w:val="14BD7D22"/>
    <w:rsid w:val="14E46191"/>
    <w:rsid w:val="15023C81"/>
    <w:rsid w:val="15076F08"/>
    <w:rsid w:val="15262A45"/>
    <w:rsid w:val="15263ABB"/>
    <w:rsid w:val="15291352"/>
    <w:rsid w:val="15372913"/>
    <w:rsid w:val="154620E1"/>
    <w:rsid w:val="15657C19"/>
    <w:rsid w:val="15925C38"/>
    <w:rsid w:val="15C911E5"/>
    <w:rsid w:val="15E42C7C"/>
    <w:rsid w:val="16230B23"/>
    <w:rsid w:val="164C4887"/>
    <w:rsid w:val="16541543"/>
    <w:rsid w:val="16BB723D"/>
    <w:rsid w:val="16BD7991"/>
    <w:rsid w:val="172D6FAC"/>
    <w:rsid w:val="17784E5F"/>
    <w:rsid w:val="177A7178"/>
    <w:rsid w:val="179C584B"/>
    <w:rsid w:val="17B64F5E"/>
    <w:rsid w:val="17B65E03"/>
    <w:rsid w:val="17FC426D"/>
    <w:rsid w:val="181619DD"/>
    <w:rsid w:val="18B83A98"/>
    <w:rsid w:val="18C77D6B"/>
    <w:rsid w:val="1922664E"/>
    <w:rsid w:val="19562150"/>
    <w:rsid w:val="198B3573"/>
    <w:rsid w:val="19D55CAA"/>
    <w:rsid w:val="19EE6A19"/>
    <w:rsid w:val="19F601B6"/>
    <w:rsid w:val="1A065BD6"/>
    <w:rsid w:val="1A521861"/>
    <w:rsid w:val="1A672143"/>
    <w:rsid w:val="1AA447C2"/>
    <w:rsid w:val="1ADF3BC6"/>
    <w:rsid w:val="1B1710C6"/>
    <w:rsid w:val="1B6757D3"/>
    <w:rsid w:val="1B8D539B"/>
    <w:rsid w:val="1BB749E9"/>
    <w:rsid w:val="1BC3525C"/>
    <w:rsid w:val="1C1F01C2"/>
    <w:rsid w:val="1C345D2E"/>
    <w:rsid w:val="1C3D4F28"/>
    <w:rsid w:val="1C706D66"/>
    <w:rsid w:val="1C725FE6"/>
    <w:rsid w:val="1C807477"/>
    <w:rsid w:val="1CB02578"/>
    <w:rsid w:val="1CE07A08"/>
    <w:rsid w:val="1CE15B14"/>
    <w:rsid w:val="1CF071E6"/>
    <w:rsid w:val="1CFC1E4A"/>
    <w:rsid w:val="1CFF016A"/>
    <w:rsid w:val="1D0B3AC2"/>
    <w:rsid w:val="1D0C7230"/>
    <w:rsid w:val="1D203BEF"/>
    <w:rsid w:val="1D47190C"/>
    <w:rsid w:val="1DDB78C7"/>
    <w:rsid w:val="1E063B98"/>
    <w:rsid w:val="1E2D6202"/>
    <w:rsid w:val="1E411BB6"/>
    <w:rsid w:val="1E584EDF"/>
    <w:rsid w:val="1E8217A6"/>
    <w:rsid w:val="1F4A2C8B"/>
    <w:rsid w:val="1F6A2B95"/>
    <w:rsid w:val="1F745A18"/>
    <w:rsid w:val="1F827552"/>
    <w:rsid w:val="1FAA6634"/>
    <w:rsid w:val="1FE619A0"/>
    <w:rsid w:val="202E1857"/>
    <w:rsid w:val="20BF35DE"/>
    <w:rsid w:val="20C02BC0"/>
    <w:rsid w:val="212E15F1"/>
    <w:rsid w:val="21405523"/>
    <w:rsid w:val="214A21A4"/>
    <w:rsid w:val="220E3CC2"/>
    <w:rsid w:val="22365BB8"/>
    <w:rsid w:val="22521282"/>
    <w:rsid w:val="22862CAB"/>
    <w:rsid w:val="228B69F3"/>
    <w:rsid w:val="22E75C5B"/>
    <w:rsid w:val="230254C8"/>
    <w:rsid w:val="232E392C"/>
    <w:rsid w:val="23857D66"/>
    <w:rsid w:val="23A30EB5"/>
    <w:rsid w:val="23DF59EF"/>
    <w:rsid w:val="23FB6E94"/>
    <w:rsid w:val="240371BF"/>
    <w:rsid w:val="24241F42"/>
    <w:rsid w:val="24505657"/>
    <w:rsid w:val="24564E08"/>
    <w:rsid w:val="24811575"/>
    <w:rsid w:val="24A06D4B"/>
    <w:rsid w:val="24B977A5"/>
    <w:rsid w:val="25180E7E"/>
    <w:rsid w:val="25305D41"/>
    <w:rsid w:val="25452B45"/>
    <w:rsid w:val="25567DC5"/>
    <w:rsid w:val="2598610D"/>
    <w:rsid w:val="25CA0E86"/>
    <w:rsid w:val="25FE53B3"/>
    <w:rsid w:val="26041849"/>
    <w:rsid w:val="26107363"/>
    <w:rsid w:val="261A7C73"/>
    <w:rsid w:val="262913A6"/>
    <w:rsid w:val="266C77EF"/>
    <w:rsid w:val="266F713D"/>
    <w:rsid w:val="2678662B"/>
    <w:rsid w:val="2690279E"/>
    <w:rsid w:val="26BA7B88"/>
    <w:rsid w:val="26DA4229"/>
    <w:rsid w:val="26F823F8"/>
    <w:rsid w:val="27003104"/>
    <w:rsid w:val="27135A98"/>
    <w:rsid w:val="27605C8A"/>
    <w:rsid w:val="277877CF"/>
    <w:rsid w:val="278321A9"/>
    <w:rsid w:val="27C27E1E"/>
    <w:rsid w:val="27C33D0E"/>
    <w:rsid w:val="2804486E"/>
    <w:rsid w:val="28050651"/>
    <w:rsid w:val="28233B46"/>
    <w:rsid w:val="28236DEF"/>
    <w:rsid w:val="285A49D4"/>
    <w:rsid w:val="28A20E4B"/>
    <w:rsid w:val="28AC27DC"/>
    <w:rsid w:val="28B83D02"/>
    <w:rsid w:val="28ED0622"/>
    <w:rsid w:val="29026319"/>
    <w:rsid w:val="293C125B"/>
    <w:rsid w:val="29D30880"/>
    <w:rsid w:val="29FD04D3"/>
    <w:rsid w:val="2A076E16"/>
    <w:rsid w:val="2A221638"/>
    <w:rsid w:val="2ADC0A5B"/>
    <w:rsid w:val="2AE15664"/>
    <w:rsid w:val="2B036E16"/>
    <w:rsid w:val="2B1C6548"/>
    <w:rsid w:val="2B7D0EFF"/>
    <w:rsid w:val="2BAD54A6"/>
    <w:rsid w:val="2BCE4D72"/>
    <w:rsid w:val="2BDD3831"/>
    <w:rsid w:val="2C30128D"/>
    <w:rsid w:val="2C312F3B"/>
    <w:rsid w:val="2C3812AC"/>
    <w:rsid w:val="2CDB3255"/>
    <w:rsid w:val="2D372607"/>
    <w:rsid w:val="2DBD5AAF"/>
    <w:rsid w:val="2DE853BF"/>
    <w:rsid w:val="2E6B54CB"/>
    <w:rsid w:val="2EAB4516"/>
    <w:rsid w:val="2EB70D56"/>
    <w:rsid w:val="2ED638C5"/>
    <w:rsid w:val="2EDF08B0"/>
    <w:rsid w:val="2EE304AB"/>
    <w:rsid w:val="2F1D0FFC"/>
    <w:rsid w:val="2F3D746E"/>
    <w:rsid w:val="2FE3295C"/>
    <w:rsid w:val="2FF14C9D"/>
    <w:rsid w:val="30131AF7"/>
    <w:rsid w:val="302E4A8A"/>
    <w:rsid w:val="303358FB"/>
    <w:rsid w:val="304E0FE2"/>
    <w:rsid w:val="3071647A"/>
    <w:rsid w:val="30EC6CA9"/>
    <w:rsid w:val="31390857"/>
    <w:rsid w:val="31753BE5"/>
    <w:rsid w:val="31764D5A"/>
    <w:rsid w:val="317F1F9C"/>
    <w:rsid w:val="31905074"/>
    <w:rsid w:val="319F7F4E"/>
    <w:rsid w:val="31CC288F"/>
    <w:rsid w:val="31E37ADA"/>
    <w:rsid w:val="31E8789C"/>
    <w:rsid w:val="31F5708B"/>
    <w:rsid w:val="32121FB6"/>
    <w:rsid w:val="322265EA"/>
    <w:rsid w:val="323E0F64"/>
    <w:rsid w:val="327A615B"/>
    <w:rsid w:val="33290426"/>
    <w:rsid w:val="33714BAA"/>
    <w:rsid w:val="3372706F"/>
    <w:rsid w:val="33737B11"/>
    <w:rsid w:val="33A64A82"/>
    <w:rsid w:val="33D324F7"/>
    <w:rsid w:val="33E76290"/>
    <w:rsid w:val="341102C3"/>
    <w:rsid w:val="3449508B"/>
    <w:rsid w:val="348F11B3"/>
    <w:rsid w:val="34B227E7"/>
    <w:rsid w:val="34C926C0"/>
    <w:rsid w:val="353F0F59"/>
    <w:rsid w:val="35412D98"/>
    <w:rsid w:val="355429A5"/>
    <w:rsid w:val="357D3255"/>
    <w:rsid w:val="359C3B04"/>
    <w:rsid w:val="3604346E"/>
    <w:rsid w:val="361B5938"/>
    <w:rsid w:val="36E92DA4"/>
    <w:rsid w:val="36EE4840"/>
    <w:rsid w:val="37101249"/>
    <w:rsid w:val="37505BB2"/>
    <w:rsid w:val="379473F3"/>
    <w:rsid w:val="379A5E81"/>
    <w:rsid w:val="37CD6EC7"/>
    <w:rsid w:val="37D86BE5"/>
    <w:rsid w:val="37DD2082"/>
    <w:rsid w:val="37E65D8D"/>
    <w:rsid w:val="37EC4923"/>
    <w:rsid w:val="38225860"/>
    <w:rsid w:val="38991684"/>
    <w:rsid w:val="38A31390"/>
    <w:rsid w:val="38CE0D40"/>
    <w:rsid w:val="39036729"/>
    <w:rsid w:val="390548C8"/>
    <w:rsid w:val="391A1896"/>
    <w:rsid w:val="39690225"/>
    <w:rsid w:val="39EF6EF1"/>
    <w:rsid w:val="39FD3E22"/>
    <w:rsid w:val="3A136EC5"/>
    <w:rsid w:val="3A516983"/>
    <w:rsid w:val="3A5E6E1C"/>
    <w:rsid w:val="3A641CB8"/>
    <w:rsid w:val="3A7F621C"/>
    <w:rsid w:val="3A982C0D"/>
    <w:rsid w:val="3AB63170"/>
    <w:rsid w:val="3AE87127"/>
    <w:rsid w:val="3AF07D49"/>
    <w:rsid w:val="3AF26332"/>
    <w:rsid w:val="3B0F25E2"/>
    <w:rsid w:val="3B176AF7"/>
    <w:rsid w:val="3B3B6693"/>
    <w:rsid w:val="3B4A7998"/>
    <w:rsid w:val="3B73595D"/>
    <w:rsid w:val="3B771A86"/>
    <w:rsid w:val="3C0075DD"/>
    <w:rsid w:val="3C06078C"/>
    <w:rsid w:val="3C1C4864"/>
    <w:rsid w:val="3C1F35D6"/>
    <w:rsid w:val="3C2A4D6C"/>
    <w:rsid w:val="3C5078DD"/>
    <w:rsid w:val="3C9A2FF3"/>
    <w:rsid w:val="3CB77FC2"/>
    <w:rsid w:val="3CD72D5F"/>
    <w:rsid w:val="3CF70BFD"/>
    <w:rsid w:val="3D02365F"/>
    <w:rsid w:val="3D10386D"/>
    <w:rsid w:val="3D16645F"/>
    <w:rsid w:val="3D5206D3"/>
    <w:rsid w:val="3D79759F"/>
    <w:rsid w:val="3D7C0AE7"/>
    <w:rsid w:val="3D7D16D7"/>
    <w:rsid w:val="3D816CFE"/>
    <w:rsid w:val="3D871E2F"/>
    <w:rsid w:val="3D892FE5"/>
    <w:rsid w:val="3D930E1C"/>
    <w:rsid w:val="3E591E2C"/>
    <w:rsid w:val="3E627BF0"/>
    <w:rsid w:val="3E940E1C"/>
    <w:rsid w:val="3EB66F15"/>
    <w:rsid w:val="3F2846DF"/>
    <w:rsid w:val="3F355250"/>
    <w:rsid w:val="3F5E5E22"/>
    <w:rsid w:val="3F985F7C"/>
    <w:rsid w:val="3F9B5A69"/>
    <w:rsid w:val="3FAC2BBE"/>
    <w:rsid w:val="3FB74E2C"/>
    <w:rsid w:val="3FC12632"/>
    <w:rsid w:val="3FD37E77"/>
    <w:rsid w:val="402049F4"/>
    <w:rsid w:val="40240607"/>
    <w:rsid w:val="402777B9"/>
    <w:rsid w:val="4035707C"/>
    <w:rsid w:val="40D06827"/>
    <w:rsid w:val="40D47399"/>
    <w:rsid w:val="40F24ABC"/>
    <w:rsid w:val="41024279"/>
    <w:rsid w:val="410C276A"/>
    <w:rsid w:val="4158730F"/>
    <w:rsid w:val="417218EA"/>
    <w:rsid w:val="417B2CC1"/>
    <w:rsid w:val="4197578A"/>
    <w:rsid w:val="42183181"/>
    <w:rsid w:val="423F24EC"/>
    <w:rsid w:val="424317D6"/>
    <w:rsid w:val="42990A5A"/>
    <w:rsid w:val="42A64F5A"/>
    <w:rsid w:val="42C06AB2"/>
    <w:rsid w:val="42C61CF5"/>
    <w:rsid w:val="42D41390"/>
    <w:rsid w:val="42E35373"/>
    <w:rsid w:val="42E448D9"/>
    <w:rsid w:val="43153C57"/>
    <w:rsid w:val="43201858"/>
    <w:rsid w:val="43302847"/>
    <w:rsid w:val="4330749E"/>
    <w:rsid w:val="4358571D"/>
    <w:rsid w:val="437E3FA2"/>
    <w:rsid w:val="4397469D"/>
    <w:rsid w:val="43AF7620"/>
    <w:rsid w:val="43EA4743"/>
    <w:rsid w:val="43F9060D"/>
    <w:rsid w:val="44873ABB"/>
    <w:rsid w:val="449B54DE"/>
    <w:rsid w:val="44E253DA"/>
    <w:rsid w:val="453200CA"/>
    <w:rsid w:val="4536437D"/>
    <w:rsid w:val="45A85148"/>
    <w:rsid w:val="45B93411"/>
    <w:rsid w:val="45BA435B"/>
    <w:rsid w:val="464E40A7"/>
    <w:rsid w:val="46AB5159"/>
    <w:rsid w:val="46EC7352"/>
    <w:rsid w:val="47DD32E8"/>
    <w:rsid w:val="47DE74BC"/>
    <w:rsid w:val="489D50B8"/>
    <w:rsid w:val="48BB67B3"/>
    <w:rsid w:val="48C13C8F"/>
    <w:rsid w:val="49246E3E"/>
    <w:rsid w:val="494E6521"/>
    <w:rsid w:val="495A50DF"/>
    <w:rsid w:val="49776173"/>
    <w:rsid w:val="4A0E126F"/>
    <w:rsid w:val="4A2E5AB1"/>
    <w:rsid w:val="4A451BB2"/>
    <w:rsid w:val="4A6101B6"/>
    <w:rsid w:val="4A9C2D86"/>
    <w:rsid w:val="4AC9532F"/>
    <w:rsid w:val="4B066FA6"/>
    <w:rsid w:val="4B1931D8"/>
    <w:rsid w:val="4B486459"/>
    <w:rsid w:val="4B4C76ED"/>
    <w:rsid w:val="4B616076"/>
    <w:rsid w:val="4BD724AA"/>
    <w:rsid w:val="4BDF1F21"/>
    <w:rsid w:val="4C456561"/>
    <w:rsid w:val="4C466F07"/>
    <w:rsid w:val="4CDA5AFB"/>
    <w:rsid w:val="4CF55056"/>
    <w:rsid w:val="4D0C6139"/>
    <w:rsid w:val="4D504DE9"/>
    <w:rsid w:val="4D5348C3"/>
    <w:rsid w:val="4D945F32"/>
    <w:rsid w:val="4DD02ED8"/>
    <w:rsid w:val="4E582828"/>
    <w:rsid w:val="4EA94311"/>
    <w:rsid w:val="4ECE2238"/>
    <w:rsid w:val="4EE91EDB"/>
    <w:rsid w:val="4F131E50"/>
    <w:rsid w:val="4F173E50"/>
    <w:rsid w:val="4F316145"/>
    <w:rsid w:val="4F50108C"/>
    <w:rsid w:val="4F552DF3"/>
    <w:rsid w:val="4F74575A"/>
    <w:rsid w:val="4F775700"/>
    <w:rsid w:val="4F865A11"/>
    <w:rsid w:val="4FA20A37"/>
    <w:rsid w:val="4FCC26D0"/>
    <w:rsid w:val="50351AC0"/>
    <w:rsid w:val="503B1A5C"/>
    <w:rsid w:val="506F6F5E"/>
    <w:rsid w:val="50B26283"/>
    <w:rsid w:val="50B66C51"/>
    <w:rsid w:val="50D77C30"/>
    <w:rsid w:val="51320067"/>
    <w:rsid w:val="5185760C"/>
    <w:rsid w:val="51C1442B"/>
    <w:rsid w:val="52104066"/>
    <w:rsid w:val="52107A15"/>
    <w:rsid w:val="52136289"/>
    <w:rsid w:val="5245482B"/>
    <w:rsid w:val="524A4F87"/>
    <w:rsid w:val="52544ADB"/>
    <w:rsid w:val="527001DD"/>
    <w:rsid w:val="52A40097"/>
    <w:rsid w:val="52AB43F4"/>
    <w:rsid w:val="52BC0D72"/>
    <w:rsid w:val="52D57CD2"/>
    <w:rsid w:val="52EA4590"/>
    <w:rsid w:val="531401EE"/>
    <w:rsid w:val="53186AD4"/>
    <w:rsid w:val="5373058A"/>
    <w:rsid w:val="537D1722"/>
    <w:rsid w:val="53AF6BDC"/>
    <w:rsid w:val="53BB3B5D"/>
    <w:rsid w:val="53C61A6A"/>
    <w:rsid w:val="53ED45F9"/>
    <w:rsid w:val="54181322"/>
    <w:rsid w:val="54424499"/>
    <w:rsid w:val="546968A1"/>
    <w:rsid w:val="54901A52"/>
    <w:rsid w:val="54A132C1"/>
    <w:rsid w:val="54D87DB8"/>
    <w:rsid w:val="54D945AB"/>
    <w:rsid w:val="54E620C4"/>
    <w:rsid w:val="552A4541"/>
    <w:rsid w:val="553E565B"/>
    <w:rsid w:val="554D66F4"/>
    <w:rsid w:val="55593C73"/>
    <w:rsid w:val="555A0210"/>
    <w:rsid w:val="55906F6A"/>
    <w:rsid w:val="55A80D2C"/>
    <w:rsid w:val="55AB6039"/>
    <w:rsid w:val="55D757C8"/>
    <w:rsid w:val="560657DC"/>
    <w:rsid w:val="560842D6"/>
    <w:rsid w:val="56160FBB"/>
    <w:rsid w:val="56715DE2"/>
    <w:rsid w:val="56A607CD"/>
    <w:rsid w:val="56EF11BC"/>
    <w:rsid w:val="56F67E0C"/>
    <w:rsid w:val="572B752D"/>
    <w:rsid w:val="572E4E42"/>
    <w:rsid w:val="5730754C"/>
    <w:rsid w:val="574E2479"/>
    <w:rsid w:val="57643650"/>
    <w:rsid w:val="57827608"/>
    <w:rsid w:val="579130CD"/>
    <w:rsid w:val="57A70DE1"/>
    <w:rsid w:val="57C57A62"/>
    <w:rsid w:val="57C87557"/>
    <w:rsid w:val="57CE6ED7"/>
    <w:rsid w:val="57D572CA"/>
    <w:rsid w:val="57ED2BB3"/>
    <w:rsid w:val="58022638"/>
    <w:rsid w:val="58295431"/>
    <w:rsid w:val="58476CDE"/>
    <w:rsid w:val="587B13A2"/>
    <w:rsid w:val="58A11952"/>
    <w:rsid w:val="58CF7E89"/>
    <w:rsid w:val="59044F00"/>
    <w:rsid w:val="590A69BA"/>
    <w:rsid w:val="596A697C"/>
    <w:rsid w:val="59902983"/>
    <w:rsid w:val="59C51D26"/>
    <w:rsid w:val="59F83F43"/>
    <w:rsid w:val="5A5663FE"/>
    <w:rsid w:val="5AAB2F21"/>
    <w:rsid w:val="5AC6624D"/>
    <w:rsid w:val="5B575981"/>
    <w:rsid w:val="5B6733EB"/>
    <w:rsid w:val="5B6E2344"/>
    <w:rsid w:val="5B9F7032"/>
    <w:rsid w:val="5BBD79C2"/>
    <w:rsid w:val="5BFB138F"/>
    <w:rsid w:val="5CBC1F3B"/>
    <w:rsid w:val="5CD32044"/>
    <w:rsid w:val="5D1D64F2"/>
    <w:rsid w:val="5D5423B4"/>
    <w:rsid w:val="5D6264A5"/>
    <w:rsid w:val="5D7A28A3"/>
    <w:rsid w:val="5DB50522"/>
    <w:rsid w:val="5E002DD4"/>
    <w:rsid w:val="5E191866"/>
    <w:rsid w:val="5E561A0B"/>
    <w:rsid w:val="5E5877AB"/>
    <w:rsid w:val="5E5C7879"/>
    <w:rsid w:val="5E762708"/>
    <w:rsid w:val="5E766174"/>
    <w:rsid w:val="5E9C1D68"/>
    <w:rsid w:val="5EA749C5"/>
    <w:rsid w:val="5EBA00B4"/>
    <w:rsid w:val="5ECF78A1"/>
    <w:rsid w:val="5FCA51FA"/>
    <w:rsid w:val="5FCD46DB"/>
    <w:rsid w:val="60011E20"/>
    <w:rsid w:val="60161391"/>
    <w:rsid w:val="60183329"/>
    <w:rsid w:val="60191BCE"/>
    <w:rsid w:val="61031401"/>
    <w:rsid w:val="61057C43"/>
    <w:rsid w:val="61836571"/>
    <w:rsid w:val="61AC3E1A"/>
    <w:rsid w:val="61BF09FA"/>
    <w:rsid w:val="620579E8"/>
    <w:rsid w:val="6207224C"/>
    <w:rsid w:val="622342EC"/>
    <w:rsid w:val="625225CA"/>
    <w:rsid w:val="626E58AE"/>
    <w:rsid w:val="62AE25D4"/>
    <w:rsid w:val="62DA5165"/>
    <w:rsid w:val="634E0B31"/>
    <w:rsid w:val="63F17B38"/>
    <w:rsid w:val="643235D6"/>
    <w:rsid w:val="649C316C"/>
    <w:rsid w:val="654E4AB7"/>
    <w:rsid w:val="659B0414"/>
    <w:rsid w:val="65A72A95"/>
    <w:rsid w:val="65C0673A"/>
    <w:rsid w:val="6606519C"/>
    <w:rsid w:val="662E2A7D"/>
    <w:rsid w:val="663957CE"/>
    <w:rsid w:val="667047B4"/>
    <w:rsid w:val="66D75C44"/>
    <w:rsid w:val="670F0C61"/>
    <w:rsid w:val="677A1C24"/>
    <w:rsid w:val="680F53B5"/>
    <w:rsid w:val="68184AB5"/>
    <w:rsid w:val="681922A9"/>
    <w:rsid w:val="6887636F"/>
    <w:rsid w:val="68B36E04"/>
    <w:rsid w:val="68B902C7"/>
    <w:rsid w:val="691E3E4B"/>
    <w:rsid w:val="695D1187"/>
    <w:rsid w:val="697A082B"/>
    <w:rsid w:val="69CF19EE"/>
    <w:rsid w:val="6A003F35"/>
    <w:rsid w:val="6A07192F"/>
    <w:rsid w:val="6A387268"/>
    <w:rsid w:val="6A437626"/>
    <w:rsid w:val="6A8C2029"/>
    <w:rsid w:val="6AC5707D"/>
    <w:rsid w:val="6B3C7B8C"/>
    <w:rsid w:val="6B555DCF"/>
    <w:rsid w:val="6B564A15"/>
    <w:rsid w:val="6B7B25AD"/>
    <w:rsid w:val="6B7C496E"/>
    <w:rsid w:val="6B930428"/>
    <w:rsid w:val="6BA12164"/>
    <w:rsid w:val="6BE264B0"/>
    <w:rsid w:val="6C793C3B"/>
    <w:rsid w:val="6C87591D"/>
    <w:rsid w:val="6CC636DC"/>
    <w:rsid w:val="6CD41225"/>
    <w:rsid w:val="6CFF04DB"/>
    <w:rsid w:val="6D161457"/>
    <w:rsid w:val="6DE83B05"/>
    <w:rsid w:val="6E1C4A95"/>
    <w:rsid w:val="6E4623D7"/>
    <w:rsid w:val="6E76590E"/>
    <w:rsid w:val="6F614006"/>
    <w:rsid w:val="6F740C64"/>
    <w:rsid w:val="6F9C6CDB"/>
    <w:rsid w:val="6FC25043"/>
    <w:rsid w:val="701C5F82"/>
    <w:rsid w:val="703E2147"/>
    <w:rsid w:val="70413D87"/>
    <w:rsid w:val="706D2926"/>
    <w:rsid w:val="708C383C"/>
    <w:rsid w:val="709E3092"/>
    <w:rsid w:val="70AE3804"/>
    <w:rsid w:val="70BD56AA"/>
    <w:rsid w:val="70E96659"/>
    <w:rsid w:val="70F7238B"/>
    <w:rsid w:val="72374B01"/>
    <w:rsid w:val="724C2B96"/>
    <w:rsid w:val="72734D90"/>
    <w:rsid w:val="72A17040"/>
    <w:rsid w:val="72AC3C5B"/>
    <w:rsid w:val="72C83873"/>
    <w:rsid w:val="72E510BB"/>
    <w:rsid w:val="72FF1AC5"/>
    <w:rsid w:val="731D4608"/>
    <w:rsid w:val="7331458C"/>
    <w:rsid w:val="73415BC2"/>
    <w:rsid w:val="73451CC6"/>
    <w:rsid w:val="73826B63"/>
    <w:rsid w:val="73A270C4"/>
    <w:rsid w:val="73CB202A"/>
    <w:rsid w:val="73D350C6"/>
    <w:rsid w:val="73D70847"/>
    <w:rsid w:val="73EA3CFE"/>
    <w:rsid w:val="73EC5BEE"/>
    <w:rsid w:val="73FA3104"/>
    <w:rsid w:val="7412596D"/>
    <w:rsid w:val="74652458"/>
    <w:rsid w:val="74B32BFE"/>
    <w:rsid w:val="75106507"/>
    <w:rsid w:val="75126128"/>
    <w:rsid w:val="756B190E"/>
    <w:rsid w:val="75FB1DA6"/>
    <w:rsid w:val="7600617A"/>
    <w:rsid w:val="76324757"/>
    <w:rsid w:val="76405A9D"/>
    <w:rsid w:val="765732B2"/>
    <w:rsid w:val="76B31705"/>
    <w:rsid w:val="76B35503"/>
    <w:rsid w:val="76C61B09"/>
    <w:rsid w:val="76CA54D8"/>
    <w:rsid w:val="77343504"/>
    <w:rsid w:val="774A05E7"/>
    <w:rsid w:val="775B2CAD"/>
    <w:rsid w:val="775C7835"/>
    <w:rsid w:val="778A741B"/>
    <w:rsid w:val="77A07C93"/>
    <w:rsid w:val="77A7550A"/>
    <w:rsid w:val="79510771"/>
    <w:rsid w:val="795E1BB0"/>
    <w:rsid w:val="79D857C5"/>
    <w:rsid w:val="79E55639"/>
    <w:rsid w:val="79F427FC"/>
    <w:rsid w:val="79FF3540"/>
    <w:rsid w:val="7A075538"/>
    <w:rsid w:val="7A236252"/>
    <w:rsid w:val="7A491200"/>
    <w:rsid w:val="7A61234B"/>
    <w:rsid w:val="7A8B5E93"/>
    <w:rsid w:val="7A9659F7"/>
    <w:rsid w:val="7A995541"/>
    <w:rsid w:val="7AB01C30"/>
    <w:rsid w:val="7AD84AAB"/>
    <w:rsid w:val="7B596DAF"/>
    <w:rsid w:val="7B66176D"/>
    <w:rsid w:val="7BE3456E"/>
    <w:rsid w:val="7C110557"/>
    <w:rsid w:val="7C417CCF"/>
    <w:rsid w:val="7C5E53BB"/>
    <w:rsid w:val="7D476566"/>
    <w:rsid w:val="7D7109C3"/>
    <w:rsid w:val="7DB21C52"/>
    <w:rsid w:val="7E256388"/>
    <w:rsid w:val="7E513F1A"/>
    <w:rsid w:val="7E666086"/>
    <w:rsid w:val="7E7F7F09"/>
    <w:rsid w:val="7E971745"/>
    <w:rsid w:val="7ECB26F9"/>
    <w:rsid w:val="7ED616DF"/>
    <w:rsid w:val="7EDA2304"/>
    <w:rsid w:val="7EED7645"/>
    <w:rsid w:val="7EEF4B72"/>
    <w:rsid w:val="7F1B4E58"/>
    <w:rsid w:val="7FC67FB5"/>
    <w:rsid w:val="7FDC71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465961061021822"/>
          <c:y val="0.191668796319959"/>
          <c:w val="0.924656997255978"/>
          <c:h val="0.56539739330437"/>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收、支决算总计变动</c:v>
                </c:pt>
              </c:strCache>
            </c:strRef>
          </c:cat>
          <c:val>
            <c:numRef>
              <c:f>Sheet1!$B$2</c:f>
              <c:numCache>
                <c:formatCode>General</c:formatCode>
                <c:ptCount val="1"/>
                <c:pt idx="0">
                  <c:v>416.49</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收、支决算总计变动</c:v>
                </c:pt>
              </c:strCache>
            </c:strRef>
          </c:cat>
          <c:val>
            <c:numRef>
              <c:f>Sheet1!$C$2</c:f>
              <c:numCache>
                <c:formatCode>General</c:formatCode>
                <c:ptCount val="1"/>
                <c:pt idx="0">
                  <c:v>394.93</c:v>
                </c:pt>
              </c:numCache>
            </c:numRef>
          </c:val>
        </c:ser>
        <c:dLbls>
          <c:showLegendKey val="0"/>
          <c:showVal val="1"/>
          <c:showCatName val="0"/>
          <c:showSerName val="0"/>
          <c:showPercent val="0"/>
          <c:showBubbleSize val="0"/>
        </c:dLbls>
        <c:gapWidth val="219"/>
        <c:overlap val="-27"/>
        <c:axId val="891704690"/>
        <c:axId val="678502237"/>
      </c:barChart>
      <c:catAx>
        <c:axId val="8917046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502237"/>
        <c:crosses val="autoZero"/>
        <c:auto val="1"/>
        <c:lblAlgn val="ctr"/>
        <c:lblOffset val="100"/>
        <c:noMultiLvlLbl val="0"/>
      </c:catAx>
      <c:valAx>
        <c:axId val="6785022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17046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2019年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0.00%</c:formatCode>
                <c:ptCount val="7"/>
                <c:pt idx="0">
                  <c:v>1</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500366377054328"/>
          <c:y val="0.791872715545044"/>
          <c:w val="0.902020307756726"/>
          <c:h val="0.14749516233068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支出决算结构图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0.957</c:v>
                </c:pt>
                <c:pt idx="1">
                  <c:v>0.043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财政拨款收、支决算总计变动</c:v>
                </c:pt>
              </c:strCache>
            </c:strRef>
          </c:cat>
          <c:val>
            <c:numRef>
              <c:f>Sheet1!$B$2</c:f>
              <c:numCache>
                <c:formatCode>General</c:formatCode>
                <c:ptCount val="1"/>
                <c:pt idx="0">
                  <c:v>416.48</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财政拨款收、支决算总计变动</c:v>
                </c:pt>
              </c:strCache>
            </c:strRef>
          </c:cat>
          <c:val>
            <c:numRef>
              <c:f>Sheet1!$C$2</c:f>
              <c:numCache>
                <c:formatCode>General</c:formatCode>
                <c:ptCount val="1"/>
                <c:pt idx="0">
                  <c:v>394.93</c:v>
                </c:pt>
              </c:numCache>
            </c:numRef>
          </c:val>
        </c:ser>
        <c:dLbls>
          <c:showLegendKey val="0"/>
          <c:showVal val="1"/>
          <c:showCatName val="0"/>
          <c:showSerName val="0"/>
          <c:showPercent val="0"/>
          <c:showBubbleSize val="0"/>
        </c:dLbls>
        <c:gapWidth val="219"/>
        <c:overlap val="-27"/>
        <c:axId val="728479567"/>
        <c:axId val="865874310"/>
      </c:barChart>
      <c:catAx>
        <c:axId val="7284795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874310"/>
        <c:crosses val="autoZero"/>
        <c:auto val="1"/>
        <c:lblAlgn val="ctr"/>
        <c:lblOffset val="100"/>
        <c:noMultiLvlLbl val="0"/>
      </c:catAx>
      <c:valAx>
        <c:axId val="8658743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84795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416.48</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394.93</c:v>
                </c:pt>
              </c:numCache>
            </c:numRef>
          </c:val>
        </c:ser>
        <c:dLbls>
          <c:showLegendKey val="0"/>
          <c:showVal val="1"/>
          <c:showCatName val="0"/>
          <c:showSerName val="0"/>
          <c:showPercent val="0"/>
          <c:showBubbleSize val="0"/>
        </c:dLbls>
        <c:gapWidth val="219"/>
        <c:overlap val="-27"/>
        <c:axId val="617034088"/>
        <c:axId val="117284132"/>
      </c:barChart>
      <c:catAx>
        <c:axId val="617034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284132"/>
        <c:crosses val="autoZero"/>
        <c:auto val="1"/>
        <c:lblAlgn val="ctr"/>
        <c:lblOffset val="100"/>
        <c:noMultiLvlLbl val="0"/>
      </c:catAx>
      <c:valAx>
        <c:axId val="1172841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70340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130625"/>
          <c:y val="0.127"/>
          <c:w val="0.570625"/>
          <c:h val="0.760833333333333"/>
        </c:manualLayout>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公共安全支出</c:v>
                </c:pt>
                <c:pt idx="1">
                  <c:v>社会保障和就业支出</c:v>
                </c:pt>
                <c:pt idx="2">
                  <c:v>卫生健康支出</c:v>
                </c:pt>
                <c:pt idx="3">
                  <c:v>节能环保支出</c:v>
                </c:pt>
                <c:pt idx="4">
                  <c:v>农林水支出</c:v>
                </c:pt>
                <c:pt idx="5">
                  <c:v>住房保障支出</c:v>
                </c:pt>
              </c:strCache>
            </c:strRef>
          </c:cat>
          <c:val>
            <c:numRef>
              <c:f>Sheet1!$B$2:$B$7</c:f>
              <c:numCache>
                <c:formatCode>0.00%</c:formatCode>
                <c:ptCount val="6"/>
                <c:pt idx="0">
                  <c:v>0.755</c:v>
                </c:pt>
                <c:pt idx="1">
                  <c:v>0.0994</c:v>
                </c:pt>
                <c:pt idx="2">
                  <c:v>0.0392</c:v>
                </c:pt>
                <c:pt idx="3">
                  <c:v>0.0076</c:v>
                </c:pt>
                <c:pt idx="4">
                  <c:v>0.0355</c:v>
                </c:pt>
                <c:pt idx="5">
                  <c:v>0.0633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formatCode="0%">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88" textRotate="1"/>
    <customShpInfo spid="_x0000_s2089" textRotate="1"/>
    <customShpInfo spid="_x0000_s2090" textRotate="1"/>
    <customShpInfo spid="_x0000_s2091" textRotate="1"/>
    <customShpInfo spid="_x0000_s2097" textRotate="1"/>
    <customShpInfo spid="_x0000_s2062" textRotate="1"/>
    <customShpInfo spid="_x0000_s2098" textRotate="1"/>
    <customShpInfo spid="_x0000_s2078" textRotate="1"/>
    <customShpInfo spid="_x0000_s2079" textRotate="1"/>
    <customShpInfo spid="_x0000_s2075" textRotate="1"/>
    <customShpInfo spid="_x0000_s2067" textRotate="1"/>
    <customShpInfo spid="_x0000_s2096" textRotate="1"/>
    <customShpInfo spid="_x0000_s2069" textRotate="1"/>
    <customShpInfo spid="_x0000_s207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8</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2020-10-02T08:58:00Z</cp:lastPrinted>
  <dcterms:modified xsi:type="dcterms:W3CDTF">2020-10-27T08:55:47Z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