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9"/>
        <w:rPr>
          <w:rFonts w:ascii="方正小标宋简体" w:hAnsi="宋体" w:eastAsia="方正小标宋简体"/>
          <w:color w:val="000000"/>
          <w:sz w:val="72"/>
          <w:szCs w:val="72"/>
        </w:rPr>
      </w:pPr>
      <w:bookmarkStart w:id="1" w:name="_Toc15396597"/>
      <w:bookmarkStart w:id="2" w:name="_Toc15378441"/>
      <w:bookmarkStart w:id="3" w:name="_Toc15396475"/>
      <w:bookmarkStart w:id="4" w:name="_Toc15377193"/>
      <w:bookmarkStart w:id="5" w:name="_Toc1537742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9"/>
        <w:rPr>
          <w:rFonts w:ascii="方正小标宋简体" w:hAnsi="宋体" w:eastAsia="方正小标宋简体"/>
          <w:color w:val="000000"/>
          <w:sz w:val="72"/>
          <w:szCs w:val="72"/>
        </w:rPr>
      </w:pPr>
      <w:bookmarkStart w:id="6" w:name="_Toc15396598"/>
      <w:bookmarkStart w:id="7" w:name="_Toc15377194"/>
      <w:bookmarkStart w:id="8" w:name="_Toc15378442"/>
      <w:bookmarkStart w:id="9" w:name="_Toc15396476"/>
      <w:bookmarkStart w:id="10" w:name="_Toc15377426"/>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1" w:name="_Toc15306268"/>
      <w:r>
        <w:rPr>
          <w:rFonts w:hint="eastAsia" w:ascii="方正小标宋简体" w:hAnsi="宋体" w:eastAsia="方正小标宋简体"/>
          <w:color w:val="000000"/>
          <w:sz w:val="72"/>
          <w:szCs w:val="72"/>
          <w:lang w:val="en-US" w:eastAsia="zh-CN"/>
        </w:rPr>
        <w:t>公安局</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sdt>
      <w:sdtPr>
        <w:rPr>
          <w:rFonts w:ascii="宋体" w:hAnsi="宋体" w:eastAsia="宋体" w:cs="Times New Roman"/>
          <w:kern w:val="2"/>
          <w:sz w:val="21"/>
          <w:szCs w:val="24"/>
          <w:lang w:val="en-US" w:eastAsia="zh-CN" w:bidi="ar-SA"/>
        </w:rPr>
        <w:id w:val="147465091"/>
        <w15:color w:val="DBDBDB"/>
      </w:sdtPr>
      <w:sdtEndPr>
        <w:rPr>
          <w:rFonts w:ascii="宋体" w:hAnsi="宋体" w:eastAsia="宋体" w:cs="Times New Roman"/>
          <w:b/>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bookmarkStart w:id="104" w:name="_GoBack"/>
          <w:bookmarkEnd w:id="104"/>
          <w:bookmarkStart w:id="12" w:name="_Toc15377196"/>
          <w:bookmarkStart w:id="13" w:name="_Toc15396599"/>
        </w:p>
        <w:p>
          <w:pPr>
            <w:pStyle w:val="12"/>
            <w:tabs>
              <w:tab w:val="right" w:leader="dot" w:pos="8306"/>
              <w:tab w:val="clear" w:pos="8296"/>
            </w:tabs>
          </w:pPr>
          <w:r>
            <w:fldChar w:fldCharType="begin"/>
          </w:r>
          <w:r>
            <w:instrText xml:space="preserve">TOC \o "1-2" \h \u </w:instrText>
          </w:r>
          <w:r>
            <w:fldChar w:fldCharType="separate"/>
          </w:r>
          <w:r>
            <w:fldChar w:fldCharType="begin"/>
          </w:r>
          <w:r>
            <w:instrText xml:space="preserve"> HYPERLINK \l _Toc7794 </w:instrText>
          </w:r>
          <w: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_Toc7794 </w:instrText>
          </w:r>
          <w:r>
            <w:fldChar w:fldCharType="separate"/>
          </w:r>
          <w:r>
            <w:t>3</w:t>
          </w:r>
          <w:r>
            <w:fldChar w:fldCharType="end"/>
          </w:r>
          <w:r>
            <w:fldChar w:fldCharType="end"/>
          </w:r>
        </w:p>
        <w:p>
          <w:pPr>
            <w:pStyle w:val="13"/>
            <w:tabs>
              <w:tab w:val="right" w:leader="dot" w:pos="8306"/>
              <w:tab w:val="clear" w:pos="8296"/>
            </w:tabs>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_Toc4225 </w:instrText>
          </w:r>
          <w:r>
            <w:rPr>
              <w:rFonts w:hint="eastAsia" w:ascii="仿宋" w:hAnsi="仿宋" w:eastAsia="仿宋" w:cs="仿宋"/>
            </w:rPr>
            <w:fldChar w:fldCharType="separate"/>
          </w:r>
          <w:r>
            <w:rPr>
              <w:rFonts w:hint="eastAsia" w:ascii="仿宋" w:hAnsi="仿宋" w:eastAsia="仿宋" w:cs="仿宋"/>
            </w:rPr>
            <w:t>一、基</w:t>
          </w:r>
          <w:r>
            <w:rPr>
              <w:rFonts w:hint="eastAsia" w:ascii="仿宋" w:hAnsi="仿宋" w:eastAsia="仿宋" w:cs="仿宋"/>
              <w:bCs w:val="0"/>
            </w:rPr>
            <w:t>本职能及主要工作</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_Toc4225 </w:instrText>
          </w:r>
          <w:r>
            <w:rPr>
              <w:rFonts w:hint="eastAsia" w:ascii="仿宋" w:hAnsi="仿宋" w:eastAsia="仿宋" w:cs="仿宋"/>
            </w:rPr>
            <w:fldChar w:fldCharType="separate"/>
          </w:r>
          <w:r>
            <w:rPr>
              <w:rFonts w:hint="eastAsia" w:ascii="仿宋" w:hAnsi="仿宋" w:eastAsia="仿宋" w:cs="仿宋"/>
            </w:rPr>
            <w:t>3</w:t>
          </w:r>
          <w:r>
            <w:rPr>
              <w:rFonts w:hint="eastAsia" w:ascii="仿宋" w:hAnsi="仿宋" w:eastAsia="仿宋" w:cs="仿宋"/>
            </w:rPr>
            <w:fldChar w:fldCharType="end"/>
          </w:r>
          <w:r>
            <w:rPr>
              <w:rFonts w:hint="eastAsia" w:ascii="仿宋" w:hAnsi="仿宋" w:eastAsia="仿宋" w:cs="仿宋"/>
            </w:rPr>
            <w:fldChar w:fldCharType="end"/>
          </w:r>
        </w:p>
        <w:p>
          <w:pPr>
            <w:pStyle w:val="13"/>
            <w:tabs>
              <w:tab w:val="right" w:leader="dot" w:pos="8306"/>
              <w:tab w:val="clear" w:pos="8296"/>
            </w:tabs>
          </w:pPr>
          <w:r>
            <w:rPr>
              <w:rFonts w:hint="eastAsia" w:ascii="仿宋" w:hAnsi="仿宋" w:eastAsia="仿宋" w:cs="仿宋"/>
            </w:rPr>
            <w:fldChar w:fldCharType="begin"/>
          </w:r>
          <w:r>
            <w:rPr>
              <w:rFonts w:hint="eastAsia" w:ascii="仿宋" w:hAnsi="仿宋" w:eastAsia="仿宋" w:cs="仿宋"/>
            </w:rPr>
            <w:instrText xml:space="preserve"> HYPERLINK \l _Toc25826 </w:instrText>
          </w:r>
          <w:r>
            <w:rPr>
              <w:rFonts w:hint="eastAsia" w:ascii="仿宋" w:hAnsi="仿宋" w:eastAsia="仿宋" w:cs="仿宋"/>
            </w:rPr>
            <w:fldChar w:fldCharType="separate"/>
          </w:r>
          <w:r>
            <w:rPr>
              <w:rFonts w:hint="eastAsia" w:ascii="仿宋" w:hAnsi="仿宋" w:eastAsia="仿宋" w:cs="仿宋"/>
            </w:rPr>
            <w:t>二、机</w:t>
          </w:r>
          <w:r>
            <w:rPr>
              <w:rFonts w:hint="eastAsia" w:ascii="仿宋" w:hAnsi="仿宋" w:eastAsia="仿宋" w:cs="仿宋"/>
              <w:bCs w:val="0"/>
            </w:rPr>
            <w:t>构设置</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_Toc25826 </w:instrText>
          </w:r>
          <w:r>
            <w:rPr>
              <w:rFonts w:hint="eastAsia" w:ascii="仿宋" w:hAnsi="仿宋" w:eastAsia="仿宋" w:cs="仿宋"/>
            </w:rPr>
            <w:fldChar w:fldCharType="separate"/>
          </w:r>
          <w:r>
            <w:rPr>
              <w:rFonts w:hint="eastAsia" w:ascii="仿宋" w:hAnsi="仿宋" w:eastAsia="仿宋" w:cs="仿宋"/>
            </w:rPr>
            <w:t>6</w:t>
          </w:r>
          <w:r>
            <w:rPr>
              <w:rFonts w:hint="eastAsia" w:ascii="仿宋" w:hAnsi="仿宋" w:eastAsia="仿宋" w:cs="仿宋"/>
            </w:rPr>
            <w:fldChar w:fldCharType="end"/>
          </w:r>
          <w:r>
            <w:rPr>
              <w:rFonts w:hint="eastAsia" w:ascii="仿宋" w:hAnsi="仿宋" w:eastAsia="仿宋" w:cs="仿宋"/>
            </w:rPr>
            <w:fldChar w:fldCharType="end"/>
          </w:r>
        </w:p>
        <w:p>
          <w:pPr>
            <w:pStyle w:val="12"/>
            <w:tabs>
              <w:tab w:val="right" w:leader="dot" w:pos="8306"/>
              <w:tab w:val="clear" w:pos="8296"/>
            </w:tabs>
          </w:pPr>
          <w:r>
            <w:fldChar w:fldCharType="begin"/>
          </w:r>
          <w:r>
            <w:instrText xml:space="preserve"> HYPERLINK \l _Toc26304 </w:instrText>
          </w:r>
          <w:r>
            <w:fldChar w:fldCharType="separate"/>
          </w:r>
          <w:r>
            <w:rPr>
              <w:rFonts w:hint="eastAsia" w:ascii="黑体" w:hAnsi="黑体" w:eastAsia="黑体"/>
            </w:rPr>
            <w:t xml:space="preserve">第二部分 </w:t>
          </w:r>
          <w:r>
            <w:rPr>
              <w:rFonts w:hint="eastAsia" w:ascii="黑体" w:hAnsi="黑体" w:eastAsia="黑体"/>
              <w:bCs w:val="0"/>
            </w:rPr>
            <w:t>2019年度部门决算情况说明</w:t>
          </w:r>
          <w:r>
            <w:tab/>
          </w:r>
          <w:r>
            <w:fldChar w:fldCharType="begin"/>
          </w:r>
          <w:r>
            <w:instrText xml:space="preserve"> PAGEREF _Toc26304 </w:instrText>
          </w:r>
          <w:r>
            <w:fldChar w:fldCharType="separate"/>
          </w:r>
          <w:r>
            <w:t>6</w:t>
          </w:r>
          <w:r>
            <w:fldChar w:fldCharType="end"/>
          </w:r>
          <w:r>
            <w:fldChar w:fldCharType="end"/>
          </w:r>
        </w:p>
        <w:p>
          <w:pPr>
            <w:pStyle w:val="13"/>
            <w:tabs>
              <w:tab w:val="right" w:leader="dot" w:pos="8306"/>
              <w:tab w:val="clear" w:pos="8296"/>
            </w:tabs>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_Toc10262 </w:instrText>
          </w:r>
          <w:r>
            <w:rPr>
              <w:rFonts w:hint="eastAsia" w:ascii="仿宋" w:hAnsi="仿宋" w:eastAsia="仿宋" w:cs="仿宋"/>
            </w:rPr>
            <w:fldChar w:fldCharType="separate"/>
          </w:r>
          <w:r>
            <w:rPr>
              <w:rFonts w:hint="eastAsia" w:ascii="仿宋" w:hAnsi="仿宋" w:eastAsia="仿宋" w:cs="仿宋"/>
            </w:rPr>
            <w:t xml:space="preserve">一、 </w:t>
          </w:r>
          <w:r>
            <w:rPr>
              <w:rFonts w:hint="eastAsia" w:ascii="仿宋" w:hAnsi="仿宋" w:eastAsia="仿宋" w:cs="仿宋"/>
              <w:szCs w:val="32"/>
            </w:rPr>
            <w:t>收</w:t>
          </w:r>
          <w:r>
            <w:rPr>
              <w:rFonts w:hint="eastAsia" w:ascii="仿宋" w:hAnsi="仿宋" w:eastAsia="仿宋" w:cs="仿宋"/>
            </w:rPr>
            <w:t>入支出决算总体情况说明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_Toc10262 </w:instrText>
          </w:r>
          <w:r>
            <w:rPr>
              <w:rFonts w:hint="eastAsia" w:ascii="仿宋" w:hAnsi="仿宋" w:eastAsia="仿宋" w:cs="仿宋"/>
            </w:rPr>
            <w:fldChar w:fldCharType="separate"/>
          </w:r>
          <w:r>
            <w:rPr>
              <w:rFonts w:hint="eastAsia" w:ascii="仿宋" w:hAnsi="仿宋" w:eastAsia="仿宋" w:cs="仿宋"/>
            </w:rPr>
            <w:t>6</w:t>
          </w:r>
          <w:r>
            <w:rPr>
              <w:rFonts w:hint="eastAsia" w:ascii="仿宋" w:hAnsi="仿宋" w:eastAsia="仿宋" w:cs="仿宋"/>
            </w:rPr>
            <w:fldChar w:fldCharType="end"/>
          </w:r>
          <w:r>
            <w:rPr>
              <w:rFonts w:hint="eastAsia" w:ascii="仿宋" w:hAnsi="仿宋" w:eastAsia="仿宋" w:cs="仿宋"/>
            </w:rPr>
            <w:fldChar w:fldCharType="end"/>
          </w:r>
        </w:p>
        <w:p>
          <w:pPr>
            <w:pStyle w:val="13"/>
            <w:tabs>
              <w:tab w:val="right" w:leader="dot" w:pos="8306"/>
              <w:tab w:val="clear" w:pos="8296"/>
            </w:tabs>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_Toc884 </w:instrText>
          </w:r>
          <w:r>
            <w:rPr>
              <w:rFonts w:hint="eastAsia" w:ascii="仿宋" w:hAnsi="仿宋" w:eastAsia="仿宋" w:cs="仿宋"/>
            </w:rPr>
            <w:fldChar w:fldCharType="separate"/>
          </w:r>
          <w:r>
            <w:rPr>
              <w:rFonts w:hint="eastAsia" w:ascii="仿宋" w:hAnsi="仿宋" w:eastAsia="仿宋" w:cs="仿宋"/>
            </w:rPr>
            <w:t xml:space="preserve">二、 </w:t>
          </w:r>
          <w:r>
            <w:rPr>
              <w:rFonts w:hint="eastAsia" w:ascii="仿宋" w:hAnsi="仿宋" w:eastAsia="仿宋" w:cs="仿宋"/>
              <w:szCs w:val="32"/>
            </w:rPr>
            <w:t>收</w:t>
          </w:r>
          <w:r>
            <w:rPr>
              <w:rFonts w:hint="eastAsia" w:ascii="仿宋" w:hAnsi="仿宋" w:eastAsia="仿宋" w:cs="仿宋"/>
            </w:rPr>
            <w:t>入决算情况说明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_Toc884 </w:instrText>
          </w:r>
          <w:r>
            <w:rPr>
              <w:rFonts w:hint="eastAsia" w:ascii="仿宋" w:hAnsi="仿宋" w:eastAsia="仿宋" w:cs="仿宋"/>
            </w:rPr>
            <w:fldChar w:fldCharType="separate"/>
          </w:r>
          <w:r>
            <w:rPr>
              <w:rFonts w:hint="eastAsia" w:ascii="仿宋" w:hAnsi="仿宋" w:eastAsia="仿宋" w:cs="仿宋"/>
            </w:rPr>
            <w:t>7</w:t>
          </w:r>
          <w:r>
            <w:rPr>
              <w:rFonts w:hint="eastAsia" w:ascii="仿宋" w:hAnsi="仿宋" w:eastAsia="仿宋" w:cs="仿宋"/>
            </w:rPr>
            <w:fldChar w:fldCharType="end"/>
          </w:r>
          <w:r>
            <w:rPr>
              <w:rFonts w:hint="eastAsia" w:ascii="仿宋" w:hAnsi="仿宋" w:eastAsia="仿宋" w:cs="仿宋"/>
            </w:rPr>
            <w:fldChar w:fldCharType="end"/>
          </w:r>
        </w:p>
        <w:p>
          <w:pPr>
            <w:pStyle w:val="13"/>
            <w:tabs>
              <w:tab w:val="right" w:leader="dot" w:pos="8306"/>
              <w:tab w:val="clear" w:pos="8296"/>
            </w:tabs>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_Toc30373 </w:instrText>
          </w:r>
          <w:r>
            <w:rPr>
              <w:rFonts w:hint="eastAsia" w:ascii="仿宋" w:hAnsi="仿宋" w:eastAsia="仿宋" w:cs="仿宋"/>
            </w:rPr>
            <w:fldChar w:fldCharType="separate"/>
          </w:r>
          <w:r>
            <w:rPr>
              <w:rFonts w:hint="eastAsia" w:ascii="仿宋" w:hAnsi="仿宋" w:eastAsia="仿宋" w:cs="仿宋"/>
            </w:rPr>
            <w:t xml:space="preserve">三、 </w:t>
          </w:r>
          <w:r>
            <w:rPr>
              <w:rFonts w:hint="eastAsia" w:ascii="仿宋" w:hAnsi="仿宋" w:eastAsia="仿宋" w:cs="仿宋"/>
              <w:szCs w:val="32"/>
            </w:rPr>
            <w:t>支</w:t>
          </w:r>
          <w:r>
            <w:rPr>
              <w:rFonts w:hint="eastAsia" w:ascii="仿宋" w:hAnsi="仿宋" w:eastAsia="仿宋" w:cs="仿宋"/>
            </w:rPr>
            <w:t>出决算情况说明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_Toc30373 </w:instrText>
          </w:r>
          <w:r>
            <w:rPr>
              <w:rFonts w:hint="eastAsia" w:ascii="仿宋" w:hAnsi="仿宋" w:eastAsia="仿宋" w:cs="仿宋"/>
            </w:rPr>
            <w:fldChar w:fldCharType="separate"/>
          </w:r>
          <w:r>
            <w:rPr>
              <w:rFonts w:hint="eastAsia" w:ascii="仿宋" w:hAnsi="仿宋" w:eastAsia="仿宋" w:cs="仿宋"/>
            </w:rPr>
            <w:t>8</w:t>
          </w:r>
          <w:r>
            <w:rPr>
              <w:rFonts w:hint="eastAsia" w:ascii="仿宋" w:hAnsi="仿宋" w:eastAsia="仿宋" w:cs="仿宋"/>
            </w:rPr>
            <w:fldChar w:fldCharType="end"/>
          </w:r>
          <w:r>
            <w:rPr>
              <w:rFonts w:hint="eastAsia" w:ascii="仿宋" w:hAnsi="仿宋" w:eastAsia="仿宋" w:cs="仿宋"/>
            </w:rPr>
            <w:fldChar w:fldCharType="end"/>
          </w:r>
        </w:p>
        <w:p>
          <w:pPr>
            <w:pStyle w:val="13"/>
            <w:tabs>
              <w:tab w:val="right" w:leader="dot" w:pos="8306"/>
              <w:tab w:val="clear" w:pos="8296"/>
            </w:tabs>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_Toc8933 </w:instrText>
          </w:r>
          <w:r>
            <w:rPr>
              <w:rFonts w:hint="eastAsia" w:ascii="仿宋" w:hAnsi="仿宋" w:eastAsia="仿宋" w:cs="仿宋"/>
            </w:rPr>
            <w:fldChar w:fldCharType="separate"/>
          </w:r>
          <w:r>
            <w:rPr>
              <w:rFonts w:hint="eastAsia" w:ascii="仿宋" w:hAnsi="仿宋" w:eastAsia="仿宋" w:cs="仿宋"/>
              <w:szCs w:val="32"/>
            </w:rPr>
            <w:t>四、财</w:t>
          </w:r>
          <w:r>
            <w:rPr>
              <w:rFonts w:hint="eastAsia" w:ascii="仿宋" w:hAnsi="仿宋" w:eastAsia="仿宋" w:cs="仿宋"/>
            </w:rPr>
            <w:t>政拨款收入支出决算总体情况说明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_Toc8933 </w:instrText>
          </w:r>
          <w:r>
            <w:rPr>
              <w:rFonts w:hint="eastAsia" w:ascii="仿宋" w:hAnsi="仿宋" w:eastAsia="仿宋" w:cs="仿宋"/>
            </w:rPr>
            <w:fldChar w:fldCharType="separate"/>
          </w:r>
          <w:r>
            <w:rPr>
              <w:rFonts w:hint="eastAsia" w:ascii="仿宋" w:hAnsi="仿宋" w:eastAsia="仿宋" w:cs="仿宋"/>
            </w:rPr>
            <w:t>9</w:t>
          </w:r>
          <w:r>
            <w:rPr>
              <w:rFonts w:hint="eastAsia" w:ascii="仿宋" w:hAnsi="仿宋" w:eastAsia="仿宋" w:cs="仿宋"/>
            </w:rPr>
            <w:fldChar w:fldCharType="end"/>
          </w:r>
          <w:r>
            <w:rPr>
              <w:rFonts w:hint="eastAsia" w:ascii="仿宋" w:hAnsi="仿宋" w:eastAsia="仿宋" w:cs="仿宋"/>
            </w:rPr>
            <w:fldChar w:fldCharType="end"/>
          </w:r>
        </w:p>
        <w:p>
          <w:pPr>
            <w:pStyle w:val="13"/>
            <w:tabs>
              <w:tab w:val="right" w:leader="dot" w:pos="8306"/>
              <w:tab w:val="clear" w:pos="8296"/>
            </w:tabs>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_Toc2972 </w:instrText>
          </w:r>
          <w:r>
            <w:rPr>
              <w:rFonts w:hint="eastAsia" w:ascii="仿宋" w:hAnsi="仿宋" w:eastAsia="仿宋" w:cs="仿宋"/>
            </w:rPr>
            <w:fldChar w:fldCharType="separate"/>
          </w:r>
          <w:r>
            <w:rPr>
              <w:rFonts w:hint="eastAsia" w:ascii="仿宋" w:hAnsi="仿宋" w:eastAsia="仿宋" w:cs="仿宋"/>
              <w:szCs w:val="32"/>
            </w:rPr>
            <w:t>五、一</w:t>
          </w:r>
          <w:r>
            <w:rPr>
              <w:rFonts w:hint="eastAsia" w:ascii="仿宋" w:hAnsi="仿宋" w:eastAsia="仿宋" w:cs="仿宋"/>
            </w:rPr>
            <w:t>般公共预算财政拨款支出决算情况说明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_Toc2972 </w:instrText>
          </w:r>
          <w:r>
            <w:rPr>
              <w:rFonts w:hint="eastAsia" w:ascii="仿宋" w:hAnsi="仿宋" w:eastAsia="仿宋" w:cs="仿宋"/>
            </w:rPr>
            <w:fldChar w:fldCharType="separate"/>
          </w:r>
          <w:r>
            <w:rPr>
              <w:rFonts w:hint="eastAsia" w:ascii="仿宋" w:hAnsi="仿宋" w:eastAsia="仿宋" w:cs="仿宋"/>
            </w:rPr>
            <w:t>9</w:t>
          </w:r>
          <w:r>
            <w:rPr>
              <w:rFonts w:hint="eastAsia" w:ascii="仿宋" w:hAnsi="仿宋" w:eastAsia="仿宋" w:cs="仿宋"/>
            </w:rPr>
            <w:fldChar w:fldCharType="end"/>
          </w:r>
          <w:r>
            <w:rPr>
              <w:rFonts w:hint="eastAsia" w:ascii="仿宋" w:hAnsi="仿宋" w:eastAsia="仿宋" w:cs="仿宋"/>
            </w:rPr>
            <w:fldChar w:fldCharType="end"/>
          </w:r>
        </w:p>
        <w:p>
          <w:pPr>
            <w:pStyle w:val="13"/>
            <w:tabs>
              <w:tab w:val="right" w:leader="dot" w:pos="8306"/>
              <w:tab w:val="clear" w:pos="8296"/>
            </w:tabs>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_Toc19522 </w:instrText>
          </w:r>
          <w:r>
            <w:rPr>
              <w:rFonts w:hint="eastAsia" w:ascii="仿宋" w:hAnsi="仿宋" w:eastAsia="仿宋" w:cs="仿宋"/>
            </w:rPr>
            <w:fldChar w:fldCharType="separate"/>
          </w:r>
          <w:r>
            <w:rPr>
              <w:rFonts w:hint="eastAsia" w:ascii="仿宋" w:hAnsi="仿宋" w:eastAsia="仿宋" w:cs="仿宋"/>
              <w:szCs w:val="32"/>
            </w:rPr>
            <w:t>六、一</w:t>
          </w:r>
          <w:r>
            <w:rPr>
              <w:rFonts w:hint="eastAsia" w:ascii="仿宋" w:hAnsi="仿宋" w:eastAsia="仿宋" w:cs="仿宋"/>
            </w:rPr>
            <w:t>般公共预算财政拨款基本支出决算情况说明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_Toc19522 </w:instrText>
          </w:r>
          <w:r>
            <w:rPr>
              <w:rFonts w:hint="eastAsia" w:ascii="仿宋" w:hAnsi="仿宋" w:eastAsia="仿宋" w:cs="仿宋"/>
            </w:rPr>
            <w:fldChar w:fldCharType="separate"/>
          </w:r>
          <w:r>
            <w:rPr>
              <w:rFonts w:hint="eastAsia" w:ascii="仿宋" w:hAnsi="仿宋" w:eastAsia="仿宋" w:cs="仿宋"/>
            </w:rPr>
            <w:t>13</w:t>
          </w:r>
          <w:r>
            <w:rPr>
              <w:rFonts w:hint="eastAsia" w:ascii="仿宋" w:hAnsi="仿宋" w:eastAsia="仿宋" w:cs="仿宋"/>
            </w:rPr>
            <w:fldChar w:fldCharType="end"/>
          </w:r>
          <w:r>
            <w:rPr>
              <w:rFonts w:hint="eastAsia" w:ascii="仿宋" w:hAnsi="仿宋" w:eastAsia="仿宋" w:cs="仿宋"/>
            </w:rPr>
            <w:fldChar w:fldCharType="end"/>
          </w:r>
        </w:p>
        <w:p>
          <w:pPr>
            <w:pStyle w:val="13"/>
            <w:tabs>
              <w:tab w:val="right" w:leader="dot" w:pos="8306"/>
              <w:tab w:val="clear" w:pos="8296"/>
            </w:tabs>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_Toc4192 </w:instrText>
          </w:r>
          <w:r>
            <w:rPr>
              <w:rFonts w:hint="eastAsia" w:ascii="仿宋" w:hAnsi="仿宋" w:eastAsia="仿宋" w:cs="仿宋"/>
            </w:rPr>
            <w:fldChar w:fldCharType="separate"/>
          </w:r>
          <w:r>
            <w:rPr>
              <w:rFonts w:hint="eastAsia" w:ascii="仿宋" w:hAnsi="仿宋" w:eastAsia="仿宋" w:cs="仿宋"/>
              <w:szCs w:val="32"/>
            </w:rPr>
            <w:t>七、</w:t>
          </w:r>
          <w:r>
            <w:rPr>
              <w:rFonts w:hint="eastAsia" w:ascii="仿宋" w:hAnsi="仿宋" w:eastAsia="仿宋" w:cs="仿宋"/>
            </w:rPr>
            <w:t>“三公”经费财政拨款支出决算情况说明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_Toc4192 </w:instrText>
          </w:r>
          <w:r>
            <w:rPr>
              <w:rFonts w:hint="eastAsia" w:ascii="仿宋" w:hAnsi="仿宋" w:eastAsia="仿宋" w:cs="仿宋"/>
            </w:rPr>
            <w:fldChar w:fldCharType="separate"/>
          </w:r>
          <w:r>
            <w:rPr>
              <w:rFonts w:hint="eastAsia" w:ascii="仿宋" w:hAnsi="仿宋" w:eastAsia="仿宋" w:cs="仿宋"/>
            </w:rPr>
            <w:t>14</w:t>
          </w:r>
          <w:r>
            <w:rPr>
              <w:rFonts w:hint="eastAsia" w:ascii="仿宋" w:hAnsi="仿宋" w:eastAsia="仿宋" w:cs="仿宋"/>
            </w:rPr>
            <w:fldChar w:fldCharType="end"/>
          </w:r>
          <w:r>
            <w:rPr>
              <w:rFonts w:hint="eastAsia" w:ascii="仿宋" w:hAnsi="仿宋" w:eastAsia="仿宋" w:cs="仿宋"/>
            </w:rPr>
            <w:fldChar w:fldCharType="end"/>
          </w:r>
        </w:p>
        <w:p>
          <w:pPr>
            <w:pStyle w:val="13"/>
            <w:tabs>
              <w:tab w:val="right" w:leader="dot" w:pos="8306"/>
              <w:tab w:val="clear" w:pos="8296"/>
            </w:tabs>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_Toc3718 </w:instrText>
          </w:r>
          <w:r>
            <w:rPr>
              <w:rFonts w:hint="eastAsia" w:ascii="仿宋" w:hAnsi="仿宋" w:eastAsia="仿宋" w:cs="仿宋"/>
            </w:rPr>
            <w:fldChar w:fldCharType="separate"/>
          </w:r>
          <w:r>
            <w:rPr>
              <w:rFonts w:hint="eastAsia" w:ascii="仿宋" w:hAnsi="仿宋" w:eastAsia="仿宋" w:cs="仿宋"/>
              <w:szCs w:val="32"/>
            </w:rPr>
            <w:t>八、</w:t>
          </w:r>
          <w:r>
            <w:rPr>
              <w:rFonts w:hint="eastAsia" w:ascii="仿宋" w:hAnsi="仿宋" w:eastAsia="仿宋" w:cs="仿宋"/>
            </w:rPr>
            <w:t>政府性基金预算支出决算情况说明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_Toc3718 </w:instrText>
          </w:r>
          <w:r>
            <w:rPr>
              <w:rFonts w:hint="eastAsia" w:ascii="仿宋" w:hAnsi="仿宋" w:eastAsia="仿宋" w:cs="仿宋"/>
            </w:rPr>
            <w:fldChar w:fldCharType="separate"/>
          </w:r>
          <w:r>
            <w:rPr>
              <w:rFonts w:hint="eastAsia" w:ascii="仿宋" w:hAnsi="仿宋" w:eastAsia="仿宋" w:cs="仿宋"/>
            </w:rPr>
            <w:t>16</w:t>
          </w:r>
          <w:r>
            <w:rPr>
              <w:rFonts w:hint="eastAsia" w:ascii="仿宋" w:hAnsi="仿宋" w:eastAsia="仿宋" w:cs="仿宋"/>
            </w:rPr>
            <w:fldChar w:fldCharType="end"/>
          </w:r>
          <w:r>
            <w:rPr>
              <w:rFonts w:hint="eastAsia" w:ascii="仿宋" w:hAnsi="仿宋" w:eastAsia="仿宋" w:cs="仿宋"/>
            </w:rPr>
            <w:fldChar w:fldCharType="end"/>
          </w:r>
        </w:p>
        <w:p>
          <w:pPr>
            <w:pStyle w:val="13"/>
            <w:tabs>
              <w:tab w:val="right" w:leader="dot" w:pos="8306"/>
              <w:tab w:val="clear" w:pos="8296"/>
            </w:tabs>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_Toc24193 </w:instrText>
          </w:r>
          <w:r>
            <w:rPr>
              <w:rFonts w:hint="eastAsia" w:ascii="仿宋" w:hAnsi="仿宋" w:eastAsia="仿宋" w:cs="仿宋"/>
            </w:rPr>
            <w:fldChar w:fldCharType="separate"/>
          </w:r>
          <w:r>
            <w:rPr>
              <w:rFonts w:hint="eastAsia" w:ascii="仿宋" w:hAnsi="仿宋" w:eastAsia="仿宋" w:cs="仿宋"/>
            </w:rPr>
            <w:t>九、 国有资本经营预算支出决算情况说明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_Toc24193 </w:instrText>
          </w:r>
          <w:r>
            <w:rPr>
              <w:rFonts w:hint="eastAsia" w:ascii="仿宋" w:hAnsi="仿宋" w:eastAsia="仿宋" w:cs="仿宋"/>
            </w:rPr>
            <w:fldChar w:fldCharType="separate"/>
          </w:r>
          <w:r>
            <w:rPr>
              <w:rFonts w:hint="eastAsia" w:ascii="仿宋" w:hAnsi="仿宋" w:eastAsia="仿宋" w:cs="仿宋"/>
            </w:rPr>
            <w:t>16</w:t>
          </w:r>
          <w:r>
            <w:rPr>
              <w:rFonts w:hint="eastAsia" w:ascii="仿宋" w:hAnsi="仿宋" w:eastAsia="仿宋" w:cs="仿宋"/>
            </w:rPr>
            <w:fldChar w:fldCharType="end"/>
          </w:r>
          <w:r>
            <w:rPr>
              <w:rFonts w:hint="eastAsia" w:ascii="仿宋" w:hAnsi="仿宋" w:eastAsia="仿宋" w:cs="仿宋"/>
            </w:rPr>
            <w:fldChar w:fldCharType="end"/>
          </w:r>
        </w:p>
        <w:p>
          <w:pPr>
            <w:pStyle w:val="13"/>
            <w:tabs>
              <w:tab w:val="right" w:leader="dot" w:pos="8306"/>
              <w:tab w:val="clear" w:pos="8296"/>
            </w:tabs>
          </w:pPr>
          <w:r>
            <w:rPr>
              <w:rFonts w:hint="eastAsia" w:ascii="仿宋" w:hAnsi="仿宋" w:eastAsia="仿宋" w:cs="仿宋"/>
            </w:rPr>
            <w:fldChar w:fldCharType="begin"/>
          </w:r>
          <w:r>
            <w:rPr>
              <w:rFonts w:hint="eastAsia" w:ascii="仿宋" w:hAnsi="仿宋" w:eastAsia="仿宋" w:cs="仿宋"/>
            </w:rPr>
            <w:instrText xml:space="preserve"> HYPERLINK \l _Toc20863 </w:instrText>
          </w:r>
          <w:r>
            <w:rPr>
              <w:rFonts w:hint="eastAsia" w:ascii="仿宋" w:hAnsi="仿宋" w:eastAsia="仿宋" w:cs="仿宋"/>
            </w:rPr>
            <w:fldChar w:fldCharType="separate"/>
          </w:r>
          <w:r>
            <w:rPr>
              <w:rFonts w:hint="eastAsia" w:ascii="仿宋" w:hAnsi="仿宋" w:eastAsia="仿宋" w:cs="仿宋"/>
              <w:szCs w:val="32"/>
            </w:rPr>
            <w:t>十</w:t>
          </w:r>
          <w:r>
            <w:rPr>
              <w:rFonts w:hint="eastAsia" w:ascii="仿宋" w:hAnsi="仿宋" w:eastAsia="仿宋" w:cs="仿宋"/>
            </w:rPr>
            <w:t>、其他重要事项的情况说明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_Toc20863 </w:instrText>
          </w:r>
          <w:r>
            <w:rPr>
              <w:rFonts w:hint="eastAsia" w:ascii="仿宋" w:hAnsi="仿宋" w:eastAsia="仿宋" w:cs="仿宋"/>
            </w:rPr>
            <w:fldChar w:fldCharType="separate"/>
          </w:r>
          <w:r>
            <w:rPr>
              <w:rFonts w:hint="eastAsia" w:ascii="仿宋" w:hAnsi="仿宋" w:eastAsia="仿宋" w:cs="仿宋"/>
            </w:rPr>
            <w:t>16</w:t>
          </w:r>
          <w:r>
            <w:rPr>
              <w:rFonts w:hint="eastAsia" w:ascii="仿宋" w:hAnsi="仿宋" w:eastAsia="仿宋" w:cs="仿宋"/>
            </w:rPr>
            <w:fldChar w:fldCharType="end"/>
          </w:r>
          <w:r>
            <w:rPr>
              <w:rFonts w:hint="eastAsia" w:ascii="仿宋" w:hAnsi="仿宋" w:eastAsia="仿宋" w:cs="仿宋"/>
            </w:rPr>
            <w:fldChar w:fldCharType="end"/>
          </w:r>
        </w:p>
        <w:p>
          <w:pPr>
            <w:pStyle w:val="12"/>
            <w:tabs>
              <w:tab w:val="right" w:leader="dot" w:pos="8306"/>
              <w:tab w:val="clear" w:pos="8296"/>
            </w:tabs>
          </w:pPr>
          <w:r>
            <w:fldChar w:fldCharType="begin"/>
          </w:r>
          <w:r>
            <w:instrText xml:space="preserve"> HYPERLINK \l _Toc18727 </w:instrText>
          </w:r>
          <w: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_Toc18727 </w:instrText>
          </w:r>
          <w:r>
            <w:fldChar w:fldCharType="separate"/>
          </w:r>
          <w:r>
            <w:t>21</w:t>
          </w:r>
          <w:r>
            <w:fldChar w:fldCharType="end"/>
          </w:r>
          <w:r>
            <w:fldChar w:fldCharType="end"/>
          </w:r>
        </w:p>
        <w:p>
          <w:pPr>
            <w:pStyle w:val="12"/>
            <w:tabs>
              <w:tab w:val="right" w:leader="dot" w:pos="8306"/>
              <w:tab w:val="clear" w:pos="8296"/>
            </w:tabs>
          </w:pPr>
          <w:r>
            <w:fldChar w:fldCharType="begin"/>
          </w:r>
          <w:r>
            <w:instrText xml:space="preserve"> HYPERLINK \l _Toc17402 </w:instrText>
          </w:r>
          <w: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_Toc17402 </w:instrText>
          </w:r>
          <w:r>
            <w:fldChar w:fldCharType="separate"/>
          </w:r>
          <w:r>
            <w:t>25</w:t>
          </w:r>
          <w:r>
            <w:fldChar w:fldCharType="end"/>
          </w:r>
          <w:r>
            <w:fldChar w:fldCharType="end"/>
          </w:r>
        </w:p>
        <w:p>
          <w:pPr>
            <w:pStyle w:val="12"/>
            <w:tabs>
              <w:tab w:val="right" w:leader="dot" w:pos="8306"/>
              <w:tab w:val="clear" w:pos="8296"/>
            </w:tabs>
          </w:pPr>
          <w:r>
            <w:fldChar w:fldCharType="begin"/>
          </w:r>
          <w:r>
            <w:instrText xml:space="preserve"> HYPERLINK \l _Toc29453 </w:instrText>
          </w:r>
          <w:r>
            <w:fldChar w:fldCharType="separate"/>
          </w:r>
          <w:r>
            <w:rPr>
              <w:rFonts w:hint="eastAsia" w:ascii="黑体" w:hAnsi="黑体" w:eastAsia="黑体" w:cs="黑体"/>
              <w:szCs w:val="32"/>
            </w:rPr>
            <w:t>附件1</w:t>
          </w:r>
          <w:r>
            <w:tab/>
          </w:r>
          <w:r>
            <w:fldChar w:fldCharType="begin"/>
          </w:r>
          <w:r>
            <w:instrText xml:space="preserve"> PAGEREF _Toc29453 </w:instrText>
          </w:r>
          <w:r>
            <w:fldChar w:fldCharType="separate"/>
          </w:r>
          <w:r>
            <w:t>25</w:t>
          </w:r>
          <w:r>
            <w:fldChar w:fldCharType="end"/>
          </w:r>
          <w:r>
            <w:fldChar w:fldCharType="end"/>
          </w:r>
        </w:p>
        <w:p>
          <w:pPr>
            <w:pStyle w:val="12"/>
            <w:tabs>
              <w:tab w:val="right" w:leader="dot" w:pos="8306"/>
              <w:tab w:val="clear" w:pos="8296"/>
            </w:tabs>
          </w:pPr>
          <w:r>
            <w:fldChar w:fldCharType="begin"/>
          </w:r>
          <w:r>
            <w:instrText xml:space="preserve"> HYPERLINK \l _Toc30819 </w:instrText>
          </w:r>
          <w: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_Toc30819 </w:instrText>
          </w:r>
          <w:r>
            <w:fldChar w:fldCharType="separate"/>
          </w:r>
          <w:r>
            <w:t>34</w:t>
          </w:r>
          <w:r>
            <w:fldChar w:fldCharType="end"/>
          </w:r>
          <w:r>
            <w:fldChar w:fldCharType="end"/>
          </w:r>
        </w:p>
        <w:p>
          <w:pPr>
            <w:pStyle w:val="13"/>
            <w:tabs>
              <w:tab w:val="right" w:leader="dot" w:pos="8306"/>
              <w:tab w:val="clear" w:pos="8296"/>
            </w:tabs>
          </w:pPr>
          <w:r>
            <w:fldChar w:fldCharType="begin"/>
          </w:r>
          <w:r>
            <w:instrText xml:space="preserve"> HYPERLINK \l _Toc7455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_Toc7455 </w:instrText>
          </w:r>
          <w:r>
            <w:fldChar w:fldCharType="separate"/>
          </w:r>
          <w:r>
            <w:t>34</w:t>
          </w:r>
          <w:r>
            <w:fldChar w:fldCharType="end"/>
          </w:r>
          <w:r>
            <w:fldChar w:fldCharType="end"/>
          </w:r>
        </w:p>
        <w:p>
          <w:pPr>
            <w:pStyle w:val="13"/>
            <w:tabs>
              <w:tab w:val="right" w:leader="dot" w:pos="8306"/>
              <w:tab w:val="clear" w:pos="8296"/>
            </w:tabs>
          </w:pPr>
          <w:r>
            <w:fldChar w:fldCharType="begin"/>
          </w:r>
          <w:r>
            <w:instrText xml:space="preserve"> HYPERLINK \l _Toc2911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_Toc2911 </w:instrText>
          </w:r>
          <w:r>
            <w:fldChar w:fldCharType="separate"/>
          </w:r>
          <w:r>
            <w:t>34</w:t>
          </w:r>
          <w:r>
            <w:fldChar w:fldCharType="end"/>
          </w:r>
          <w:r>
            <w:fldChar w:fldCharType="end"/>
          </w:r>
        </w:p>
        <w:p>
          <w:pPr>
            <w:pStyle w:val="13"/>
            <w:tabs>
              <w:tab w:val="right" w:leader="dot" w:pos="8306"/>
              <w:tab w:val="clear" w:pos="8296"/>
            </w:tabs>
          </w:pPr>
          <w:r>
            <w:fldChar w:fldCharType="begin"/>
          </w:r>
          <w:r>
            <w:instrText xml:space="preserve"> HYPERLINK \l _Toc31541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_Toc31541 </w:instrText>
          </w:r>
          <w:r>
            <w:fldChar w:fldCharType="separate"/>
          </w:r>
          <w:r>
            <w:t>34</w:t>
          </w:r>
          <w:r>
            <w:fldChar w:fldCharType="end"/>
          </w:r>
          <w:r>
            <w:fldChar w:fldCharType="end"/>
          </w:r>
        </w:p>
        <w:p>
          <w:pPr>
            <w:pStyle w:val="13"/>
            <w:tabs>
              <w:tab w:val="right" w:leader="dot" w:pos="8306"/>
              <w:tab w:val="clear" w:pos="8296"/>
            </w:tabs>
          </w:pPr>
          <w:r>
            <w:fldChar w:fldCharType="begin"/>
          </w:r>
          <w:r>
            <w:instrText xml:space="preserve"> HYPERLINK \l _Toc19489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_Toc19489 </w:instrText>
          </w:r>
          <w:r>
            <w:fldChar w:fldCharType="separate"/>
          </w:r>
          <w:r>
            <w:t>34</w:t>
          </w:r>
          <w:r>
            <w:fldChar w:fldCharType="end"/>
          </w:r>
          <w:r>
            <w:fldChar w:fldCharType="end"/>
          </w:r>
        </w:p>
        <w:p>
          <w:pPr>
            <w:pStyle w:val="13"/>
            <w:tabs>
              <w:tab w:val="right" w:leader="dot" w:pos="8306"/>
              <w:tab w:val="clear" w:pos="8296"/>
            </w:tabs>
          </w:pPr>
          <w:r>
            <w:fldChar w:fldCharType="begin"/>
          </w:r>
          <w:r>
            <w:instrText xml:space="preserve"> HYPERLINK \l _Toc18309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_Toc18309 </w:instrText>
          </w:r>
          <w:r>
            <w:fldChar w:fldCharType="separate"/>
          </w:r>
          <w:r>
            <w:t>34</w:t>
          </w:r>
          <w:r>
            <w:fldChar w:fldCharType="end"/>
          </w:r>
          <w:r>
            <w:fldChar w:fldCharType="end"/>
          </w:r>
        </w:p>
        <w:p>
          <w:pPr>
            <w:pStyle w:val="13"/>
            <w:tabs>
              <w:tab w:val="right" w:leader="dot" w:pos="8306"/>
              <w:tab w:val="clear" w:pos="8296"/>
            </w:tabs>
          </w:pPr>
          <w:r>
            <w:fldChar w:fldCharType="begin"/>
          </w:r>
          <w:r>
            <w:instrText xml:space="preserve"> HYPERLINK \l _Toc23695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_Toc23695 </w:instrText>
          </w:r>
          <w:r>
            <w:fldChar w:fldCharType="separate"/>
          </w:r>
          <w:r>
            <w:t>34</w:t>
          </w:r>
          <w:r>
            <w:fldChar w:fldCharType="end"/>
          </w:r>
          <w:r>
            <w:fldChar w:fldCharType="end"/>
          </w:r>
        </w:p>
        <w:p>
          <w:pPr>
            <w:pStyle w:val="13"/>
            <w:tabs>
              <w:tab w:val="right" w:leader="dot" w:pos="8306"/>
              <w:tab w:val="clear" w:pos="8296"/>
            </w:tabs>
          </w:pPr>
          <w:r>
            <w:fldChar w:fldCharType="begin"/>
          </w:r>
          <w:r>
            <w:instrText xml:space="preserve"> HYPERLINK \l _Toc21183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_Toc21183 </w:instrText>
          </w:r>
          <w:r>
            <w:fldChar w:fldCharType="separate"/>
          </w:r>
          <w:r>
            <w:t>34</w:t>
          </w:r>
          <w:r>
            <w:fldChar w:fldCharType="end"/>
          </w:r>
          <w:r>
            <w:fldChar w:fldCharType="end"/>
          </w:r>
        </w:p>
        <w:p>
          <w:pPr>
            <w:pStyle w:val="13"/>
            <w:tabs>
              <w:tab w:val="right" w:leader="dot" w:pos="8306"/>
              <w:tab w:val="clear" w:pos="8296"/>
            </w:tabs>
          </w:pPr>
          <w:r>
            <w:fldChar w:fldCharType="begin"/>
          </w:r>
          <w:r>
            <w:instrText xml:space="preserve"> HYPERLINK \l _Toc12149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_Toc12149 </w:instrText>
          </w:r>
          <w:r>
            <w:fldChar w:fldCharType="separate"/>
          </w:r>
          <w:r>
            <w:t>34</w:t>
          </w:r>
          <w:r>
            <w:fldChar w:fldCharType="end"/>
          </w:r>
          <w:r>
            <w:fldChar w:fldCharType="end"/>
          </w:r>
        </w:p>
        <w:p>
          <w:pPr>
            <w:pStyle w:val="13"/>
            <w:tabs>
              <w:tab w:val="right" w:leader="dot" w:pos="8306"/>
              <w:tab w:val="clear" w:pos="8296"/>
            </w:tabs>
          </w:pPr>
          <w:r>
            <w:fldChar w:fldCharType="begin"/>
          </w:r>
          <w:r>
            <w:instrText xml:space="preserve"> HYPERLINK \l _Toc32242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_Toc32242 </w:instrText>
          </w:r>
          <w:r>
            <w:fldChar w:fldCharType="separate"/>
          </w:r>
          <w:r>
            <w:t>34</w:t>
          </w:r>
          <w:r>
            <w:fldChar w:fldCharType="end"/>
          </w:r>
          <w:r>
            <w:fldChar w:fldCharType="end"/>
          </w:r>
        </w:p>
        <w:p>
          <w:pPr>
            <w:pStyle w:val="13"/>
            <w:tabs>
              <w:tab w:val="right" w:leader="dot" w:pos="8306"/>
              <w:tab w:val="clear" w:pos="8296"/>
            </w:tabs>
          </w:pPr>
          <w:r>
            <w:fldChar w:fldCharType="begin"/>
          </w:r>
          <w:r>
            <w:instrText xml:space="preserve"> HYPERLINK \l _Toc15696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_Toc15696 </w:instrText>
          </w:r>
          <w:r>
            <w:fldChar w:fldCharType="separate"/>
          </w:r>
          <w:r>
            <w:t>34</w:t>
          </w:r>
          <w:r>
            <w:fldChar w:fldCharType="end"/>
          </w:r>
          <w:r>
            <w:fldChar w:fldCharType="end"/>
          </w:r>
        </w:p>
        <w:p>
          <w:pPr>
            <w:pStyle w:val="13"/>
            <w:tabs>
              <w:tab w:val="right" w:leader="dot" w:pos="8306"/>
              <w:tab w:val="clear" w:pos="8296"/>
            </w:tabs>
          </w:pPr>
          <w:r>
            <w:fldChar w:fldCharType="begin"/>
          </w:r>
          <w:r>
            <w:instrText xml:space="preserve"> HYPERLINK \l _Toc13479 </w:instrText>
          </w:r>
          <w: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_Toc13479 </w:instrText>
          </w:r>
          <w:r>
            <w:fldChar w:fldCharType="separate"/>
          </w:r>
          <w:r>
            <w:t>34</w:t>
          </w:r>
          <w:r>
            <w:fldChar w:fldCharType="end"/>
          </w:r>
          <w:r>
            <w:fldChar w:fldCharType="end"/>
          </w:r>
        </w:p>
        <w:p>
          <w:pPr>
            <w:pStyle w:val="13"/>
            <w:tabs>
              <w:tab w:val="right" w:leader="dot" w:pos="8306"/>
              <w:tab w:val="clear" w:pos="8296"/>
            </w:tabs>
          </w:pPr>
          <w:r>
            <w:fldChar w:fldCharType="begin"/>
          </w:r>
          <w:r>
            <w:instrText xml:space="preserve"> HYPERLINK \l _Toc19580 </w:instrText>
          </w:r>
          <w: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_Toc19580 </w:instrText>
          </w:r>
          <w:r>
            <w:fldChar w:fldCharType="separate"/>
          </w:r>
          <w:r>
            <w:t>34</w:t>
          </w:r>
          <w:r>
            <w:fldChar w:fldCharType="end"/>
          </w:r>
          <w:r>
            <w:fldChar w:fldCharType="end"/>
          </w:r>
        </w:p>
        <w:p>
          <w:pPr>
            <w:pStyle w:val="13"/>
            <w:tabs>
              <w:tab w:val="right" w:leader="dot" w:pos="8306"/>
              <w:tab w:val="clear" w:pos="8296"/>
            </w:tabs>
          </w:pPr>
          <w:r>
            <w:fldChar w:fldCharType="begin"/>
          </w:r>
          <w:r>
            <w:instrText xml:space="preserve"> HYPERLINK \l _Toc28893 </w:instrText>
          </w:r>
          <w: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_Toc28893 </w:instrText>
          </w:r>
          <w:r>
            <w:fldChar w:fldCharType="separate"/>
          </w:r>
          <w:r>
            <w:t>34</w:t>
          </w:r>
          <w:r>
            <w:fldChar w:fldCharType="end"/>
          </w:r>
          <w:r>
            <w:fldChar w:fldCharType="end"/>
          </w:r>
        </w:p>
        <w:p>
          <w:r>
            <w:fldChar w:fldCharType="end"/>
          </w:r>
        </w:p>
      </w:sdtContent>
    </w:sdt>
    <w:p>
      <w:pPr>
        <w:widowControl/>
        <w:spacing w:line="440" w:lineRule="exact"/>
        <w:jc w:val="left"/>
        <w:rPr>
          <w:rFonts w:ascii="仿宋" w:hAnsi="仿宋" w:eastAsia="仿宋"/>
          <w:bCs/>
          <w:kern w:val="44"/>
          <w:sz w:val="24"/>
        </w:rPr>
      </w:pPr>
      <w:r>
        <w:rPr>
          <w:rFonts w:ascii="仿宋" w:hAnsi="仿宋" w:eastAsia="仿宋"/>
          <w:b/>
          <w:sz w:val="24"/>
        </w:rPr>
        <w:br w:type="page"/>
      </w:r>
    </w:p>
    <w:p>
      <w:pPr>
        <w:pStyle w:val="2"/>
        <w:jc w:val="center"/>
        <w:outlineLvl w:val="0"/>
        <w:rPr>
          <w:rStyle w:val="27"/>
          <w:rFonts w:ascii="黑体" w:hAnsi="黑体" w:eastAsia="黑体"/>
          <w:b/>
          <w:bCs w:val="0"/>
        </w:rPr>
      </w:pPr>
      <w:bookmarkStart w:id="14" w:name="_Toc7794"/>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bookmarkEnd w:id="14"/>
    </w:p>
    <w:p>
      <w:pPr>
        <w:pStyle w:val="3"/>
        <w:rPr>
          <w:rStyle w:val="28"/>
          <w:rFonts w:ascii="仿宋" w:hAnsi="仿宋" w:eastAsia="仿宋"/>
          <w:b w:val="0"/>
          <w:bCs w:val="0"/>
        </w:rPr>
      </w:pPr>
      <w:bookmarkStart w:id="15" w:name="_Toc4225"/>
      <w:bookmarkStart w:id="16" w:name="_Toc15377197"/>
      <w:bookmarkStart w:id="17" w:name="_Toc15396600"/>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5"/>
      <w:bookmarkEnd w:id="16"/>
      <w:bookmarkEnd w:id="17"/>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8" w:name="_Toc15378445"/>
      <w:bookmarkStart w:id="19" w:name="_Toc15377198"/>
      <w:r>
        <w:rPr>
          <w:rFonts w:hint="eastAsia" w:ascii="仿宋" w:hAnsi="仿宋" w:eastAsia="仿宋"/>
          <w:bCs/>
          <w:color w:val="000000"/>
          <w:sz w:val="32"/>
          <w:szCs w:val="32"/>
        </w:rPr>
        <w:t>（一）主要职能。</w:t>
      </w:r>
      <w:bookmarkEnd w:id="18"/>
      <w:bookmarkEnd w:id="19"/>
      <w:bookmarkStart w:id="20" w:name="_Toc15378446"/>
      <w:bookmarkStart w:id="21" w:name="_Toc15377199"/>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1.贯彻执行国家公安工作的方针、政策和法律、法规、规章，起草地方性公安法规、规章草案，部署、指导、监督、检查全县公安工作；负责全县辖区公安机关依法行政工作，落实行政执法责任制。</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2.指导、协调全县公安机关应急管理、抢险救援工作和社会公共突发事件的处置工作。</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3.收集影响社会稳定、危害国家安全和社会治安的情况，全面掌握社情民意，分析研判情报信息和治安形势，制定对策。</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4.组织、实施、指导全县公安法制建设，按管辖办理行政诉讼、行政复议案件。依法实施行政许可、行政审批事项。</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5.组织指导全县公安侦查工作；协调、指挥、侦破、处理公安机关管辖的刑事案件，处置治安灾害事故、骚乱和群体性突发事件；组织实施重大活动的安全保卫工作。</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6.履行社会治安管理职能，指导、监督全县公安机关查处危害社会治安秩序行为；依法管理户口、居民身份证、枪支弹药、危险物品、特种行业等工作；依法管理集会、游行、示威活动；加强推进以便民和公共服务为重点的治安行政管理改革工作。</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7.负责全县道路交通安全管理工作并承担相应责任。指导监督全县公安机关维护道路交通安全、交通秩序；组织、协调、处置交通事故；依法管理机动车辆（不含拖拉机）和驾驶人员。</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8.负责全县消防工作并承担相应责任。指导、监督、协调全县消防监督、火灾预防、火灾扑救工作和公安应急抢险救援工作。</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9.指导全县公安警卫业务工作，组织实施对党和国家领导以及重要人物在县内的安全警卫工作并承担相应责任。组织、实施全县要害目标的安全保卫。</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10.指导、监督全县公安机关对公共信息网络的安全保护工作，负责信息安全等级保卫工作的监督、检查、指导。</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11.依法管理国籍、出境入境和外国人在红原县境内居留、旅行等有关工作。</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12.组织、指导、协调对恐怖活动的情报、防范、侦察和应急处置工作。</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13.指导、监督全县公安机关依法承担的执行刑罚和监督、考察工作。依法管理县看守所、拘留所。办理收容教养和劳动教养案件。</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14.组织实施全县公安科学技术工作，组织、指导、规划全县公安机关的指挥系统、信息技术、刑事技术建设。</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15.制定全县公安机关装备和经费等警务保障计划和管理制度，组织协调全县公安机关履行职责的警务保障工作。</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16.指导全县公安队伍建设和公安机关的党风廉政建设，组织、指导全县公安机关组织人事管理、民警教育训练及宣传和涉警舆论引导等工作，按规定权限管理干部，拟定全县公安队伍监督管理工作规章制度，组织、指导全县公安机关督察、审计、信访工作，指导、监督全县公安机关及人民警察的执法活动，按规定权限实施对干部的监督，查处或督办全县公安队伍中发生的违纪案件。</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17.指导县森林公安机关的业务工作。</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18.组织协调武警内卫部队执行公安任务。</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19.承担县政府禁毒委员会、劳动教养管理委员会、收容教养委员会、反恐怖工作协调小组日常工作。</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20.承担县政府公布的有关行政审批事项。</w:t>
      </w:r>
    </w:p>
    <w:p>
      <w:pPr>
        <w:pStyle w:val="5"/>
        <w:adjustRightInd w:val="0"/>
        <w:snapToGrid w:val="0"/>
        <w:spacing w:before="93" w:line="600" w:lineRule="exact"/>
        <w:ind w:firstLine="672" w:firstLineChars="210"/>
        <w:outlineLvl w:val="2"/>
        <w:rPr>
          <w:rFonts w:hint="default"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21.承办县委、县政府和上级公安机关交办的其他工作和法律、法规规定的其他职责。</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20"/>
      <w:bookmarkEnd w:id="21"/>
    </w:p>
    <w:p>
      <w:pPr>
        <w:pStyle w:val="8"/>
        <w:keepNext w:val="0"/>
        <w:keepLines w:val="0"/>
        <w:pageBreakBefore w:val="0"/>
        <w:numPr>
          <w:ilvl w:val="0"/>
          <w:numId w:val="0"/>
        </w:numPr>
        <w:kinsoku/>
        <w:wordWrap/>
        <w:overflowPunct/>
        <w:topLinePunct w:val="0"/>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1.扎实开展脱贫攻坚工作，有力提升政治站位</w:t>
      </w:r>
    </w:p>
    <w:p>
      <w:pPr>
        <w:pStyle w:val="5"/>
        <w:adjustRightInd w:val="0"/>
        <w:snapToGrid w:val="0"/>
        <w:spacing w:before="93" w:line="600" w:lineRule="exact"/>
        <w:ind w:firstLine="672" w:firstLineChars="210"/>
        <w:outlineLvl w:val="2"/>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2019我局召开专题研究部署脱贫攻坚工作会议8次，选任优秀民警结对帮扶德香村46户贫困户，先后召开10次联系部门沟通协调会。今年我局为联系村投入帮扶资金3万元，用于为帮扶村贫困户提供就业岗位，并实行分红；帮扶民警共筹集2万余元用于帮助贫困户购买家具、生活用品等。</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outlineLvl w:val="9"/>
        <w:rPr>
          <w:rFonts w:hint="eastAsia" w:ascii="楷体_GB2312" w:eastAsia="楷体_GB2312"/>
          <w:b/>
          <w:szCs w:val="32"/>
          <w:lang w:val="en-US" w:eastAsia="zh-CN"/>
        </w:rPr>
      </w:pPr>
      <w:r>
        <w:rPr>
          <w:rFonts w:hint="eastAsia" w:ascii="黑体" w:hAnsi="黑体" w:eastAsia="黑体" w:cs="黑体"/>
          <w:sz w:val="32"/>
          <w:lang w:val="en-US" w:eastAsia="zh-CN"/>
        </w:rPr>
        <w:t>2.</w:t>
      </w:r>
      <w:r>
        <w:rPr>
          <w:rFonts w:hint="eastAsia" w:ascii="仿宋_GB2312" w:hAnsi="仿宋_GB2312" w:eastAsia="仿宋_GB2312" w:cs="仿宋_GB2312"/>
          <w:b/>
          <w:bCs/>
          <w:kern w:val="2"/>
          <w:sz w:val="32"/>
          <w:szCs w:val="32"/>
          <w:lang w:val="en-US" w:eastAsia="zh-CN" w:bidi="ar-SA"/>
        </w:rPr>
        <w:t>立足打击犯罪、俯身实干为民，热切回应群众新期盼</w:t>
      </w:r>
    </w:p>
    <w:p>
      <w:pPr>
        <w:pStyle w:val="5"/>
        <w:adjustRightInd w:val="0"/>
        <w:snapToGrid w:val="0"/>
        <w:spacing w:before="93" w:line="600" w:lineRule="exact"/>
        <w:ind w:firstLine="672" w:firstLineChars="210"/>
        <w:outlineLvl w:val="2"/>
        <w:rPr>
          <w:rFonts w:hint="default" w:ascii="仿宋_GB2312" w:hAnsi="仿宋_GB2312" w:eastAsia="仿宋_GB2312"/>
          <w:sz w:val="32"/>
          <w:shd w:val="clear" w:color="auto" w:fill="FFFFFF"/>
          <w:lang w:val="en-US" w:eastAsia="zh-CN"/>
        </w:rPr>
      </w:pPr>
      <w:r>
        <w:rPr>
          <w:rFonts w:hint="eastAsia" w:ascii="仿宋" w:hAnsi="仿宋" w:eastAsia="仿宋" w:cs="Times New Roman"/>
          <w:bCs/>
          <w:color w:val="000000"/>
          <w:sz w:val="32"/>
          <w:szCs w:val="32"/>
          <w:lang w:val="en-US" w:eastAsia="zh-CN"/>
        </w:rPr>
        <w:t>2019年我局</w:t>
      </w:r>
      <w:r>
        <w:rPr>
          <w:rFonts w:hint="eastAsia" w:ascii="仿宋_GB2312" w:hAnsi="仿宋_GB2312" w:cs="仿宋_GB2312"/>
          <w:sz w:val="32"/>
          <w:szCs w:val="32"/>
          <w:lang w:val="en-US" w:eastAsia="zh-CN"/>
        </w:rPr>
        <w:t>共立刑事案件59起，破43起，破案率为72.8%</w:t>
      </w:r>
      <w:r>
        <w:rPr>
          <w:rFonts w:hint="eastAsia" w:hAnsi="仿宋_GB2312" w:cs="仿宋_GB2312"/>
          <w:sz w:val="32"/>
          <w:szCs w:val="32"/>
          <w:lang w:val="en-US" w:eastAsia="zh-CN"/>
        </w:rPr>
        <w:t>；</w:t>
      </w:r>
      <w:r>
        <w:rPr>
          <w:rFonts w:hint="eastAsia" w:ascii="仿宋_GB2312" w:hAnsi="宋体" w:eastAsia="仿宋_GB2312"/>
          <w:spacing w:val="0"/>
          <w:kern w:val="0"/>
          <w:sz w:val="32"/>
          <w:szCs w:val="32"/>
          <w:lang w:val="en-US" w:eastAsia="zh-CN" w:bidi="ar-SA"/>
        </w:rPr>
        <w:t>共受理治安案件</w:t>
      </w:r>
      <w:r>
        <w:rPr>
          <w:rFonts w:hint="eastAsia" w:ascii="仿宋_GB2312" w:hAnsi="宋体"/>
          <w:spacing w:val="0"/>
          <w:kern w:val="0"/>
          <w:sz w:val="32"/>
          <w:szCs w:val="32"/>
          <w:lang w:val="en-US" w:eastAsia="zh-CN" w:bidi="ar-SA"/>
        </w:rPr>
        <w:t>190</w:t>
      </w:r>
      <w:r>
        <w:rPr>
          <w:rFonts w:hint="eastAsia" w:ascii="仿宋_GB2312" w:hAnsi="宋体" w:eastAsia="仿宋_GB2312"/>
          <w:spacing w:val="0"/>
          <w:kern w:val="0"/>
          <w:sz w:val="32"/>
          <w:szCs w:val="32"/>
          <w:lang w:val="en-US" w:eastAsia="zh-CN" w:bidi="ar-SA"/>
        </w:rPr>
        <w:t>起，查处</w:t>
      </w:r>
      <w:r>
        <w:rPr>
          <w:rFonts w:hint="eastAsia" w:ascii="仿宋_GB2312" w:hAnsi="宋体"/>
          <w:spacing w:val="0"/>
          <w:kern w:val="0"/>
          <w:sz w:val="32"/>
          <w:szCs w:val="32"/>
          <w:lang w:val="en-US" w:eastAsia="zh-CN" w:bidi="ar-SA"/>
        </w:rPr>
        <w:t>154</w:t>
      </w:r>
      <w:r>
        <w:rPr>
          <w:rFonts w:hint="eastAsia" w:ascii="仿宋_GB2312" w:hAnsi="宋体" w:eastAsia="仿宋_GB2312"/>
          <w:spacing w:val="0"/>
          <w:kern w:val="0"/>
          <w:sz w:val="32"/>
          <w:szCs w:val="32"/>
          <w:lang w:val="en-US" w:eastAsia="zh-CN" w:bidi="ar-SA"/>
        </w:rPr>
        <w:t>起，结案</w:t>
      </w:r>
      <w:r>
        <w:rPr>
          <w:rFonts w:hint="eastAsia" w:ascii="仿宋_GB2312" w:hAnsi="仿宋_GB2312" w:cs="仿宋_GB2312"/>
          <w:sz w:val="32"/>
          <w:szCs w:val="32"/>
          <w:lang w:val="en-US" w:eastAsia="zh-CN"/>
        </w:rPr>
        <w:t>154</w:t>
      </w:r>
      <w:r>
        <w:rPr>
          <w:rFonts w:hint="eastAsia" w:ascii="仿宋_GB2312" w:hAnsi="仿宋_GB2312" w:eastAsia="仿宋_GB2312" w:cs="仿宋_GB2312"/>
          <w:sz w:val="32"/>
          <w:szCs w:val="32"/>
        </w:rPr>
        <w:t>起</w:t>
      </w:r>
      <w:r>
        <w:rPr>
          <w:rFonts w:hint="eastAsia" w:ascii="仿宋_GB2312" w:hAnsi="仿宋_GB2312" w:cs="仿宋_GB2312"/>
          <w:sz w:val="32"/>
          <w:szCs w:val="32"/>
          <w:lang w:eastAsia="zh-CN"/>
        </w:rPr>
        <w:t>。</w:t>
      </w:r>
      <w:r>
        <w:rPr>
          <w:rFonts w:hint="eastAsia" w:ascii="仿宋_GB2312" w:hAnsi="仿宋_GB2312" w:cs="仿宋_GB2312"/>
          <w:sz w:val="32"/>
          <w:szCs w:val="32"/>
          <w:lang w:val="en-US" w:eastAsia="zh-CN"/>
        </w:rPr>
        <w:t>户政窗口办理二代居民身份证470张，临时身份证980张，省内异地办证22张，跨省3张，户口迁入9人，身份证变更4人，办理居住证175人，户籍补录4人，通行证19张，刻章283枚；校园宣传发放材料2785份，集中宣传15余次，受教育群众达2万人，群众满意度进一步提升</w:t>
      </w:r>
      <w:r>
        <w:rPr>
          <w:rFonts w:hint="eastAsia" w:hAnsi="仿宋_GB2312" w:cs="仿宋_GB2312"/>
          <w:sz w:val="32"/>
          <w:szCs w:val="32"/>
          <w:lang w:val="en-US" w:eastAsia="zh-CN"/>
        </w:rPr>
        <w:t>；</w:t>
      </w:r>
      <w:r>
        <w:rPr>
          <w:rFonts w:hint="eastAsia" w:ascii="仿宋_GB2312" w:hAnsi="仿宋_GB2312" w:eastAsia="仿宋_GB2312"/>
          <w:sz w:val="32"/>
          <w:shd w:val="clear" w:color="auto" w:fill="FFFFFF"/>
        </w:rPr>
        <w:t>共</w:t>
      </w:r>
      <w:r>
        <w:rPr>
          <w:rFonts w:ascii="仿宋_GB2312" w:hAnsi="仿宋_GB2312" w:eastAsia="仿宋_GB2312"/>
          <w:sz w:val="32"/>
          <w:shd w:val="clear" w:color="auto" w:fill="FFFFFF"/>
        </w:rPr>
        <w:t>查处交通违法行为</w:t>
      </w:r>
      <w:r>
        <w:rPr>
          <w:rFonts w:hint="eastAsia" w:ascii="仿宋_GB2312" w:hAnsi="仿宋_GB2312"/>
          <w:sz w:val="32"/>
          <w:shd w:val="clear" w:color="auto" w:fill="FFFFFF"/>
          <w:lang w:val="en-US" w:eastAsia="zh-CN"/>
        </w:rPr>
        <w:t>12158</w:t>
      </w:r>
      <w:r>
        <w:rPr>
          <w:rFonts w:ascii="仿宋_GB2312" w:hAnsi="仿宋_GB2312" w:eastAsia="仿宋_GB2312"/>
          <w:sz w:val="32"/>
          <w:shd w:val="clear" w:color="auto" w:fill="FFFFFF"/>
        </w:rPr>
        <w:t>起，</w:t>
      </w:r>
      <w:r>
        <w:rPr>
          <w:rFonts w:hint="eastAsia" w:ascii="仿宋_GB2312" w:hAnsi="仿宋_GB2312"/>
          <w:sz w:val="32"/>
          <w:shd w:val="clear" w:color="auto" w:fill="FFFFFF"/>
          <w:lang w:eastAsia="zh-CN"/>
        </w:rPr>
        <w:t>其中无证驾驶</w:t>
      </w:r>
      <w:r>
        <w:rPr>
          <w:rFonts w:hint="eastAsia" w:ascii="仿宋_GB2312" w:hAnsi="仿宋_GB2312"/>
          <w:sz w:val="32"/>
          <w:shd w:val="clear" w:color="auto" w:fill="FFFFFF"/>
          <w:lang w:val="en-US" w:eastAsia="zh-CN"/>
        </w:rPr>
        <w:t>36起，酒驾4起，货车超载36起，超速58起，违法停车7684起，违反标志线1068起，挡获被盗机动车13辆</w:t>
      </w:r>
      <w:r>
        <w:rPr>
          <w:rFonts w:hint="eastAsia" w:ascii="仿宋_GB2312" w:hAnsi="仿宋_GB2312" w:eastAsia="仿宋_GB2312"/>
          <w:sz w:val="32"/>
          <w:shd w:val="clear" w:color="auto" w:fill="FFFFFF"/>
        </w:rPr>
        <w:t>；</w:t>
      </w:r>
    </w:p>
    <w:p>
      <w:pPr>
        <w:pStyle w:val="3"/>
        <w:rPr>
          <w:rStyle w:val="28"/>
          <w:b w:val="0"/>
          <w:bCs w:val="0"/>
        </w:rPr>
      </w:pPr>
      <w:bookmarkStart w:id="22" w:name="_Toc15396601"/>
      <w:bookmarkStart w:id="23" w:name="_Toc15377200"/>
      <w:bookmarkStart w:id="24" w:name="_Toc25826"/>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2"/>
      <w:bookmarkEnd w:id="23"/>
      <w:bookmarkEnd w:id="24"/>
    </w:p>
    <w:p>
      <w:pPr>
        <w:pStyle w:val="5"/>
        <w:adjustRightInd w:val="0"/>
        <w:snapToGrid w:val="0"/>
        <w:spacing w:before="93" w:line="600" w:lineRule="exact"/>
        <w:ind w:firstLine="672" w:firstLineChars="210"/>
        <w:outlineLvl w:val="2"/>
        <w:rPr>
          <w:rFonts w:hint="eastAsia" w:ascii="仿宋_GB2312" w:hAnsi="仿宋_GB2312"/>
          <w:sz w:val="32"/>
          <w:shd w:val="clear" w:color="auto" w:fill="FFFFFF"/>
          <w:lang w:val="en-US" w:eastAsia="zh-CN"/>
        </w:rPr>
      </w:pPr>
      <w:bookmarkStart w:id="25" w:name="_Toc15377204"/>
      <w:bookmarkStart w:id="26" w:name="_Toc15396602"/>
      <w:r>
        <w:rPr>
          <w:rFonts w:hint="eastAsia" w:ascii="仿宋_GB2312" w:hAnsi="仿宋_GB2312"/>
          <w:sz w:val="32"/>
          <w:shd w:val="clear" w:color="auto" w:fill="FFFFFF"/>
          <w:lang w:val="en-US" w:eastAsia="zh-CN"/>
        </w:rPr>
        <w:t>我单位为独立核算全额拨款行政单位。截止2019年底我单位共有编制170个，其中公务员编制160个，行政工勤编制10个，在职150人，其中公务员140人，行政工勤10人。</w:t>
      </w:r>
    </w:p>
    <w:p>
      <w:pPr>
        <w:pStyle w:val="2"/>
        <w:ind w:right="440"/>
        <w:jc w:val="right"/>
        <w:rPr>
          <w:rStyle w:val="27"/>
          <w:rFonts w:ascii="黑体" w:hAnsi="黑体" w:eastAsia="黑体"/>
          <w:b w:val="0"/>
          <w:bCs w:val="0"/>
        </w:rPr>
      </w:pPr>
      <w:bookmarkStart w:id="27" w:name="_Toc26304"/>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2019年度部门决算情况说明</w:t>
      </w:r>
      <w:bookmarkEnd w:id="25"/>
      <w:bookmarkEnd w:id="26"/>
      <w:bookmarkEnd w:id="27"/>
    </w:p>
    <w:p/>
    <w:p>
      <w:pPr>
        <w:pStyle w:val="26"/>
        <w:numPr>
          <w:ilvl w:val="0"/>
          <w:numId w:val="1"/>
        </w:numPr>
        <w:spacing w:line="600" w:lineRule="exact"/>
        <w:ind w:firstLineChars="0"/>
        <w:outlineLvl w:val="1"/>
        <w:rPr>
          <w:rStyle w:val="28"/>
          <w:rFonts w:ascii="黑体" w:hAnsi="黑体" w:eastAsia="黑体"/>
          <w:b w:val="0"/>
        </w:rPr>
      </w:pPr>
      <w:bookmarkStart w:id="28" w:name="_Toc10262"/>
      <w:bookmarkStart w:id="29" w:name="_Toc15396603"/>
      <w:bookmarkStart w:id="30" w:name="_Toc15377205"/>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8"/>
      <w:bookmarkEnd w:id="29"/>
      <w:bookmarkEnd w:id="30"/>
    </w:p>
    <w:p>
      <w:pPr>
        <w:spacing w:line="600" w:lineRule="exact"/>
        <w:ind w:firstLine="640" w:firstLineChars="200"/>
        <w:outlineLvl w:val="9"/>
        <w:rPr>
          <w:rFonts w:hint="default" w:ascii="仿宋" w:hAnsi="仿宋" w:eastAsia="仿宋"/>
          <w:color w:val="000000"/>
          <w:sz w:val="32"/>
          <w:szCs w:val="32"/>
          <w:lang w:val="en-US" w:eastAsia="zh-CN"/>
        </w:rPr>
      </w:pPr>
      <w:r>
        <w:rPr>
          <w:rFonts w:hint="eastAsia" w:ascii="仿宋" w:hAnsi="仿宋" w:eastAsia="仿宋"/>
          <w:color w:val="000000"/>
          <w:sz w:val="32"/>
          <w:szCs w:val="32"/>
        </w:rPr>
        <w:t>2019年度收</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支</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6,752.35</w:t>
      </w:r>
      <w:r>
        <w:rPr>
          <w:rFonts w:hint="eastAsia" w:ascii="仿宋" w:hAnsi="仿宋" w:eastAsia="仿宋"/>
          <w:color w:val="000000"/>
          <w:sz w:val="32"/>
          <w:szCs w:val="32"/>
        </w:rPr>
        <w:t>万元。与2018年相比，收</w:t>
      </w:r>
      <w:r>
        <w:rPr>
          <w:rFonts w:hint="eastAsia" w:ascii="仿宋" w:hAnsi="仿宋" w:eastAsia="仿宋"/>
          <w:color w:val="000000"/>
          <w:sz w:val="32"/>
          <w:szCs w:val="32"/>
          <w:lang w:val="en-US" w:eastAsia="zh-CN"/>
        </w:rPr>
        <w:t>支</w:t>
      </w:r>
      <w:r>
        <w:rPr>
          <w:rFonts w:hint="eastAsia" w:ascii="仿宋" w:hAnsi="仿宋" w:eastAsia="仿宋"/>
          <w:color w:val="000000"/>
          <w:sz w:val="32"/>
          <w:szCs w:val="32"/>
        </w:rPr>
        <w:t>总计增加</w:t>
      </w:r>
      <w:r>
        <w:rPr>
          <w:rFonts w:hint="eastAsia" w:ascii="仿宋" w:hAnsi="仿宋" w:eastAsia="仿宋"/>
          <w:color w:val="000000"/>
          <w:sz w:val="32"/>
          <w:szCs w:val="32"/>
          <w:lang w:val="en-US" w:eastAsia="zh-CN"/>
        </w:rPr>
        <w:t>404.22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6.37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2019年年初项目结余资金较2018年年初项目结余资金较多，且2019年追加县级项目资金。</w:t>
      </w:r>
    </w:p>
    <w:p>
      <w:pPr>
        <w:spacing w:line="600" w:lineRule="exact"/>
        <w:ind w:firstLine="640" w:firstLineChars="200"/>
        <w:outlineLvl w:val="9"/>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r>
        <w:rPr>
          <w:rFonts w:hint="default" w:ascii="仿宋" w:hAnsi="仿宋" w:eastAsia="仿宋"/>
          <w:color w:val="000000" w:themeColor="text1"/>
          <w:sz w:val="32"/>
          <w:szCs w:val="32"/>
          <w:lang w:val="en-US"/>
        </w:rPr>
        <w:drawing>
          <wp:anchor distT="0" distB="0" distL="114300" distR="114300" simplePos="0" relativeHeight="251658240" behindDoc="0" locked="0" layoutInCell="1" allowOverlap="1">
            <wp:simplePos x="0" y="0"/>
            <wp:positionH relativeFrom="column">
              <wp:posOffset>340360</wp:posOffset>
            </wp:positionH>
            <wp:positionV relativeFrom="paragraph">
              <wp:posOffset>143510</wp:posOffset>
            </wp:positionV>
            <wp:extent cx="4881880" cy="3261995"/>
            <wp:effectExtent l="4445" t="4445" r="5715" b="1016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hint="default" w:ascii="仿宋" w:hAnsi="仿宋" w:eastAsia="仿宋"/>
          <w:color w:val="000000" w:themeColor="text1"/>
          <w:sz w:val="32"/>
          <w:szCs w:val="32"/>
          <w:lang w:val="en-US"/>
        </w:rPr>
      </w:pPr>
    </w:p>
    <w:p>
      <w:pPr>
        <w:spacing w:line="600" w:lineRule="exact"/>
        <w:ind w:firstLine="640" w:firstLineChars="200"/>
        <w:rPr>
          <w:rFonts w:hint="default" w:ascii="仿宋" w:hAnsi="仿宋" w:eastAsia="仿宋"/>
          <w:color w:val="000000" w:themeColor="text1"/>
          <w:sz w:val="32"/>
          <w:szCs w:val="32"/>
          <w:lang w:val="en-US"/>
        </w:rPr>
      </w:pPr>
    </w:p>
    <w:p>
      <w:pPr>
        <w:spacing w:line="600" w:lineRule="exact"/>
        <w:ind w:firstLine="640" w:firstLineChars="200"/>
        <w:rPr>
          <w:rFonts w:hint="default" w:ascii="仿宋" w:hAnsi="仿宋" w:eastAsia="仿宋"/>
          <w:color w:val="000000" w:themeColor="text1"/>
          <w:sz w:val="32"/>
          <w:szCs w:val="32"/>
          <w:lang w:val="en-US"/>
        </w:rPr>
      </w:pPr>
    </w:p>
    <w:p>
      <w:pPr>
        <w:spacing w:line="600" w:lineRule="exact"/>
        <w:ind w:firstLine="640" w:firstLineChars="200"/>
        <w:rPr>
          <w:rFonts w:hint="default" w:ascii="仿宋" w:hAnsi="仿宋" w:eastAsia="仿宋"/>
          <w:color w:val="000000" w:themeColor="text1"/>
          <w:sz w:val="32"/>
          <w:szCs w:val="32"/>
          <w:lang w:val="en-US"/>
        </w:rPr>
      </w:pPr>
    </w:p>
    <w:p>
      <w:pPr>
        <w:spacing w:line="600" w:lineRule="exact"/>
        <w:ind w:firstLine="640" w:firstLineChars="200"/>
        <w:rPr>
          <w:rFonts w:hint="default" w:ascii="仿宋" w:hAnsi="仿宋" w:eastAsia="仿宋"/>
          <w:color w:val="000000" w:themeColor="text1"/>
          <w:sz w:val="32"/>
          <w:szCs w:val="32"/>
          <w:lang w:val="en-US"/>
        </w:rPr>
      </w:pPr>
    </w:p>
    <w:p>
      <w:pPr>
        <w:spacing w:line="600" w:lineRule="exact"/>
        <w:ind w:firstLine="640" w:firstLineChars="200"/>
        <w:rPr>
          <w:rFonts w:hint="default" w:ascii="仿宋" w:hAnsi="仿宋" w:eastAsia="仿宋"/>
          <w:color w:val="000000" w:themeColor="text1"/>
          <w:sz w:val="32"/>
          <w:szCs w:val="32"/>
          <w:lang w:val="en-US"/>
        </w:rPr>
      </w:pPr>
    </w:p>
    <w:p>
      <w:pPr>
        <w:spacing w:line="600" w:lineRule="exact"/>
        <w:ind w:firstLine="640" w:firstLineChars="200"/>
        <w:rPr>
          <w:rFonts w:hint="default" w:ascii="仿宋" w:hAnsi="仿宋" w:eastAsia="仿宋"/>
          <w:color w:val="000000" w:themeColor="text1"/>
          <w:sz w:val="32"/>
          <w:szCs w:val="32"/>
          <w:lang w:val="en-US"/>
        </w:rPr>
      </w:pPr>
    </w:p>
    <w:p>
      <w:pPr>
        <w:spacing w:line="600" w:lineRule="exact"/>
        <w:ind w:firstLine="640" w:firstLineChars="200"/>
        <w:rPr>
          <w:rFonts w:hint="default" w:ascii="仿宋" w:hAnsi="仿宋" w:eastAsia="仿宋"/>
          <w:color w:val="000000" w:themeColor="text1"/>
          <w:sz w:val="32"/>
          <w:szCs w:val="32"/>
          <w:lang w:val="en-US"/>
        </w:rPr>
      </w:pP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pStyle w:val="26"/>
        <w:numPr>
          <w:ilvl w:val="0"/>
          <w:numId w:val="1"/>
        </w:numPr>
        <w:spacing w:line="600" w:lineRule="exact"/>
        <w:ind w:firstLineChars="0"/>
        <w:outlineLvl w:val="1"/>
        <w:rPr>
          <w:rStyle w:val="28"/>
          <w:rFonts w:ascii="黑体" w:hAnsi="黑体" w:eastAsia="黑体"/>
          <w:b w:val="0"/>
        </w:rPr>
      </w:pPr>
      <w:bookmarkStart w:id="31" w:name="_Toc884"/>
      <w:bookmarkStart w:id="32" w:name="_Toc15396604"/>
      <w:bookmarkStart w:id="33" w:name="_Toc15377206"/>
      <w:r>
        <w:rPr>
          <w:rFonts w:hint="eastAsia" w:ascii="黑体" w:hAnsi="黑体" w:eastAsia="黑体"/>
          <w:color w:val="000000"/>
          <w:sz w:val="32"/>
          <w:szCs w:val="32"/>
        </w:rPr>
        <w:t>收</w:t>
      </w:r>
      <w:r>
        <w:rPr>
          <w:rStyle w:val="28"/>
          <w:rFonts w:hint="eastAsia" w:ascii="黑体" w:hAnsi="黑体" w:eastAsia="黑体"/>
          <w:b w:val="0"/>
        </w:rPr>
        <w:t>入决算情况说明</w:t>
      </w:r>
      <w:bookmarkEnd w:id="31"/>
      <w:bookmarkEnd w:id="32"/>
      <w:bookmarkEnd w:id="33"/>
    </w:p>
    <w:p>
      <w:pPr>
        <w:spacing w:line="600" w:lineRule="exact"/>
        <w:ind w:firstLine="640" w:firstLineChars="200"/>
        <w:outlineLvl w:val="9"/>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5,811.83</w:t>
      </w:r>
      <w:r>
        <w:rPr>
          <w:rFonts w:hint="eastAsia" w:ascii="仿宋" w:hAnsi="仿宋" w:eastAsia="仿宋"/>
          <w:color w:val="000000"/>
          <w:sz w:val="32"/>
          <w:szCs w:val="32"/>
        </w:rPr>
        <w:t>万元，其中：一般公共预算财政拨款收入5</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811.83万元，占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w:t>
      </w:r>
      <w:r>
        <w:rPr>
          <w:rFonts w:hint="eastAsia" w:ascii="仿宋" w:hAnsi="仿宋" w:eastAsia="仿宋"/>
          <w:color w:val="000000" w:themeColor="text1"/>
          <w:sz w:val="32"/>
          <w:szCs w:val="32"/>
          <w:lang w:val="en-US" w:eastAsia="zh-CN"/>
        </w:rPr>
        <w:t>00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9"/>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226060</wp:posOffset>
            </wp:positionH>
            <wp:positionV relativeFrom="paragraph">
              <wp:posOffset>-413385</wp:posOffset>
            </wp:positionV>
            <wp:extent cx="4919980" cy="3521075"/>
            <wp:effectExtent l="5080" t="4445" r="12700" b="1016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rPr>
          <w:rFonts w:hint="eastAsia" w:ascii="仿宋" w:hAnsi="仿宋" w:eastAsia="仿宋"/>
          <w:color w:val="000000" w:themeColor="text1"/>
          <w:sz w:val="32"/>
          <w:szCs w:val="32"/>
        </w:rPr>
      </w:pPr>
    </w:p>
    <w:p>
      <w:pPr>
        <w:spacing w:line="600" w:lineRule="exact"/>
        <w:rPr>
          <w:rFonts w:hint="eastAsia" w:ascii="仿宋" w:hAnsi="仿宋" w:eastAsia="仿宋"/>
          <w:color w:val="000000" w:themeColor="text1"/>
          <w:sz w:val="32"/>
          <w:szCs w:val="32"/>
        </w:rPr>
      </w:pPr>
    </w:p>
    <w:p>
      <w:pPr>
        <w:spacing w:line="600" w:lineRule="exact"/>
        <w:rPr>
          <w:rFonts w:hint="eastAsia" w:ascii="仿宋" w:hAnsi="仿宋" w:eastAsia="仿宋"/>
          <w:color w:val="000000" w:themeColor="text1"/>
          <w:sz w:val="32"/>
          <w:szCs w:val="32"/>
        </w:rPr>
      </w:pP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rPr>
        <w:t>（图2：收入决算结构图）（饼状图）</w:t>
      </w:r>
    </w:p>
    <w:p>
      <w:pPr>
        <w:pStyle w:val="26"/>
        <w:numPr>
          <w:ilvl w:val="0"/>
          <w:numId w:val="1"/>
        </w:numPr>
        <w:spacing w:line="600" w:lineRule="exact"/>
        <w:ind w:firstLineChars="0"/>
        <w:outlineLvl w:val="1"/>
        <w:rPr>
          <w:rStyle w:val="28"/>
          <w:rFonts w:ascii="黑体" w:hAnsi="黑体" w:eastAsia="黑体"/>
          <w:b w:val="0"/>
        </w:rPr>
      </w:pPr>
      <w:bookmarkStart w:id="34" w:name="_Toc15396605"/>
      <w:bookmarkStart w:id="35" w:name="_Toc30373"/>
      <w:bookmarkStart w:id="36" w:name="_Toc15377207"/>
      <w:r>
        <w:rPr>
          <w:rFonts w:hint="eastAsia" w:ascii="黑体" w:hAnsi="黑体" w:eastAsia="黑体"/>
          <w:color w:val="000000"/>
          <w:sz w:val="32"/>
          <w:szCs w:val="32"/>
        </w:rPr>
        <w:t>支</w:t>
      </w:r>
      <w:r>
        <w:rPr>
          <w:rStyle w:val="28"/>
          <w:rFonts w:hint="eastAsia" w:ascii="黑体" w:hAnsi="黑体" w:eastAsia="黑体"/>
          <w:b w:val="0"/>
        </w:rPr>
        <w:t>出决算情况说明</w:t>
      </w:r>
      <w:bookmarkEnd w:id="34"/>
      <w:bookmarkEnd w:id="35"/>
      <w:bookmarkEnd w:id="36"/>
    </w:p>
    <w:p>
      <w:pPr>
        <w:spacing w:line="600" w:lineRule="exact"/>
        <w:ind w:firstLine="640" w:firstLineChars="200"/>
        <w:outlineLvl w:val="9"/>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9年本年支出合计5</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792.25万元，其中：基本支出3</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793</w:t>
      </w:r>
      <w:r>
        <w:rPr>
          <w:rFonts w:hint="eastAsia" w:ascii="仿宋" w:hAnsi="仿宋" w:eastAsia="仿宋"/>
          <w:color w:val="000000"/>
          <w:sz w:val="32"/>
          <w:szCs w:val="32"/>
          <w:lang w:val="en-US" w:eastAsia="zh-CN"/>
        </w:rPr>
        <w:t>.00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65.48</w:t>
      </w:r>
      <w:r>
        <w:rPr>
          <w:rFonts w:ascii="仿宋" w:hAnsi="仿宋" w:eastAsia="仿宋"/>
          <w:color w:val="000000"/>
          <w:sz w:val="32"/>
          <w:szCs w:val="32"/>
        </w:rPr>
        <w:t>%</w:t>
      </w:r>
      <w:r>
        <w:rPr>
          <w:rFonts w:hint="eastAsia" w:ascii="仿宋" w:hAnsi="仿宋" w:eastAsia="仿宋"/>
          <w:color w:val="000000"/>
          <w:sz w:val="32"/>
          <w:szCs w:val="32"/>
        </w:rPr>
        <w:t>；项目支出1</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999.25万元，占</w:t>
      </w:r>
      <w:r>
        <w:rPr>
          <w:rFonts w:hint="eastAsia" w:ascii="仿宋" w:hAnsi="仿宋" w:eastAsia="仿宋"/>
          <w:color w:val="000000"/>
          <w:sz w:val="32"/>
          <w:szCs w:val="32"/>
          <w:lang w:val="en-US" w:eastAsia="zh-CN"/>
        </w:rPr>
        <w:t>34.52</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9"/>
        <w:rPr>
          <w:rFonts w:hint="eastAsia" w:ascii="仿宋" w:hAnsi="仿宋" w:eastAsia="仿宋"/>
          <w:color w:val="000000"/>
          <w:sz w:val="32"/>
          <w:szCs w:val="32"/>
          <w:lang w:eastAsia="zh-CN"/>
        </w:rPr>
      </w:pPr>
    </w:p>
    <w:p>
      <w:pPr>
        <w:spacing w:line="600" w:lineRule="exact"/>
        <w:ind w:firstLine="640" w:firstLineChars="200"/>
        <w:outlineLvl w:val="9"/>
        <w:rPr>
          <w:rFonts w:hint="eastAsia" w:ascii="仿宋" w:hAnsi="仿宋" w:eastAsia="仿宋"/>
          <w:color w:val="000000"/>
          <w:sz w:val="32"/>
          <w:szCs w:val="32"/>
        </w:rPr>
      </w:pPr>
    </w:p>
    <w:p>
      <w:pPr>
        <w:spacing w:line="600" w:lineRule="exact"/>
        <w:ind w:firstLine="640" w:firstLineChars="200"/>
        <w:outlineLvl w:val="9"/>
        <w:rPr>
          <w:rFonts w:hint="eastAsia" w:ascii="仿宋" w:hAnsi="仿宋" w:eastAsia="仿宋"/>
          <w:color w:val="000000"/>
          <w:sz w:val="32"/>
          <w:szCs w:val="32"/>
        </w:rPr>
      </w:pPr>
    </w:p>
    <w:p>
      <w:pPr>
        <w:spacing w:line="600" w:lineRule="exact"/>
        <w:ind w:firstLine="640" w:firstLineChars="200"/>
        <w:outlineLvl w:val="9"/>
        <w:rPr>
          <w:rFonts w:hint="eastAsia" w:ascii="仿宋" w:hAnsi="仿宋" w:eastAsia="仿宋"/>
          <w:color w:val="000000"/>
          <w:sz w:val="32"/>
          <w:szCs w:val="32"/>
        </w:rPr>
      </w:pPr>
    </w:p>
    <w:p>
      <w:pPr>
        <w:spacing w:line="600" w:lineRule="exact"/>
        <w:ind w:firstLine="640" w:firstLineChars="200"/>
        <w:outlineLvl w:val="9"/>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0288" behindDoc="0" locked="0" layoutInCell="1" allowOverlap="1">
            <wp:simplePos x="0" y="0"/>
            <wp:positionH relativeFrom="column">
              <wp:posOffset>-16510</wp:posOffset>
            </wp:positionH>
            <wp:positionV relativeFrom="paragraph">
              <wp:posOffset>-342265</wp:posOffset>
            </wp:positionV>
            <wp:extent cx="4884420" cy="3335655"/>
            <wp:effectExtent l="4445" t="4445" r="18415" b="1270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outlineLvl w:val="9"/>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lang w:eastAsia="zh-CN"/>
        </w:rPr>
      </w:pPr>
      <w:r>
        <w:rPr>
          <w:rFonts w:hint="eastAsia" w:ascii="仿宋" w:hAnsi="仿宋" w:eastAsia="仿宋"/>
          <w:color w:val="000000" w:themeColor="text1"/>
          <w:sz w:val="32"/>
          <w:szCs w:val="32"/>
          <w:lang w:eastAsia="zh-CN"/>
        </w:rPr>
        <w:t>、、</w:t>
      </w:r>
    </w:p>
    <w:p>
      <w:pPr>
        <w:spacing w:line="600" w:lineRule="exact"/>
        <w:ind w:firstLine="640" w:firstLineChars="200"/>
        <w:rPr>
          <w:rFonts w:hint="eastAsia" w:ascii="仿宋" w:hAnsi="仿宋" w:eastAsia="仿宋"/>
          <w:color w:val="000000" w:themeColor="text1"/>
          <w:sz w:val="32"/>
          <w:szCs w:val="32"/>
          <w:lang w:eastAsia="zh-CN"/>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jc w:val="center"/>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pPr>
        <w:spacing w:line="600" w:lineRule="exact"/>
        <w:ind w:firstLine="640" w:firstLineChars="200"/>
        <w:outlineLvl w:val="1"/>
        <w:rPr>
          <w:rStyle w:val="28"/>
          <w:rFonts w:ascii="黑体" w:hAnsi="黑体" w:eastAsia="黑体"/>
          <w:b w:val="0"/>
        </w:rPr>
      </w:pPr>
      <w:bookmarkStart w:id="37" w:name="_Toc8933"/>
      <w:bookmarkStart w:id="38" w:name="_Toc15396606"/>
      <w:bookmarkStart w:id="39" w:name="_Toc15377208"/>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37"/>
      <w:bookmarkEnd w:id="38"/>
      <w:bookmarkEnd w:id="39"/>
    </w:p>
    <w:p>
      <w:pPr>
        <w:spacing w:line="600" w:lineRule="exact"/>
        <w:ind w:firstLine="640"/>
        <w:rPr>
          <w:rFonts w:hint="default"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w:t>
      </w:r>
      <w:r>
        <w:rPr>
          <w:rFonts w:hint="eastAsia" w:ascii="仿宋" w:hAnsi="仿宋" w:eastAsia="仿宋"/>
          <w:color w:val="000000"/>
          <w:sz w:val="32"/>
          <w:szCs w:val="32"/>
          <w:lang w:val="en-US" w:eastAsia="zh-CN"/>
        </w:rPr>
        <w:t>度</w:t>
      </w:r>
      <w:r>
        <w:rPr>
          <w:rFonts w:hint="eastAsia" w:ascii="仿宋" w:hAnsi="仿宋" w:eastAsia="仿宋"/>
          <w:color w:val="000000"/>
          <w:sz w:val="32"/>
          <w:szCs w:val="32"/>
        </w:rPr>
        <w:t>财政拨款收</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支</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6,752.35</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总计增加</w:t>
      </w:r>
      <w:r>
        <w:rPr>
          <w:rFonts w:hint="eastAsia" w:ascii="仿宋" w:hAnsi="仿宋" w:eastAsia="仿宋"/>
          <w:color w:val="000000"/>
          <w:sz w:val="32"/>
          <w:szCs w:val="32"/>
          <w:lang w:val="en-US" w:eastAsia="zh-CN"/>
        </w:rPr>
        <w:t>410.18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6.47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2019年县级追加项目经费。</w:t>
      </w:r>
    </w:p>
    <w:p>
      <w:pPr>
        <w:spacing w:line="600" w:lineRule="exact"/>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1312" behindDoc="0" locked="0" layoutInCell="1" allowOverlap="1">
            <wp:simplePos x="0" y="0"/>
            <wp:positionH relativeFrom="column">
              <wp:posOffset>109220</wp:posOffset>
            </wp:positionH>
            <wp:positionV relativeFrom="paragraph">
              <wp:posOffset>66040</wp:posOffset>
            </wp:positionV>
            <wp:extent cx="5093970" cy="3084830"/>
            <wp:effectExtent l="4445" t="4445" r="6985" b="1968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rPr>
          <w:rFonts w:hint="eastAsia" w:ascii="仿宋" w:hAnsi="仿宋" w:eastAsia="仿宋"/>
          <w:color w:val="000000" w:themeColor="text1"/>
          <w:sz w:val="32"/>
          <w:szCs w:val="32"/>
        </w:rPr>
      </w:pPr>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firstLineChars="200"/>
        <w:outlineLvl w:val="1"/>
        <w:rPr>
          <w:rStyle w:val="28"/>
          <w:rFonts w:ascii="黑体" w:hAnsi="黑体" w:eastAsia="黑体"/>
          <w:b w:val="0"/>
        </w:rPr>
      </w:pPr>
      <w:bookmarkStart w:id="40" w:name="_Toc15377209"/>
      <w:bookmarkStart w:id="41" w:name="_Toc15396607"/>
      <w:bookmarkStart w:id="42" w:name="_Toc2972"/>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40"/>
      <w:bookmarkEnd w:id="41"/>
      <w:bookmarkEnd w:id="42"/>
    </w:p>
    <w:p>
      <w:pPr>
        <w:spacing w:line="600" w:lineRule="exact"/>
        <w:ind w:firstLine="643" w:firstLineChars="200"/>
        <w:outlineLvl w:val="2"/>
        <w:rPr>
          <w:rFonts w:ascii="仿宋" w:hAnsi="仿宋" w:eastAsia="仿宋"/>
          <w:b/>
          <w:color w:val="000000"/>
          <w:sz w:val="32"/>
          <w:szCs w:val="32"/>
        </w:rPr>
      </w:pPr>
      <w:bookmarkStart w:id="43" w:name="_Toc15377210"/>
      <w:r>
        <w:rPr>
          <w:rFonts w:hint="eastAsia" w:ascii="仿宋" w:hAnsi="仿宋" w:eastAsia="仿宋"/>
          <w:b/>
          <w:color w:val="000000"/>
          <w:sz w:val="32"/>
          <w:szCs w:val="32"/>
        </w:rPr>
        <w:t>（一）一般公共预算财政拨款支出决算总体情况</w:t>
      </w:r>
      <w:bookmarkEnd w:id="43"/>
    </w:p>
    <w:p>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9年一般公共预算财政拨款支出5</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792.25万元，占本年支出合计的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hint="eastAsia" w:ascii="仿宋" w:hAnsi="仿宋" w:eastAsia="仿宋"/>
          <w:color w:val="000000"/>
          <w:sz w:val="32"/>
          <w:szCs w:val="32"/>
          <w:lang w:val="en-US" w:eastAsia="zh-CN"/>
        </w:rPr>
        <w:t>147.83</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2.62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2019年县级追加项目经费。</w:t>
      </w: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2336" behindDoc="0" locked="0" layoutInCell="1" allowOverlap="1">
            <wp:simplePos x="0" y="0"/>
            <wp:positionH relativeFrom="column">
              <wp:posOffset>173355</wp:posOffset>
            </wp:positionH>
            <wp:positionV relativeFrom="paragraph">
              <wp:posOffset>92075</wp:posOffset>
            </wp:positionV>
            <wp:extent cx="5080000" cy="3810000"/>
            <wp:effectExtent l="4445" t="4445" r="5715" b="10795"/>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rPr>
          <w:rFonts w:hint="eastAsia" w:ascii="仿宋" w:hAnsi="仿宋" w:eastAsia="仿宋"/>
          <w:color w:val="000000"/>
          <w:sz w:val="32"/>
          <w:szCs w:val="32"/>
          <w:lang w:eastAsia="zh-CN"/>
        </w:rPr>
      </w:pPr>
    </w:p>
    <w:p>
      <w:pPr>
        <w:spacing w:line="600" w:lineRule="exact"/>
        <w:rPr>
          <w:rFonts w:hint="eastAsia" w:ascii="仿宋" w:hAnsi="仿宋" w:eastAsia="仿宋"/>
          <w:color w:val="000000"/>
          <w:sz w:val="32"/>
          <w:szCs w:val="32"/>
          <w:lang w:eastAsia="zh-CN"/>
        </w:rPr>
      </w:pPr>
    </w:p>
    <w:p>
      <w:pPr>
        <w:spacing w:line="600" w:lineRule="exact"/>
        <w:rPr>
          <w:rFonts w:hint="eastAsia" w:ascii="仿宋" w:hAnsi="仿宋" w:eastAsia="仿宋"/>
          <w:color w:val="000000"/>
          <w:sz w:val="32"/>
          <w:szCs w:val="32"/>
          <w:lang w:eastAsia="zh-CN"/>
        </w:rPr>
      </w:pPr>
    </w:p>
    <w:p>
      <w:pPr>
        <w:spacing w:line="600" w:lineRule="exact"/>
        <w:rPr>
          <w:rFonts w:hint="eastAsia" w:ascii="仿宋" w:hAnsi="仿宋" w:eastAsia="仿宋"/>
          <w:color w:val="000000"/>
          <w:sz w:val="32"/>
          <w:szCs w:val="32"/>
          <w:lang w:eastAsia="zh-CN"/>
        </w:rPr>
      </w:pPr>
    </w:p>
    <w:p>
      <w:pPr>
        <w:spacing w:line="600" w:lineRule="exact"/>
        <w:rPr>
          <w:rFonts w:hint="eastAsia" w:ascii="仿宋" w:hAnsi="仿宋" w:eastAsia="仿宋"/>
          <w:color w:val="000000"/>
          <w:sz w:val="32"/>
          <w:szCs w:val="32"/>
          <w:lang w:eastAsia="zh-CN"/>
        </w:rPr>
      </w:pPr>
    </w:p>
    <w:p>
      <w:pPr>
        <w:spacing w:line="600" w:lineRule="exact"/>
        <w:rPr>
          <w:rFonts w:hint="eastAsia" w:ascii="仿宋" w:hAnsi="仿宋" w:eastAsia="仿宋"/>
          <w:color w:val="000000"/>
          <w:sz w:val="32"/>
          <w:szCs w:val="32"/>
          <w:lang w:eastAsia="zh-CN"/>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spacing w:line="600" w:lineRule="exact"/>
        <w:ind w:firstLine="640" w:firstLineChars="200"/>
        <w:rPr>
          <w:rFonts w:ascii="仿宋" w:hAnsi="仿宋" w:eastAsia="仿宋"/>
          <w:color w:val="000000" w:themeColor="text1"/>
          <w:sz w:val="32"/>
          <w:szCs w:val="32"/>
        </w:rPr>
      </w:pPr>
    </w:p>
    <w:p>
      <w:pPr>
        <w:spacing w:line="600" w:lineRule="exact"/>
        <w:ind w:firstLine="643" w:firstLineChars="200"/>
        <w:outlineLvl w:val="2"/>
        <w:rPr>
          <w:rFonts w:ascii="仿宋" w:hAnsi="仿宋" w:eastAsia="仿宋"/>
          <w:b/>
          <w:color w:val="000000"/>
          <w:sz w:val="32"/>
          <w:szCs w:val="32"/>
        </w:rPr>
      </w:pPr>
      <w:bookmarkStart w:id="44" w:name="_Toc15377211"/>
      <w:r>
        <w:rPr>
          <w:rFonts w:hint="eastAsia" w:ascii="仿宋" w:hAnsi="仿宋" w:eastAsia="仿宋"/>
          <w:b/>
          <w:color w:val="000000"/>
          <w:sz w:val="32"/>
          <w:szCs w:val="32"/>
        </w:rPr>
        <w:t>（二）一般公共预算财政拨款支出决算结构情况</w:t>
      </w:r>
      <w:bookmarkEnd w:id="44"/>
    </w:p>
    <w:p>
      <w:pPr>
        <w:spacing w:line="600" w:lineRule="exact"/>
        <w:ind w:firstLine="640"/>
        <w:rPr>
          <w:rFonts w:ascii="仿宋" w:hAnsi="仿宋" w:eastAsia="仿宋"/>
          <w:b/>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政拨款支出5</w:t>
      </w:r>
      <w:r>
        <w:rPr>
          <w:rFonts w:hint="eastAsia" w:ascii="仿宋" w:hAnsi="仿宋" w:eastAsia="仿宋"/>
          <w:color w:val="000000" w:themeColor="text1"/>
          <w:sz w:val="32"/>
          <w:szCs w:val="32"/>
          <w:lang w:val="en-US" w:eastAsia="zh-CN"/>
        </w:rPr>
        <w:t>,</w:t>
      </w:r>
      <w:r>
        <w:rPr>
          <w:rFonts w:hint="eastAsia" w:ascii="仿宋" w:hAnsi="仿宋" w:eastAsia="仿宋"/>
          <w:color w:val="000000" w:themeColor="text1"/>
          <w:sz w:val="32"/>
          <w:szCs w:val="32"/>
        </w:rPr>
        <w:t>792.25万元，主要用于以下方面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一般公共服务（类）支出</w:t>
      </w:r>
      <w:r>
        <w:rPr>
          <w:rFonts w:hint="eastAsia" w:ascii="仿宋" w:hAnsi="仿宋" w:eastAsia="仿宋"/>
          <w:color w:val="000000" w:themeColor="text1"/>
          <w:sz w:val="32"/>
          <w:szCs w:val="32"/>
          <w:lang w:val="en-US" w:eastAsia="zh-CN"/>
        </w:rPr>
        <w:t>3</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0.06</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公共安全（类）支出</w:t>
      </w:r>
      <w:r>
        <w:rPr>
          <w:rFonts w:hint="eastAsia" w:ascii="仿宋" w:hAnsi="仿宋" w:eastAsia="仿宋"/>
          <w:color w:val="000000" w:themeColor="text1"/>
          <w:sz w:val="32"/>
          <w:szCs w:val="32"/>
        </w:rPr>
        <w:t>4</w:t>
      </w:r>
      <w:r>
        <w:rPr>
          <w:rFonts w:hint="eastAsia" w:ascii="仿宋" w:hAnsi="仿宋" w:eastAsia="仿宋"/>
          <w:color w:val="000000" w:themeColor="text1"/>
          <w:sz w:val="32"/>
          <w:szCs w:val="32"/>
          <w:lang w:val="en-US" w:eastAsia="zh-CN"/>
        </w:rPr>
        <w:t>,</w:t>
      </w:r>
      <w:r>
        <w:rPr>
          <w:rFonts w:hint="eastAsia" w:ascii="仿宋" w:hAnsi="仿宋" w:eastAsia="仿宋"/>
          <w:color w:val="000000" w:themeColor="text1"/>
          <w:sz w:val="32"/>
          <w:szCs w:val="32"/>
        </w:rPr>
        <w:t>967.88万元，占</w:t>
      </w:r>
      <w:r>
        <w:rPr>
          <w:rFonts w:hint="eastAsia" w:ascii="仿宋" w:hAnsi="仿宋" w:eastAsia="仿宋"/>
          <w:color w:val="000000" w:themeColor="text1"/>
          <w:sz w:val="32"/>
          <w:szCs w:val="32"/>
          <w:lang w:val="en-US" w:eastAsia="zh-CN"/>
        </w:rPr>
        <w:t>85.77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社会保障和就业支出（类）支出</w:t>
      </w:r>
      <w:r>
        <w:rPr>
          <w:rFonts w:hint="eastAsia" w:ascii="仿宋" w:hAnsi="仿宋" w:eastAsia="仿宋"/>
          <w:color w:val="000000" w:themeColor="text1"/>
          <w:sz w:val="32"/>
          <w:szCs w:val="32"/>
        </w:rPr>
        <w:t>386.57万元，占</w:t>
      </w:r>
      <w:r>
        <w:rPr>
          <w:rFonts w:hint="eastAsia" w:ascii="仿宋" w:hAnsi="仿宋" w:eastAsia="仿宋"/>
          <w:color w:val="000000" w:themeColor="text1"/>
          <w:sz w:val="32"/>
          <w:szCs w:val="32"/>
          <w:lang w:val="en-US" w:eastAsia="zh-CN"/>
        </w:rPr>
        <w:t>6.67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卫生健康（类）支出</w:t>
      </w:r>
      <w:r>
        <w:rPr>
          <w:rFonts w:hint="eastAsia" w:ascii="仿宋" w:hAnsi="仿宋" w:eastAsia="仿宋"/>
          <w:color w:val="000000" w:themeColor="text1"/>
          <w:sz w:val="32"/>
          <w:szCs w:val="32"/>
        </w:rPr>
        <w:t>152.61万元，占</w:t>
      </w:r>
      <w:r>
        <w:rPr>
          <w:rFonts w:hint="eastAsia" w:ascii="仿宋" w:hAnsi="仿宋" w:eastAsia="仿宋"/>
          <w:color w:val="000000" w:themeColor="text1"/>
          <w:sz w:val="32"/>
          <w:szCs w:val="32"/>
          <w:lang w:val="en-US" w:eastAsia="zh-CN"/>
        </w:rPr>
        <w:t>2.63</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住房保障支出（类）支出</w:t>
      </w:r>
      <w:r>
        <w:rPr>
          <w:rFonts w:hint="eastAsia" w:ascii="仿宋" w:hAnsi="仿宋" w:eastAsia="仿宋"/>
          <w:color w:val="000000" w:themeColor="text1"/>
          <w:sz w:val="32"/>
          <w:szCs w:val="32"/>
        </w:rPr>
        <w:t>281.68万元，占</w:t>
      </w:r>
      <w:r>
        <w:rPr>
          <w:rFonts w:hint="eastAsia" w:ascii="仿宋" w:hAnsi="仿宋" w:eastAsia="仿宋"/>
          <w:color w:val="000000" w:themeColor="text1"/>
          <w:sz w:val="32"/>
          <w:szCs w:val="32"/>
          <w:lang w:val="en-US" w:eastAsia="zh-CN"/>
        </w:rPr>
        <w:t>4.86</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其他支出</w:t>
      </w:r>
      <w:r>
        <w:rPr>
          <w:rFonts w:hint="eastAsia" w:ascii="仿宋" w:hAnsi="仿宋" w:eastAsia="仿宋"/>
          <w:color w:val="000000" w:themeColor="text1"/>
          <w:sz w:val="32"/>
          <w:szCs w:val="32"/>
          <w:lang w:val="en-US" w:eastAsia="zh-CN"/>
        </w:rPr>
        <w:t>0.51</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0.01</w:t>
      </w:r>
      <w:r>
        <w:rPr>
          <w:rFonts w:ascii="仿宋" w:hAnsi="仿宋" w:eastAsia="仿宋"/>
          <w:color w:val="000000" w:themeColor="text1"/>
          <w:sz w:val="32"/>
          <w:szCs w:val="32"/>
        </w:rPr>
        <w:t>%</w:t>
      </w:r>
      <w:r>
        <w:rPr>
          <w:rFonts w:hint="eastAsia" w:ascii="仿宋" w:hAnsi="仿宋" w:eastAsia="仿宋"/>
          <w:color w:val="000000" w:themeColor="text1"/>
          <w:sz w:val="32"/>
          <w:szCs w:val="32"/>
          <w:lang w:eastAsia="zh-CN"/>
        </w:rPr>
        <w:t>。</w:t>
      </w:r>
    </w:p>
    <w:p>
      <w:pPr>
        <w:spacing w:line="600" w:lineRule="exact"/>
        <w:ind w:firstLine="640"/>
        <w:rPr>
          <w:rFonts w:hint="eastAsia" w:ascii="仿宋" w:hAnsi="仿宋" w:eastAsia="仿宋"/>
          <w:color w:val="000000" w:themeColor="text1"/>
          <w:sz w:val="32"/>
          <w:szCs w:val="32"/>
          <w:lang w:eastAsia="zh-CN"/>
        </w:rPr>
      </w:pP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r>
        <w:rPr>
          <w:rFonts w:hint="eastAsia" w:ascii="仿宋" w:hAnsi="仿宋" w:eastAsia="仿宋"/>
          <w:color w:val="000000" w:themeColor="text1"/>
          <w:sz w:val="32"/>
          <w:szCs w:val="32"/>
          <w:lang w:eastAsia="zh-CN"/>
        </w:rPr>
        <w:drawing>
          <wp:anchor distT="0" distB="0" distL="114300" distR="114300" simplePos="0" relativeHeight="251663360" behindDoc="0" locked="0" layoutInCell="1" allowOverlap="1">
            <wp:simplePos x="0" y="0"/>
            <wp:positionH relativeFrom="column">
              <wp:posOffset>323850</wp:posOffset>
            </wp:positionH>
            <wp:positionV relativeFrom="paragraph">
              <wp:posOffset>-17780</wp:posOffset>
            </wp:positionV>
            <wp:extent cx="5080000" cy="3810000"/>
            <wp:effectExtent l="4445" t="4445" r="5715" b="1079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p>
    <w:p>
      <w:pPr>
        <w:spacing w:line="600" w:lineRule="exact"/>
        <w:rPr>
          <w:rFonts w:hint="eastAsia" w:ascii="仿宋" w:hAnsi="仿宋" w:eastAsia="仿宋"/>
          <w:color w:val="000000" w:themeColor="text1"/>
          <w:sz w:val="32"/>
          <w:szCs w:val="32"/>
          <w:lang w:eastAsia="zh-CN"/>
        </w:rPr>
      </w:pP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3" w:firstLineChars="200"/>
        <w:outlineLvl w:val="2"/>
        <w:rPr>
          <w:rFonts w:ascii="仿宋" w:hAnsi="仿宋" w:eastAsia="仿宋"/>
          <w:b/>
          <w:color w:val="000000"/>
          <w:sz w:val="32"/>
          <w:szCs w:val="32"/>
        </w:rPr>
      </w:pPr>
      <w:bookmarkStart w:id="45" w:name="_Toc15377212"/>
      <w:r>
        <w:rPr>
          <w:rFonts w:hint="eastAsia" w:ascii="仿宋" w:hAnsi="仿宋" w:eastAsia="仿宋"/>
          <w:b/>
          <w:color w:val="000000"/>
          <w:sz w:val="32"/>
          <w:szCs w:val="32"/>
        </w:rPr>
        <w:t>（三）一般公共预算财政拨款支出决算具体情况</w:t>
      </w:r>
      <w:bookmarkEnd w:id="45"/>
    </w:p>
    <w:p>
      <w:pPr>
        <w:spacing w:line="600" w:lineRule="exact"/>
        <w:ind w:firstLine="643" w:firstLineChars="200"/>
        <w:outlineLvl w:val="2"/>
        <w:rPr>
          <w:rFonts w:ascii="仿宋" w:hAnsi="仿宋" w:eastAsia="仿宋"/>
          <w:color w:val="FF0000"/>
          <w:sz w:val="32"/>
          <w:szCs w:val="32"/>
        </w:rPr>
      </w:pPr>
      <w:bookmarkStart w:id="46" w:name="_Toc15377213"/>
      <w:bookmarkStart w:id="47" w:name="_Toc15378460"/>
      <w:bookmarkStart w:id="48" w:name="_Toc15377444"/>
      <w:r>
        <w:rPr>
          <w:rFonts w:hint="eastAsia" w:ascii="仿宋" w:hAnsi="仿宋" w:eastAsia="仿宋"/>
          <w:b/>
          <w:color w:val="000000" w:themeColor="text1"/>
          <w:sz w:val="32"/>
          <w:szCs w:val="32"/>
        </w:rPr>
        <w:t>2019年</w:t>
      </w:r>
      <w:r>
        <w:rPr>
          <w:rFonts w:hint="eastAsia" w:ascii="仿宋" w:hAnsi="仿宋" w:eastAsia="仿宋"/>
          <w:b/>
          <w:color w:val="000000" w:themeColor="text1"/>
          <w:sz w:val="32"/>
          <w:szCs w:val="32"/>
          <w:lang w:val="en-US" w:eastAsia="zh-CN"/>
        </w:rPr>
        <w:t>一</w:t>
      </w:r>
      <w:r>
        <w:rPr>
          <w:rFonts w:hint="eastAsia" w:ascii="仿宋" w:hAnsi="仿宋" w:eastAsia="仿宋"/>
          <w:b/>
          <w:color w:val="000000" w:themeColor="text1"/>
          <w:sz w:val="32"/>
          <w:szCs w:val="32"/>
        </w:rPr>
        <w:t>般公共预算支出决算数为5</w:t>
      </w:r>
      <w:r>
        <w:rPr>
          <w:rFonts w:hint="eastAsia" w:ascii="仿宋" w:hAnsi="仿宋" w:eastAsia="仿宋"/>
          <w:b/>
          <w:color w:val="000000" w:themeColor="text1"/>
          <w:sz w:val="32"/>
          <w:szCs w:val="32"/>
          <w:lang w:val="en-US" w:eastAsia="zh-CN"/>
        </w:rPr>
        <w:t>,</w:t>
      </w:r>
      <w:r>
        <w:rPr>
          <w:rFonts w:hint="eastAsia" w:ascii="仿宋" w:hAnsi="仿宋" w:eastAsia="仿宋"/>
          <w:b/>
          <w:color w:val="000000" w:themeColor="text1"/>
          <w:sz w:val="32"/>
          <w:szCs w:val="32"/>
        </w:rPr>
        <w:t>792.25</w:t>
      </w:r>
      <w:r>
        <w:rPr>
          <w:rFonts w:hint="eastAsia" w:ascii="仿宋" w:hAnsi="仿宋" w:eastAsia="仿宋"/>
          <w:color w:val="000000" w:themeColor="text1"/>
          <w:sz w:val="32"/>
          <w:szCs w:val="32"/>
        </w:rPr>
        <w:t>，</w:t>
      </w:r>
      <w:r>
        <w:rPr>
          <w:rStyle w:val="17"/>
          <w:rFonts w:hint="eastAsia" w:ascii="仿宋" w:hAnsi="仿宋" w:eastAsia="仿宋"/>
          <w:bCs/>
          <w:color w:val="000000" w:themeColor="text1"/>
          <w:sz w:val="32"/>
          <w:szCs w:val="32"/>
        </w:rPr>
        <w:t>完成</w:t>
      </w:r>
      <w:r>
        <w:rPr>
          <w:rStyle w:val="17"/>
          <w:rFonts w:hint="eastAsia" w:ascii="仿宋" w:hAnsi="仿宋" w:eastAsia="仿宋"/>
          <w:bCs/>
          <w:color w:val="000000"/>
          <w:sz w:val="32"/>
          <w:szCs w:val="32"/>
        </w:rPr>
        <w:t>预算</w:t>
      </w:r>
      <w:r>
        <w:rPr>
          <w:rStyle w:val="17"/>
          <w:rFonts w:hint="eastAsia" w:ascii="仿宋" w:hAnsi="仿宋" w:eastAsia="仿宋"/>
          <w:bCs/>
          <w:color w:val="000000"/>
          <w:sz w:val="32"/>
          <w:szCs w:val="32"/>
          <w:lang w:val="en-US" w:eastAsia="zh-CN"/>
        </w:rPr>
        <w:t>82.08</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。其中：</w:t>
      </w:r>
      <w:bookmarkEnd w:id="46"/>
      <w:bookmarkEnd w:id="47"/>
      <w:bookmarkEnd w:id="48"/>
    </w:p>
    <w:p>
      <w:pPr>
        <w:spacing w:line="600" w:lineRule="exact"/>
        <w:ind w:firstLine="643" w:firstLineChars="200"/>
        <w:rPr>
          <w:rFonts w:ascii="仿宋" w:hAnsi="仿宋" w:eastAsia="仿宋"/>
          <w:b/>
          <w:color w:val="000000"/>
          <w:sz w:val="32"/>
          <w:szCs w:val="32"/>
        </w:rPr>
      </w:pPr>
      <w:r>
        <w:rPr>
          <w:rStyle w:val="17"/>
          <w:rFonts w:ascii="仿宋" w:hAnsi="仿宋" w:eastAsia="仿宋"/>
          <w:bCs/>
          <w:color w:val="000000"/>
          <w:sz w:val="32"/>
          <w:szCs w:val="32"/>
        </w:rPr>
        <w:t>1.</w:t>
      </w:r>
      <w:r>
        <w:rPr>
          <w:rStyle w:val="17"/>
          <w:rFonts w:hint="eastAsia" w:ascii="仿宋" w:hAnsi="仿宋" w:eastAsia="仿宋"/>
          <w:bCs/>
          <w:color w:val="000000"/>
          <w:sz w:val="32"/>
          <w:szCs w:val="32"/>
        </w:rPr>
        <w:t>一般公共服务（</w:t>
      </w:r>
      <w:r>
        <w:rPr>
          <w:rStyle w:val="17"/>
          <w:rFonts w:hint="eastAsia" w:ascii="仿宋" w:hAnsi="仿宋" w:eastAsia="仿宋"/>
          <w:bCs/>
          <w:color w:val="000000"/>
          <w:sz w:val="32"/>
          <w:szCs w:val="32"/>
          <w:lang w:val="en-US" w:eastAsia="zh-CN"/>
        </w:rPr>
        <w:t>201</w:t>
      </w:r>
      <w:r>
        <w:rPr>
          <w:rStyle w:val="17"/>
          <w:rFonts w:hint="eastAsia" w:ascii="仿宋" w:hAnsi="仿宋" w:eastAsia="仿宋"/>
          <w:bCs/>
          <w:color w:val="000000"/>
          <w:sz w:val="32"/>
          <w:szCs w:val="32"/>
        </w:rPr>
        <w:t>）其他一般公共服务支出（</w:t>
      </w:r>
      <w:r>
        <w:rPr>
          <w:rStyle w:val="17"/>
          <w:rFonts w:hint="eastAsia" w:ascii="仿宋" w:hAnsi="仿宋" w:eastAsia="仿宋"/>
          <w:bCs/>
          <w:color w:val="000000"/>
          <w:sz w:val="32"/>
          <w:szCs w:val="32"/>
          <w:lang w:val="en-US" w:eastAsia="zh-CN"/>
        </w:rPr>
        <w:t>99</w:t>
      </w:r>
      <w:r>
        <w:rPr>
          <w:rStyle w:val="17"/>
          <w:rFonts w:hint="eastAsia" w:ascii="仿宋" w:hAnsi="仿宋" w:eastAsia="仿宋"/>
          <w:bCs/>
          <w:color w:val="000000"/>
          <w:sz w:val="32"/>
          <w:szCs w:val="32"/>
        </w:rPr>
        <w:t>）其他一般公共服务支出（</w:t>
      </w:r>
      <w:r>
        <w:rPr>
          <w:rStyle w:val="17"/>
          <w:rFonts w:hint="eastAsia" w:ascii="仿宋" w:hAnsi="仿宋" w:eastAsia="仿宋"/>
          <w:bCs/>
          <w:color w:val="000000"/>
          <w:sz w:val="32"/>
          <w:szCs w:val="32"/>
          <w:lang w:val="en-US" w:eastAsia="zh-CN"/>
        </w:rPr>
        <w:t>99</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lang w:val="en-US" w:eastAsia="zh-CN"/>
        </w:rPr>
        <w:t>年初预算为3万</w:t>
      </w:r>
      <w:r>
        <w:rPr>
          <w:rStyle w:val="17"/>
          <w:rFonts w:hint="eastAsia" w:ascii="仿宋" w:hAnsi="仿宋" w:eastAsia="仿宋"/>
          <w:b w:val="0"/>
          <w:bCs/>
          <w:color w:val="000000"/>
          <w:sz w:val="32"/>
          <w:szCs w:val="32"/>
          <w:lang w:eastAsia="zh-CN"/>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3</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w:t>
      </w:r>
    </w:p>
    <w:p>
      <w:pPr>
        <w:spacing w:line="600" w:lineRule="exact"/>
        <w:ind w:firstLine="643" w:firstLineChars="200"/>
        <w:jc w:val="left"/>
        <w:rPr>
          <w:rFonts w:ascii="仿宋" w:hAnsi="仿宋" w:eastAsia="仿宋"/>
          <w:b/>
          <w:color w:val="000000"/>
          <w:sz w:val="32"/>
          <w:szCs w:val="32"/>
        </w:rPr>
      </w:pPr>
      <w:r>
        <w:rPr>
          <w:rStyle w:val="17"/>
          <w:rFonts w:ascii="仿宋" w:hAnsi="仿宋" w:eastAsia="仿宋"/>
          <w:b/>
          <w:bCs/>
          <w:color w:val="000000"/>
          <w:sz w:val="32"/>
          <w:szCs w:val="32"/>
        </w:rPr>
        <w:t>2</w:t>
      </w:r>
      <w:r>
        <w:rPr>
          <w:rStyle w:val="17"/>
          <w:rFonts w:hint="eastAsia" w:ascii="仿宋" w:hAnsi="仿宋" w:eastAsia="仿宋"/>
          <w:bCs/>
          <w:color w:val="000000"/>
          <w:sz w:val="32"/>
          <w:szCs w:val="32"/>
        </w:rPr>
        <w:t>.公共安全支出（</w:t>
      </w:r>
      <w:r>
        <w:rPr>
          <w:rStyle w:val="17"/>
          <w:rFonts w:hint="eastAsia" w:ascii="仿宋" w:hAnsi="仿宋" w:eastAsia="仿宋"/>
          <w:bCs/>
          <w:color w:val="000000"/>
          <w:sz w:val="32"/>
          <w:szCs w:val="32"/>
          <w:lang w:val="en-US" w:eastAsia="zh-CN"/>
        </w:rPr>
        <w:t>204</w:t>
      </w:r>
      <w:r>
        <w:rPr>
          <w:rStyle w:val="17"/>
          <w:rFonts w:hint="eastAsia" w:ascii="仿宋" w:hAnsi="仿宋" w:eastAsia="仿宋"/>
          <w:bCs/>
          <w:color w:val="000000"/>
          <w:sz w:val="32"/>
          <w:szCs w:val="32"/>
        </w:rPr>
        <w:t>）公安（</w:t>
      </w:r>
      <w:r>
        <w:rPr>
          <w:rStyle w:val="17"/>
          <w:rFonts w:hint="eastAsia" w:ascii="仿宋" w:hAnsi="仿宋" w:eastAsia="仿宋"/>
          <w:bCs/>
          <w:color w:val="000000"/>
          <w:sz w:val="32"/>
          <w:szCs w:val="32"/>
          <w:lang w:val="en-US" w:eastAsia="zh-CN"/>
        </w:rPr>
        <w:t>02</w:t>
      </w:r>
      <w:r>
        <w:rPr>
          <w:rStyle w:val="17"/>
          <w:rFonts w:hint="eastAsia" w:ascii="仿宋" w:hAnsi="仿宋" w:eastAsia="仿宋"/>
          <w:bCs/>
          <w:color w:val="000000"/>
          <w:sz w:val="32"/>
          <w:szCs w:val="32"/>
        </w:rPr>
        <w:t>）行政运行（</w:t>
      </w:r>
      <w:r>
        <w:rPr>
          <w:rStyle w:val="17"/>
          <w:rFonts w:hint="eastAsia" w:ascii="仿宋" w:hAnsi="仿宋" w:eastAsia="仿宋"/>
          <w:bCs/>
          <w:color w:val="000000"/>
          <w:sz w:val="32"/>
          <w:szCs w:val="32"/>
          <w:lang w:val="en-US" w:eastAsia="zh-CN"/>
        </w:rPr>
        <w:t>01</w:t>
      </w:r>
      <w:r>
        <w:rPr>
          <w:rStyle w:val="17"/>
          <w:rFonts w:hint="eastAsia" w:ascii="仿宋" w:hAnsi="仿宋" w:eastAsia="仿宋"/>
          <w:b/>
          <w:bCs/>
          <w:color w:val="000000"/>
          <w:sz w:val="32"/>
          <w:szCs w:val="32"/>
        </w:rPr>
        <w:t>）</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lang w:val="en-US" w:eastAsia="zh-CN"/>
        </w:rPr>
        <w:t>年初预算为3,098.87，</w:t>
      </w:r>
      <w:r>
        <w:rPr>
          <w:rStyle w:val="17"/>
          <w:rFonts w:hint="eastAsia" w:ascii="仿宋" w:hAnsi="仿宋" w:eastAsia="仿宋"/>
          <w:b w:val="0"/>
          <w:bCs/>
          <w:color w:val="000000"/>
          <w:sz w:val="32"/>
          <w:szCs w:val="32"/>
        </w:rPr>
        <w:t>支出决算为2</w:t>
      </w:r>
      <w:r>
        <w:rPr>
          <w:rStyle w:val="17"/>
          <w:rFonts w:hint="eastAsia" w:ascii="仿宋" w:hAnsi="仿宋" w:eastAsia="仿宋"/>
          <w:b w:val="0"/>
          <w:bCs/>
          <w:color w:val="000000"/>
          <w:sz w:val="32"/>
          <w:szCs w:val="32"/>
          <w:lang w:val="en-US" w:eastAsia="zh-CN"/>
        </w:rPr>
        <w:t>,</w:t>
      </w:r>
      <w:r>
        <w:rPr>
          <w:rStyle w:val="17"/>
          <w:rFonts w:hint="eastAsia" w:ascii="仿宋" w:hAnsi="仿宋" w:eastAsia="仿宋"/>
          <w:b w:val="0"/>
          <w:bCs/>
          <w:color w:val="000000"/>
          <w:sz w:val="32"/>
          <w:szCs w:val="32"/>
        </w:rPr>
        <w:t>991.14万元，完成预算</w:t>
      </w:r>
      <w:r>
        <w:rPr>
          <w:rStyle w:val="17"/>
          <w:rFonts w:hint="eastAsia" w:ascii="仿宋" w:hAnsi="仿宋" w:eastAsia="仿宋"/>
          <w:b w:val="0"/>
          <w:bCs/>
          <w:color w:val="000000"/>
          <w:sz w:val="32"/>
          <w:szCs w:val="32"/>
          <w:lang w:val="en-US" w:eastAsia="zh-CN"/>
        </w:rPr>
        <w:t>96.52</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，决算数小于预算数的主要原因是</w:t>
      </w:r>
      <w:r>
        <w:rPr>
          <w:rStyle w:val="17"/>
          <w:rFonts w:hint="eastAsia" w:ascii="仿宋" w:hAnsi="仿宋" w:eastAsia="仿宋"/>
          <w:b w:val="0"/>
          <w:bCs/>
          <w:color w:val="000000"/>
          <w:sz w:val="32"/>
          <w:szCs w:val="32"/>
          <w:lang w:val="en-US" w:eastAsia="zh-CN"/>
        </w:rPr>
        <w:t>2019年我单位有民警调出</w:t>
      </w:r>
      <w:r>
        <w:rPr>
          <w:rStyle w:val="17"/>
          <w:rFonts w:hint="eastAsia" w:ascii="仿宋" w:hAnsi="仿宋" w:eastAsia="仿宋"/>
          <w:b w:val="0"/>
          <w:bCs/>
          <w:color w:val="000000"/>
          <w:sz w:val="32"/>
          <w:szCs w:val="32"/>
        </w:rPr>
        <w:t>。</w:t>
      </w:r>
    </w:p>
    <w:p>
      <w:pPr>
        <w:spacing w:line="600" w:lineRule="exact"/>
        <w:ind w:firstLine="643" w:firstLineChars="200"/>
        <w:rPr>
          <w:rStyle w:val="17"/>
          <w:rFonts w:hint="eastAsia" w:ascii="仿宋" w:hAnsi="仿宋" w:eastAsia="仿宋"/>
          <w:b w:val="0"/>
          <w:bCs/>
          <w:color w:val="000000"/>
          <w:sz w:val="32"/>
          <w:szCs w:val="32"/>
        </w:rPr>
      </w:pPr>
      <w:r>
        <w:rPr>
          <w:rStyle w:val="17"/>
          <w:rFonts w:ascii="仿宋" w:hAnsi="仿宋" w:eastAsia="仿宋"/>
          <w:bCs/>
          <w:color w:val="000000"/>
          <w:sz w:val="32"/>
          <w:szCs w:val="32"/>
        </w:rPr>
        <w:t>3.</w:t>
      </w:r>
      <w:r>
        <w:rPr>
          <w:rStyle w:val="17"/>
          <w:rFonts w:hint="eastAsia" w:ascii="仿宋" w:hAnsi="仿宋" w:eastAsia="仿宋"/>
          <w:bCs/>
          <w:color w:val="000000"/>
          <w:sz w:val="32"/>
          <w:szCs w:val="32"/>
        </w:rPr>
        <w:t>公共安全支出（</w:t>
      </w:r>
      <w:r>
        <w:rPr>
          <w:rStyle w:val="17"/>
          <w:rFonts w:hint="eastAsia" w:ascii="仿宋" w:hAnsi="仿宋" w:eastAsia="仿宋"/>
          <w:bCs/>
          <w:color w:val="000000"/>
          <w:sz w:val="32"/>
          <w:szCs w:val="32"/>
          <w:lang w:val="en-US" w:eastAsia="zh-CN"/>
        </w:rPr>
        <w:t>204</w:t>
      </w:r>
      <w:r>
        <w:rPr>
          <w:rStyle w:val="17"/>
          <w:rFonts w:hint="eastAsia" w:ascii="仿宋" w:hAnsi="仿宋" w:eastAsia="仿宋"/>
          <w:bCs/>
          <w:color w:val="000000"/>
          <w:sz w:val="32"/>
          <w:szCs w:val="32"/>
        </w:rPr>
        <w:t>）公安（</w:t>
      </w:r>
      <w:r>
        <w:rPr>
          <w:rStyle w:val="17"/>
          <w:rFonts w:hint="eastAsia" w:ascii="仿宋" w:hAnsi="仿宋" w:eastAsia="仿宋"/>
          <w:bCs/>
          <w:color w:val="000000"/>
          <w:sz w:val="32"/>
          <w:szCs w:val="32"/>
          <w:lang w:val="en-US" w:eastAsia="zh-CN"/>
        </w:rPr>
        <w:t>02</w:t>
      </w:r>
      <w:r>
        <w:rPr>
          <w:rStyle w:val="17"/>
          <w:rFonts w:hint="eastAsia" w:ascii="仿宋" w:hAnsi="仿宋" w:eastAsia="仿宋"/>
          <w:bCs/>
          <w:color w:val="000000"/>
          <w:sz w:val="32"/>
          <w:szCs w:val="32"/>
        </w:rPr>
        <w:t>）一般行政管理事务（</w:t>
      </w:r>
      <w:r>
        <w:rPr>
          <w:rStyle w:val="17"/>
          <w:rFonts w:hint="eastAsia" w:ascii="仿宋" w:hAnsi="仿宋" w:eastAsia="仿宋"/>
          <w:bCs/>
          <w:color w:val="000000"/>
          <w:sz w:val="32"/>
          <w:szCs w:val="32"/>
          <w:lang w:val="en-US" w:eastAsia="zh-CN"/>
        </w:rPr>
        <w:t>02</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lang w:val="en-US" w:eastAsia="zh-CN"/>
        </w:rPr>
        <w:t>年初预算为1519.29，</w:t>
      </w:r>
      <w:r>
        <w:rPr>
          <w:rStyle w:val="17"/>
          <w:rFonts w:hint="eastAsia" w:ascii="仿宋" w:hAnsi="仿宋" w:eastAsia="仿宋"/>
          <w:b w:val="0"/>
          <w:bCs/>
          <w:color w:val="000000"/>
          <w:sz w:val="32"/>
          <w:szCs w:val="32"/>
        </w:rPr>
        <w:t>支出决算为917.94万元，完成预算</w:t>
      </w:r>
      <w:r>
        <w:rPr>
          <w:rStyle w:val="17"/>
          <w:rFonts w:hint="eastAsia" w:ascii="仿宋" w:hAnsi="仿宋" w:eastAsia="仿宋"/>
          <w:b w:val="0"/>
          <w:bCs/>
          <w:color w:val="000000"/>
          <w:sz w:val="32"/>
          <w:szCs w:val="32"/>
          <w:lang w:val="en-US" w:eastAsia="zh-CN"/>
        </w:rPr>
        <w:t>60.42</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，决算数小于预算数的主要原因是</w:t>
      </w:r>
      <w:r>
        <w:rPr>
          <w:rStyle w:val="17"/>
          <w:rFonts w:hint="eastAsia" w:ascii="仿宋" w:hAnsi="仿宋" w:eastAsia="仿宋"/>
          <w:b w:val="0"/>
          <w:bCs/>
          <w:color w:val="000000"/>
          <w:sz w:val="32"/>
          <w:szCs w:val="32"/>
          <w:lang w:val="en-US" w:eastAsia="zh-CN"/>
        </w:rPr>
        <w:t>专项资金未用完</w:t>
      </w:r>
      <w:r>
        <w:rPr>
          <w:rStyle w:val="17"/>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7"/>
          <w:rFonts w:ascii="仿宋" w:hAnsi="仿宋" w:eastAsia="仿宋"/>
          <w:bCs/>
          <w:color w:val="000000"/>
          <w:sz w:val="32"/>
          <w:szCs w:val="32"/>
        </w:rPr>
        <w:t>4.</w:t>
      </w:r>
      <w:r>
        <w:rPr>
          <w:rStyle w:val="17"/>
          <w:rFonts w:hint="eastAsia" w:ascii="仿宋" w:hAnsi="仿宋" w:eastAsia="仿宋"/>
          <w:bCs/>
          <w:color w:val="000000"/>
          <w:sz w:val="32"/>
          <w:szCs w:val="32"/>
        </w:rPr>
        <w:t>公共安全支出（</w:t>
      </w:r>
      <w:r>
        <w:rPr>
          <w:rStyle w:val="17"/>
          <w:rFonts w:hint="eastAsia" w:ascii="仿宋" w:hAnsi="仿宋" w:eastAsia="仿宋"/>
          <w:bCs/>
          <w:color w:val="000000"/>
          <w:sz w:val="32"/>
          <w:szCs w:val="32"/>
          <w:lang w:val="en-US" w:eastAsia="zh-CN"/>
        </w:rPr>
        <w:t>204</w:t>
      </w:r>
      <w:r>
        <w:rPr>
          <w:rStyle w:val="17"/>
          <w:rFonts w:hint="eastAsia" w:ascii="仿宋" w:hAnsi="仿宋" w:eastAsia="仿宋"/>
          <w:bCs/>
          <w:color w:val="000000"/>
          <w:sz w:val="32"/>
          <w:szCs w:val="32"/>
        </w:rPr>
        <w:t>）公安（</w:t>
      </w:r>
      <w:r>
        <w:rPr>
          <w:rStyle w:val="17"/>
          <w:rFonts w:hint="eastAsia" w:ascii="仿宋" w:hAnsi="仿宋" w:eastAsia="仿宋"/>
          <w:bCs/>
          <w:color w:val="000000"/>
          <w:sz w:val="32"/>
          <w:szCs w:val="32"/>
          <w:lang w:val="en-US" w:eastAsia="zh-CN"/>
        </w:rPr>
        <w:t>02</w:t>
      </w:r>
      <w:r>
        <w:rPr>
          <w:rStyle w:val="17"/>
          <w:rFonts w:hint="eastAsia" w:ascii="仿宋" w:hAnsi="仿宋" w:eastAsia="仿宋"/>
          <w:bCs/>
          <w:color w:val="000000"/>
          <w:sz w:val="32"/>
          <w:szCs w:val="32"/>
        </w:rPr>
        <w:t>）执法办案（</w:t>
      </w:r>
      <w:r>
        <w:rPr>
          <w:rStyle w:val="17"/>
          <w:rFonts w:hint="eastAsia" w:ascii="仿宋" w:hAnsi="仿宋" w:eastAsia="仿宋"/>
          <w:bCs/>
          <w:color w:val="000000"/>
          <w:sz w:val="32"/>
          <w:szCs w:val="32"/>
          <w:lang w:val="en-US" w:eastAsia="zh-CN"/>
        </w:rPr>
        <w:t>20</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lang w:val="en-US" w:eastAsia="zh-CN"/>
        </w:rPr>
        <w:t>年初预算为268.00万元，</w:t>
      </w:r>
      <w:r>
        <w:rPr>
          <w:rStyle w:val="17"/>
          <w:rFonts w:hint="eastAsia" w:ascii="仿宋" w:hAnsi="仿宋" w:eastAsia="仿宋"/>
          <w:b w:val="0"/>
          <w:bCs/>
          <w:color w:val="000000"/>
          <w:sz w:val="32"/>
          <w:szCs w:val="32"/>
        </w:rPr>
        <w:t>支出决算为9.86万元，完成预算</w:t>
      </w:r>
      <w:r>
        <w:rPr>
          <w:rStyle w:val="17"/>
          <w:rFonts w:hint="eastAsia" w:ascii="仿宋" w:hAnsi="仿宋" w:eastAsia="仿宋"/>
          <w:b w:val="0"/>
          <w:bCs/>
          <w:color w:val="000000"/>
          <w:sz w:val="32"/>
          <w:szCs w:val="32"/>
          <w:lang w:val="en-US" w:eastAsia="zh-CN"/>
        </w:rPr>
        <w:t>3.68</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，决算数小于等于预算数的主要原因是</w:t>
      </w:r>
      <w:r>
        <w:rPr>
          <w:rStyle w:val="17"/>
          <w:rFonts w:hint="eastAsia" w:ascii="仿宋" w:hAnsi="仿宋" w:eastAsia="仿宋"/>
          <w:b w:val="0"/>
          <w:bCs/>
          <w:color w:val="000000"/>
          <w:sz w:val="32"/>
          <w:szCs w:val="32"/>
          <w:lang w:val="en-US" w:eastAsia="zh-CN"/>
        </w:rPr>
        <w:t>中央、省级专项资金未用完</w:t>
      </w:r>
      <w:r>
        <w:rPr>
          <w:rStyle w:val="17"/>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7"/>
          <w:rFonts w:ascii="仿宋" w:hAnsi="仿宋" w:eastAsia="仿宋"/>
          <w:bCs/>
          <w:color w:val="000000"/>
          <w:sz w:val="32"/>
          <w:szCs w:val="32"/>
        </w:rPr>
        <w:t>5.</w:t>
      </w:r>
      <w:r>
        <w:rPr>
          <w:rStyle w:val="17"/>
          <w:rFonts w:hint="eastAsia" w:ascii="仿宋" w:hAnsi="仿宋" w:eastAsia="仿宋"/>
          <w:bCs/>
          <w:color w:val="000000"/>
          <w:sz w:val="32"/>
          <w:szCs w:val="32"/>
        </w:rPr>
        <w:t>公共安全支出（</w:t>
      </w:r>
      <w:r>
        <w:rPr>
          <w:rStyle w:val="17"/>
          <w:rFonts w:hint="eastAsia" w:ascii="仿宋" w:hAnsi="仿宋" w:eastAsia="仿宋"/>
          <w:bCs/>
          <w:color w:val="000000"/>
          <w:sz w:val="32"/>
          <w:szCs w:val="32"/>
          <w:lang w:val="en-US" w:eastAsia="zh-CN"/>
        </w:rPr>
        <w:t>204</w:t>
      </w:r>
      <w:r>
        <w:rPr>
          <w:rStyle w:val="17"/>
          <w:rFonts w:hint="eastAsia" w:ascii="仿宋" w:hAnsi="仿宋" w:eastAsia="仿宋"/>
          <w:bCs/>
          <w:color w:val="000000"/>
          <w:sz w:val="32"/>
          <w:szCs w:val="32"/>
        </w:rPr>
        <w:t>）公安（</w:t>
      </w:r>
      <w:r>
        <w:rPr>
          <w:rStyle w:val="17"/>
          <w:rFonts w:hint="eastAsia" w:ascii="仿宋" w:hAnsi="仿宋" w:eastAsia="仿宋"/>
          <w:bCs/>
          <w:color w:val="000000"/>
          <w:sz w:val="32"/>
          <w:szCs w:val="32"/>
          <w:lang w:val="en-US" w:eastAsia="zh-CN"/>
        </w:rPr>
        <w:t>02</w:t>
      </w:r>
      <w:r>
        <w:rPr>
          <w:rStyle w:val="17"/>
          <w:rFonts w:hint="eastAsia" w:ascii="仿宋" w:hAnsi="仿宋" w:eastAsia="仿宋"/>
          <w:bCs/>
          <w:color w:val="000000"/>
          <w:sz w:val="32"/>
          <w:szCs w:val="32"/>
        </w:rPr>
        <w:t>）其他公安支出（</w:t>
      </w:r>
      <w:r>
        <w:rPr>
          <w:rStyle w:val="17"/>
          <w:rFonts w:hint="eastAsia" w:ascii="仿宋" w:hAnsi="仿宋" w:eastAsia="仿宋"/>
          <w:bCs/>
          <w:color w:val="000000"/>
          <w:sz w:val="32"/>
          <w:szCs w:val="32"/>
          <w:lang w:val="en-US" w:eastAsia="zh-CN"/>
        </w:rPr>
        <w:t>99</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lang w:val="en-US" w:eastAsia="zh-CN"/>
        </w:rPr>
        <w:t>年初预算为242.68万元，</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136</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56.04</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，决算数小于预算数的主要原因是</w:t>
      </w:r>
      <w:r>
        <w:rPr>
          <w:rStyle w:val="17"/>
          <w:rFonts w:hint="eastAsia" w:ascii="仿宋" w:hAnsi="仿宋" w:eastAsia="仿宋"/>
          <w:b w:val="0"/>
          <w:bCs/>
          <w:color w:val="000000"/>
          <w:sz w:val="32"/>
          <w:szCs w:val="32"/>
          <w:lang w:val="en-US" w:eastAsia="zh-CN"/>
        </w:rPr>
        <w:t>中央、省级专项资金未用完</w:t>
      </w:r>
      <w:r>
        <w:rPr>
          <w:rStyle w:val="17"/>
          <w:rFonts w:hint="eastAsia" w:ascii="仿宋" w:hAnsi="仿宋" w:eastAsia="仿宋"/>
          <w:b w:val="0"/>
          <w:bCs/>
          <w:color w:val="000000"/>
          <w:sz w:val="32"/>
          <w:szCs w:val="32"/>
        </w:rPr>
        <w:t>。</w:t>
      </w:r>
    </w:p>
    <w:p>
      <w:pPr>
        <w:spacing w:line="600" w:lineRule="exact"/>
        <w:ind w:firstLine="643" w:firstLineChars="200"/>
        <w:rPr>
          <w:rStyle w:val="17"/>
          <w:rFonts w:hint="eastAsia" w:ascii="仿宋" w:hAnsi="仿宋" w:eastAsia="仿宋"/>
          <w:b w:val="0"/>
          <w:bCs/>
          <w:color w:val="000000"/>
          <w:sz w:val="32"/>
          <w:szCs w:val="32"/>
        </w:rPr>
      </w:pPr>
      <w:r>
        <w:rPr>
          <w:rStyle w:val="17"/>
          <w:rFonts w:ascii="仿宋" w:hAnsi="仿宋" w:eastAsia="仿宋"/>
          <w:bCs/>
          <w:color w:val="000000"/>
          <w:sz w:val="32"/>
          <w:szCs w:val="32"/>
        </w:rPr>
        <w:t>6.</w:t>
      </w:r>
      <w:r>
        <w:rPr>
          <w:rStyle w:val="17"/>
          <w:rFonts w:hint="eastAsia" w:ascii="仿宋" w:hAnsi="仿宋" w:eastAsia="仿宋"/>
          <w:bCs/>
          <w:color w:val="000000"/>
          <w:sz w:val="32"/>
          <w:szCs w:val="32"/>
        </w:rPr>
        <w:t>公共安全支出（</w:t>
      </w:r>
      <w:r>
        <w:rPr>
          <w:rStyle w:val="17"/>
          <w:rFonts w:hint="eastAsia" w:ascii="仿宋" w:hAnsi="仿宋" w:eastAsia="仿宋"/>
          <w:bCs/>
          <w:color w:val="000000"/>
          <w:sz w:val="32"/>
          <w:szCs w:val="32"/>
          <w:lang w:val="en-US" w:eastAsia="zh-CN"/>
        </w:rPr>
        <w:t>204)</w:t>
      </w:r>
      <w:r>
        <w:rPr>
          <w:rStyle w:val="17"/>
          <w:rFonts w:hint="eastAsia" w:ascii="仿宋" w:hAnsi="仿宋" w:eastAsia="仿宋"/>
          <w:bCs/>
          <w:color w:val="000000"/>
          <w:sz w:val="32"/>
          <w:szCs w:val="32"/>
        </w:rPr>
        <w:t>其他公共安全支出（</w:t>
      </w:r>
      <w:r>
        <w:rPr>
          <w:rStyle w:val="17"/>
          <w:rFonts w:hint="eastAsia" w:ascii="仿宋" w:hAnsi="仿宋" w:eastAsia="仿宋"/>
          <w:bCs/>
          <w:color w:val="000000"/>
          <w:sz w:val="32"/>
          <w:szCs w:val="32"/>
          <w:lang w:val="en-US" w:eastAsia="zh-CN"/>
        </w:rPr>
        <w:t>99</w:t>
      </w:r>
      <w:r>
        <w:rPr>
          <w:rStyle w:val="17"/>
          <w:rFonts w:hint="eastAsia" w:ascii="仿宋" w:hAnsi="仿宋" w:eastAsia="仿宋"/>
          <w:bCs/>
          <w:color w:val="000000"/>
          <w:sz w:val="32"/>
          <w:szCs w:val="32"/>
        </w:rPr>
        <w:t>）其他公共安全支出（</w:t>
      </w:r>
      <w:r>
        <w:rPr>
          <w:rStyle w:val="17"/>
          <w:rFonts w:hint="eastAsia" w:ascii="仿宋" w:hAnsi="仿宋" w:eastAsia="仿宋"/>
          <w:bCs/>
          <w:color w:val="000000"/>
          <w:sz w:val="32"/>
          <w:szCs w:val="32"/>
          <w:lang w:val="en-US" w:eastAsia="zh-CN"/>
        </w:rPr>
        <w:t>01</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lang w:val="en-US" w:eastAsia="zh-CN"/>
        </w:rPr>
        <w:t>年初预算为912.94万元，</w:t>
      </w:r>
      <w:r>
        <w:rPr>
          <w:rStyle w:val="17"/>
          <w:rFonts w:hint="eastAsia" w:ascii="仿宋" w:hAnsi="仿宋" w:eastAsia="仿宋"/>
          <w:b w:val="0"/>
          <w:bCs/>
          <w:color w:val="000000"/>
          <w:sz w:val="32"/>
          <w:szCs w:val="32"/>
        </w:rPr>
        <w:t>支出决算为912.94万元，完成预算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7"/>
          <w:rFonts w:hint="eastAsia" w:ascii="仿宋" w:hAnsi="仿宋" w:eastAsia="仿宋"/>
          <w:bCs/>
          <w:color w:val="000000"/>
          <w:sz w:val="32"/>
          <w:szCs w:val="32"/>
          <w:lang w:val="en-US" w:eastAsia="zh-CN"/>
        </w:rPr>
        <w:t>7</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社会保障和就业支出（</w:t>
      </w:r>
      <w:r>
        <w:rPr>
          <w:rStyle w:val="17"/>
          <w:rFonts w:hint="eastAsia" w:ascii="仿宋" w:hAnsi="仿宋" w:eastAsia="仿宋"/>
          <w:bCs/>
          <w:color w:val="000000"/>
          <w:sz w:val="32"/>
          <w:szCs w:val="32"/>
          <w:lang w:val="en-US" w:eastAsia="zh-CN"/>
        </w:rPr>
        <w:t>208)</w:t>
      </w:r>
      <w:r>
        <w:rPr>
          <w:rStyle w:val="17"/>
          <w:rFonts w:hint="eastAsia" w:ascii="仿宋" w:hAnsi="仿宋" w:eastAsia="仿宋"/>
          <w:bCs/>
          <w:color w:val="000000"/>
          <w:sz w:val="32"/>
          <w:szCs w:val="32"/>
        </w:rPr>
        <w:t>行政事业单位离退休（</w:t>
      </w:r>
      <w:r>
        <w:rPr>
          <w:rStyle w:val="17"/>
          <w:rFonts w:hint="eastAsia" w:ascii="仿宋" w:hAnsi="仿宋" w:eastAsia="仿宋"/>
          <w:bCs/>
          <w:color w:val="000000"/>
          <w:sz w:val="32"/>
          <w:szCs w:val="32"/>
          <w:lang w:val="en-US" w:eastAsia="zh-CN"/>
        </w:rPr>
        <w:t>05</w:t>
      </w:r>
      <w:r>
        <w:rPr>
          <w:rStyle w:val="17"/>
          <w:rFonts w:hint="eastAsia" w:ascii="仿宋" w:hAnsi="仿宋" w:eastAsia="仿宋"/>
          <w:bCs/>
          <w:color w:val="000000"/>
          <w:sz w:val="32"/>
          <w:szCs w:val="32"/>
        </w:rPr>
        <w:t>）机关事业单位基本养老保险缴费支出（</w:t>
      </w:r>
      <w:r>
        <w:rPr>
          <w:rStyle w:val="17"/>
          <w:rFonts w:hint="eastAsia" w:ascii="仿宋" w:hAnsi="仿宋" w:eastAsia="仿宋"/>
          <w:bCs/>
          <w:color w:val="000000"/>
          <w:sz w:val="32"/>
          <w:szCs w:val="32"/>
          <w:lang w:val="en-US" w:eastAsia="zh-CN"/>
        </w:rPr>
        <w:t>05</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lang w:val="en-US" w:eastAsia="zh-CN"/>
        </w:rPr>
        <w:t>年初预算为388.49万元，</w:t>
      </w:r>
      <w:r>
        <w:rPr>
          <w:rStyle w:val="17"/>
          <w:rFonts w:hint="eastAsia" w:ascii="仿宋" w:hAnsi="仿宋" w:eastAsia="仿宋"/>
          <w:b w:val="0"/>
          <w:bCs/>
          <w:color w:val="000000"/>
          <w:sz w:val="32"/>
          <w:szCs w:val="32"/>
        </w:rPr>
        <w:t>支出决算为264.47万元，完成预算</w:t>
      </w:r>
      <w:r>
        <w:rPr>
          <w:rStyle w:val="17"/>
          <w:rFonts w:hint="eastAsia" w:ascii="仿宋" w:hAnsi="仿宋" w:eastAsia="仿宋"/>
          <w:b w:val="0"/>
          <w:bCs/>
          <w:color w:val="000000"/>
          <w:sz w:val="32"/>
          <w:szCs w:val="32"/>
          <w:lang w:val="en-US" w:eastAsia="zh-CN"/>
        </w:rPr>
        <w:t>68.08</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，决算数小于预算数的主要原因是</w:t>
      </w:r>
      <w:r>
        <w:rPr>
          <w:rStyle w:val="17"/>
          <w:rFonts w:hint="eastAsia" w:ascii="仿宋" w:hAnsi="仿宋" w:eastAsia="仿宋"/>
          <w:b w:val="0"/>
          <w:bCs/>
          <w:color w:val="000000"/>
          <w:sz w:val="32"/>
          <w:szCs w:val="32"/>
          <w:lang w:val="en-US" w:eastAsia="zh-CN"/>
        </w:rPr>
        <w:t>2019年我局有民警调出</w:t>
      </w:r>
      <w:r>
        <w:rPr>
          <w:rStyle w:val="17"/>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7"/>
          <w:rFonts w:hint="eastAsia" w:ascii="仿宋" w:hAnsi="仿宋" w:eastAsia="仿宋"/>
          <w:bCs/>
          <w:color w:val="000000"/>
          <w:sz w:val="32"/>
          <w:szCs w:val="32"/>
          <w:lang w:val="en-US" w:eastAsia="zh-CN"/>
        </w:rPr>
        <w:t>8</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社会保障和就业支出（</w:t>
      </w:r>
      <w:r>
        <w:rPr>
          <w:rStyle w:val="17"/>
          <w:rFonts w:hint="eastAsia" w:ascii="仿宋" w:hAnsi="仿宋" w:eastAsia="仿宋"/>
          <w:bCs/>
          <w:color w:val="000000"/>
          <w:sz w:val="32"/>
          <w:szCs w:val="32"/>
          <w:lang w:val="en-US" w:eastAsia="zh-CN"/>
        </w:rPr>
        <w:t>208)</w:t>
      </w:r>
      <w:r>
        <w:rPr>
          <w:rStyle w:val="17"/>
          <w:rFonts w:hint="eastAsia" w:ascii="仿宋" w:hAnsi="仿宋" w:eastAsia="仿宋"/>
          <w:bCs/>
          <w:color w:val="000000"/>
          <w:sz w:val="32"/>
          <w:szCs w:val="32"/>
        </w:rPr>
        <w:t>行政事业单位离退休（</w:t>
      </w:r>
      <w:r>
        <w:rPr>
          <w:rStyle w:val="17"/>
          <w:rFonts w:hint="eastAsia" w:ascii="仿宋" w:hAnsi="仿宋" w:eastAsia="仿宋"/>
          <w:bCs/>
          <w:color w:val="000000"/>
          <w:sz w:val="32"/>
          <w:szCs w:val="32"/>
          <w:lang w:val="en-US" w:eastAsia="zh-CN"/>
        </w:rPr>
        <w:t>05</w:t>
      </w:r>
      <w:r>
        <w:rPr>
          <w:rStyle w:val="17"/>
          <w:rFonts w:hint="eastAsia" w:ascii="仿宋" w:hAnsi="仿宋" w:eastAsia="仿宋"/>
          <w:bCs/>
          <w:color w:val="000000"/>
          <w:sz w:val="32"/>
          <w:szCs w:val="32"/>
        </w:rPr>
        <w:t>）机关事业单位职业年金缴费支出（</w:t>
      </w:r>
      <w:r>
        <w:rPr>
          <w:rStyle w:val="17"/>
          <w:rFonts w:hint="eastAsia" w:ascii="仿宋" w:hAnsi="仿宋" w:eastAsia="仿宋"/>
          <w:bCs/>
          <w:color w:val="000000"/>
          <w:sz w:val="32"/>
          <w:szCs w:val="32"/>
          <w:lang w:val="en-US" w:eastAsia="zh-CN"/>
        </w:rPr>
        <w:t>06</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lang w:val="en-US" w:eastAsia="zh-CN"/>
        </w:rPr>
        <w:t>年初预算为155.40，</w:t>
      </w:r>
      <w:r>
        <w:rPr>
          <w:rStyle w:val="17"/>
          <w:rFonts w:hint="eastAsia" w:ascii="仿宋" w:hAnsi="仿宋" w:eastAsia="仿宋"/>
          <w:b w:val="0"/>
          <w:bCs/>
          <w:color w:val="000000"/>
          <w:sz w:val="32"/>
          <w:szCs w:val="32"/>
        </w:rPr>
        <w:t>支出决算为122.1万元，完成预算</w:t>
      </w:r>
      <w:r>
        <w:rPr>
          <w:rStyle w:val="17"/>
          <w:rFonts w:hint="eastAsia" w:ascii="仿宋" w:hAnsi="仿宋" w:eastAsia="仿宋"/>
          <w:b w:val="0"/>
          <w:bCs/>
          <w:color w:val="000000"/>
          <w:sz w:val="32"/>
          <w:szCs w:val="32"/>
          <w:lang w:val="en-US" w:eastAsia="zh-CN"/>
        </w:rPr>
        <w:t>78.57</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，决算数小于预算数的主要原因是</w:t>
      </w:r>
      <w:r>
        <w:rPr>
          <w:rStyle w:val="17"/>
          <w:rFonts w:hint="eastAsia" w:ascii="仿宋" w:hAnsi="仿宋" w:eastAsia="仿宋"/>
          <w:b w:val="0"/>
          <w:bCs/>
          <w:color w:val="000000"/>
          <w:sz w:val="32"/>
          <w:szCs w:val="32"/>
          <w:lang w:val="en-US" w:eastAsia="zh-CN"/>
        </w:rPr>
        <w:t>2019年我局有民警调出</w:t>
      </w:r>
      <w:r>
        <w:rPr>
          <w:rStyle w:val="17"/>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7"/>
          <w:rFonts w:hint="eastAsia" w:ascii="仿宋" w:hAnsi="仿宋" w:eastAsia="仿宋"/>
          <w:bCs/>
          <w:color w:val="000000"/>
          <w:sz w:val="32"/>
          <w:szCs w:val="32"/>
          <w:lang w:val="en-US" w:eastAsia="zh-CN"/>
        </w:rPr>
        <w:t>9</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卫生健康支出（</w:t>
      </w:r>
      <w:r>
        <w:rPr>
          <w:rStyle w:val="17"/>
          <w:rFonts w:hint="eastAsia" w:ascii="仿宋" w:hAnsi="仿宋" w:eastAsia="仿宋"/>
          <w:bCs/>
          <w:color w:val="000000"/>
          <w:sz w:val="32"/>
          <w:szCs w:val="32"/>
          <w:lang w:val="en-US" w:eastAsia="zh-CN"/>
        </w:rPr>
        <w:t>210)</w:t>
      </w:r>
      <w:r>
        <w:rPr>
          <w:rStyle w:val="17"/>
          <w:rFonts w:hint="eastAsia" w:ascii="仿宋" w:hAnsi="仿宋" w:eastAsia="仿宋"/>
          <w:bCs/>
          <w:color w:val="000000"/>
          <w:sz w:val="32"/>
          <w:szCs w:val="32"/>
        </w:rPr>
        <w:t>卫生健康管理事务（</w:t>
      </w:r>
      <w:r>
        <w:rPr>
          <w:rStyle w:val="17"/>
          <w:rFonts w:hint="eastAsia" w:ascii="仿宋" w:hAnsi="仿宋" w:eastAsia="仿宋"/>
          <w:bCs/>
          <w:color w:val="000000"/>
          <w:sz w:val="32"/>
          <w:szCs w:val="32"/>
          <w:lang w:val="en-US" w:eastAsia="zh-CN"/>
        </w:rPr>
        <w:t>01</w:t>
      </w:r>
      <w:r>
        <w:rPr>
          <w:rStyle w:val="17"/>
          <w:rFonts w:hint="eastAsia" w:ascii="仿宋" w:hAnsi="仿宋" w:eastAsia="仿宋"/>
          <w:bCs/>
          <w:color w:val="000000"/>
          <w:sz w:val="32"/>
          <w:szCs w:val="32"/>
        </w:rPr>
        <w:t>）其他卫生健康管理事务支出（</w:t>
      </w:r>
      <w:r>
        <w:rPr>
          <w:rStyle w:val="17"/>
          <w:rFonts w:hint="eastAsia" w:ascii="仿宋" w:hAnsi="仿宋" w:eastAsia="仿宋"/>
          <w:bCs/>
          <w:color w:val="000000"/>
          <w:sz w:val="32"/>
          <w:szCs w:val="32"/>
          <w:lang w:val="en-US" w:eastAsia="zh-CN"/>
        </w:rPr>
        <w:t>99</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lang w:val="en-US" w:eastAsia="zh-CN"/>
        </w:rPr>
        <w:t>年初预算为4万元，</w:t>
      </w:r>
      <w:r>
        <w:rPr>
          <w:rStyle w:val="17"/>
          <w:rFonts w:hint="eastAsia" w:ascii="仿宋" w:hAnsi="仿宋" w:eastAsia="仿宋"/>
          <w:b w:val="0"/>
          <w:bCs/>
          <w:color w:val="000000"/>
          <w:sz w:val="32"/>
          <w:szCs w:val="32"/>
        </w:rPr>
        <w:t>支出决算为4万元，完成预算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7"/>
          <w:rFonts w:hint="eastAsia" w:ascii="仿宋" w:hAnsi="仿宋" w:eastAsia="仿宋"/>
          <w:bCs/>
          <w:color w:val="000000"/>
          <w:sz w:val="32"/>
          <w:szCs w:val="32"/>
          <w:lang w:val="en-US" w:eastAsia="zh-CN"/>
        </w:rPr>
        <w:t>10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卫生健康支出（</w:t>
      </w:r>
      <w:r>
        <w:rPr>
          <w:rStyle w:val="17"/>
          <w:rFonts w:hint="eastAsia" w:ascii="仿宋" w:hAnsi="仿宋" w:eastAsia="仿宋"/>
          <w:bCs/>
          <w:color w:val="000000"/>
          <w:sz w:val="32"/>
          <w:szCs w:val="32"/>
          <w:lang w:val="en-US" w:eastAsia="zh-CN"/>
        </w:rPr>
        <w:t>210)</w:t>
      </w:r>
      <w:r>
        <w:rPr>
          <w:rStyle w:val="17"/>
          <w:rFonts w:hint="eastAsia" w:ascii="仿宋" w:hAnsi="仿宋" w:eastAsia="仿宋"/>
          <w:bCs/>
          <w:color w:val="000000"/>
          <w:sz w:val="32"/>
          <w:szCs w:val="32"/>
        </w:rPr>
        <w:t>公共卫生（</w:t>
      </w:r>
      <w:r>
        <w:rPr>
          <w:rStyle w:val="17"/>
          <w:rFonts w:hint="eastAsia" w:ascii="仿宋" w:hAnsi="仿宋" w:eastAsia="仿宋"/>
          <w:bCs/>
          <w:color w:val="000000"/>
          <w:sz w:val="32"/>
          <w:szCs w:val="32"/>
          <w:lang w:val="en-US" w:eastAsia="zh-CN"/>
        </w:rPr>
        <w:t>04</w:t>
      </w:r>
      <w:r>
        <w:rPr>
          <w:rStyle w:val="17"/>
          <w:rFonts w:hint="eastAsia" w:ascii="仿宋" w:hAnsi="仿宋" w:eastAsia="仿宋"/>
          <w:bCs/>
          <w:color w:val="000000"/>
          <w:sz w:val="32"/>
          <w:szCs w:val="32"/>
        </w:rPr>
        <w:t>）重大公共卫生专项（</w:t>
      </w:r>
      <w:r>
        <w:rPr>
          <w:rStyle w:val="17"/>
          <w:rFonts w:hint="eastAsia" w:ascii="仿宋" w:hAnsi="仿宋" w:eastAsia="仿宋"/>
          <w:bCs/>
          <w:color w:val="000000"/>
          <w:sz w:val="32"/>
          <w:szCs w:val="32"/>
          <w:lang w:val="en-US" w:eastAsia="zh-CN"/>
        </w:rPr>
        <w:t>09</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lang w:val="en-US" w:eastAsia="zh-CN"/>
        </w:rPr>
        <w:t>年初预算为15万元，</w:t>
      </w:r>
      <w:r>
        <w:rPr>
          <w:rStyle w:val="17"/>
          <w:rFonts w:hint="eastAsia" w:ascii="仿宋" w:hAnsi="仿宋" w:eastAsia="仿宋"/>
          <w:b w:val="0"/>
          <w:bCs/>
          <w:color w:val="000000"/>
          <w:sz w:val="32"/>
          <w:szCs w:val="32"/>
        </w:rPr>
        <w:t>支出决算为15万元，完成预算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7"/>
          <w:rFonts w:hint="eastAsia" w:ascii="仿宋" w:hAnsi="仿宋" w:eastAsia="仿宋"/>
          <w:bCs/>
          <w:color w:val="000000"/>
          <w:sz w:val="32"/>
          <w:szCs w:val="32"/>
          <w:lang w:val="en-US" w:eastAsia="zh-CN"/>
        </w:rPr>
        <w:t>11</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卫生健康支出（</w:t>
      </w:r>
      <w:r>
        <w:rPr>
          <w:rStyle w:val="17"/>
          <w:rFonts w:hint="eastAsia" w:ascii="仿宋" w:hAnsi="仿宋" w:eastAsia="仿宋"/>
          <w:bCs/>
          <w:color w:val="000000"/>
          <w:sz w:val="32"/>
          <w:szCs w:val="32"/>
          <w:lang w:val="en-US" w:eastAsia="zh-CN"/>
        </w:rPr>
        <w:t>210)</w:t>
      </w:r>
      <w:r>
        <w:rPr>
          <w:rStyle w:val="17"/>
          <w:rFonts w:hint="eastAsia" w:ascii="仿宋" w:hAnsi="仿宋" w:eastAsia="仿宋"/>
          <w:bCs/>
          <w:color w:val="000000"/>
          <w:sz w:val="32"/>
          <w:szCs w:val="32"/>
        </w:rPr>
        <w:t>行政事业单位医疗（</w:t>
      </w:r>
      <w:r>
        <w:rPr>
          <w:rStyle w:val="17"/>
          <w:rFonts w:hint="eastAsia" w:ascii="仿宋" w:hAnsi="仿宋" w:eastAsia="仿宋"/>
          <w:bCs/>
          <w:color w:val="000000"/>
          <w:sz w:val="32"/>
          <w:szCs w:val="32"/>
          <w:lang w:val="en-US" w:eastAsia="zh-CN"/>
        </w:rPr>
        <w:t>11</w:t>
      </w:r>
      <w:r>
        <w:rPr>
          <w:rStyle w:val="17"/>
          <w:rFonts w:hint="eastAsia" w:ascii="仿宋" w:hAnsi="仿宋" w:eastAsia="仿宋"/>
          <w:bCs/>
          <w:color w:val="000000"/>
          <w:sz w:val="32"/>
          <w:szCs w:val="32"/>
        </w:rPr>
        <w:t>）行政单位医疗（</w:t>
      </w:r>
      <w:r>
        <w:rPr>
          <w:rStyle w:val="17"/>
          <w:rFonts w:hint="eastAsia" w:ascii="仿宋" w:hAnsi="仿宋" w:eastAsia="仿宋"/>
          <w:bCs/>
          <w:color w:val="000000"/>
          <w:sz w:val="32"/>
          <w:szCs w:val="32"/>
          <w:lang w:val="en-US" w:eastAsia="zh-CN"/>
        </w:rPr>
        <w:t>01</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lang w:val="en-US" w:eastAsia="zh-CN"/>
        </w:rPr>
        <w:t>年初预算为138.72万元，</w:t>
      </w:r>
      <w:r>
        <w:rPr>
          <w:rStyle w:val="17"/>
          <w:rFonts w:hint="eastAsia" w:ascii="仿宋" w:hAnsi="仿宋" w:eastAsia="仿宋"/>
          <w:b w:val="0"/>
          <w:bCs/>
          <w:color w:val="000000"/>
          <w:sz w:val="32"/>
          <w:szCs w:val="32"/>
        </w:rPr>
        <w:t>支出决算为107.15万元，完成预算</w:t>
      </w:r>
      <w:r>
        <w:rPr>
          <w:rStyle w:val="17"/>
          <w:rFonts w:hint="eastAsia" w:ascii="仿宋" w:hAnsi="仿宋" w:eastAsia="仿宋"/>
          <w:b w:val="0"/>
          <w:bCs/>
          <w:color w:val="000000"/>
          <w:sz w:val="32"/>
          <w:szCs w:val="32"/>
          <w:lang w:val="en-US" w:eastAsia="zh-CN"/>
        </w:rPr>
        <w:t>77.24</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，决算数小于预算数的主要原因是</w:t>
      </w:r>
      <w:r>
        <w:rPr>
          <w:rStyle w:val="17"/>
          <w:rFonts w:hint="eastAsia" w:ascii="仿宋" w:hAnsi="仿宋" w:eastAsia="仿宋"/>
          <w:b w:val="0"/>
          <w:bCs/>
          <w:color w:val="000000"/>
          <w:sz w:val="32"/>
          <w:szCs w:val="32"/>
          <w:lang w:val="en-US" w:eastAsia="zh-CN"/>
        </w:rPr>
        <w:t>2019年我局有民警调出</w:t>
      </w:r>
      <w:r>
        <w:rPr>
          <w:rStyle w:val="17"/>
          <w:rFonts w:hint="eastAsia" w:ascii="仿宋" w:hAnsi="仿宋" w:eastAsia="仿宋"/>
          <w:b w:val="0"/>
          <w:bCs/>
          <w:color w:val="000000"/>
          <w:sz w:val="32"/>
          <w:szCs w:val="32"/>
        </w:rPr>
        <w:t>。</w:t>
      </w:r>
    </w:p>
    <w:p>
      <w:pPr>
        <w:spacing w:line="600" w:lineRule="exact"/>
        <w:ind w:firstLine="643" w:firstLineChars="200"/>
        <w:rPr>
          <w:rStyle w:val="17"/>
          <w:rFonts w:hint="eastAsia" w:ascii="仿宋" w:hAnsi="仿宋" w:eastAsia="仿宋"/>
          <w:b w:val="0"/>
          <w:bCs/>
          <w:color w:val="000000"/>
          <w:sz w:val="32"/>
          <w:szCs w:val="32"/>
        </w:rPr>
      </w:pPr>
      <w:r>
        <w:rPr>
          <w:rStyle w:val="17"/>
          <w:rFonts w:hint="eastAsia" w:ascii="仿宋" w:hAnsi="仿宋" w:eastAsia="仿宋"/>
          <w:bCs/>
          <w:color w:val="000000"/>
          <w:sz w:val="32"/>
          <w:szCs w:val="32"/>
          <w:lang w:val="en-US" w:eastAsia="zh-CN"/>
        </w:rPr>
        <w:t>12</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卫生健康支出（</w:t>
      </w:r>
      <w:r>
        <w:rPr>
          <w:rStyle w:val="17"/>
          <w:rFonts w:hint="eastAsia" w:ascii="仿宋" w:hAnsi="仿宋" w:eastAsia="仿宋"/>
          <w:bCs/>
          <w:color w:val="000000"/>
          <w:sz w:val="32"/>
          <w:szCs w:val="32"/>
          <w:lang w:val="en-US" w:eastAsia="zh-CN"/>
        </w:rPr>
        <w:t>210)</w:t>
      </w:r>
      <w:r>
        <w:rPr>
          <w:rStyle w:val="17"/>
          <w:rFonts w:hint="eastAsia" w:ascii="仿宋" w:hAnsi="仿宋" w:eastAsia="仿宋"/>
          <w:bCs/>
          <w:color w:val="000000"/>
          <w:sz w:val="32"/>
          <w:szCs w:val="32"/>
        </w:rPr>
        <w:t>行政事业单位医疗（</w:t>
      </w:r>
      <w:r>
        <w:rPr>
          <w:rStyle w:val="17"/>
          <w:rFonts w:hint="eastAsia" w:ascii="仿宋" w:hAnsi="仿宋" w:eastAsia="仿宋"/>
          <w:bCs/>
          <w:color w:val="000000"/>
          <w:sz w:val="32"/>
          <w:szCs w:val="32"/>
          <w:lang w:val="en-US" w:eastAsia="zh-CN"/>
        </w:rPr>
        <w:t>11</w:t>
      </w:r>
      <w:r>
        <w:rPr>
          <w:rStyle w:val="17"/>
          <w:rFonts w:hint="eastAsia" w:ascii="仿宋" w:hAnsi="仿宋" w:eastAsia="仿宋"/>
          <w:bCs/>
          <w:color w:val="000000"/>
          <w:sz w:val="32"/>
          <w:szCs w:val="32"/>
        </w:rPr>
        <w:t>）公务员医疗补助（</w:t>
      </w:r>
      <w:r>
        <w:rPr>
          <w:rStyle w:val="17"/>
          <w:rFonts w:hint="eastAsia" w:ascii="仿宋" w:hAnsi="仿宋" w:eastAsia="仿宋"/>
          <w:bCs/>
          <w:color w:val="000000"/>
          <w:sz w:val="32"/>
          <w:szCs w:val="32"/>
          <w:lang w:val="en-US" w:eastAsia="zh-CN"/>
        </w:rPr>
        <w:t>03</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lang w:val="en-US" w:eastAsia="zh-CN"/>
        </w:rPr>
        <w:t>年初预算为26.52，</w:t>
      </w:r>
      <w:r>
        <w:rPr>
          <w:rStyle w:val="17"/>
          <w:rFonts w:hint="eastAsia" w:ascii="仿宋" w:hAnsi="仿宋" w:eastAsia="仿宋"/>
          <w:b w:val="0"/>
          <w:bCs/>
          <w:color w:val="000000"/>
          <w:sz w:val="32"/>
          <w:szCs w:val="32"/>
        </w:rPr>
        <w:t>支出决算为26.46万元，完成预算</w:t>
      </w:r>
      <w:r>
        <w:rPr>
          <w:rStyle w:val="17"/>
          <w:rFonts w:hint="eastAsia" w:ascii="仿宋" w:hAnsi="仿宋" w:eastAsia="仿宋"/>
          <w:b w:val="0"/>
          <w:bCs/>
          <w:color w:val="000000"/>
          <w:sz w:val="32"/>
          <w:szCs w:val="32"/>
          <w:lang w:val="en-US" w:eastAsia="zh-CN"/>
        </w:rPr>
        <w:t>99.77</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，决算数小于预算数的主要原因是</w:t>
      </w:r>
      <w:r>
        <w:rPr>
          <w:rStyle w:val="17"/>
          <w:rFonts w:hint="eastAsia" w:ascii="仿宋" w:hAnsi="仿宋" w:eastAsia="仿宋"/>
          <w:b w:val="0"/>
          <w:bCs/>
          <w:color w:val="000000"/>
          <w:sz w:val="32"/>
          <w:szCs w:val="32"/>
          <w:lang w:val="en-US" w:eastAsia="zh-CN"/>
        </w:rPr>
        <w:t>2019年我局有民警调出</w:t>
      </w:r>
      <w:r>
        <w:rPr>
          <w:rStyle w:val="17"/>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7"/>
          <w:rFonts w:hint="eastAsia" w:ascii="仿宋" w:hAnsi="仿宋" w:eastAsia="仿宋"/>
          <w:bCs/>
          <w:color w:val="000000"/>
          <w:sz w:val="32"/>
          <w:szCs w:val="32"/>
          <w:lang w:val="en-US" w:eastAsia="zh-CN"/>
        </w:rPr>
        <w:t>13</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住房保障支出（</w:t>
      </w:r>
      <w:r>
        <w:rPr>
          <w:rStyle w:val="17"/>
          <w:rFonts w:hint="eastAsia" w:ascii="仿宋" w:hAnsi="仿宋" w:eastAsia="仿宋"/>
          <w:bCs/>
          <w:color w:val="000000"/>
          <w:sz w:val="32"/>
          <w:szCs w:val="32"/>
          <w:lang w:val="en-US" w:eastAsia="zh-CN"/>
        </w:rPr>
        <w:t>221)</w:t>
      </w:r>
      <w:r>
        <w:rPr>
          <w:rStyle w:val="17"/>
          <w:rFonts w:hint="eastAsia" w:ascii="仿宋" w:hAnsi="仿宋" w:eastAsia="仿宋"/>
          <w:bCs/>
          <w:color w:val="000000"/>
          <w:sz w:val="32"/>
          <w:szCs w:val="32"/>
        </w:rPr>
        <w:t>住房改革支出（</w:t>
      </w:r>
      <w:r>
        <w:rPr>
          <w:rStyle w:val="17"/>
          <w:rFonts w:hint="eastAsia" w:ascii="仿宋" w:hAnsi="仿宋" w:eastAsia="仿宋"/>
          <w:bCs/>
          <w:color w:val="000000"/>
          <w:sz w:val="32"/>
          <w:szCs w:val="32"/>
          <w:lang w:val="en-US" w:eastAsia="zh-CN"/>
        </w:rPr>
        <w:t>02</w:t>
      </w:r>
      <w:r>
        <w:rPr>
          <w:rStyle w:val="17"/>
          <w:rFonts w:hint="eastAsia" w:ascii="仿宋" w:hAnsi="仿宋" w:eastAsia="仿宋"/>
          <w:bCs/>
          <w:color w:val="000000"/>
          <w:sz w:val="32"/>
          <w:szCs w:val="32"/>
        </w:rPr>
        <w:t>）住房公积金（</w:t>
      </w:r>
      <w:r>
        <w:rPr>
          <w:rStyle w:val="17"/>
          <w:rFonts w:hint="eastAsia" w:ascii="仿宋" w:hAnsi="仿宋" w:eastAsia="仿宋"/>
          <w:bCs/>
          <w:color w:val="000000"/>
          <w:sz w:val="32"/>
          <w:szCs w:val="32"/>
          <w:lang w:val="en-US" w:eastAsia="zh-CN"/>
        </w:rPr>
        <w:t>01</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lang w:val="en-US" w:eastAsia="zh-CN"/>
        </w:rPr>
        <w:t>年初预算为283.24万元，</w:t>
      </w:r>
      <w:r>
        <w:rPr>
          <w:rStyle w:val="17"/>
          <w:rFonts w:hint="eastAsia" w:ascii="仿宋" w:hAnsi="仿宋" w:eastAsia="仿宋"/>
          <w:b w:val="0"/>
          <w:bCs/>
          <w:color w:val="000000"/>
          <w:sz w:val="32"/>
          <w:szCs w:val="32"/>
        </w:rPr>
        <w:t>支出决算为281.68万元，完成预算</w:t>
      </w:r>
      <w:r>
        <w:rPr>
          <w:rStyle w:val="17"/>
          <w:rFonts w:hint="eastAsia" w:ascii="仿宋" w:hAnsi="仿宋" w:eastAsia="仿宋"/>
          <w:b w:val="0"/>
          <w:bCs/>
          <w:color w:val="000000"/>
          <w:sz w:val="32"/>
          <w:szCs w:val="32"/>
          <w:lang w:val="en-US" w:eastAsia="zh-CN"/>
        </w:rPr>
        <w:t>99.45</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，决算数小于预算数的主要原因是</w:t>
      </w:r>
      <w:r>
        <w:rPr>
          <w:rStyle w:val="17"/>
          <w:rFonts w:hint="eastAsia" w:ascii="仿宋" w:hAnsi="仿宋" w:eastAsia="仿宋"/>
          <w:b w:val="0"/>
          <w:bCs/>
          <w:color w:val="000000"/>
          <w:sz w:val="32"/>
          <w:szCs w:val="32"/>
          <w:lang w:val="en-US" w:eastAsia="zh-CN"/>
        </w:rPr>
        <w:t>2019年我局有民警调出</w:t>
      </w:r>
      <w:r>
        <w:rPr>
          <w:rStyle w:val="17"/>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7"/>
          <w:rFonts w:hint="eastAsia" w:ascii="仿宋" w:hAnsi="仿宋" w:eastAsia="仿宋"/>
          <w:bCs/>
          <w:color w:val="000000"/>
          <w:sz w:val="32"/>
          <w:szCs w:val="32"/>
          <w:lang w:val="en-US" w:eastAsia="zh-CN"/>
        </w:rPr>
        <w:t>14</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其他支出（</w:t>
      </w:r>
      <w:r>
        <w:rPr>
          <w:rStyle w:val="17"/>
          <w:rFonts w:hint="eastAsia" w:ascii="仿宋" w:hAnsi="仿宋" w:eastAsia="仿宋"/>
          <w:bCs/>
          <w:color w:val="000000"/>
          <w:sz w:val="32"/>
          <w:szCs w:val="32"/>
          <w:lang w:val="en-US" w:eastAsia="zh-CN"/>
        </w:rPr>
        <w:t>229)</w:t>
      </w:r>
      <w:r>
        <w:rPr>
          <w:rStyle w:val="17"/>
          <w:rFonts w:hint="eastAsia" w:ascii="仿宋" w:hAnsi="仿宋" w:eastAsia="仿宋"/>
          <w:bCs/>
          <w:color w:val="000000"/>
          <w:sz w:val="32"/>
          <w:szCs w:val="32"/>
        </w:rPr>
        <w:t>其他支出（</w:t>
      </w:r>
      <w:r>
        <w:rPr>
          <w:rStyle w:val="17"/>
          <w:rFonts w:hint="eastAsia" w:ascii="仿宋" w:hAnsi="仿宋" w:eastAsia="仿宋"/>
          <w:bCs/>
          <w:color w:val="000000"/>
          <w:sz w:val="32"/>
          <w:szCs w:val="32"/>
          <w:lang w:val="en-US" w:eastAsia="zh-CN"/>
        </w:rPr>
        <w:t>99</w:t>
      </w:r>
      <w:r>
        <w:rPr>
          <w:rStyle w:val="17"/>
          <w:rFonts w:hint="eastAsia" w:ascii="仿宋" w:hAnsi="仿宋" w:eastAsia="仿宋"/>
          <w:bCs/>
          <w:color w:val="000000"/>
          <w:sz w:val="32"/>
          <w:szCs w:val="32"/>
        </w:rPr>
        <w:t>）其他支出（</w:t>
      </w:r>
      <w:r>
        <w:rPr>
          <w:rStyle w:val="17"/>
          <w:rFonts w:hint="eastAsia" w:ascii="仿宋" w:hAnsi="仿宋" w:eastAsia="仿宋"/>
          <w:bCs/>
          <w:color w:val="000000"/>
          <w:sz w:val="32"/>
          <w:szCs w:val="32"/>
          <w:lang w:val="en-US" w:eastAsia="zh-CN"/>
        </w:rPr>
        <w:t>01</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lang w:val="en-US" w:eastAsia="zh-CN"/>
        </w:rPr>
        <w:t>年初预算为1万元，</w:t>
      </w:r>
      <w:r>
        <w:rPr>
          <w:rStyle w:val="17"/>
          <w:rFonts w:hint="eastAsia" w:ascii="仿宋" w:hAnsi="仿宋" w:eastAsia="仿宋"/>
          <w:b w:val="0"/>
          <w:bCs/>
          <w:color w:val="000000"/>
          <w:sz w:val="32"/>
          <w:szCs w:val="32"/>
        </w:rPr>
        <w:t>支出决算为0.51万元，完成预算</w:t>
      </w:r>
      <w:r>
        <w:rPr>
          <w:rStyle w:val="17"/>
          <w:rFonts w:hint="eastAsia" w:ascii="仿宋" w:hAnsi="仿宋" w:eastAsia="仿宋"/>
          <w:b w:val="0"/>
          <w:bCs/>
          <w:color w:val="000000"/>
          <w:sz w:val="32"/>
          <w:szCs w:val="32"/>
          <w:lang w:val="en-US" w:eastAsia="zh-CN"/>
        </w:rPr>
        <w:t>51</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，决算数小于预算数的主要原因是</w:t>
      </w:r>
      <w:r>
        <w:rPr>
          <w:rStyle w:val="17"/>
          <w:rFonts w:hint="eastAsia" w:ascii="仿宋" w:hAnsi="仿宋" w:eastAsia="仿宋"/>
          <w:b w:val="0"/>
          <w:bCs/>
          <w:color w:val="000000"/>
          <w:sz w:val="32"/>
          <w:szCs w:val="32"/>
          <w:lang w:val="en-US" w:eastAsia="zh-CN"/>
        </w:rPr>
        <w:t>专项资金未用完</w:t>
      </w:r>
      <w:r>
        <w:rPr>
          <w:rStyle w:val="17"/>
          <w:rFonts w:hint="eastAsia" w:ascii="仿宋" w:hAnsi="仿宋" w:eastAsia="仿宋"/>
          <w:b w:val="0"/>
          <w:bCs/>
          <w:color w:val="000000"/>
          <w:sz w:val="32"/>
          <w:szCs w:val="32"/>
        </w:rPr>
        <w:t>。</w:t>
      </w:r>
    </w:p>
    <w:p>
      <w:pPr>
        <w:tabs>
          <w:tab w:val="right" w:pos="8306"/>
        </w:tabs>
        <w:spacing w:line="600" w:lineRule="exact"/>
        <w:ind w:firstLine="640"/>
        <w:outlineLvl w:val="1"/>
        <w:rPr>
          <w:rStyle w:val="28"/>
        </w:rPr>
      </w:pPr>
      <w:bookmarkStart w:id="49" w:name="_Toc15377214"/>
      <w:bookmarkStart w:id="50" w:name="_Toc15396608"/>
      <w:bookmarkStart w:id="51" w:name="_Toc19522"/>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49"/>
      <w:bookmarkEnd w:id="50"/>
      <w:bookmarkEnd w:id="51"/>
      <w:r>
        <w:rPr>
          <w:rStyle w:val="2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9年一般公共预算财政拨款基本支出3</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793</w:t>
      </w:r>
      <w:r>
        <w:rPr>
          <w:rFonts w:hint="eastAsia" w:ascii="仿宋" w:hAnsi="仿宋" w:eastAsia="仿宋"/>
          <w:color w:val="000000"/>
          <w:sz w:val="32"/>
          <w:szCs w:val="32"/>
          <w:lang w:val="en-US" w:eastAsia="zh-CN"/>
        </w:rPr>
        <w:t>.00</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3071.9</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721</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8"/>
          <w:rFonts w:ascii="黑体" w:hAnsi="黑体" w:eastAsia="黑体"/>
          <w:b w:val="0"/>
        </w:rPr>
      </w:pPr>
      <w:bookmarkStart w:id="52" w:name="_Toc15377215"/>
      <w:bookmarkStart w:id="53" w:name="_Toc4192"/>
      <w:bookmarkStart w:id="54" w:name="_Toc15396609"/>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52"/>
      <w:bookmarkEnd w:id="53"/>
      <w:bookmarkEnd w:id="54"/>
    </w:p>
    <w:p>
      <w:pPr>
        <w:spacing w:line="600" w:lineRule="exact"/>
        <w:ind w:firstLine="640"/>
        <w:outlineLvl w:val="2"/>
        <w:rPr>
          <w:rFonts w:ascii="仿宋" w:hAnsi="仿宋" w:eastAsia="仿宋"/>
          <w:b/>
          <w:color w:val="000000"/>
          <w:sz w:val="32"/>
          <w:szCs w:val="32"/>
        </w:rPr>
      </w:pPr>
      <w:bookmarkStart w:id="55" w:name="_Toc15377216"/>
      <w:r>
        <w:rPr>
          <w:rFonts w:hint="eastAsia" w:ascii="仿宋" w:hAnsi="仿宋" w:eastAsia="仿宋"/>
          <w:b/>
          <w:color w:val="000000"/>
          <w:sz w:val="32"/>
          <w:szCs w:val="32"/>
        </w:rPr>
        <w:t>（一）“三公”经费财政拨款支出决算总体情况说明</w:t>
      </w:r>
      <w:bookmarkEnd w:id="55"/>
    </w:p>
    <w:p>
      <w:pPr>
        <w:spacing w:line="600" w:lineRule="exact"/>
        <w:ind w:firstLine="640"/>
        <w:rPr>
          <w:rFonts w:hint="eastAsia" w:ascii="仿宋" w:hAnsi="仿宋" w:eastAsia="仿宋"/>
          <w:b/>
          <w:color w:val="FF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9年“三公”经费财政拨款</w:t>
      </w:r>
      <w:r>
        <w:rPr>
          <w:rFonts w:hint="eastAsia" w:ascii="仿宋" w:hAnsi="仿宋" w:eastAsia="仿宋"/>
          <w:color w:val="000000"/>
          <w:sz w:val="32"/>
          <w:szCs w:val="32"/>
          <w:lang w:val="en-US" w:eastAsia="zh-CN"/>
        </w:rPr>
        <w:t>支出预算为，</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189.05</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w:t>
      </w:r>
      <w:r>
        <w:rPr>
          <w:rFonts w:hint="eastAsia" w:ascii="仿宋" w:hAnsi="仿宋" w:eastAsia="仿宋"/>
          <w:color w:val="000000"/>
          <w:sz w:val="32"/>
          <w:szCs w:val="32"/>
          <w:lang w:val="en-US" w:eastAsia="zh-CN"/>
        </w:rPr>
        <w:t>等于</w:t>
      </w:r>
      <w:r>
        <w:rPr>
          <w:rFonts w:hint="eastAsia" w:ascii="仿宋" w:hAnsi="仿宋" w:eastAsia="仿宋"/>
          <w:color w:val="000000"/>
          <w:sz w:val="32"/>
          <w:szCs w:val="32"/>
        </w:rPr>
        <w:t>预算数</w:t>
      </w:r>
      <w:r>
        <w:rPr>
          <w:rFonts w:hint="eastAsia" w:ascii="仿宋" w:hAnsi="仿宋" w:eastAsia="仿宋"/>
          <w:color w:val="000000"/>
          <w:sz w:val="32"/>
          <w:szCs w:val="32"/>
          <w:lang w:eastAsia="zh-CN"/>
        </w:rPr>
        <w:t>。</w:t>
      </w:r>
    </w:p>
    <w:p>
      <w:pPr>
        <w:spacing w:line="600" w:lineRule="exact"/>
        <w:ind w:firstLine="640"/>
        <w:outlineLvl w:val="2"/>
        <w:rPr>
          <w:rFonts w:ascii="仿宋" w:hAnsi="仿宋" w:eastAsia="仿宋"/>
          <w:b/>
          <w:color w:val="000000"/>
          <w:sz w:val="32"/>
          <w:szCs w:val="32"/>
        </w:rPr>
      </w:pPr>
      <w:bookmarkStart w:id="56" w:name="_Toc15377217"/>
      <w:r>
        <w:rPr>
          <w:rFonts w:hint="eastAsia" w:ascii="仿宋" w:hAnsi="仿宋" w:eastAsia="仿宋"/>
          <w:b/>
          <w:color w:val="000000"/>
          <w:sz w:val="32"/>
          <w:szCs w:val="32"/>
        </w:rPr>
        <w:t>（二）“三公”经费财政拨款支出决算具体情况说明</w:t>
      </w:r>
      <w:bookmarkEnd w:id="56"/>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；公务用车购置及运行维护费支出决算186.75万元，占</w:t>
      </w:r>
      <w:r>
        <w:rPr>
          <w:rFonts w:hint="eastAsia" w:ascii="仿宋" w:hAnsi="仿宋" w:eastAsia="仿宋"/>
          <w:color w:val="000000"/>
          <w:sz w:val="32"/>
          <w:szCs w:val="32"/>
          <w:lang w:val="en-US" w:eastAsia="zh-CN"/>
        </w:rPr>
        <w:t>98.78</w:t>
      </w:r>
      <w:r>
        <w:rPr>
          <w:rFonts w:ascii="仿宋" w:hAnsi="仿宋" w:eastAsia="仿宋"/>
          <w:color w:val="000000"/>
          <w:sz w:val="32"/>
          <w:szCs w:val="32"/>
        </w:rPr>
        <w:t>%</w:t>
      </w:r>
      <w:r>
        <w:rPr>
          <w:rFonts w:hint="eastAsia" w:ascii="仿宋" w:hAnsi="仿宋" w:eastAsia="仿宋"/>
          <w:color w:val="000000"/>
          <w:sz w:val="32"/>
          <w:szCs w:val="32"/>
        </w:rPr>
        <w:t>；公务接待费支出决算2.3万元，占</w:t>
      </w:r>
      <w:r>
        <w:rPr>
          <w:rFonts w:hint="eastAsia" w:ascii="仿宋" w:hAnsi="仿宋" w:eastAsia="仿宋"/>
          <w:color w:val="000000"/>
          <w:sz w:val="32"/>
          <w:szCs w:val="32"/>
          <w:lang w:val="en-US" w:eastAsia="zh-CN"/>
        </w:rPr>
        <w:t>1.22</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lang w:eastAsia="zh-CN"/>
        </w:rPr>
      </w:pPr>
    </w:p>
    <w:p>
      <w:pPr>
        <w:spacing w:line="600" w:lineRule="exact"/>
        <w:ind w:firstLine="640"/>
        <w:rPr>
          <w:rFonts w:hint="eastAsia" w:ascii="仿宋" w:hAnsi="仿宋" w:eastAsia="仿宋"/>
          <w:color w:val="000000"/>
          <w:sz w:val="32"/>
          <w:szCs w:val="32"/>
          <w:lang w:eastAsia="zh-CN"/>
        </w:rPr>
      </w:pPr>
    </w:p>
    <w:p>
      <w:pPr>
        <w:spacing w:line="600" w:lineRule="exact"/>
        <w:ind w:firstLine="640"/>
        <w:rPr>
          <w:rFonts w:hint="eastAsia" w:ascii="仿宋" w:hAnsi="仿宋" w:eastAsia="仿宋"/>
          <w:color w:val="000000"/>
          <w:sz w:val="32"/>
          <w:szCs w:val="32"/>
          <w:lang w:eastAsia="zh-CN"/>
        </w:rPr>
      </w:pP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4384" behindDoc="0" locked="0" layoutInCell="1" allowOverlap="1">
            <wp:simplePos x="0" y="0"/>
            <wp:positionH relativeFrom="column">
              <wp:posOffset>29210</wp:posOffset>
            </wp:positionH>
            <wp:positionV relativeFrom="paragraph">
              <wp:posOffset>-222885</wp:posOffset>
            </wp:positionV>
            <wp:extent cx="4987290" cy="3648710"/>
            <wp:effectExtent l="4445" t="4445" r="6985" b="19685"/>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ind w:firstLine="640"/>
        <w:rPr>
          <w:rFonts w:hint="eastAsia" w:ascii="仿宋" w:hAnsi="仿宋" w:eastAsia="仿宋"/>
          <w:color w:val="000000"/>
          <w:sz w:val="32"/>
          <w:szCs w:val="32"/>
          <w:lang w:eastAsia="zh-CN"/>
        </w:rPr>
      </w:pPr>
    </w:p>
    <w:p>
      <w:pPr>
        <w:spacing w:line="600" w:lineRule="exact"/>
        <w:ind w:firstLine="640"/>
        <w:rPr>
          <w:rFonts w:hint="eastAsia" w:ascii="仿宋" w:hAnsi="仿宋" w:eastAsia="仿宋"/>
          <w:color w:val="000000"/>
          <w:sz w:val="32"/>
          <w:szCs w:val="32"/>
          <w:lang w:eastAsia="zh-CN"/>
        </w:rPr>
      </w:pPr>
    </w:p>
    <w:p>
      <w:pPr>
        <w:spacing w:line="600" w:lineRule="exact"/>
        <w:ind w:firstLine="640"/>
        <w:rPr>
          <w:rFonts w:hint="eastAsia" w:ascii="仿宋" w:hAnsi="仿宋" w:eastAsia="仿宋"/>
          <w:color w:val="000000"/>
          <w:sz w:val="32"/>
          <w:szCs w:val="32"/>
          <w:lang w:eastAsia="zh-CN"/>
        </w:rPr>
      </w:pPr>
    </w:p>
    <w:p>
      <w:pPr>
        <w:spacing w:line="600" w:lineRule="exact"/>
        <w:ind w:firstLine="640"/>
        <w:rPr>
          <w:rFonts w:hint="eastAsia" w:ascii="仿宋" w:hAnsi="仿宋" w:eastAsia="仿宋"/>
          <w:color w:val="000000"/>
          <w:sz w:val="32"/>
          <w:szCs w:val="32"/>
          <w:lang w:eastAsia="zh-CN"/>
        </w:rPr>
      </w:pPr>
    </w:p>
    <w:p>
      <w:pPr>
        <w:spacing w:line="600" w:lineRule="exact"/>
        <w:ind w:firstLine="640"/>
        <w:rPr>
          <w:rFonts w:hint="eastAsia" w:ascii="仿宋" w:hAnsi="仿宋" w:eastAsia="仿宋"/>
          <w:color w:val="000000"/>
          <w:sz w:val="32"/>
          <w:szCs w:val="32"/>
          <w:lang w:eastAsia="zh-CN"/>
        </w:rPr>
      </w:pPr>
    </w:p>
    <w:p>
      <w:pPr>
        <w:spacing w:line="600" w:lineRule="exact"/>
        <w:ind w:firstLine="640"/>
        <w:rPr>
          <w:rFonts w:hint="eastAsia" w:ascii="仿宋" w:hAnsi="仿宋" w:eastAsia="仿宋"/>
          <w:color w:val="000000"/>
          <w:sz w:val="32"/>
          <w:szCs w:val="32"/>
          <w:lang w:eastAsia="zh-CN"/>
        </w:rPr>
      </w:pPr>
    </w:p>
    <w:p>
      <w:pPr>
        <w:spacing w:line="600" w:lineRule="exact"/>
        <w:ind w:firstLine="640"/>
        <w:rPr>
          <w:rFonts w:hint="eastAsia" w:ascii="仿宋" w:hAnsi="仿宋" w:eastAsia="仿宋"/>
          <w:color w:val="000000"/>
          <w:sz w:val="32"/>
          <w:szCs w:val="32"/>
          <w:lang w:eastAsia="zh-CN"/>
        </w:rPr>
      </w:pPr>
    </w:p>
    <w:p>
      <w:pPr>
        <w:spacing w:line="600" w:lineRule="exact"/>
        <w:ind w:firstLine="640"/>
        <w:rPr>
          <w:rFonts w:hint="eastAsia" w:ascii="仿宋" w:hAnsi="仿宋" w:eastAsia="仿宋"/>
          <w:color w:val="000000"/>
          <w:sz w:val="32"/>
          <w:szCs w:val="32"/>
          <w:lang w:eastAsia="zh-CN"/>
        </w:rPr>
      </w:pP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rPr>
          <w:rFonts w:hint="default" w:ascii="仿宋_GB2312" w:eastAsia="仿宋_GB2312"/>
          <w:b/>
          <w:color w:val="000000"/>
          <w:sz w:val="32"/>
          <w:szCs w:val="32"/>
          <w:lang w:val="en-US" w:eastAsia="zh-CN"/>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w:t>
      </w:r>
      <w:r>
        <w:rPr>
          <w:rFonts w:hint="eastAsia" w:ascii="仿宋_GB2312" w:eastAsia="仿宋_GB2312"/>
          <w:color w:val="000000"/>
          <w:sz w:val="32"/>
          <w:szCs w:val="32"/>
          <w:lang w:val="en-US" w:eastAsia="zh-CN"/>
        </w:rPr>
        <w:t>与</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持平。</w:t>
      </w:r>
    </w:p>
    <w:p>
      <w:pPr>
        <w:spacing w:line="600" w:lineRule="exact"/>
        <w:ind w:firstLine="640"/>
        <w:rPr>
          <w:rFonts w:hint="default" w:ascii="仿宋_GB2312" w:eastAsia="仿宋_GB2312"/>
          <w:b/>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186.75万元,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320.37</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63.17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2019年我局未购置新公务用车。</w:t>
      </w:r>
    </w:p>
    <w:p>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万元。截至2019年12月底，单位共有公务用车</w:t>
      </w:r>
      <w:r>
        <w:rPr>
          <w:rFonts w:hint="eastAsia" w:ascii="仿宋_GB2312" w:eastAsia="仿宋_GB2312"/>
          <w:color w:val="000000"/>
          <w:sz w:val="32"/>
          <w:szCs w:val="32"/>
          <w:lang w:val="en-US" w:eastAsia="zh-CN"/>
        </w:rPr>
        <w:t>42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42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186.75万元。主要用于所需的公务用车燃料费、维修费、过路过桥费、保险费等支出。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预算为,决算为</w:t>
      </w:r>
      <w:r>
        <w:rPr>
          <w:rFonts w:hint="eastAsia" w:ascii="仿宋_GB2312" w:eastAsia="仿宋_GB2312"/>
          <w:color w:val="000000"/>
          <w:sz w:val="32"/>
          <w:szCs w:val="32"/>
        </w:rPr>
        <w:t>2.3万元，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0.05</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2.13</w:t>
      </w:r>
      <w:r>
        <w:rPr>
          <w:rFonts w:ascii="仿宋_GB2312" w:eastAsia="仿宋_GB2312"/>
          <w:color w:val="000000"/>
          <w:sz w:val="32"/>
          <w:szCs w:val="32"/>
        </w:rPr>
        <w:t>%</w:t>
      </w:r>
      <w:r>
        <w:rPr>
          <w:rFonts w:hint="eastAsia" w:ascii="仿宋_GB2312" w:eastAsia="仿宋_GB2312"/>
          <w:color w:val="000000"/>
          <w:sz w:val="32"/>
          <w:szCs w:val="32"/>
        </w:rPr>
        <w:t>。主要原因是厉行节约，反对铺张浪费</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w:t>
      </w:r>
    </w:p>
    <w:p>
      <w:pPr>
        <w:spacing w:line="600" w:lineRule="exact"/>
        <w:ind w:firstLine="640"/>
        <w:rPr>
          <w:rFonts w:hint="eastAsia" w:ascii="仿宋_GB2312" w:eastAsia="仿宋_GB2312"/>
          <w:color w:val="000000"/>
          <w:sz w:val="32"/>
          <w:szCs w:val="32"/>
          <w:lang w:eastAsia="zh-CN"/>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2.3</w:t>
      </w:r>
      <w:r>
        <w:rPr>
          <w:rFonts w:hint="eastAsia" w:ascii="仿宋_GB2312" w:eastAsia="仿宋_GB2312"/>
          <w:color w:val="000000"/>
          <w:sz w:val="32"/>
          <w:szCs w:val="32"/>
        </w:rPr>
        <w:t>万元，主要用于执行公务、开展业务活动开支的用餐费等</w:t>
      </w:r>
      <w:r>
        <w:rPr>
          <w:rFonts w:hint="eastAsia" w:ascii="仿宋_GB2312" w:eastAsia="仿宋_GB2312"/>
          <w:color w:val="000000"/>
          <w:sz w:val="32"/>
          <w:szCs w:val="32"/>
          <w:lang w:eastAsia="zh-CN"/>
        </w:rPr>
        <w:t>。</w:t>
      </w:r>
    </w:p>
    <w:p>
      <w:pPr>
        <w:spacing w:line="600"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bookmarkStart w:id="57" w:name="_Toc15396610"/>
      <w:bookmarkStart w:id="58" w:name="_Toc15377218"/>
    </w:p>
    <w:p>
      <w:pPr>
        <w:spacing w:line="600" w:lineRule="exact"/>
        <w:ind w:firstLine="640"/>
        <w:outlineLvl w:val="1"/>
        <w:rPr>
          <w:rStyle w:val="28"/>
          <w:rFonts w:ascii="黑体" w:hAnsi="黑体" w:eastAsia="黑体"/>
        </w:rPr>
      </w:pPr>
      <w:bookmarkStart w:id="59" w:name="_Toc3718"/>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57"/>
      <w:bookmarkEnd w:id="58"/>
      <w:bookmarkEnd w:id="5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8"/>
          <w:rFonts w:ascii="黑体" w:hAnsi="黑体" w:eastAsia="黑体"/>
          <w:b w:val="0"/>
        </w:rPr>
      </w:pPr>
      <w:bookmarkStart w:id="60" w:name="_Toc15396611"/>
      <w:bookmarkStart w:id="61" w:name="_Toc15377219"/>
      <w:bookmarkStart w:id="62" w:name="_Toc24193"/>
      <w:r>
        <w:rPr>
          <w:rStyle w:val="28"/>
          <w:rFonts w:hint="eastAsia" w:ascii="黑体" w:hAnsi="黑体" w:eastAsia="黑体"/>
          <w:b w:val="0"/>
        </w:rPr>
        <w:t>国有资本经营预算支出决算情况说明</w:t>
      </w:r>
      <w:bookmarkEnd w:id="60"/>
      <w:bookmarkEnd w:id="61"/>
      <w:bookmarkEnd w:id="62"/>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8"/>
          <w:rFonts w:ascii="黑体" w:hAnsi="黑体" w:eastAsia="黑体"/>
        </w:rPr>
      </w:pPr>
      <w:bookmarkStart w:id="63" w:name="_Toc15396612"/>
      <w:bookmarkStart w:id="64" w:name="_Toc15377221"/>
      <w:bookmarkStart w:id="65" w:name="_Toc20863"/>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63"/>
      <w:bookmarkEnd w:id="64"/>
      <w:bookmarkEnd w:id="65"/>
    </w:p>
    <w:p>
      <w:pPr>
        <w:spacing w:line="600" w:lineRule="exact"/>
        <w:ind w:firstLine="643" w:firstLineChars="200"/>
        <w:outlineLvl w:val="2"/>
        <w:rPr>
          <w:rFonts w:ascii="仿宋" w:hAnsi="仿宋" w:eastAsia="仿宋"/>
          <w:color w:val="000000"/>
          <w:sz w:val="32"/>
          <w:szCs w:val="32"/>
        </w:rPr>
      </w:pPr>
      <w:bookmarkStart w:id="66" w:name="_Toc15377222"/>
      <w:r>
        <w:rPr>
          <w:rFonts w:hint="eastAsia" w:ascii="仿宋" w:hAnsi="仿宋" w:eastAsia="仿宋"/>
          <w:b/>
          <w:color w:val="000000"/>
          <w:sz w:val="32"/>
          <w:szCs w:val="32"/>
        </w:rPr>
        <w:t>（一）机关运行经费支出情况</w:t>
      </w:r>
      <w:bookmarkEnd w:id="66"/>
    </w:p>
    <w:p>
      <w:pPr>
        <w:spacing w:line="600" w:lineRule="exact"/>
        <w:ind w:firstLine="640" w:firstLineChars="200"/>
        <w:rPr>
          <w:rFonts w:hint="default" w:ascii="仿宋_GB2312" w:eastAsia="仿宋_GB2312"/>
          <w:color w:val="000000" w:themeColor="text1"/>
          <w:sz w:val="32"/>
          <w:szCs w:val="32"/>
          <w:lang w:val="en-US"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我局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721.11</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346.52</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92.51</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val="en-US" w:eastAsia="zh-CN"/>
        </w:rPr>
        <w:t>2019年支付乡下派出所基建款。</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67" w:name="_Toc15377223"/>
      <w:r>
        <w:rPr>
          <w:rFonts w:hint="eastAsia" w:ascii="仿宋" w:hAnsi="仿宋" w:eastAsia="仿宋"/>
          <w:b/>
          <w:color w:val="000000"/>
          <w:sz w:val="32"/>
          <w:szCs w:val="32"/>
        </w:rPr>
        <w:t>（二）政府采购支出情况</w:t>
      </w:r>
      <w:bookmarkEnd w:id="67"/>
    </w:p>
    <w:p>
      <w:pPr>
        <w:spacing w:line="600" w:lineRule="exact"/>
        <w:ind w:firstLine="640" w:firstLineChars="200"/>
        <w:rPr>
          <w:rFonts w:hint="eastAsia" w:ascii="仿宋_GB2312" w:eastAsia="仿宋_GB2312"/>
          <w:color w:val="000000" w:themeColor="text1"/>
          <w:sz w:val="32"/>
          <w:szCs w:val="32"/>
          <w:lang w:val="en-US" w:eastAsia="zh-CN"/>
        </w:rPr>
      </w:pPr>
      <w:r>
        <w:rPr>
          <w:rFonts w:ascii="仿宋_GB2312" w:eastAsia="仿宋_GB2312"/>
          <w:color w:val="000000" w:themeColor="text1"/>
          <w:sz w:val="32"/>
          <w:szCs w:val="32"/>
        </w:rPr>
        <w:t>201</w:t>
      </w:r>
      <w:r>
        <w:rPr>
          <w:rFonts w:hint="eastAsia" w:ascii="仿宋_GB2312" w:eastAsia="仿宋_GB2312"/>
          <w:color w:val="000000" w:themeColor="text1"/>
          <w:sz w:val="32"/>
          <w:szCs w:val="32"/>
        </w:rPr>
        <w:t>9年，政府采购支出总额</w:t>
      </w:r>
      <w:r>
        <w:rPr>
          <w:rFonts w:hint="eastAsia" w:ascii="仿宋_GB2312" w:eastAsia="仿宋_GB2312"/>
          <w:color w:val="000000" w:themeColor="text1"/>
          <w:sz w:val="32"/>
          <w:szCs w:val="32"/>
          <w:lang w:val="en-US" w:eastAsia="zh-CN"/>
        </w:rPr>
        <w:t>204.33</w:t>
      </w:r>
      <w:r>
        <w:rPr>
          <w:rFonts w:hint="eastAsia" w:ascii="仿宋_GB2312" w:eastAsia="仿宋_GB2312"/>
          <w:color w:val="000000" w:themeColor="text1"/>
          <w:sz w:val="32"/>
          <w:szCs w:val="32"/>
        </w:rPr>
        <w:t>万元，其中：政府采购</w:t>
      </w:r>
      <w:r>
        <w:rPr>
          <w:rFonts w:hint="eastAsia" w:ascii="仿宋_GB2312" w:eastAsia="仿宋_GB2312"/>
          <w:color w:val="000000" w:themeColor="text1"/>
          <w:sz w:val="32"/>
          <w:szCs w:val="32"/>
          <w:lang w:val="en-US" w:eastAsia="zh-CN"/>
        </w:rPr>
        <w:t>装备</w:t>
      </w:r>
      <w:r>
        <w:rPr>
          <w:rFonts w:hint="eastAsia" w:ascii="仿宋_GB2312" w:eastAsia="仿宋_GB2312"/>
          <w:color w:val="000000" w:themeColor="text1"/>
          <w:sz w:val="32"/>
          <w:szCs w:val="32"/>
        </w:rPr>
        <w:t>支出</w:t>
      </w:r>
      <w:r>
        <w:rPr>
          <w:rFonts w:hint="eastAsia" w:ascii="仿宋_GB2312" w:eastAsia="仿宋_GB2312"/>
          <w:color w:val="000000" w:themeColor="text1"/>
          <w:sz w:val="32"/>
          <w:szCs w:val="32"/>
          <w:lang w:val="en-US" w:eastAsia="zh-CN"/>
        </w:rPr>
        <w:t>155.54</w:t>
      </w:r>
      <w:r>
        <w:rPr>
          <w:rFonts w:hint="eastAsia" w:ascii="仿宋_GB2312" w:eastAsia="仿宋_GB2312"/>
          <w:color w:val="000000" w:themeColor="text1"/>
          <w:sz w:val="32"/>
          <w:szCs w:val="32"/>
        </w:rPr>
        <w:t>万元、政府采购工程支出</w:t>
      </w:r>
      <w:r>
        <w:rPr>
          <w:rFonts w:hint="eastAsia" w:ascii="仿宋_GB2312" w:eastAsia="仿宋_GB2312"/>
          <w:color w:val="000000" w:themeColor="text1"/>
          <w:sz w:val="32"/>
          <w:szCs w:val="32"/>
          <w:lang w:val="en-US" w:eastAsia="zh-CN"/>
        </w:rPr>
        <w:t>48.79</w:t>
      </w:r>
      <w:r>
        <w:rPr>
          <w:rFonts w:hint="eastAsia" w:ascii="仿宋_GB2312" w:eastAsia="仿宋_GB2312"/>
          <w:color w:val="000000" w:themeColor="text1"/>
          <w:sz w:val="32"/>
          <w:szCs w:val="32"/>
        </w:rPr>
        <w:t>万元</w:t>
      </w:r>
      <w:r>
        <w:rPr>
          <w:rFonts w:hint="eastAsia" w:ascii="仿宋_GB2312" w:eastAsia="仿宋_GB2312"/>
          <w:color w:val="000000" w:themeColor="text1"/>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68" w:name="_Toc15377224"/>
      <w:r>
        <w:rPr>
          <w:rFonts w:hint="eastAsia" w:ascii="仿宋" w:hAnsi="仿宋" w:eastAsia="仿宋"/>
          <w:b/>
          <w:color w:val="000000"/>
          <w:sz w:val="32"/>
          <w:szCs w:val="32"/>
        </w:rPr>
        <w:t>（三）国有资产占有使用情况</w:t>
      </w:r>
      <w:bookmarkEnd w:id="68"/>
    </w:p>
    <w:p>
      <w:pPr>
        <w:autoSpaceDE w:val="0"/>
        <w:autoSpaceDN w:val="0"/>
        <w:adjustRightInd w:val="0"/>
        <w:spacing w:line="600" w:lineRule="exact"/>
        <w:ind w:firstLine="640" w:firstLineChars="200"/>
        <w:jc w:val="left"/>
        <w:rPr>
          <w:rFonts w:hint="eastAsia" w:ascii="仿宋" w:hAnsi="仿宋" w:eastAsia="仿宋_GB2312"/>
          <w:b/>
          <w:color w:val="FF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42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42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rPr>
        <w:t>其他用车主要是用于</w:t>
      </w:r>
      <w:r>
        <w:rPr>
          <w:rFonts w:hint="eastAsia" w:ascii="仿宋_GB2312" w:eastAsia="仿宋_GB2312"/>
          <w:color w:val="000000" w:themeColor="text1"/>
          <w:sz w:val="32"/>
          <w:szCs w:val="32"/>
          <w:lang w:val="en-US" w:eastAsia="zh-CN"/>
        </w:rPr>
        <w:t>执法勤务。</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sz w:val="32"/>
          <w:szCs w:val="32"/>
          <w:lang w:val="en-US" w:eastAsia="zh-CN"/>
        </w:rPr>
        <w:t>财经制度执行合规，整体支出绩效良好</w:t>
      </w:r>
      <w:r>
        <w:rPr>
          <w:rFonts w:hint="eastAsia" w:ascii="仿宋_GB2312" w:hAnsi="仿宋_GB2312" w:eastAsia="仿宋_GB2312" w:cs="仿宋_GB2312"/>
          <w:sz w:val="32"/>
          <w:szCs w:val="32"/>
        </w:rPr>
        <w:t>。本部门无专项预算项目，因此未组织开展项目支出绩效评价</w:t>
      </w:r>
      <w:r>
        <w:rPr>
          <w:rFonts w:hint="eastAsia" w:ascii="仿宋_GB2312" w:hAnsi="仿宋_GB2312" w:eastAsia="仿宋_GB2312" w:cs="仿宋_GB2312"/>
          <w:sz w:val="32"/>
          <w:szCs w:val="32"/>
          <w:lang w:eastAsia="zh-CN"/>
        </w:rPr>
        <w:t>。</w:t>
      </w: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val="en-US" w:eastAsia="zh-CN"/>
        </w:rPr>
        <w:t>红原县公安局</w:t>
      </w:r>
      <w:r>
        <w:rPr>
          <w:rFonts w:hint="eastAsia" w:ascii="仿宋_GB2312" w:hAnsi="仿宋_GB2312" w:eastAsia="仿宋_GB2312" w:cs="仿宋_GB2312"/>
          <w:sz w:val="32"/>
          <w:szCs w:val="32"/>
        </w:rPr>
        <w:t>2019年部门整体支出绩效评价报告》见附件（附件1）。</w:t>
      </w: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7"/>
          <w:rFonts w:ascii="黑体" w:hAnsi="黑体" w:eastAsia="黑体"/>
          <w:b w:val="0"/>
        </w:rPr>
      </w:pPr>
      <w:bookmarkStart w:id="69" w:name="_Toc15377225"/>
      <w:bookmarkStart w:id="70" w:name="_Toc18727"/>
      <w:bookmarkStart w:id="71" w:name="_Toc15396613"/>
      <w:r>
        <w:rPr>
          <w:rFonts w:hint="eastAsia" w:ascii="黑体" w:hAnsi="黑体" w:eastAsia="黑体"/>
          <w:color w:val="000000"/>
          <w:sz w:val="44"/>
          <w:szCs w:val="44"/>
        </w:rPr>
        <w:t>名</w:t>
      </w:r>
      <w:r>
        <w:rPr>
          <w:rStyle w:val="27"/>
          <w:rFonts w:hint="eastAsia" w:ascii="黑体" w:hAnsi="黑体" w:eastAsia="黑体"/>
          <w:b w:val="0"/>
        </w:rPr>
        <w:t>词解释</w:t>
      </w:r>
      <w:bookmarkEnd w:id="69"/>
      <w:bookmarkEnd w:id="70"/>
      <w:bookmarkEnd w:id="71"/>
    </w:p>
    <w:p>
      <w:pPr>
        <w:spacing w:line="600" w:lineRule="exact"/>
        <w:jc w:val="left"/>
        <w:rPr>
          <w:rFonts w:ascii="宋体"/>
          <w:b/>
          <w:color w:val="000000"/>
          <w:sz w:val="44"/>
          <w:szCs w:val="44"/>
        </w:rPr>
      </w:pPr>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hAnsi="Calibri" w:eastAsia="仿宋_GB2312" w:cs="仿宋"/>
          <w:color w:val="000000"/>
          <w:kern w:val="0"/>
          <w:sz w:val="32"/>
          <w:szCs w:val="32"/>
          <w:lang w:val="en-US" w:eastAsia="zh-CN" w:bidi="ar-SA"/>
        </w:rPr>
      </w:pPr>
      <w:r>
        <w:rPr>
          <w:rFonts w:ascii="仿宋_GB2312" w:eastAsia="仿宋_GB2312"/>
          <w:color w:val="000000"/>
          <w:sz w:val="32"/>
          <w:szCs w:val="32"/>
        </w:rPr>
        <w:t>9.</w:t>
      </w:r>
      <w:r>
        <w:rPr>
          <w:rFonts w:hint="eastAsia" w:ascii="仿宋_GB2312" w:hAnsi="Calibri" w:eastAsia="仿宋_GB2312" w:cs="仿宋"/>
          <w:color w:val="000000"/>
          <w:kern w:val="0"/>
          <w:sz w:val="32"/>
          <w:szCs w:val="32"/>
          <w:lang w:val="en-US" w:eastAsia="zh-CN" w:bidi="ar-SA"/>
        </w:rPr>
        <w:t>一般公共服务（201）其他一般公共服务支出（99）其他一般公共服务支出（99）：指除上述项目未包括的一般公共服务支出。</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公共安全支出（</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）公安（</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）行政运行（</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 ：指</w:t>
      </w:r>
      <w:r>
        <w:rPr>
          <w:rFonts w:hint="eastAsia" w:ascii="仿宋_GB2312" w:eastAsia="仿宋_GB2312"/>
          <w:color w:val="000000"/>
          <w:sz w:val="32"/>
          <w:szCs w:val="32"/>
          <w:lang w:val="en-US" w:eastAsia="zh-CN"/>
        </w:rPr>
        <w:t>反映行政单位（包括实行公务员管理的事业单位）的基本支出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公共安全支出（</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）公安（</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）一般行政管理事务（</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反映行政单位（包括实行公务员管理的事业单位）未单独设置项级科目的其他项目支出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公共安全支出（</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）公安（</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）执法办案（</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 指</w:t>
      </w:r>
      <w:r>
        <w:rPr>
          <w:rFonts w:hint="eastAsia" w:ascii="仿宋_GB2312" w:eastAsia="仿宋_GB2312"/>
          <w:color w:val="000000"/>
          <w:sz w:val="32"/>
          <w:szCs w:val="32"/>
          <w:lang w:val="en-US" w:eastAsia="zh-CN"/>
        </w:rPr>
        <w:t>反映公安机关从事行政执法、刑事司法及侦查办案等相关活动的支出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公共安全支出（</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）公安（</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）其他公安支出（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反映上述项目以外其他用于公安方面的支出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14.公共安全支出（</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其他公共安全支出（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）其他公共安全支出（</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反映除上述项目以外其他用于公共安全方面的支出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15.社会保障和就业支出（</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行政事业单位离退休（</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）机关事业单位基本养老保险缴费支出（</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反映机关事业单位实施养老保险制度由单位缴纳的基本养老保险费支出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16.社会保障和就业支出（</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行政事业单位离退休（</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）机关事业单位职业年金缴费支出（</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反映机关事业单位实施养老保险制度由单位实际缴纳的职业年金支出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17.卫生健康支出（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卫生健康管理事务（</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）其他卫生健康管理事务支出（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反映除上述项目以外其他用于卫生健康管理事务方面的支出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18.卫生健康支出（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公共卫生（</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）重大公共卫生专项（</w:t>
      </w:r>
      <w:r>
        <w:rPr>
          <w:rFonts w:hint="eastAsia" w:ascii="仿宋_GB2312" w:eastAsia="仿宋_GB2312"/>
          <w:color w:val="000000"/>
          <w:sz w:val="32"/>
          <w:szCs w:val="32"/>
          <w:lang w:val="en-US" w:eastAsia="zh-CN"/>
        </w:rPr>
        <w:t>09</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反映重大疾病、重大传染病预防控制等重大公共卫生服务项目支出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19.卫生健康支出（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行政事业单位医疗（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）行政单位医疗（</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反映财政部门安排的行政单位（包括实行公务员管理的事业单位）基本医疗保险缴费经费，未参加医疗保险的行政单位的公费医疗经费，按国家规定享受离休人员、红军老战士待遇人员的医疗经费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行政事业单位医疗（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）公务员医疗补助（</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ab/>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反映财政部门安排的公务员医疗补助经费</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21.住房保障支出（</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住房改革支出（</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）住房公积金（</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反映财政部门安排的公务员医疗补助经费</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22.其他支出（</w:t>
      </w:r>
      <w:r>
        <w:rPr>
          <w:rFonts w:hint="eastAsia" w:ascii="仿宋_GB2312" w:eastAsia="仿宋_GB2312"/>
          <w:color w:val="000000"/>
          <w:sz w:val="32"/>
          <w:szCs w:val="32"/>
          <w:lang w:val="en-US" w:eastAsia="zh-CN"/>
        </w:rPr>
        <w:t>229)</w:t>
      </w:r>
      <w:r>
        <w:rPr>
          <w:rFonts w:hint="eastAsia" w:ascii="仿宋_GB2312" w:eastAsia="仿宋_GB2312"/>
          <w:color w:val="000000"/>
          <w:sz w:val="32"/>
          <w:szCs w:val="32"/>
        </w:rPr>
        <w:t>其他支出（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）其他支出（</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除上述项目以外其他不能划分到具体功能科目中的支出项目</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25</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7"/>
          <w:rFonts w:ascii="黑体" w:hAnsi="黑体" w:eastAsia="黑体"/>
          <w:b w:val="0"/>
        </w:rPr>
      </w:pPr>
      <w:bookmarkStart w:id="72" w:name="_Toc15377226"/>
      <w:r>
        <w:rPr>
          <w:rFonts w:ascii="宋体"/>
          <w:b/>
          <w:color w:val="000000"/>
          <w:sz w:val="44"/>
          <w:szCs w:val="44"/>
        </w:rPr>
        <w:br w:type="page"/>
      </w:r>
      <w:bookmarkStart w:id="73" w:name="_Toc17402"/>
      <w:bookmarkStart w:id="74" w:name="_Toc15396614"/>
      <w:r>
        <w:rPr>
          <w:rFonts w:hint="eastAsia" w:ascii="黑体" w:hAnsi="黑体" w:eastAsia="黑体"/>
          <w:color w:val="000000"/>
          <w:sz w:val="44"/>
          <w:szCs w:val="44"/>
        </w:rPr>
        <w:t>第</w:t>
      </w:r>
      <w:r>
        <w:rPr>
          <w:rStyle w:val="27"/>
          <w:rFonts w:hint="eastAsia" w:ascii="黑体" w:hAnsi="黑体" w:eastAsia="黑体"/>
          <w:b w:val="0"/>
        </w:rPr>
        <w:t>四部分 附件</w:t>
      </w:r>
      <w:bookmarkEnd w:id="73"/>
      <w:bookmarkEnd w:id="74"/>
    </w:p>
    <w:p>
      <w:pPr>
        <w:spacing w:line="600" w:lineRule="exact"/>
        <w:jc w:val="left"/>
        <w:outlineLvl w:val="0"/>
        <w:rPr>
          <w:rFonts w:ascii="方正小标宋简体" w:hAnsi="方正小标宋简体" w:eastAsia="方正小标宋简体" w:cs="方正小标宋简体"/>
          <w:sz w:val="32"/>
          <w:szCs w:val="32"/>
        </w:rPr>
      </w:pPr>
      <w:bookmarkStart w:id="75" w:name="_Toc29453"/>
      <w:r>
        <w:rPr>
          <w:rFonts w:hint="eastAsia" w:ascii="黑体" w:hAnsi="黑体" w:eastAsia="黑体" w:cs="黑体"/>
          <w:sz w:val="32"/>
          <w:szCs w:val="32"/>
        </w:rPr>
        <w:t>附件1</w:t>
      </w:r>
      <w:bookmarkEnd w:id="75"/>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9"/>
        <w:rPr>
          <w:rFonts w:ascii="黑体" w:hAnsi="宋体" w:eastAsia="黑体" w:cs="宋体"/>
          <w:color w:val="000000"/>
          <w:kern w:val="0"/>
          <w:sz w:val="24"/>
          <w:szCs w:val="32"/>
          <w:shd w:val="clear" w:color="auto" w:fill="FFFFFF"/>
        </w:rPr>
      </w:pPr>
      <w:r>
        <w:rPr>
          <w:rFonts w:hint="eastAsia" w:ascii="方正小标宋简体" w:hAnsi="宋体" w:eastAsia="方正小标宋简体"/>
          <w:color w:val="000000"/>
          <w:kern w:val="0"/>
          <w:sz w:val="40"/>
          <w:szCs w:val="44"/>
          <w:lang w:val="en-US" w:eastAsia="zh-CN"/>
        </w:rPr>
        <w:t>红原公安局</w:t>
      </w:r>
      <w:r>
        <w:rPr>
          <w:rFonts w:hint="eastAsia" w:ascii="方正小标宋简体" w:hAnsi="宋体" w:eastAsia="方正小标宋简体"/>
          <w:color w:val="000000"/>
          <w:kern w:val="0"/>
          <w:sz w:val="40"/>
          <w:szCs w:val="44"/>
          <w:lang w:val="zh-CN"/>
        </w:rPr>
        <w:t>部门</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640" w:firstLineChars="200"/>
        <w:contextualSpacing/>
        <w:jc w:val="left"/>
        <w:outlineLvl w:val="9"/>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outlineLvl w:val="9"/>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我局共设置28个内设机构，分别是：指挥中心、国内安全保卫大队、治安管理大队、出入境管理大队、刑事侦查大队、交通管理大队、公共信息网络安全监察大队、法制大队、纪检监察大队、政工室、警务保障室、草原骑警大队、红原县看守所、红原县拘留所、红原县公安局刷经寺派出所、红原县公安局安曲派出所、红原县公安局邛溪派出所、红原县公安局瓦切派出所、红原县公安局色地派出所、红原县公安局麦洼派出所、红原县公安局阿木派出所、红原县公安局龙日派出所、红原县公安局江茸派出所、红原县公安局查尔玛派出所、红原县公安局壤口派出所、红原县公安局麦洼寺派出所、红原县公安局康玛尔寺派出所、红原县公安局茸塔寺派出所。</w:t>
      </w:r>
    </w:p>
    <w:p>
      <w:pPr>
        <w:widowControl/>
        <w:adjustRightInd w:val="0"/>
        <w:snapToGrid w:val="0"/>
        <w:spacing w:line="580" w:lineRule="exact"/>
        <w:ind w:firstLine="640" w:firstLineChars="200"/>
        <w:contextualSpacing/>
        <w:jc w:val="left"/>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pPr>
        <w:pStyle w:val="5"/>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1.贯彻执行国家公安工作的方针、政策和法律、法规、规章，起草地方性公安法规、规章草案，部署、指导、监督、检查全县公安工作；负责全县辖区公安机关依法行政工作，落实行政执法责任制。</w:t>
      </w:r>
    </w:p>
    <w:p>
      <w:pPr>
        <w:pStyle w:val="5"/>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2.指导、协调全县公安机关应急管理、抢险救援工作和社会公共突发事件的处置工作。</w:t>
      </w:r>
    </w:p>
    <w:p>
      <w:pPr>
        <w:pStyle w:val="5"/>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3.收集影响社会稳定、危害国家安全和社会治安的情况，全面掌握社情民意，分析研判情报信息和治安形势，制定对策。</w:t>
      </w:r>
    </w:p>
    <w:p>
      <w:pPr>
        <w:pStyle w:val="5"/>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4.组织、实施、指导全县公安法制建设，按管辖办理行政诉讼、行政复议案件。依法实施行政许可、行政审批事项。</w:t>
      </w:r>
    </w:p>
    <w:p>
      <w:pPr>
        <w:pStyle w:val="5"/>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5.组织指导全县公安侦查工作；协调、指挥、侦破、处理公安机关管辖的刑事案件，处置治安灾害事故、骚乱和群体性突发事件；组织实施重大活动的安全保卫工作。</w:t>
      </w:r>
    </w:p>
    <w:p>
      <w:pPr>
        <w:pStyle w:val="5"/>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6.履行社会治安管理职能，指导、监督全县公安机关查处危害社会治安秩序行为；依法管理户口、居民身份证、枪支弹药、危险物品、特种行业等工作；依法管理集会、游行、示威活动；加强推进以便民和公共服务为重点的治安行政管理改革工作。</w:t>
      </w:r>
    </w:p>
    <w:p>
      <w:pPr>
        <w:pStyle w:val="5"/>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7.负责全县道路交通安全管理工作并承担相应责任。指导监督全县公安机关维护道路交通安全、交通秩序；组织、协调、处置交通事故；依法管理机动车辆（不含拖拉机）和驾驶人员。</w:t>
      </w:r>
    </w:p>
    <w:p>
      <w:pPr>
        <w:pStyle w:val="5"/>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8.负责全县消防工作并承担相应责任。指导、监督、协调全县消防监督、火灾预防、火灾扑救工作和公安应急抢险救援工作。</w:t>
      </w:r>
    </w:p>
    <w:p>
      <w:pPr>
        <w:pStyle w:val="5"/>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9.指导全县公安警卫业务工作，组织实施对党和国家领导以及重要人物在县内的安全警卫工作并承担相应责任。组织、实施全县要害目标的安全保卫。</w:t>
      </w:r>
    </w:p>
    <w:p>
      <w:pPr>
        <w:pStyle w:val="5"/>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10.指导、监督全县公安机关对公共信息网络的安全保护工作，负责信息安全等级保卫工作的监督、检查、指导。</w:t>
      </w:r>
    </w:p>
    <w:p>
      <w:pPr>
        <w:pStyle w:val="5"/>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11.依法管理国籍、出境入境和外国人在红原县境内居留、旅行等有关工作。</w:t>
      </w:r>
    </w:p>
    <w:p>
      <w:pPr>
        <w:pStyle w:val="5"/>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12.组织、指导、协调对恐怖活动的情报、防范、侦察和应急处置工作。</w:t>
      </w:r>
    </w:p>
    <w:p>
      <w:pPr>
        <w:pStyle w:val="5"/>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13.指导、监督全县公安机关依法承担的执行刑罚和监督、考察工作。依法管理县看守所、拘留所。办理收容教养和劳动教养案件。</w:t>
      </w:r>
    </w:p>
    <w:p>
      <w:pPr>
        <w:pStyle w:val="5"/>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14.组织实施全县公安科学技术工作，组织、指导、规划全县公安机关的指挥系统、信息技术、刑事技术建设。</w:t>
      </w:r>
    </w:p>
    <w:p>
      <w:pPr>
        <w:pStyle w:val="5"/>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15.制定全县公安机关装备和经费等警务保障计划和管理制度，组织协调全县公安机关履行职责的警务保障工作。</w:t>
      </w:r>
    </w:p>
    <w:p>
      <w:pPr>
        <w:pStyle w:val="5"/>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16.指导全县公安队伍建设和公安机关的党风廉政建设，组织、指导全县公安机关组织人事管理、民警教育训练及宣传和涉警舆论引导等工作，按规定权限管理干部，拟定全县公安队伍监督管理工作规章制度，组织、指导全县公安机关督察、审计、信访工作，指导、监督全县公安机关及人民警察的执法活动，按规定权限实施对干部的监督，查处或督办全县公安队伍中发生的违纪案件。</w:t>
      </w:r>
    </w:p>
    <w:p>
      <w:pPr>
        <w:pStyle w:val="5"/>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17.指导县森林公安机关的业务工作。</w:t>
      </w:r>
    </w:p>
    <w:p>
      <w:pPr>
        <w:pStyle w:val="5"/>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18.组织协调武警内卫部队执行公安任务。</w:t>
      </w:r>
    </w:p>
    <w:p>
      <w:pPr>
        <w:pStyle w:val="5"/>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19.承担县政府禁毒委员会、劳动教养管理委员会、收容教养委员会、反恐怖工作协调小组日常工作。</w:t>
      </w:r>
    </w:p>
    <w:p>
      <w:pPr>
        <w:pStyle w:val="5"/>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20.承担县政府公布的有关行政审批事项。</w:t>
      </w:r>
    </w:p>
    <w:p>
      <w:pPr>
        <w:pStyle w:val="5"/>
        <w:adjustRightInd w:val="0"/>
        <w:snapToGrid w:val="0"/>
        <w:spacing w:before="93" w:line="600" w:lineRule="exact"/>
        <w:ind w:firstLine="672" w:firstLineChars="210"/>
        <w:outlineLvl w:val="9"/>
        <w:rPr>
          <w:rFonts w:hint="eastAsia" w:ascii="仿宋_GB2312" w:hAnsi="宋体" w:eastAsia="仿宋_GB2312" w:cs="宋体"/>
          <w:color w:val="000000"/>
          <w:kern w:val="0"/>
          <w:sz w:val="32"/>
          <w:szCs w:val="32"/>
          <w:shd w:val="clear" w:color="auto" w:fill="FFFFFF"/>
          <w:lang w:val="zh-CN"/>
        </w:rPr>
      </w:pPr>
      <w:r>
        <w:rPr>
          <w:rFonts w:hint="eastAsia" w:ascii="仿宋" w:hAnsi="仿宋" w:eastAsia="仿宋"/>
          <w:bCs/>
          <w:color w:val="000000"/>
          <w:sz w:val="32"/>
          <w:szCs w:val="32"/>
          <w:lang w:val="en-US" w:eastAsia="zh-CN"/>
        </w:rPr>
        <w:t>21.承办县委、县政府和上级公安机关交办的其他工作和法律、法规规定的其他职责。</w:t>
      </w:r>
    </w:p>
    <w:p>
      <w:pPr>
        <w:widowControl/>
        <w:adjustRightInd w:val="0"/>
        <w:snapToGrid w:val="0"/>
        <w:spacing w:line="580" w:lineRule="exact"/>
        <w:ind w:firstLine="640" w:firstLineChars="200"/>
        <w:contextualSpacing/>
        <w:jc w:val="left"/>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pStyle w:val="5"/>
        <w:adjustRightInd w:val="0"/>
        <w:snapToGrid w:val="0"/>
        <w:spacing w:before="93" w:line="60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我单位为独立核算全额拨款行政单位。截止2019年底我单位共有编制170个，其中公务员编制160个，行政工勤编制10个，在职150人，其中公务员140人，行政工勤10人。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2019年财政资金收入共计5,811.83万元,其中一般公共预算财政拨款5811.83万元，占比100%；政府性基金预算财政拨款0万元，占比0%；国有资本经营预算财政拨款0万元，占比0%。</w:t>
      </w:r>
    </w:p>
    <w:p>
      <w:pPr>
        <w:widowControl/>
        <w:numPr>
          <w:ilvl w:val="0"/>
          <w:numId w:val="4"/>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2019年财政资金支出共计5,792.25万元，其中：一般公共服务支出3万元，占比0.06%公共安全支出4,967.88万元，占比85.77%；社会保障和就业支出386.57万元，占比6.67%；卫生健康支出152.61万元，占比2.63%；住房保障支出281.68万元，占比4.86%；其他支出0.51万元，占比0.01%。年初财政拨款结转和结余940.52万元；年末财政拨款结转和结余960.1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2019年我局致力于在18年的基础上进一步优化支出结构，完善支出审批程序。贯彻执行量入为出，节约为主的支出原则，做好业务办案、装备购买、办公经费等保障。根据2019年预算实际执行来看，2019年我局业务办案、装备购买、办公经费基本得到保障，支出结构、支出审批程序也得到进一步优化。</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我局根据2019年部门自评情况进行公开，并且针对我局2019年出现未合理预计人员经费支出情况，进行反思和总结，计划于2020年开始将严格把控人员经费增减计划，做到合理申请预算调整，实实在在用多少，计划多少。</w:t>
      </w:r>
    </w:p>
    <w:p>
      <w:pPr>
        <w:widowControl/>
        <w:adjustRightInd w:val="0"/>
        <w:snapToGrid w:val="0"/>
        <w:spacing w:line="58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rPr>
        <w:sectPr>
          <w:footerReference r:id="rId4" w:type="first"/>
          <w:footerReference r:id="rId3" w:type="default"/>
          <w:pgSz w:w="11906" w:h="16838"/>
          <w:pgMar w:top="1440" w:right="1803" w:bottom="1440" w:left="1803" w:header="851" w:footer="992" w:gutter="0"/>
          <w:pgNumType w:fmt="decimal" w:start="1"/>
          <w:cols w:space="0" w:num="1"/>
          <w:rtlGutter w:val="0"/>
          <w:docGrid w:type="lines" w:linePitch="319" w:charSpace="0"/>
        </w:sect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2019年我局整体部门支出良好，但是还存在，眼高手低多做预算的情况，我局将在2020年严格执行实施预算管理，对实际情况进行预算调整。</w:t>
      </w:r>
    </w:p>
    <w:p>
      <w:pPr>
        <w:widowControl/>
        <w:numPr>
          <w:ilvl w:val="0"/>
          <w:numId w:val="0"/>
        </w:numPr>
        <w:adjustRightInd w:val="0"/>
        <w:snapToGrid w:val="0"/>
        <w:spacing w:line="580" w:lineRule="exact"/>
        <w:ind w:left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en-US" w:eastAsia="zh-CN"/>
        </w:rPr>
        <w:t>二）</w:t>
      </w:r>
      <w:r>
        <w:rPr>
          <w:rFonts w:hint="eastAsia" w:ascii="仿宋_GB2312" w:hAnsi="宋体" w:eastAsia="仿宋_GB2312" w:cs="宋体"/>
          <w:color w:val="000000"/>
          <w:kern w:val="0"/>
          <w:sz w:val="32"/>
          <w:szCs w:val="32"/>
          <w:shd w:val="clear" w:color="auto" w:fill="FFFFFF"/>
          <w:lang w:val="zh-CN"/>
        </w:rPr>
        <w:t>存在问题。</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预算管理水平还需提高，费用报销审批流程还需加强完善，实实在在的做到监管有效。</w:t>
      </w:r>
    </w:p>
    <w:p>
      <w:pPr>
        <w:widowControl/>
        <w:numPr>
          <w:ilvl w:val="0"/>
          <w:numId w:val="4"/>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改进建议。</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提高业务知识水平，加强业务知识学习，向预算做的好的单位学习。以提升预算、费用报销等管理。</w:t>
      </w:r>
    </w:p>
    <w:p>
      <w:pPr>
        <w:widowControl/>
        <w:numPr>
          <w:ilvl w:val="0"/>
          <w:numId w:val="0"/>
        </w:numPr>
        <w:adjustRightInd w:val="0"/>
        <w:snapToGrid w:val="0"/>
        <w:spacing w:line="580" w:lineRule="exact"/>
        <w:ind w:leftChars="200"/>
        <w:contextualSpacing/>
        <w:jc w:val="left"/>
        <w:rPr>
          <w:rFonts w:hint="eastAsia" w:ascii="仿宋_GB2312" w:hAnsi="宋体" w:eastAsia="仿宋_GB2312" w:cs="宋体"/>
          <w:color w:val="000000"/>
          <w:kern w:val="0"/>
          <w:sz w:val="32"/>
          <w:szCs w:val="32"/>
          <w:shd w:val="clear" w:color="auto" w:fill="FFFFFF"/>
          <w:lang w:val="zh-CN"/>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600" w:lineRule="exact"/>
        <w:jc w:val="center"/>
        <w:outlineLvl w:val="0"/>
        <w:rPr>
          <w:rStyle w:val="27"/>
          <w:rFonts w:ascii="黑体" w:hAnsi="黑体" w:eastAsia="黑体"/>
          <w:b w:val="0"/>
        </w:rPr>
      </w:pPr>
      <w:bookmarkStart w:id="76" w:name="_Toc15396618"/>
      <w:bookmarkStart w:id="77" w:name="_Toc30819"/>
      <w:r>
        <w:rPr>
          <w:rFonts w:hint="eastAsia" w:ascii="黑体" w:hAnsi="黑体" w:eastAsia="黑体"/>
          <w:color w:val="000000"/>
          <w:sz w:val="44"/>
          <w:szCs w:val="44"/>
        </w:rPr>
        <w:t>第</w:t>
      </w:r>
      <w:r>
        <w:rPr>
          <w:rStyle w:val="27"/>
          <w:rFonts w:hint="eastAsia" w:ascii="黑体" w:hAnsi="黑体" w:eastAsia="黑体"/>
          <w:b w:val="0"/>
        </w:rPr>
        <w:t>五部分 附表</w:t>
      </w:r>
      <w:bookmarkEnd w:id="72"/>
      <w:bookmarkEnd w:id="76"/>
      <w:bookmarkEnd w:id="77"/>
    </w:p>
    <w:p>
      <w:pPr>
        <w:pStyle w:val="3"/>
        <w:rPr>
          <w:rFonts w:ascii="仿宋" w:hAnsi="仿宋" w:eastAsia="仿宋"/>
          <w:color w:val="000000"/>
        </w:rPr>
      </w:pPr>
      <w:bookmarkStart w:id="78" w:name="_Toc7455"/>
      <w:bookmarkStart w:id="79"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78"/>
      <w:bookmarkEnd w:id="79"/>
    </w:p>
    <w:p>
      <w:pPr>
        <w:pStyle w:val="3"/>
        <w:rPr>
          <w:rFonts w:ascii="仿宋" w:hAnsi="仿宋" w:eastAsia="仿宋"/>
          <w:color w:val="000000"/>
        </w:rPr>
      </w:pPr>
      <w:bookmarkStart w:id="80" w:name="_Toc2911"/>
      <w:bookmarkStart w:id="81" w:name="_Toc15396620"/>
      <w:r>
        <w:rPr>
          <w:rFonts w:hint="eastAsia" w:ascii="仿宋" w:hAnsi="仿宋" w:eastAsia="仿宋"/>
          <w:b w:val="0"/>
          <w:color w:val="000000"/>
        </w:rPr>
        <w:t>二、收</w:t>
      </w:r>
      <w:r>
        <w:rPr>
          <w:rStyle w:val="28"/>
          <w:rFonts w:hint="eastAsia" w:ascii="仿宋" w:hAnsi="仿宋" w:eastAsia="仿宋"/>
          <w:b w:val="0"/>
          <w:bCs w:val="0"/>
        </w:rPr>
        <w:t>入决算表</w:t>
      </w:r>
      <w:bookmarkEnd w:id="80"/>
      <w:bookmarkEnd w:id="81"/>
    </w:p>
    <w:p>
      <w:pPr>
        <w:pStyle w:val="3"/>
        <w:rPr>
          <w:rFonts w:ascii="仿宋" w:hAnsi="仿宋" w:eastAsia="仿宋"/>
          <w:color w:val="000000"/>
        </w:rPr>
      </w:pPr>
      <w:bookmarkStart w:id="82" w:name="_Toc31541"/>
      <w:bookmarkStart w:id="83"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82"/>
      <w:bookmarkEnd w:id="83"/>
    </w:p>
    <w:p>
      <w:pPr>
        <w:pStyle w:val="3"/>
        <w:rPr>
          <w:rFonts w:ascii="仿宋" w:hAnsi="仿宋" w:eastAsia="仿宋"/>
          <w:b w:val="0"/>
          <w:color w:val="000000"/>
        </w:rPr>
      </w:pPr>
      <w:bookmarkStart w:id="84" w:name="_Toc19489"/>
      <w:bookmarkStart w:id="85"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84"/>
      <w:bookmarkEnd w:id="85"/>
    </w:p>
    <w:p>
      <w:pPr>
        <w:pStyle w:val="3"/>
        <w:rPr>
          <w:rStyle w:val="28"/>
          <w:rFonts w:ascii="仿宋" w:hAnsi="仿宋" w:eastAsia="仿宋"/>
          <w:b w:val="0"/>
          <w:bCs w:val="0"/>
        </w:rPr>
      </w:pPr>
      <w:bookmarkStart w:id="86" w:name="_Toc18309"/>
      <w:bookmarkStart w:id="87"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86"/>
      <w:bookmarkEnd w:id="87"/>
      <w:bookmarkStart w:id="88" w:name="_Toc15396624"/>
    </w:p>
    <w:p>
      <w:pPr>
        <w:pStyle w:val="3"/>
        <w:rPr>
          <w:rFonts w:ascii="仿宋" w:hAnsi="仿宋" w:eastAsia="仿宋"/>
          <w:color w:val="000000"/>
        </w:rPr>
      </w:pPr>
      <w:bookmarkStart w:id="89" w:name="_Toc23695"/>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88"/>
      <w:bookmarkEnd w:id="89"/>
    </w:p>
    <w:p>
      <w:pPr>
        <w:pStyle w:val="3"/>
        <w:rPr>
          <w:rFonts w:ascii="仿宋" w:hAnsi="仿宋" w:eastAsia="仿宋"/>
          <w:color w:val="000000"/>
        </w:rPr>
      </w:pPr>
      <w:bookmarkStart w:id="90" w:name="_Toc15396625"/>
      <w:bookmarkStart w:id="91" w:name="_Toc21183"/>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90"/>
      <w:bookmarkEnd w:id="91"/>
    </w:p>
    <w:p>
      <w:pPr>
        <w:pStyle w:val="3"/>
        <w:rPr>
          <w:rFonts w:ascii="仿宋" w:hAnsi="仿宋" w:eastAsia="仿宋"/>
          <w:color w:val="000000"/>
        </w:rPr>
      </w:pPr>
      <w:bookmarkStart w:id="92" w:name="_Toc15396626"/>
      <w:bookmarkStart w:id="93" w:name="_Toc12149"/>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92"/>
      <w:bookmarkEnd w:id="93"/>
    </w:p>
    <w:p>
      <w:pPr>
        <w:pStyle w:val="3"/>
        <w:rPr>
          <w:rFonts w:ascii="仿宋" w:hAnsi="仿宋" w:eastAsia="仿宋"/>
          <w:color w:val="000000"/>
        </w:rPr>
      </w:pPr>
      <w:bookmarkStart w:id="94" w:name="_Toc32242"/>
      <w:bookmarkStart w:id="95"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94"/>
      <w:bookmarkEnd w:id="95"/>
    </w:p>
    <w:p>
      <w:pPr>
        <w:pStyle w:val="3"/>
        <w:rPr>
          <w:rFonts w:ascii="仿宋" w:hAnsi="仿宋" w:eastAsia="仿宋"/>
          <w:color w:val="000000"/>
        </w:rPr>
      </w:pPr>
      <w:bookmarkStart w:id="96" w:name="_Toc15396628"/>
      <w:bookmarkStart w:id="97" w:name="_Toc15696"/>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96"/>
      <w:bookmarkEnd w:id="97"/>
    </w:p>
    <w:p>
      <w:pPr>
        <w:pStyle w:val="3"/>
        <w:rPr>
          <w:rFonts w:ascii="仿宋" w:hAnsi="仿宋" w:eastAsia="仿宋"/>
          <w:color w:val="000000"/>
        </w:rPr>
      </w:pPr>
      <w:bookmarkStart w:id="98" w:name="_Toc15396629"/>
      <w:bookmarkStart w:id="99" w:name="_Toc1347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98"/>
      <w:bookmarkEnd w:id="99"/>
    </w:p>
    <w:p>
      <w:pPr>
        <w:pStyle w:val="3"/>
        <w:rPr>
          <w:rFonts w:ascii="仿宋" w:hAnsi="仿宋" w:eastAsia="仿宋"/>
          <w:color w:val="000000"/>
        </w:rPr>
      </w:pPr>
      <w:bookmarkStart w:id="100" w:name="_Toc19580"/>
      <w:bookmarkStart w:id="101"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100"/>
      <w:bookmarkEnd w:id="101"/>
    </w:p>
    <w:p>
      <w:pPr>
        <w:pStyle w:val="3"/>
        <w:rPr>
          <w:rFonts w:ascii="仿宋" w:hAnsi="仿宋" w:eastAsia="仿宋"/>
          <w:color w:val="000000" w:themeColor="text1"/>
        </w:rPr>
      </w:pPr>
      <w:bookmarkStart w:id="102" w:name="_Toc15396631"/>
      <w:bookmarkStart w:id="103" w:name="_Toc28893"/>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102"/>
      <w:bookmarkEnd w:id="103"/>
    </w:p>
    <w:sectPr>
      <w:headerReference r:id="rId5" w:type="default"/>
      <w:footerReference r:id="rId6"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w:pict>
        <v:shape id="_x0000_s2052" o:spid="_x0000_s2052" o:spt="202" type="#_x0000_t202" style="position:absolute;left:0pt;margin-top:0pt;height:144pt;width:144pt;mso-position-horizontal:center;mso-position-horizontal-relative:margin;mso-wrap-style:none;z-index:251691008;mso-width-relative:page;mso-height-relative:page;" filled="f" stroked="f" coordsize="21600,21600">
          <v:path/>
          <v:fill on="f" focussize="0,0"/>
          <v:stroke on="f"/>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enter" w:pos="4150"/>
        <w:tab w:val="clear" w:pos="4153"/>
      </w:tabs>
    </w:pPr>
    <w:r>
      <w:rPr>
        <w:sz w:val="18"/>
      </w:rPr>
      <w:pict>
        <v:shape id="_x0000_s2049" o:spid="_x0000_s2049" o:spt="202" type="#_x0000_t202" style="position:absolute;left:0pt;margin-top:0pt;height:144pt;width:144pt;mso-position-horizontal:center;mso-position-horizontal-relative:margin;mso-wrap-style:none;z-index:251706368;mso-width-relative:page;mso-height-relative:page;" filled="f" stroked="f" coordsize="21600,21600">
          <v:path/>
          <v:fill on="f" focussize="0,0"/>
          <v:stroke on="f"/>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r>
      <w:rPr>
        <w:sz w:val="18"/>
      </w:rPr>
      <w:pict>
        <v:shape id="_x0000_s2050" o:spid="_x0000_s2050" o:spt="202" type="#_x0000_t202" style="position:absolute;left:0pt;margin-top:0pt;height:144pt;width:144pt;mso-position-horizontal:center;mso-position-horizontal-relative:margin;mso-wrap-style:none;z-index:251696128;mso-width-relative:page;mso-height-relative:page;" filled="f" stroked="f" coordsize="21600,21600">
          <v:path/>
          <v:fill on="f" focussize="0,0"/>
          <v:stroke on="f"/>
          <v:imagedata o:title=""/>
          <o:lock v:ext="edit" aspectratio="f"/>
          <v:textbox inset="0mm,0mm,0mm,0mm" style="mso-fit-shape-to-text:t;">
            <w:txbxContent>
              <w:p>
                <w:pPr>
                  <w:pStyle w:val="10"/>
                  <w:rPr>
                    <w:rFonts w:hint="default" w:eastAsia="宋体"/>
                    <w:lang w:val="en-US" w:eastAsia="zh-CN"/>
                  </w:rPr>
                </w:pPr>
                <w:r>
                  <w:rPr>
                    <w:rFonts w:hint="eastAsia"/>
                    <w:lang w:val="en-US" w:eastAsia="zh-CN"/>
                  </w:rPr>
                  <w:t>22</w:t>
                </w:r>
              </w:p>
            </w:txbxContent>
          </v:textbox>
        </v:shape>
      </w:pict>
    </w:r>
    <w:r>
      <w:rPr>
        <w:sz w:val="18"/>
      </w:rPr>
      <w:pict>
        <v:shape id="_x0000_s2051" o:spid="_x0000_s2051" o:spt="202" type="#_x0000_t202" style="position:absolute;left:0pt;margin-left:203.9pt;margin-top:0pt;height:144pt;width:144pt;mso-position-horizontal-relative:margin;mso-wrap-style:none;z-index:251693056;mso-width-relative:page;mso-height-relative:page;" filled="f" stroked="f" coordsize="21600,21600">
          <v:path/>
          <v:fill on="f" focussize="0,0"/>
          <v:stroke on="f"/>
          <v:imagedata o:title=""/>
          <o:lock v:ext="edit" aspectratio="f"/>
          <v:textbox inset="0mm,0mm,0mm,0mm" style="mso-fit-shape-to-text:t;">
            <w:txbxContent>
              <w:p>
                <w:pPr>
                  <w:pStyle w:val="10"/>
                  <w:rPr>
                    <w:rFonts w:hint="default" w:eastAsia="宋体"/>
                    <w:lang w:val="en-US" w:eastAsia="zh-CN"/>
                  </w:rPr>
                </w:pPr>
              </w:p>
            </w:txbxContent>
          </v:textbox>
        </v:shape>
      </w:pic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9EC477"/>
    <w:multiLevelType w:val="singleLevel"/>
    <w:tmpl w:val="8E9EC477"/>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8F1762"/>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4949BD"/>
    <w:rsid w:val="01DF1076"/>
    <w:rsid w:val="02354D58"/>
    <w:rsid w:val="031764E3"/>
    <w:rsid w:val="03DB5BBB"/>
    <w:rsid w:val="03EA471E"/>
    <w:rsid w:val="04710D7D"/>
    <w:rsid w:val="04D07CAE"/>
    <w:rsid w:val="051F5294"/>
    <w:rsid w:val="052B00C5"/>
    <w:rsid w:val="052C1565"/>
    <w:rsid w:val="05C00AFF"/>
    <w:rsid w:val="06093B1A"/>
    <w:rsid w:val="06244948"/>
    <w:rsid w:val="064A56A7"/>
    <w:rsid w:val="06BA4830"/>
    <w:rsid w:val="071360ED"/>
    <w:rsid w:val="078E7760"/>
    <w:rsid w:val="07A548ED"/>
    <w:rsid w:val="07EC2A98"/>
    <w:rsid w:val="08194C34"/>
    <w:rsid w:val="087D4345"/>
    <w:rsid w:val="08826D1F"/>
    <w:rsid w:val="08AD7E45"/>
    <w:rsid w:val="08DB7E5E"/>
    <w:rsid w:val="090C6FCE"/>
    <w:rsid w:val="097B720E"/>
    <w:rsid w:val="09AE238C"/>
    <w:rsid w:val="09D01F94"/>
    <w:rsid w:val="0AB92142"/>
    <w:rsid w:val="0ACC3979"/>
    <w:rsid w:val="0AE44399"/>
    <w:rsid w:val="0B3F4448"/>
    <w:rsid w:val="0B515D06"/>
    <w:rsid w:val="0B5F4DCB"/>
    <w:rsid w:val="0BA321E9"/>
    <w:rsid w:val="0BF017A3"/>
    <w:rsid w:val="0C706F90"/>
    <w:rsid w:val="0D4F7033"/>
    <w:rsid w:val="0DBB2D0F"/>
    <w:rsid w:val="0DCE4839"/>
    <w:rsid w:val="0DF45800"/>
    <w:rsid w:val="0E46086A"/>
    <w:rsid w:val="0F327EB2"/>
    <w:rsid w:val="0F982C01"/>
    <w:rsid w:val="0F987E0A"/>
    <w:rsid w:val="0FA37F88"/>
    <w:rsid w:val="0FCF61C5"/>
    <w:rsid w:val="103D4381"/>
    <w:rsid w:val="10601F0B"/>
    <w:rsid w:val="106C7856"/>
    <w:rsid w:val="10C055FF"/>
    <w:rsid w:val="10CB5C7F"/>
    <w:rsid w:val="10D37657"/>
    <w:rsid w:val="10DC01C3"/>
    <w:rsid w:val="10DD591A"/>
    <w:rsid w:val="112257E7"/>
    <w:rsid w:val="11A7536E"/>
    <w:rsid w:val="11CA4388"/>
    <w:rsid w:val="11CC0F5E"/>
    <w:rsid w:val="120C1E5A"/>
    <w:rsid w:val="12423E5A"/>
    <w:rsid w:val="126C4D3C"/>
    <w:rsid w:val="12907157"/>
    <w:rsid w:val="12DE7FD3"/>
    <w:rsid w:val="1306728A"/>
    <w:rsid w:val="133E4CB4"/>
    <w:rsid w:val="1353402C"/>
    <w:rsid w:val="135C6139"/>
    <w:rsid w:val="135E3B01"/>
    <w:rsid w:val="145723FE"/>
    <w:rsid w:val="14EF1F7A"/>
    <w:rsid w:val="15153922"/>
    <w:rsid w:val="156860E9"/>
    <w:rsid w:val="15814A83"/>
    <w:rsid w:val="1602275C"/>
    <w:rsid w:val="161948CA"/>
    <w:rsid w:val="165A1A27"/>
    <w:rsid w:val="16610160"/>
    <w:rsid w:val="16BB723D"/>
    <w:rsid w:val="17775938"/>
    <w:rsid w:val="178159F9"/>
    <w:rsid w:val="17B57031"/>
    <w:rsid w:val="181B47AB"/>
    <w:rsid w:val="182E5577"/>
    <w:rsid w:val="1846521B"/>
    <w:rsid w:val="18627A68"/>
    <w:rsid w:val="18FD5CAF"/>
    <w:rsid w:val="19290673"/>
    <w:rsid w:val="1965273C"/>
    <w:rsid w:val="197774CB"/>
    <w:rsid w:val="19F141CF"/>
    <w:rsid w:val="1A26278C"/>
    <w:rsid w:val="1A7E1C8B"/>
    <w:rsid w:val="1AA04E82"/>
    <w:rsid w:val="1B2A0455"/>
    <w:rsid w:val="1C9C602D"/>
    <w:rsid w:val="1CAB28F6"/>
    <w:rsid w:val="1CC91DF8"/>
    <w:rsid w:val="1E2B36D2"/>
    <w:rsid w:val="1E7A669B"/>
    <w:rsid w:val="1E994C07"/>
    <w:rsid w:val="1F0A5B04"/>
    <w:rsid w:val="1F601367"/>
    <w:rsid w:val="1FD86A51"/>
    <w:rsid w:val="1FE54420"/>
    <w:rsid w:val="201405A0"/>
    <w:rsid w:val="2072128B"/>
    <w:rsid w:val="208E6545"/>
    <w:rsid w:val="20B7322D"/>
    <w:rsid w:val="20EE0629"/>
    <w:rsid w:val="21675C8C"/>
    <w:rsid w:val="21C004B6"/>
    <w:rsid w:val="21F77A16"/>
    <w:rsid w:val="22180A5D"/>
    <w:rsid w:val="22505293"/>
    <w:rsid w:val="225D7881"/>
    <w:rsid w:val="22725154"/>
    <w:rsid w:val="22E36BE3"/>
    <w:rsid w:val="22E639F1"/>
    <w:rsid w:val="22F527EF"/>
    <w:rsid w:val="23294051"/>
    <w:rsid w:val="23BC22D7"/>
    <w:rsid w:val="240371BF"/>
    <w:rsid w:val="24473218"/>
    <w:rsid w:val="24842BE0"/>
    <w:rsid w:val="252200B6"/>
    <w:rsid w:val="25663F3D"/>
    <w:rsid w:val="25B84B7E"/>
    <w:rsid w:val="25C572E0"/>
    <w:rsid w:val="25D16B83"/>
    <w:rsid w:val="26350233"/>
    <w:rsid w:val="264B31AE"/>
    <w:rsid w:val="26887A9A"/>
    <w:rsid w:val="268E261E"/>
    <w:rsid w:val="26DB5304"/>
    <w:rsid w:val="270E135F"/>
    <w:rsid w:val="27C05937"/>
    <w:rsid w:val="27DE4856"/>
    <w:rsid w:val="27FF7375"/>
    <w:rsid w:val="28516980"/>
    <w:rsid w:val="28E8392A"/>
    <w:rsid w:val="2947142C"/>
    <w:rsid w:val="29B317C9"/>
    <w:rsid w:val="29F842AF"/>
    <w:rsid w:val="29FD04D3"/>
    <w:rsid w:val="2A1620A4"/>
    <w:rsid w:val="2A421F4D"/>
    <w:rsid w:val="2A740387"/>
    <w:rsid w:val="2A991264"/>
    <w:rsid w:val="2AB12481"/>
    <w:rsid w:val="2AD376FA"/>
    <w:rsid w:val="2B163A9D"/>
    <w:rsid w:val="2B593E90"/>
    <w:rsid w:val="2BC441D4"/>
    <w:rsid w:val="2C1F4E02"/>
    <w:rsid w:val="2C375539"/>
    <w:rsid w:val="2C413D7E"/>
    <w:rsid w:val="2C7C55CE"/>
    <w:rsid w:val="2CAB64A5"/>
    <w:rsid w:val="2CBE0154"/>
    <w:rsid w:val="2CBF31E7"/>
    <w:rsid w:val="2CC41ACB"/>
    <w:rsid w:val="2CD80548"/>
    <w:rsid w:val="2D041DCC"/>
    <w:rsid w:val="2D1446DE"/>
    <w:rsid w:val="2D20713A"/>
    <w:rsid w:val="2D913CDF"/>
    <w:rsid w:val="2DBA5CB8"/>
    <w:rsid w:val="2DD47BE3"/>
    <w:rsid w:val="2DDF1A84"/>
    <w:rsid w:val="2E083903"/>
    <w:rsid w:val="2E757509"/>
    <w:rsid w:val="2E7E5843"/>
    <w:rsid w:val="2E7F3324"/>
    <w:rsid w:val="2F7643DE"/>
    <w:rsid w:val="2F87303D"/>
    <w:rsid w:val="2FB60CAF"/>
    <w:rsid w:val="2FF600DA"/>
    <w:rsid w:val="307F1924"/>
    <w:rsid w:val="30FE0E68"/>
    <w:rsid w:val="30FE37C6"/>
    <w:rsid w:val="312B4596"/>
    <w:rsid w:val="314942C5"/>
    <w:rsid w:val="319F7F4E"/>
    <w:rsid w:val="31B5016B"/>
    <w:rsid w:val="31C30852"/>
    <w:rsid w:val="31EF52FA"/>
    <w:rsid w:val="321B44DD"/>
    <w:rsid w:val="32617629"/>
    <w:rsid w:val="32C620BC"/>
    <w:rsid w:val="32E801C7"/>
    <w:rsid w:val="32FB0B72"/>
    <w:rsid w:val="33215724"/>
    <w:rsid w:val="33B47CA8"/>
    <w:rsid w:val="33F74FD9"/>
    <w:rsid w:val="34205AAA"/>
    <w:rsid w:val="346307AA"/>
    <w:rsid w:val="34C327AE"/>
    <w:rsid w:val="352605F2"/>
    <w:rsid w:val="35503E5C"/>
    <w:rsid w:val="35AD3FD7"/>
    <w:rsid w:val="366B74B7"/>
    <w:rsid w:val="3675440D"/>
    <w:rsid w:val="37451BFF"/>
    <w:rsid w:val="377E57E3"/>
    <w:rsid w:val="37B60431"/>
    <w:rsid w:val="37EB02C9"/>
    <w:rsid w:val="38B21467"/>
    <w:rsid w:val="38CA11EA"/>
    <w:rsid w:val="39AD2DF0"/>
    <w:rsid w:val="39CA16BB"/>
    <w:rsid w:val="3A3A28A1"/>
    <w:rsid w:val="3A8941A0"/>
    <w:rsid w:val="3AE803DA"/>
    <w:rsid w:val="3B6C110A"/>
    <w:rsid w:val="3B7A0514"/>
    <w:rsid w:val="3B9F1E20"/>
    <w:rsid w:val="3C267B3B"/>
    <w:rsid w:val="3C7744CD"/>
    <w:rsid w:val="3C920C8A"/>
    <w:rsid w:val="3C9E4203"/>
    <w:rsid w:val="3D70561E"/>
    <w:rsid w:val="3DB0424B"/>
    <w:rsid w:val="3EB773E3"/>
    <w:rsid w:val="3EC52551"/>
    <w:rsid w:val="3EF21790"/>
    <w:rsid w:val="3F5322A9"/>
    <w:rsid w:val="3F5934EB"/>
    <w:rsid w:val="3FA8473B"/>
    <w:rsid w:val="40061538"/>
    <w:rsid w:val="404F1356"/>
    <w:rsid w:val="40594455"/>
    <w:rsid w:val="40880C82"/>
    <w:rsid w:val="40F94829"/>
    <w:rsid w:val="411404BF"/>
    <w:rsid w:val="41715C0D"/>
    <w:rsid w:val="41790D12"/>
    <w:rsid w:val="418230A7"/>
    <w:rsid w:val="41837B00"/>
    <w:rsid w:val="41FC3B83"/>
    <w:rsid w:val="42320344"/>
    <w:rsid w:val="425B7467"/>
    <w:rsid w:val="426B449B"/>
    <w:rsid w:val="42F12C64"/>
    <w:rsid w:val="42F64658"/>
    <w:rsid w:val="43147980"/>
    <w:rsid w:val="439054E5"/>
    <w:rsid w:val="43FF5928"/>
    <w:rsid w:val="44305CB7"/>
    <w:rsid w:val="446F5DA2"/>
    <w:rsid w:val="44C735CE"/>
    <w:rsid w:val="44ED7099"/>
    <w:rsid w:val="44F451FA"/>
    <w:rsid w:val="450909B4"/>
    <w:rsid w:val="460B3570"/>
    <w:rsid w:val="461C6698"/>
    <w:rsid w:val="466F294B"/>
    <w:rsid w:val="46F47826"/>
    <w:rsid w:val="47143079"/>
    <w:rsid w:val="4721405F"/>
    <w:rsid w:val="47723B49"/>
    <w:rsid w:val="479318DD"/>
    <w:rsid w:val="47DA43B2"/>
    <w:rsid w:val="482D4F6B"/>
    <w:rsid w:val="48656ADD"/>
    <w:rsid w:val="48691CE7"/>
    <w:rsid w:val="49104436"/>
    <w:rsid w:val="497C697D"/>
    <w:rsid w:val="49A1707D"/>
    <w:rsid w:val="4A4C25BC"/>
    <w:rsid w:val="4ABD4A05"/>
    <w:rsid w:val="4AE62565"/>
    <w:rsid w:val="4AEC396D"/>
    <w:rsid w:val="4AF50A1E"/>
    <w:rsid w:val="4B185801"/>
    <w:rsid w:val="4B1931D8"/>
    <w:rsid w:val="4B397C15"/>
    <w:rsid w:val="4BB70C79"/>
    <w:rsid w:val="4C36159F"/>
    <w:rsid w:val="4C6E4293"/>
    <w:rsid w:val="4D0A6FB9"/>
    <w:rsid w:val="4D5D6237"/>
    <w:rsid w:val="4DD70B9B"/>
    <w:rsid w:val="4E8E48E6"/>
    <w:rsid w:val="4EA1092D"/>
    <w:rsid w:val="4ECE2238"/>
    <w:rsid w:val="4ECF0700"/>
    <w:rsid w:val="4EF524C8"/>
    <w:rsid w:val="4F0D6C57"/>
    <w:rsid w:val="4FB97C89"/>
    <w:rsid w:val="503028F9"/>
    <w:rsid w:val="507E62D5"/>
    <w:rsid w:val="51554341"/>
    <w:rsid w:val="51C46DEB"/>
    <w:rsid w:val="51F5185E"/>
    <w:rsid w:val="522E14E5"/>
    <w:rsid w:val="526E1EAC"/>
    <w:rsid w:val="52840597"/>
    <w:rsid w:val="52EC07B5"/>
    <w:rsid w:val="530424B0"/>
    <w:rsid w:val="53185C43"/>
    <w:rsid w:val="537B3D72"/>
    <w:rsid w:val="53B318B1"/>
    <w:rsid w:val="53C77891"/>
    <w:rsid w:val="53D33F5F"/>
    <w:rsid w:val="540D7672"/>
    <w:rsid w:val="54536384"/>
    <w:rsid w:val="54BF44FB"/>
    <w:rsid w:val="54EA79FA"/>
    <w:rsid w:val="55D86D9D"/>
    <w:rsid w:val="55E752FB"/>
    <w:rsid w:val="56455893"/>
    <w:rsid w:val="564A279F"/>
    <w:rsid w:val="565C4F24"/>
    <w:rsid w:val="56971CD8"/>
    <w:rsid w:val="56C10804"/>
    <w:rsid w:val="573C3855"/>
    <w:rsid w:val="574F5F68"/>
    <w:rsid w:val="57640C08"/>
    <w:rsid w:val="57870520"/>
    <w:rsid w:val="57A70DE1"/>
    <w:rsid w:val="57FC104E"/>
    <w:rsid w:val="58143DE2"/>
    <w:rsid w:val="582A12B4"/>
    <w:rsid w:val="584E34A7"/>
    <w:rsid w:val="588C27CE"/>
    <w:rsid w:val="58B46D1B"/>
    <w:rsid w:val="598A22B9"/>
    <w:rsid w:val="59B860C3"/>
    <w:rsid w:val="59FC6E62"/>
    <w:rsid w:val="5A543A76"/>
    <w:rsid w:val="5A754AE3"/>
    <w:rsid w:val="5A7A0669"/>
    <w:rsid w:val="5AF44E2E"/>
    <w:rsid w:val="5B370440"/>
    <w:rsid w:val="5B3742B9"/>
    <w:rsid w:val="5BC326FD"/>
    <w:rsid w:val="5BC33CB0"/>
    <w:rsid w:val="5C043374"/>
    <w:rsid w:val="5C0A1B54"/>
    <w:rsid w:val="5C3F0CC0"/>
    <w:rsid w:val="5C9C350B"/>
    <w:rsid w:val="5CC35AD5"/>
    <w:rsid w:val="5CF37C72"/>
    <w:rsid w:val="5D6A2F7D"/>
    <w:rsid w:val="5DFC6EFF"/>
    <w:rsid w:val="5E4B509B"/>
    <w:rsid w:val="5E7F3A19"/>
    <w:rsid w:val="5E803381"/>
    <w:rsid w:val="5E8D189C"/>
    <w:rsid w:val="5EAA2B44"/>
    <w:rsid w:val="5EAA5B2A"/>
    <w:rsid w:val="5EBC2E71"/>
    <w:rsid w:val="5EC47A81"/>
    <w:rsid w:val="5F124315"/>
    <w:rsid w:val="5F2F6346"/>
    <w:rsid w:val="5FD014B1"/>
    <w:rsid w:val="60756DC3"/>
    <w:rsid w:val="60FB19AB"/>
    <w:rsid w:val="60FF6FB8"/>
    <w:rsid w:val="61363AB4"/>
    <w:rsid w:val="61641561"/>
    <w:rsid w:val="619034FF"/>
    <w:rsid w:val="625E73AF"/>
    <w:rsid w:val="62E54F36"/>
    <w:rsid w:val="62EB5F60"/>
    <w:rsid w:val="62FD67E7"/>
    <w:rsid w:val="63426CE3"/>
    <w:rsid w:val="636C0F75"/>
    <w:rsid w:val="63833170"/>
    <w:rsid w:val="63EA3942"/>
    <w:rsid w:val="63F51DB5"/>
    <w:rsid w:val="63FA1104"/>
    <w:rsid w:val="64A9781C"/>
    <w:rsid w:val="64AD3B2A"/>
    <w:rsid w:val="64BB1DDF"/>
    <w:rsid w:val="64CF1689"/>
    <w:rsid w:val="64F3172C"/>
    <w:rsid w:val="652034C6"/>
    <w:rsid w:val="656B2DD7"/>
    <w:rsid w:val="66335F77"/>
    <w:rsid w:val="663C0706"/>
    <w:rsid w:val="669521F2"/>
    <w:rsid w:val="669810A0"/>
    <w:rsid w:val="66C74258"/>
    <w:rsid w:val="66E672E5"/>
    <w:rsid w:val="67151C94"/>
    <w:rsid w:val="67190875"/>
    <w:rsid w:val="676048DA"/>
    <w:rsid w:val="678B0521"/>
    <w:rsid w:val="67B94C92"/>
    <w:rsid w:val="67ED52EE"/>
    <w:rsid w:val="67EF0904"/>
    <w:rsid w:val="68002492"/>
    <w:rsid w:val="681B5BC1"/>
    <w:rsid w:val="68583E48"/>
    <w:rsid w:val="68E435CA"/>
    <w:rsid w:val="69552789"/>
    <w:rsid w:val="6A357FA5"/>
    <w:rsid w:val="6A393845"/>
    <w:rsid w:val="6A45644D"/>
    <w:rsid w:val="6A5214CA"/>
    <w:rsid w:val="6A53347C"/>
    <w:rsid w:val="6AAD620E"/>
    <w:rsid w:val="6B1C1851"/>
    <w:rsid w:val="6B3D7FE3"/>
    <w:rsid w:val="6B511A07"/>
    <w:rsid w:val="6B79630C"/>
    <w:rsid w:val="6B7F58EE"/>
    <w:rsid w:val="6BAF7398"/>
    <w:rsid w:val="6C5D5214"/>
    <w:rsid w:val="6C6462A2"/>
    <w:rsid w:val="6C6F5C5E"/>
    <w:rsid w:val="6CA129BD"/>
    <w:rsid w:val="6CAC0C42"/>
    <w:rsid w:val="6CB82183"/>
    <w:rsid w:val="6D00365E"/>
    <w:rsid w:val="6D2D43AA"/>
    <w:rsid w:val="6D5A2FA1"/>
    <w:rsid w:val="6D5C3347"/>
    <w:rsid w:val="6DCF5071"/>
    <w:rsid w:val="6DF362CD"/>
    <w:rsid w:val="6E0F3454"/>
    <w:rsid w:val="6E4771F2"/>
    <w:rsid w:val="6EAB5D05"/>
    <w:rsid w:val="6EB4182A"/>
    <w:rsid w:val="6EDA3F79"/>
    <w:rsid w:val="6EEB52BD"/>
    <w:rsid w:val="6F1413E3"/>
    <w:rsid w:val="6F2C0107"/>
    <w:rsid w:val="6F337BED"/>
    <w:rsid w:val="6FDF544D"/>
    <w:rsid w:val="701705E0"/>
    <w:rsid w:val="708B743A"/>
    <w:rsid w:val="70D8516E"/>
    <w:rsid w:val="710F5D9C"/>
    <w:rsid w:val="71292C37"/>
    <w:rsid w:val="71296014"/>
    <w:rsid w:val="714821F7"/>
    <w:rsid w:val="71881055"/>
    <w:rsid w:val="718D1ED5"/>
    <w:rsid w:val="71954D60"/>
    <w:rsid w:val="71A24D21"/>
    <w:rsid w:val="72085446"/>
    <w:rsid w:val="72193AF8"/>
    <w:rsid w:val="723A409E"/>
    <w:rsid w:val="72734D90"/>
    <w:rsid w:val="73373575"/>
    <w:rsid w:val="73582E37"/>
    <w:rsid w:val="735A508F"/>
    <w:rsid w:val="73EE36E5"/>
    <w:rsid w:val="73F01A59"/>
    <w:rsid w:val="74F039E4"/>
    <w:rsid w:val="752B39C7"/>
    <w:rsid w:val="753473CA"/>
    <w:rsid w:val="753509CA"/>
    <w:rsid w:val="756B0400"/>
    <w:rsid w:val="759F11D4"/>
    <w:rsid w:val="75B51881"/>
    <w:rsid w:val="760E42A9"/>
    <w:rsid w:val="76117345"/>
    <w:rsid w:val="76147A2E"/>
    <w:rsid w:val="769F0E00"/>
    <w:rsid w:val="769F6600"/>
    <w:rsid w:val="76D4682F"/>
    <w:rsid w:val="76F42B7B"/>
    <w:rsid w:val="77174859"/>
    <w:rsid w:val="776A6280"/>
    <w:rsid w:val="779D5921"/>
    <w:rsid w:val="77F56E29"/>
    <w:rsid w:val="784427A2"/>
    <w:rsid w:val="79004902"/>
    <w:rsid w:val="7941127C"/>
    <w:rsid w:val="7A206BC2"/>
    <w:rsid w:val="7A360AF8"/>
    <w:rsid w:val="7A447BBA"/>
    <w:rsid w:val="7A5354EB"/>
    <w:rsid w:val="7A5B5732"/>
    <w:rsid w:val="7B4242B7"/>
    <w:rsid w:val="7B461488"/>
    <w:rsid w:val="7B465BDA"/>
    <w:rsid w:val="7B556826"/>
    <w:rsid w:val="7B620A5C"/>
    <w:rsid w:val="7B7F6683"/>
    <w:rsid w:val="7B860DAA"/>
    <w:rsid w:val="7C076051"/>
    <w:rsid w:val="7C7B6330"/>
    <w:rsid w:val="7CDC4DB5"/>
    <w:rsid w:val="7D0E0E06"/>
    <w:rsid w:val="7D0F122C"/>
    <w:rsid w:val="7D385CCD"/>
    <w:rsid w:val="7D5279FD"/>
    <w:rsid w:val="7DBC5448"/>
    <w:rsid w:val="7E3E4375"/>
    <w:rsid w:val="7E64722D"/>
    <w:rsid w:val="7E694563"/>
    <w:rsid w:val="7E6D56CC"/>
    <w:rsid w:val="7E7F43B8"/>
    <w:rsid w:val="7E850435"/>
    <w:rsid w:val="7E912C03"/>
    <w:rsid w:val="7E9D13C9"/>
    <w:rsid w:val="7EA44E0A"/>
    <w:rsid w:val="7EDF00BA"/>
    <w:rsid w:val="7F4D0A9F"/>
    <w:rsid w:val="7F8C710A"/>
    <w:rsid w:val="7FC35655"/>
    <w:rsid w:val="7FE3426F"/>
    <w:rsid w:val="7FEA1DA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420" w:leftChars="200"/>
    </w:pPr>
    <w:rPr>
      <w:szCs w:val="20"/>
    </w:rPr>
  </w:style>
  <w:style w:type="paragraph" w:styleId="7">
    <w:name w:val="toc 3"/>
    <w:basedOn w:val="1"/>
    <w:next w:val="1"/>
    <w:unhideWhenUsed/>
    <w:qFormat/>
    <w:uiPriority w:val="39"/>
    <w:pPr>
      <w:tabs>
        <w:tab w:val="right" w:leader="dot" w:pos="8296"/>
      </w:tabs>
      <w:ind w:left="840" w:leftChars="400"/>
    </w:pPr>
  </w:style>
  <w:style w:type="paragraph" w:styleId="8">
    <w:name w:val="Body Text Indent 2"/>
    <w:basedOn w:val="1"/>
    <w:qFormat/>
    <w:uiPriority w:val="0"/>
    <w:pPr>
      <w:spacing w:line="560" w:lineRule="atLeast"/>
      <w:ind w:firstLine="693" w:firstLineChars="225"/>
    </w:pPr>
    <w:rPr>
      <w:rFonts w:hint="eastAsia" w:ascii="仿宋_GB2312"/>
      <w:szCs w:val="32"/>
    </w:rPr>
  </w:style>
  <w:style w:type="paragraph" w:styleId="9">
    <w:name w:val="Balloon Text"/>
    <w:basedOn w:val="1"/>
    <w:link w:val="30"/>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Body Text First Indent 2"/>
    <w:basedOn w:val="6"/>
    <w:qFormat/>
    <w:uiPriority w:val="0"/>
    <w:pPr>
      <w:ind w:firstLine="420" w:firstLine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字符"/>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字符"/>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字符"/>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6">
    <w:name w:val="List Paragraph"/>
    <w:basedOn w:val="1"/>
    <w:qFormat/>
    <w:uiPriority w:val="34"/>
    <w:pPr>
      <w:ind w:firstLine="420" w:firstLineChars="200"/>
    </w:pPr>
  </w:style>
  <w:style w:type="character" w:customStyle="1" w:styleId="27">
    <w:name w:val="标题 1 字符"/>
    <w:basedOn w:val="16"/>
    <w:link w:val="2"/>
    <w:qFormat/>
    <w:uiPriority w:val="9"/>
    <w:rPr>
      <w:rFonts w:ascii="Times New Roman" w:hAnsi="Times New Roman"/>
      <w:b/>
      <w:bCs/>
      <w:kern w:val="44"/>
      <w:sz w:val="44"/>
      <w:szCs w:val="44"/>
    </w:rPr>
  </w:style>
  <w:style w:type="character" w:customStyle="1" w:styleId="28">
    <w:name w:val="标题 2 字符"/>
    <w:basedOn w:val="16"/>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字符"/>
    <w:basedOn w:val="16"/>
    <w:link w:val="9"/>
    <w:semiHidden/>
    <w:qFormat/>
    <w:uiPriority w:val="99"/>
    <w:rPr>
      <w:rFonts w:ascii="Times New Roman" w:hAnsi="Times New Roman"/>
      <w:kern w:val="2"/>
      <w:sz w:val="18"/>
      <w:szCs w:val="18"/>
    </w:rPr>
  </w:style>
  <w:style w:type="character" w:customStyle="1" w:styleId="31">
    <w:name w:val="标题 3 字符"/>
    <w:basedOn w:val="16"/>
    <w:link w:val="4"/>
    <w:qFormat/>
    <w:uiPriority w:val="9"/>
    <w:rPr>
      <w:rFonts w:ascii="Times New Roman" w:hAnsi="Times New Roman"/>
      <w:b/>
      <w:bCs/>
      <w:kern w:val="2"/>
      <w:sz w:val="32"/>
      <w:szCs w:val="32"/>
    </w:rPr>
  </w:style>
  <w:style w:type="paragraph" w:customStyle="1" w:styleId="32">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3">
    <w:name w:val="WPSOffice手动目录 1"/>
    <w:qFormat/>
    <w:uiPriority w:val="0"/>
    <w:pPr>
      <w:ind w:leftChars="0"/>
    </w:pPr>
    <w:rPr>
      <w:rFonts w:ascii="Calibri" w:hAnsi="Calibri" w:eastAsia="宋体" w:cs="Times New Roman"/>
      <w:sz w:val="20"/>
      <w:szCs w:val="20"/>
    </w:rPr>
  </w:style>
  <w:style w:type="paragraph" w:customStyle="1" w:styleId="34">
    <w:name w:val="WPSOffice手动目录 2"/>
    <w:qFormat/>
    <w:uiPriority w:val="0"/>
    <w:pPr>
      <w:ind w:leftChars="200"/>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收、支决算总计</c:v>
                </c:pt>
              </c:strCache>
            </c:strRef>
          </c:cat>
          <c:val>
            <c:numRef>
              <c:f>Sheet1!$B$2</c:f>
              <c:numCache>
                <c:formatCode>#,##0.00_ </c:formatCode>
                <c:ptCount val="1"/>
                <c:pt idx="0">
                  <c:v>6348.13</c:v>
                </c:pt>
              </c:numCache>
            </c:numRef>
          </c:val>
        </c:ser>
        <c:ser>
          <c:idx val="1"/>
          <c:order val="1"/>
          <c:tx>
            <c:strRef>
              <c:f>Sheet1!$C$1</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收、支决算总计</c:v>
                </c:pt>
              </c:strCache>
            </c:strRef>
          </c:cat>
          <c:val>
            <c:numRef>
              <c:f>Sheet1!$C$2</c:f>
              <c:numCache>
                <c:formatCode>#,##0.00_ </c:formatCode>
                <c:ptCount val="1"/>
                <c:pt idx="0">
                  <c:v>6752.35</c:v>
                </c:pt>
              </c:numCache>
            </c:numRef>
          </c:val>
        </c:ser>
        <c:dLbls>
          <c:showLegendKey val="0"/>
          <c:showVal val="1"/>
          <c:showCatName val="0"/>
          <c:showSerName val="0"/>
          <c:showPercent val="0"/>
          <c:showBubbleSize val="0"/>
        </c:dLbls>
        <c:gapWidth val="219"/>
        <c:overlap val="-27"/>
        <c:axId val="814092824"/>
        <c:axId val="553658883"/>
      </c:barChart>
      <c:catAx>
        <c:axId val="8140928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3658883"/>
        <c:crosses val="autoZero"/>
        <c:auto val="1"/>
        <c:lblAlgn val="ctr"/>
        <c:lblOffset val="100"/>
        <c:noMultiLvlLbl val="0"/>
      </c:catAx>
      <c:valAx>
        <c:axId val="553658883"/>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409282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1"/>
              <c:layout>
                <c:manualLayout>
                  <c:x val="0.0276200309757357"/>
                  <c:y val="-0.052840396753832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320084793329203"/>
                  <c:y val="-0.051238954010856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10221992772328"/>
                  <c:y val="-0.040937781785392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81827349268009"/>
                  <c:y val="-0.027073038771902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18921011874032"/>
                  <c:y val="-0.0023444544634806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126613100429599"/>
                  <c:y val="0.016209197476970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0%</c:formatCode>
                <c:ptCount val="7"/>
                <c:pt idx="0">
                  <c:v>1</c:v>
                </c:pt>
                <c:pt idx="1">
                  <c:v>0</c:v>
                </c:pt>
                <c:pt idx="2">
                  <c:v>0</c:v>
                </c:pt>
                <c:pt idx="3">
                  <c:v>0</c:v>
                </c:pt>
                <c:pt idx="4">
                  <c:v>0</c:v>
                </c:pt>
                <c:pt idx="5">
                  <c:v>0</c:v>
                </c:pt>
                <c:pt idx="6">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2"/>
              <c:layout>
                <c:manualLayout>
                  <c:x val="-0.00179856115107914"/>
                  <c:y val="-0.041572839078468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15622020823611"/>
                  <c:y val="0.0017138402932039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770811921891059"/>
                  <c:y val="-0.020786419539234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0.00%</c:formatCode>
                <c:ptCount val="5"/>
                <c:pt idx="0">
                  <c:v>0.6548</c:v>
                </c:pt>
                <c:pt idx="1">
                  <c:v>0.3452</c:v>
                </c:pt>
                <c:pt idx="2" c:formatCode="0%">
                  <c:v>0</c:v>
                </c:pt>
                <c:pt idx="3" c:formatCode="0%">
                  <c:v>0</c:v>
                </c:pt>
                <c:pt idx="4" c:formatCode="0%">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manualLayout>
          <c:xMode val="edge"/>
          <c:yMode val="edge"/>
          <c:x val="0.233070624308425"/>
          <c:y val="0.0432276657060519"/>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财政拨款收、支总计</c:v>
                </c:pt>
              </c:strCache>
            </c:strRef>
          </c:cat>
          <c:val>
            <c:numRef>
              <c:f>Sheet1!$B$2</c:f>
              <c:numCache>
                <c:formatCode>#,##0.00_ </c:formatCode>
                <c:ptCount val="1"/>
                <c:pt idx="0">
                  <c:v>6342.17</c:v>
                </c:pt>
              </c:numCache>
            </c:numRef>
          </c:val>
        </c:ser>
        <c:ser>
          <c:idx val="1"/>
          <c:order val="1"/>
          <c:tx>
            <c:strRef>
              <c:f>Sheet1!$C$1</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财政拨款收、支总计</c:v>
                </c:pt>
              </c:strCache>
            </c:strRef>
          </c:cat>
          <c:val>
            <c:numRef>
              <c:f>Sheet1!$C$2</c:f>
              <c:numCache>
                <c:formatCode>#,##0.00_ </c:formatCode>
                <c:ptCount val="1"/>
                <c:pt idx="0">
                  <c:v>6752.35</c:v>
                </c:pt>
              </c:numCache>
            </c:numRef>
          </c:val>
        </c:ser>
        <c:dLbls>
          <c:showLegendKey val="0"/>
          <c:showVal val="1"/>
          <c:showCatName val="0"/>
          <c:showSerName val="0"/>
          <c:showPercent val="0"/>
          <c:showBubbleSize val="0"/>
        </c:dLbls>
        <c:gapWidth val="219"/>
        <c:overlap val="-27"/>
        <c:axId val="564358507"/>
        <c:axId val="696418272"/>
      </c:barChart>
      <c:catAx>
        <c:axId val="56435850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6418272"/>
        <c:crosses val="autoZero"/>
        <c:auto val="1"/>
        <c:lblAlgn val="ctr"/>
        <c:lblOffset val="100"/>
        <c:noMultiLvlLbl val="0"/>
      </c:catAx>
      <c:valAx>
        <c:axId val="696418272"/>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435850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一般公共预算财政拨款支出决算变动情况</a:t>
            </a:r>
            <a:endParaRPr lang="en-US" altLang="zh-CN"/>
          </a:p>
        </c:rich>
      </c:tx>
      <c:layout>
        <c:manualLayout>
          <c:xMode val="edge"/>
          <c:yMode val="edge"/>
          <c:x val="0.1905"/>
          <c:y val="0.01"/>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formatCode="#,##0.00_ ">
                  <c:v>一般公共预算财政拨款支出</c:v>
                </c:pt>
              </c:strCache>
            </c:strRef>
          </c:cat>
          <c:val>
            <c:numRef>
              <c:f>Sheet1!$B$2</c:f>
              <c:numCache>
                <c:formatCode>#,##0.00_ </c:formatCode>
                <c:ptCount val="1"/>
                <c:pt idx="0">
                  <c:v>5644.42</c:v>
                </c:pt>
              </c:numCache>
            </c:numRef>
          </c:val>
        </c:ser>
        <c:ser>
          <c:idx val="1"/>
          <c:order val="1"/>
          <c:tx>
            <c:strRef>
              <c:f>Sheet1!$C$1</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formatCode="#,##0.00_ ">
                  <c:v>一般公共预算财政拨款支出</c:v>
                </c:pt>
              </c:strCache>
            </c:strRef>
          </c:cat>
          <c:val>
            <c:numRef>
              <c:f>Sheet1!$C$2</c:f>
              <c:numCache>
                <c:formatCode>#,##0.00_ </c:formatCode>
                <c:ptCount val="1"/>
                <c:pt idx="0">
                  <c:v>5792.25</c:v>
                </c:pt>
              </c:numCache>
            </c:numRef>
          </c:val>
        </c:ser>
        <c:dLbls>
          <c:showLegendKey val="0"/>
          <c:showVal val="1"/>
          <c:showCatName val="0"/>
          <c:showSerName val="0"/>
          <c:showPercent val="0"/>
          <c:showBubbleSize val="0"/>
        </c:dLbls>
        <c:gapWidth val="219"/>
        <c:overlap val="-27"/>
        <c:axId val="185916891"/>
        <c:axId val="156693627"/>
      </c:barChart>
      <c:catAx>
        <c:axId val="18591689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693627"/>
        <c:crosses val="autoZero"/>
        <c:auto val="1"/>
        <c:lblAlgn val="ctr"/>
        <c:lblOffset val="100"/>
        <c:noMultiLvlLbl val="0"/>
      </c:catAx>
      <c:valAx>
        <c:axId val="156693627"/>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591689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Lbl>
              <c:idx val="0"/>
              <c:layout>
                <c:manualLayout>
                  <c:x val="0.0459025521518971"/>
                  <c:y val="-0.031938128241053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879097711186626"/>
                  <c:y val="-0.014407493150647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585410203855764"/>
                  <c:y val="-0.038626189564080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144408688413487"/>
                  <c:y val="0.0013952082434706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一般公共服务支出</c:v>
                </c:pt>
                <c:pt idx="1">
                  <c:v>公共安全支出</c:v>
                </c:pt>
                <c:pt idx="2">
                  <c:v>社会保障和就业支出</c:v>
                </c:pt>
                <c:pt idx="3">
                  <c:v>卫生健康支出</c:v>
                </c:pt>
                <c:pt idx="4">
                  <c:v>住房保障支出</c:v>
                </c:pt>
                <c:pt idx="5">
                  <c:v>其他支出</c:v>
                </c:pt>
              </c:strCache>
            </c:strRef>
          </c:cat>
          <c:val>
            <c:numRef>
              <c:f>Sheet1!$B$2:$B$7</c:f>
              <c:numCache>
                <c:formatCode>0.00%</c:formatCode>
                <c:ptCount val="6"/>
                <c:pt idx="0">
                  <c:v>0.0006</c:v>
                </c:pt>
                <c:pt idx="1">
                  <c:v>0.8577</c:v>
                </c:pt>
                <c:pt idx="2">
                  <c:v>0.0667</c:v>
                </c:pt>
                <c:pt idx="3">
                  <c:v>0.0263</c:v>
                </c:pt>
                <c:pt idx="4">
                  <c:v>0.0486</c:v>
                </c:pt>
                <c:pt idx="5">
                  <c:v>0.0001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0780494015788133"/>
                  <c:y val="-0.018447615732683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819814148326398"/>
                  <c:y val="0.0059803708891474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0%</c:formatCode>
                <c:ptCount val="3"/>
                <c:pt idx="0">
                  <c:v>0</c:v>
                </c:pt>
                <c:pt idx="1" c:formatCode="0.00%">
                  <c:v>0.9878</c:v>
                </c:pt>
                <c:pt idx="2" c:formatCode="0.00%">
                  <c:v>0.0122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2" textRotate="1"/>
    <customShpInfo spid="_x0000_s2049" textRotate="1"/>
    <customShpInfo spid="_x0000_s2050" textRotate="1"/>
    <customShpInfo spid="_x0000_s2051"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2</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R.u.n 2</cp:lastModifiedBy>
  <cp:lastPrinted>2020-10-02T09:01:00Z</cp:lastPrinted>
  <dcterms:modified xsi:type="dcterms:W3CDTF">2020-10-27T08:52:49Z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