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Hlk17289895"/>
      <w:bookmarkEnd w:id="0"/>
      <w:bookmarkStart w:id="1"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2" w:name="_Toc15378441"/>
      <w:bookmarkStart w:id="3" w:name="_Toc15396597"/>
      <w:bookmarkStart w:id="4" w:name="_Toc15377193"/>
      <w:bookmarkStart w:id="5" w:name="_Toc15377425"/>
      <w:bookmarkStart w:id="6" w:name="_Toc1539647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426"/>
      <w:bookmarkStart w:id="8" w:name="_Toc15396598"/>
      <w:bookmarkStart w:id="9" w:name="_Toc15377194"/>
      <w:bookmarkStart w:id="10" w:name="_Toc15378442"/>
      <w:bookmarkStart w:id="11" w:name="_Toc15396476"/>
      <w:r>
        <w:rPr>
          <w:rFonts w:hint="eastAsia" w:ascii="方正小标宋简体" w:hAnsi="宋体" w:eastAsia="方正小标宋简体"/>
          <w:color w:val="000000"/>
          <w:sz w:val="72"/>
          <w:szCs w:val="72"/>
        </w:rPr>
        <w:t>四川省</w:t>
      </w:r>
      <w:bookmarkEnd w:id="1"/>
      <w:bookmarkStart w:id="12" w:name="_Toc15306268"/>
      <w:r>
        <w:rPr>
          <w:rFonts w:hint="eastAsia" w:ascii="方正小标宋简体" w:hAnsi="宋体" w:eastAsia="方正小标宋简体"/>
          <w:color w:val="000000"/>
          <w:sz w:val="72"/>
          <w:szCs w:val="72"/>
        </w:rPr>
        <w:t>红原县森林公安局部门决算</w:t>
      </w:r>
      <w:bookmarkEnd w:id="7"/>
      <w:bookmarkEnd w:id="8"/>
      <w:bookmarkEnd w:id="9"/>
      <w:bookmarkEnd w:id="10"/>
      <w:bookmarkEnd w:id="11"/>
      <w:bookmarkEnd w:id="12"/>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4"/>
          <w:rFonts w:hint="eastAsia"/>
        </w:rPr>
        <w:t>第一部分</w:t>
      </w:r>
      <w:r>
        <w:rPr>
          <w:rStyle w:val="14"/>
        </w:rPr>
        <w:t xml:space="preserve"> </w:t>
      </w:r>
      <w:r>
        <w:rPr>
          <w:rStyle w:val="14"/>
          <w:rFonts w:hint="eastAsia"/>
        </w:rPr>
        <w:t>部门概况</w:t>
      </w:r>
      <w:r>
        <w:rPr>
          <w:rStyle w:val="14"/>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4"/>
          <w:rFonts w:hint="eastAsia" w:ascii="仿宋" w:hAnsi="仿宋" w:eastAsia="仿宋"/>
          <w:sz w:val="28"/>
          <w:szCs w:val="28"/>
        </w:rPr>
        <w:t>一、基本职能及主要工作</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4"/>
          <w:rFonts w:hint="eastAsia" w:ascii="仿宋" w:hAnsi="仿宋" w:eastAsia="仿宋"/>
          <w:sz w:val="28"/>
          <w:szCs w:val="28"/>
        </w:rPr>
        <w:t>二、机构设置</w:t>
      </w:r>
      <w:r>
        <w:rPr>
          <w:rStyle w:val="14"/>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4"/>
          <w:rFonts w:hint="eastAsia"/>
        </w:rPr>
        <w:t>第二部分</w:t>
      </w:r>
      <w:r>
        <w:rPr>
          <w:rStyle w:val="14"/>
        </w:rPr>
        <w:t xml:space="preserve"> 2018</w:t>
      </w:r>
      <w:r>
        <w:rPr>
          <w:rStyle w:val="14"/>
          <w:rFonts w:hint="eastAsia"/>
        </w:rPr>
        <w:t>年度部门决算情况说明</w:t>
      </w:r>
      <w:r>
        <w:rPr>
          <w:rStyle w:val="14"/>
          <w:rFonts w:hint="eastAsia"/>
        </w:rP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4"/>
          <w:rFonts w:hint="eastAsia" w:ascii="仿宋" w:hAnsi="仿宋" w:eastAsia="仿宋" w:cstheme="majorBidi"/>
          <w:bCs/>
          <w:sz w:val="28"/>
          <w:szCs w:val="28"/>
        </w:rPr>
        <w:t>一、</w:t>
      </w:r>
      <w:r>
        <w:rPr>
          <w:rStyle w:val="14"/>
          <w:rFonts w:hint="eastAsia" w:ascii="仿宋" w:hAnsi="仿宋" w:eastAsia="仿宋"/>
          <w:sz w:val="28"/>
          <w:szCs w:val="28"/>
        </w:rPr>
        <w:t>收</w:t>
      </w:r>
      <w:r>
        <w:rPr>
          <w:rStyle w:val="14"/>
          <w:rFonts w:hint="eastAsia" w:ascii="仿宋" w:hAnsi="仿宋" w:eastAsia="仿宋" w:cstheme="majorBidi"/>
          <w:bCs/>
          <w:sz w:val="28"/>
          <w:szCs w:val="28"/>
        </w:rPr>
        <w:t>入支出决算总体情况说明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4"/>
          <w:rFonts w:hint="eastAsia" w:ascii="仿宋" w:hAnsi="仿宋" w:eastAsia="仿宋" w:cstheme="majorBidi"/>
          <w:bCs/>
          <w:sz w:val="28"/>
          <w:szCs w:val="28"/>
        </w:rPr>
        <w:t>二、</w:t>
      </w:r>
      <w:r>
        <w:rPr>
          <w:rStyle w:val="14"/>
          <w:rFonts w:hint="eastAsia" w:ascii="仿宋" w:hAnsi="仿宋" w:eastAsia="仿宋"/>
          <w:sz w:val="28"/>
          <w:szCs w:val="28"/>
        </w:rPr>
        <w:t>收</w:t>
      </w:r>
      <w:r>
        <w:rPr>
          <w:rStyle w:val="14"/>
          <w:rFonts w:hint="eastAsia" w:ascii="仿宋" w:hAnsi="仿宋" w:eastAsia="仿宋" w:cstheme="majorBidi"/>
          <w:bCs/>
          <w:sz w:val="28"/>
          <w:szCs w:val="28"/>
        </w:rPr>
        <w:t>入决算情况说明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4"/>
          <w:rFonts w:hint="eastAsia" w:ascii="仿宋" w:hAnsi="仿宋" w:eastAsia="仿宋" w:cstheme="majorBidi"/>
          <w:bCs/>
          <w:sz w:val="28"/>
          <w:szCs w:val="28"/>
        </w:rPr>
        <w:t>三、</w:t>
      </w:r>
      <w:r>
        <w:rPr>
          <w:rStyle w:val="14"/>
          <w:rFonts w:hint="eastAsia" w:ascii="仿宋" w:hAnsi="仿宋" w:eastAsia="仿宋"/>
          <w:sz w:val="28"/>
          <w:szCs w:val="28"/>
        </w:rPr>
        <w:t>支</w:t>
      </w:r>
      <w:r>
        <w:rPr>
          <w:rStyle w:val="14"/>
          <w:rFonts w:hint="eastAsia" w:ascii="仿宋" w:hAnsi="仿宋" w:eastAsia="仿宋" w:cstheme="majorBidi"/>
          <w:bCs/>
          <w:sz w:val="28"/>
          <w:szCs w:val="28"/>
        </w:rPr>
        <w:t>出决算情况说明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4"/>
          <w:rFonts w:hint="eastAsia" w:ascii="仿宋" w:hAnsi="仿宋" w:eastAsia="仿宋"/>
          <w:sz w:val="28"/>
          <w:szCs w:val="28"/>
        </w:rPr>
        <w:t>四、财</w:t>
      </w:r>
      <w:r>
        <w:rPr>
          <w:rStyle w:val="14"/>
          <w:rFonts w:hint="eastAsia" w:ascii="仿宋" w:hAnsi="仿宋" w:eastAsia="仿宋" w:cstheme="majorBidi"/>
          <w:bCs/>
          <w:sz w:val="28"/>
          <w:szCs w:val="28"/>
        </w:rPr>
        <w:t>政拨款收入支出决算总体情况说明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4"/>
          <w:rFonts w:hint="eastAsia" w:ascii="仿宋" w:hAnsi="仿宋" w:eastAsia="仿宋"/>
          <w:sz w:val="28"/>
          <w:szCs w:val="28"/>
        </w:rPr>
        <w:t>五、一</w:t>
      </w:r>
      <w:r>
        <w:rPr>
          <w:rStyle w:val="14"/>
          <w:rFonts w:hint="eastAsia" w:ascii="仿宋" w:hAnsi="仿宋" w:eastAsia="仿宋" w:cstheme="majorBidi"/>
          <w:bCs/>
          <w:sz w:val="28"/>
          <w:szCs w:val="28"/>
        </w:rPr>
        <w:t>般公共预算财政拨款支出决算情况说明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4"/>
          <w:rFonts w:hint="eastAsia" w:ascii="仿宋" w:hAnsi="仿宋" w:eastAsia="仿宋"/>
          <w:sz w:val="28"/>
          <w:szCs w:val="28"/>
        </w:rPr>
        <w:t>六、一</w:t>
      </w:r>
      <w:r>
        <w:rPr>
          <w:rStyle w:val="14"/>
          <w:rFonts w:hint="eastAsia" w:ascii="仿宋" w:hAnsi="仿宋" w:eastAsia="仿宋" w:cstheme="majorBidi"/>
          <w:bCs/>
          <w:sz w:val="28"/>
          <w:szCs w:val="28"/>
        </w:rPr>
        <w:t>般公共预算财政拨款基本支出决算情况说明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4"/>
          <w:rFonts w:hint="eastAsia" w:ascii="仿宋" w:hAnsi="仿宋" w:eastAsia="仿宋"/>
          <w:sz w:val="28"/>
          <w:szCs w:val="28"/>
        </w:rPr>
        <w:t>七、</w:t>
      </w:r>
      <w:r>
        <w:rPr>
          <w:rStyle w:val="14"/>
          <w:rFonts w:ascii="仿宋" w:hAnsi="仿宋" w:eastAsia="仿宋"/>
          <w:sz w:val="28"/>
          <w:szCs w:val="28"/>
        </w:rPr>
        <w:t>“</w:t>
      </w:r>
      <w:r>
        <w:rPr>
          <w:rStyle w:val="14"/>
          <w:rFonts w:hint="eastAsia" w:ascii="仿宋" w:hAnsi="仿宋" w:eastAsia="仿宋" w:cstheme="majorBidi"/>
          <w:bCs/>
          <w:sz w:val="28"/>
          <w:szCs w:val="28"/>
        </w:rPr>
        <w:t>三公”经费财政拨款支出决算情况说明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4"/>
          <w:rFonts w:hint="eastAsia" w:ascii="仿宋" w:hAnsi="仿宋" w:eastAsia="仿宋"/>
          <w:sz w:val="28"/>
          <w:szCs w:val="28"/>
        </w:rPr>
        <w:t>八、</w:t>
      </w:r>
      <w:r>
        <w:rPr>
          <w:rStyle w:val="14"/>
          <w:rFonts w:hint="eastAsia" w:ascii="仿宋" w:hAnsi="仿宋" w:eastAsia="仿宋" w:cstheme="majorBidi"/>
          <w:bCs/>
          <w:sz w:val="28"/>
          <w:szCs w:val="28"/>
        </w:rPr>
        <w:t>政府性基金预算支出决算情况说明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4"/>
          <w:rFonts w:hint="eastAsia" w:ascii="仿宋" w:hAnsi="仿宋" w:eastAsia="仿宋" w:cstheme="majorBidi"/>
          <w:bCs/>
          <w:sz w:val="28"/>
          <w:szCs w:val="28"/>
        </w:rPr>
        <w:t>九、</w:t>
      </w:r>
      <w:r>
        <w:rPr>
          <w:rStyle w:val="14"/>
          <w:rFonts w:hint="eastAsia" w:ascii="仿宋" w:hAnsi="仿宋" w:eastAsia="仿宋"/>
          <w:sz w:val="28"/>
          <w:szCs w:val="28"/>
        </w:rPr>
        <w:t xml:space="preserve"> 国</w:t>
      </w:r>
      <w:r>
        <w:rPr>
          <w:rStyle w:val="14"/>
          <w:rFonts w:hint="eastAsia" w:ascii="仿宋" w:hAnsi="仿宋" w:eastAsia="仿宋" w:cstheme="majorBidi"/>
          <w:bCs/>
          <w:sz w:val="28"/>
          <w:szCs w:val="28"/>
        </w:rPr>
        <w:t>有资本经营预算支出决算情况说明</w:t>
      </w:r>
      <w:r>
        <w:rPr>
          <w:rStyle w:val="14"/>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4"/>
          <w:rFonts w:hint="eastAsia" w:ascii="仿宋" w:hAnsi="仿宋" w:eastAsia="仿宋"/>
          <w:sz w:val="28"/>
          <w:szCs w:val="28"/>
        </w:rPr>
        <w:t>十</w:t>
      </w:r>
      <w:r>
        <w:rPr>
          <w:rStyle w:val="14"/>
          <w:rFonts w:hint="eastAsia" w:ascii="仿宋" w:hAnsi="仿宋" w:eastAsia="仿宋" w:cstheme="majorBidi"/>
          <w:bCs/>
          <w:sz w:val="28"/>
          <w:szCs w:val="28"/>
        </w:rPr>
        <w:t>一、其他重要事项的情况说明</w:t>
      </w:r>
      <w:r>
        <w:rPr>
          <w:rStyle w:val="14"/>
          <w:rFonts w:hint="eastAsia" w:ascii="仿宋" w:hAnsi="仿宋" w:eastAsia="仿宋" w:cstheme="majorBidi"/>
          <w:bCs/>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4"/>
          <w:rFonts w:hint="eastAsia"/>
          <w:bCs/>
          <w:kern w:val="44"/>
        </w:rPr>
        <w:t>第三部分</w:t>
      </w:r>
      <w:r>
        <w:rPr>
          <w:rStyle w:val="14"/>
          <w:rFonts w:hint="eastAsia"/>
        </w:rPr>
        <w:t xml:space="preserve"> 名</w:t>
      </w:r>
      <w:r>
        <w:rPr>
          <w:rStyle w:val="14"/>
          <w:rFonts w:hint="eastAsia"/>
          <w:bCs/>
          <w:kern w:val="44"/>
        </w:rPr>
        <w:t>词解释</w:t>
      </w:r>
      <w:r>
        <w:rPr>
          <w:rStyle w:val="14"/>
          <w:rFonts w:hint="eastAsia"/>
          <w:bCs/>
          <w:kern w:val="44"/>
        </w:rPr>
        <w:fldChar w:fldCharType="end"/>
      </w:r>
    </w:p>
    <w:p>
      <w:pPr>
        <w:pStyle w:val="10"/>
        <w:rPr>
          <w:rFonts w:cstheme="minorBidi"/>
        </w:rPr>
      </w:pPr>
      <w:r>
        <w:fldChar w:fldCharType="begin"/>
      </w:r>
      <w:r>
        <w:instrText xml:space="preserve"> HYPERLINK \l "_Toc15396614" </w:instrText>
      </w:r>
      <w:r>
        <w:fldChar w:fldCharType="separate"/>
      </w:r>
      <w:r>
        <w:rPr>
          <w:rStyle w:val="14"/>
          <w:rFonts w:hint="eastAsia"/>
        </w:rPr>
        <w:t>第</w:t>
      </w:r>
      <w:r>
        <w:rPr>
          <w:rStyle w:val="14"/>
          <w:rFonts w:hint="eastAsia"/>
          <w:bCs/>
          <w:kern w:val="44"/>
        </w:rPr>
        <w:t>四部分</w:t>
      </w:r>
      <w:r>
        <w:rPr>
          <w:rStyle w:val="14"/>
          <w:bCs/>
          <w:kern w:val="44"/>
        </w:rPr>
        <w:t xml:space="preserve"> </w:t>
      </w:r>
      <w:r>
        <w:rPr>
          <w:rStyle w:val="14"/>
          <w:rFonts w:hint="eastAsia"/>
          <w:bCs/>
          <w:kern w:val="44"/>
        </w:rPr>
        <w:t>附件</w:t>
      </w:r>
      <w:r>
        <w:rPr>
          <w:rStyle w:val="14"/>
          <w:rFonts w:hint="eastAsia"/>
          <w:bCs/>
          <w:kern w:val="44"/>
        </w:rP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1</w:t>
      </w:r>
      <w:r>
        <w:rPr>
          <w:rStyle w:val="14"/>
          <w:rFonts w:ascii="仿宋" w:hAnsi="仿宋" w:eastAsia="仿宋"/>
          <w:kern w:val="44"/>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2</w:t>
      </w:r>
      <w:r>
        <w:rPr>
          <w:rStyle w:val="14"/>
          <w:rFonts w:ascii="仿宋" w:hAnsi="仿宋" w:eastAsia="仿宋"/>
          <w:kern w:val="44"/>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4"/>
          <w:rFonts w:hint="eastAsia"/>
        </w:rPr>
        <w:t>第</w:t>
      </w:r>
      <w:r>
        <w:rPr>
          <w:rStyle w:val="14"/>
          <w:rFonts w:hint="eastAsia"/>
          <w:bCs/>
          <w:kern w:val="44"/>
        </w:rPr>
        <w:t>五部分</w:t>
      </w:r>
      <w:r>
        <w:rPr>
          <w:rStyle w:val="14"/>
          <w:bCs/>
          <w:kern w:val="44"/>
        </w:rPr>
        <w:t xml:space="preserve"> </w:t>
      </w:r>
      <w:r>
        <w:rPr>
          <w:rStyle w:val="14"/>
          <w:rFonts w:hint="eastAsia"/>
          <w:bCs/>
          <w:kern w:val="44"/>
        </w:rPr>
        <w:t>附表</w:t>
      </w:r>
      <w:r>
        <w:rPr>
          <w:rStyle w:val="14"/>
          <w:rFonts w:hint="eastAsia"/>
          <w:bCs/>
          <w:kern w:val="44"/>
        </w:rP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4"/>
          <w:rFonts w:hint="eastAsia" w:ascii="仿宋" w:hAnsi="仿宋" w:eastAsia="仿宋"/>
          <w:sz w:val="28"/>
          <w:szCs w:val="28"/>
        </w:rPr>
        <w:t>收入支出决算总表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4"/>
          <w:rFonts w:hint="eastAsia" w:ascii="仿宋" w:hAnsi="仿宋" w:eastAsia="仿宋"/>
          <w:sz w:val="28"/>
          <w:szCs w:val="28"/>
        </w:rPr>
        <w:t>收入总表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4"/>
          <w:rFonts w:hint="eastAsia" w:ascii="仿宋" w:hAnsi="仿宋" w:eastAsia="仿宋"/>
          <w:sz w:val="28"/>
          <w:szCs w:val="28"/>
        </w:rPr>
        <w:t>支出总表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4"/>
          <w:rFonts w:hint="eastAsia" w:ascii="仿宋" w:hAnsi="仿宋" w:eastAsia="仿宋"/>
          <w:sz w:val="28"/>
          <w:szCs w:val="28"/>
        </w:rPr>
        <w:t>财政拨款收入支出决算总表</w:t>
      </w:r>
      <w:r>
        <w:rPr>
          <w:rStyle w:val="14"/>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4"/>
          <w:rFonts w:hint="eastAsia" w:ascii="仿宋" w:hAnsi="仿宋" w:eastAsia="仿宋"/>
          <w:sz w:val="28"/>
          <w:szCs w:val="28"/>
        </w:rPr>
        <w:t>一般公共预算财政拨款支出决算表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4"/>
          <w:rFonts w:hint="eastAsia" w:ascii="仿宋" w:hAnsi="仿宋" w:eastAsia="仿宋"/>
          <w:sz w:val="28"/>
          <w:szCs w:val="28"/>
        </w:rPr>
        <w:t>一般公共预算财政拨款支出决算明细表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4"/>
          <w:rFonts w:hint="eastAsia" w:ascii="仿宋" w:hAnsi="仿宋" w:eastAsia="仿宋"/>
          <w:sz w:val="28"/>
          <w:szCs w:val="28"/>
        </w:rPr>
        <w:t>一般公共预算财政拨款基本支出决算表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4"/>
          <w:rFonts w:hint="eastAsia" w:ascii="仿宋" w:hAnsi="仿宋" w:eastAsia="仿宋"/>
          <w:sz w:val="28"/>
          <w:szCs w:val="28"/>
        </w:rPr>
        <w:t>一般公共预算财政拨款项目支出决算表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4"/>
          <w:rFonts w:hint="eastAsia" w:ascii="仿宋" w:hAnsi="仿宋" w:eastAsia="仿宋"/>
          <w:sz w:val="28"/>
          <w:szCs w:val="28"/>
        </w:rPr>
        <w:t>一般公共预算财政拨款“三公”经费支出决算表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4"/>
          <w:rFonts w:hint="eastAsia" w:ascii="仿宋" w:hAnsi="仿宋" w:eastAsia="仿宋"/>
          <w:sz w:val="28"/>
          <w:szCs w:val="28"/>
        </w:rPr>
        <w:t>政府性基金预算财政拨款收入支出决算表</w:t>
      </w:r>
      <w:r>
        <w:rPr>
          <w:rStyle w:val="14"/>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4"/>
          <w:rFonts w:hint="eastAsia" w:ascii="仿宋" w:hAnsi="仿宋" w:eastAsia="仿宋"/>
          <w:sz w:val="28"/>
          <w:szCs w:val="28"/>
        </w:rPr>
        <w:t>政府性基金预算财政拨款“三公”经费支出决算表</w:t>
      </w:r>
      <w:r>
        <w:rPr>
          <w:rStyle w:val="14"/>
          <w:rFonts w:hint="eastAsia"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4"/>
          <w:rFonts w:hint="eastAsia" w:ascii="仿宋" w:hAnsi="仿宋" w:eastAsia="仿宋"/>
          <w:sz w:val="28"/>
          <w:szCs w:val="28"/>
        </w:rPr>
        <w:t>国有资本经营预算支出决算表</w:t>
      </w:r>
      <w:r>
        <w:rPr>
          <w:rStyle w:val="14"/>
          <w:rFonts w:hint="eastAsia"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3" w:name="_Toc15396599"/>
      <w:bookmarkStart w:id="14" w:name="_Toc15377196"/>
      <w:r>
        <w:rPr>
          <w:rFonts w:ascii="黑体" w:hAnsi="黑体" w:eastAsia="黑体"/>
          <w:b/>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3"/>
      <w:bookmarkEnd w:id="14"/>
    </w:p>
    <w:p>
      <w:pPr>
        <w:widowControl/>
        <w:jc w:val="left"/>
        <w:rPr>
          <w:rFonts w:ascii="黑体" w:eastAsia="黑体"/>
          <w:color w:val="000000"/>
          <w:sz w:val="32"/>
          <w:szCs w:val="32"/>
        </w:rPr>
      </w:pPr>
    </w:p>
    <w:p>
      <w:pPr>
        <w:pStyle w:val="3"/>
        <w:rPr>
          <w:rStyle w:val="25"/>
          <w:rFonts w:ascii="仿宋" w:hAnsi="仿宋" w:eastAsia="仿宋"/>
          <w:b w:val="0"/>
          <w:bCs w:val="0"/>
        </w:rPr>
      </w:pPr>
      <w:bookmarkStart w:id="15" w:name="_Toc15377197"/>
      <w:bookmarkStart w:id="16"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5"/>
      <w:bookmarkEnd w:id="16"/>
    </w:p>
    <w:p>
      <w:pPr>
        <w:pStyle w:val="5"/>
        <w:adjustRightInd w:val="0"/>
        <w:snapToGrid w:val="0"/>
        <w:spacing w:before="93" w:line="600" w:lineRule="exact"/>
        <w:ind w:firstLine="672" w:firstLineChars="210"/>
        <w:outlineLvl w:val="2"/>
        <w:rPr>
          <w:rFonts w:ascii="仿宋" w:hAnsi="仿宋" w:eastAsiaTheme="minorEastAsia"/>
          <w:bCs/>
          <w:color w:val="000000"/>
          <w:sz w:val="32"/>
          <w:szCs w:val="32"/>
        </w:rPr>
      </w:pPr>
      <w:bookmarkStart w:id="17" w:name="_Toc15377198"/>
      <w:bookmarkStart w:id="18" w:name="_Toc15378445"/>
      <w:r>
        <w:rPr>
          <w:rFonts w:hint="eastAsia" w:ascii="仿宋" w:hAnsi="仿宋" w:eastAsia="仿宋"/>
          <w:bCs/>
          <w:color w:val="000000"/>
          <w:sz w:val="32"/>
          <w:szCs w:val="32"/>
        </w:rPr>
        <w:t>（一）主要职能。</w:t>
      </w:r>
      <w:bookmarkEnd w:id="17"/>
      <w:bookmarkEnd w:id="18"/>
    </w:p>
    <w:p>
      <w:pPr>
        <w:ind w:firstLine="800" w:firstLineChars="250"/>
        <w:rPr>
          <w:rFonts w:ascii="仿宋" w:hAnsi="仿宋" w:eastAsia="仿宋"/>
          <w:sz w:val="32"/>
          <w:szCs w:val="32"/>
        </w:rPr>
      </w:pPr>
      <w:r>
        <w:rPr>
          <w:rFonts w:hint="eastAsia" w:ascii="仿宋" w:hAnsi="仿宋" w:eastAsia="仿宋"/>
          <w:sz w:val="32"/>
          <w:szCs w:val="32"/>
        </w:rPr>
        <w:t>1、认真贯彻执行《森林法》、《野生动物保护法》、《治安管理处罚法》、《刑法》、《刑事诉讼法》等法律法规和党的方针政策；</w:t>
      </w:r>
    </w:p>
    <w:p>
      <w:pPr>
        <w:ind w:firstLine="800" w:firstLineChars="250"/>
        <w:rPr>
          <w:rFonts w:ascii="仿宋" w:hAnsi="仿宋" w:eastAsia="仿宋"/>
          <w:sz w:val="32"/>
          <w:szCs w:val="32"/>
        </w:rPr>
      </w:pPr>
      <w:r>
        <w:rPr>
          <w:rFonts w:hint="eastAsia" w:ascii="仿宋" w:hAnsi="仿宋" w:eastAsia="仿宋"/>
          <w:sz w:val="32"/>
          <w:szCs w:val="32"/>
        </w:rPr>
        <w:t xml:space="preserve">  2、负责预防、制止、侦破各类破坏森林、林地和野生动植物资源的刑事犯罪，负责办理林区治安行政案件，负责办理法律授权和林业部门委托的林业行政案件；</w:t>
      </w:r>
    </w:p>
    <w:p>
      <w:pPr>
        <w:ind w:firstLine="800" w:firstLineChars="250"/>
        <w:rPr>
          <w:rFonts w:ascii="仿宋" w:hAnsi="仿宋" w:eastAsia="仿宋"/>
          <w:sz w:val="32"/>
          <w:szCs w:val="32"/>
        </w:rPr>
      </w:pPr>
      <w:r>
        <w:rPr>
          <w:rFonts w:hint="eastAsia" w:ascii="仿宋" w:hAnsi="仿宋" w:eastAsia="仿宋"/>
          <w:sz w:val="32"/>
          <w:szCs w:val="32"/>
        </w:rPr>
        <w:t xml:space="preserve">  3、负责全县林区治安管理工作，负责全县森林公安基层基础和业务建设工作；</w:t>
      </w:r>
    </w:p>
    <w:p>
      <w:pPr>
        <w:ind w:firstLine="800" w:firstLineChars="250"/>
        <w:rPr>
          <w:rFonts w:ascii="仿宋" w:hAnsi="仿宋" w:eastAsia="仿宋"/>
          <w:sz w:val="32"/>
          <w:szCs w:val="32"/>
        </w:rPr>
      </w:pPr>
      <w:r>
        <w:rPr>
          <w:rFonts w:hint="eastAsia" w:ascii="仿宋" w:hAnsi="仿宋" w:eastAsia="仿宋"/>
          <w:sz w:val="32"/>
          <w:szCs w:val="32"/>
        </w:rPr>
        <w:t xml:space="preserve">  4、负责全县森林公安民警招收录用协调、警籍警衔管理及教育培训、立功受奖、优抚、宣传等工作；</w:t>
      </w:r>
    </w:p>
    <w:p>
      <w:pPr>
        <w:ind w:firstLine="800" w:firstLineChars="250"/>
        <w:rPr>
          <w:rFonts w:ascii="仿宋" w:hAnsi="仿宋" w:eastAsia="仿宋"/>
          <w:sz w:val="32"/>
          <w:szCs w:val="32"/>
        </w:rPr>
      </w:pPr>
      <w:r>
        <w:rPr>
          <w:rFonts w:hint="eastAsia" w:ascii="仿宋" w:hAnsi="仿宋" w:eastAsia="仿宋"/>
          <w:sz w:val="32"/>
          <w:szCs w:val="32"/>
        </w:rPr>
        <w:t xml:space="preserve">  5、负责编制全县森林公安发展建设规划，承担警用装备专用物资的申请、购置、发放和管理工作；</w:t>
      </w:r>
    </w:p>
    <w:p>
      <w:pPr>
        <w:ind w:firstLine="800" w:firstLineChars="250"/>
        <w:rPr>
          <w:rFonts w:ascii="仿宋" w:hAnsi="仿宋" w:eastAsia="仿宋"/>
          <w:sz w:val="32"/>
          <w:szCs w:val="32"/>
        </w:rPr>
      </w:pPr>
      <w:r>
        <w:rPr>
          <w:rFonts w:hint="eastAsia" w:ascii="仿宋" w:hAnsi="仿宋" w:eastAsia="仿宋"/>
          <w:sz w:val="32"/>
          <w:szCs w:val="32"/>
        </w:rPr>
        <w:t xml:space="preserve">  6、负责全县森林公安法制建设工作；</w:t>
      </w:r>
    </w:p>
    <w:p>
      <w:pPr>
        <w:ind w:firstLine="800" w:firstLineChars="250"/>
        <w:rPr>
          <w:rFonts w:ascii="仿宋" w:hAnsi="仿宋" w:eastAsia="仿宋"/>
          <w:sz w:val="32"/>
          <w:szCs w:val="32"/>
        </w:rPr>
      </w:pPr>
      <w:r>
        <w:rPr>
          <w:rFonts w:hint="eastAsia" w:ascii="仿宋" w:hAnsi="仿宋" w:eastAsia="仿宋"/>
          <w:sz w:val="32"/>
          <w:szCs w:val="32"/>
        </w:rPr>
        <w:t xml:space="preserve">  7、负责全县森林公安队伍警务督察工作，协助查处全县森林公安民警违法、违纪案件，负责全县森林公安队伍党风廉政建设；</w:t>
      </w:r>
    </w:p>
    <w:p>
      <w:pPr>
        <w:ind w:firstLine="800" w:firstLineChars="250"/>
        <w:rPr>
          <w:rFonts w:ascii="仿宋" w:hAnsi="仿宋" w:eastAsia="仿宋"/>
          <w:sz w:val="32"/>
          <w:szCs w:val="32"/>
        </w:rPr>
      </w:pPr>
      <w:r>
        <w:rPr>
          <w:rFonts w:hint="eastAsia" w:ascii="仿宋" w:hAnsi="仿宋" w:eastAsia="仿宋"/>
          <w:sz w:val="32"/>
          <w:szCs w:val="32"/>
        </w:rPr>
        <w:t xml:space="preserve">  8、承办县林业局、县公安局和州森林公安局及其他上级部门交办的其他工作；</w:t>
      </w:r>
    </w:p>
    <w:p>
      <w:pPr>
        <w:ind w:firstLine="800" w:firstLineChars="250"/>
        <w:rPr>
          <w:rFonts w:ascii="仿宋" w:hAnsi="仿宋" w:eastAsia="仿宋"/>
          <w:sz w:val="32"/>
          <w:szCs w:val="32"/>
        </w:rPr>
      </w:pPr>
      <w:r>
        <w:rPr>
          <w:rFonts w:hint="eastAsia" w:ascii="仿宋" w:hAnsi="仿宋" w:eastAsia="仿宋"/>
          <w:sz w:val="32"/>
          <w:szCs w:val="32"/>
        </w:rPr>
        <w:t xml:space="preserve">  9、法律、法规规定的森林公安机关其他职责。</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9" w:name="_Toc15378446"/>
      <w:bookmarkStart w:id="20"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9"/>
      <w:bookmarkEnd w:id="20"/>
    </w:p>
    <w:p>
      <w:pPr>
        <w:ind w:firstLine="800" w:firstLineChars="250"/>
        <w:rPr>
          <w:rFonts w:ascii="仿宋" w:hAnsi="仿宋" w:eastAsia="仿宋"/>
          <w:sz w:val="32"/>
          <w:szCs w:val="32"/>
        </w:rPr>
      </w:pPr>
      <w:r>
        <w:rPr>
          <w:rFonts w:ascii="仿宋" w:hAnsi="仿宋" w:eastAsia="仿宋"/>
          <w:sz w:val="32"/>
          <w:szCs w:val="32"/>
        </w:rPr>
        <w:t>2018年，按照国家、省、州森林公安机关的统一安排部署，我局协同县法院、县检察院、县公安局、县环林局等相关部门在全县范围内相继深入开展了</w:t>
      </w:r>
      <w:r>
        <w:rPr>
          <w:rFonts w:hint="eastAsia" w:ascii="仿宋" w:hAnsi="仿宋" w:eastAsia="仿宋"/>
          <w:sz w:val="32"/>
          <w:szCs w:val="32"/>
        </w:rPr>
        <w:t>“春雷行动”、“守护绿川2号行动”、“扫黑除恶”</w:t>
      </w:r>
      <w:r>
        <w:rPr>
          <w:rFonts w:ascii="仿宋" w:hAnsi="仿宋" w:eastAsia="仿宋"/>
          <w:sz w:val="32"/>
          <w:szCs w:val="32"/>
        </w:rPr>
        <w:t>、</w:t>
      </w:r>
      <w:r>
        <w:rPr>
          <w:rFonts w:hint="eastAsia" w:ascii="仿宋" w:hAnsi="仿宋" w:eastAsia="仿宋"/>
          <w:sz w:val="32"/>
          <w:szCs w:val="32"/>
        </w:rPr>
        <w:t>“绿剑2018”等各项严打整治</w:t>
      </w:r>
      <w:r>
        <w:rPr>
          <w:rFonts w:ascii="仿宋" w:hAnsi="仿宋" w:eastAsia="仿宋"/>
          <w:sz w:val="32"/>
          <w:szCs w:val="32"/>
        </w:rPr>
        <w:t>专项行动，重点对全县范围内盗伐滥伐林木、偷拉盗运木材、非法占用和破坏林地湿地、非法猎捕运输携带野生动物等涉林违法犯罪活动予以防控和打击</w:t>
      </w:r>
      <w:r>
        <w:rPr>
          <w:rFonts w:hint="eastAsia" w:ascii="仿宋" w:hAnsi="仿宋" w:eastAsia="仿宋"/>
          <w:sz w:val="32"/>
          <w:szCs w:val="32"/>
        </w:rPr>
        <w:t>。，我局共</w:t>
      </w:r>
      <w:r>
        <w:rPr>
          <w:rFonts w:ascii="仿宋" w:hAnsi="仿宋" w:eastAsia="仿宋"/>
          <w:sz w:val="32"/>
          <w:szCs w:val="32"/>
        </w:rPr>
        <w:t>出动警力2180余人次，出动警车730余台次，</w:t>
      </w:r>
      <w:r>
        <w:rPr>
          <w:rFonts w:hint="eastAsia" w:ascii="仿宋" w:hAnsi="仿宋" w:eastAsia="仿宋"/>
          <w:sz w:val="32"/>
          <w:szCs w:val="32"/>
        </w:rPr>
        <w:t>办理各类</w:t>
      </w:r>
      <w:r>
        <w:rPr>
          <w:rFonts w:ascii="仿宋" w:hAnsi="仿宋" w:eastAsia="仿宋"/>
          <w:sz w:val="32"/>
          <w:szCs w:val="32"/>
        </w:rPr>
        <w:t>涉林</w:t>
      </w:r>
      <w:r>
        <w:rPr>
          <w:rFonts w:hint="eastAsia" w:ascii="仿宋" w:hAnsi="仿宋" w:eastAsia="仿宋"/>
          <w:sz w:val="32"/>
          <w:szCs w:val="32"/>
        </w:rPr>
        <w:t>案件</w:t>
      </w:r>
      <w:r>
        <w:rPr>
          <w:rFonts w:ascii="仿宋" w:hAnsi="仿宋" w:eastAsia="仿宋"/>
          <w:sz w:val="32"/>
          <w:szCs w:val="32"/>
        </w:rPr>
        <w:t>52</w:t>
      </w:r>
      <w:r>
        <w:rPr>
          <w:rFonts w:hint="eastAsia" w:ascii="仿宋" w:hAnsi="仿宋" w:eastAsia="仿宋"/>
          <w:sz w:val="32"/>
          <w:szCs w:val="32"/>
        </w:rPr>
        <w:t>起，其中：办理</w:t>
      </w:r>
      <w:r>
        <w:rPr>
          <w:rFonts w:ascii="仿宋" w:hAnsi="仿宋" w:eastAsia="仿宋"/>
          <w:sz w:val="32"/>
          <w:szCs w:val="32"/>
        </w:rPr>
        <w:t>涉林</w:t>
      </w:r>
      <w:r>
        <w:rPr>
          <w:rFonts w:hint="eastAsia" w:ascii="仿宋" w:hAnsi="仿宋" w:eastAsia="仿宋"/>
          <w:sz w:val="32"/>
          <w:szCs w:val="32"/>
        </w:rPr>
        <w:t>刑事案件</w:t>
      </w:r>
      <w:r>
        <w:rPr>
          <w:rFonts w:ascii="仿宋" w:hAnsi="仿宋" w:eastAsia="仿宋"/>
          <w:sz w:val="32"/>
          <w:szCs w:val="32"/>
        </w:rPr>
        <w:t>2</w:t>
      </w:r>
      <w:r>
        <w:rPr>
          <w:rFonts w:hint="eastAsia" w:ascii="仿宋" w:hAnsi="仿宋" w:eastAsia="仿宋"/>
          <w:sz w:val="32"/>
          <w:szCs w:val="32"/>
        </w:rPr>
        <w:t>起（</w:t>
      </w:r>
      <w:r>
        <w:rPr>
          <w:rFonts w:ascii="仿宋" w:hAnsi="仿宋" w:eastAsia="仿宋"/>
          <w:sz w:val="32"/>
          <w:szCs w:val="32"/>
        </w:rPr>
        <w:t>其中：办理</w:t>
      </w:r>
      <w:r>
        <w:rPr>
          <w:rFonts w:hint="eastAsia" w:ascii="仿宋" w:hAnsi="仿宋" w:eastAsia="仿宋"/>
          <w:sz w:val="32"/>
          <w:szCs w:val="32"/>
        </w:rPr>
        <w:t>非法持有枪支案</w:t>
      </w:r>
      <w:r>
        <w:rPr>
          <w:rFonts w:ascii="仿宋" w:hAnsi="仿宋" w:eastAsia="仿宋"/>
          <w:sz w:val="32"/>
          <w:szCs w:val="32"/>
        </w:rPr>
        <w:t>1起、非法储存枪支案1起</w:t>
      </w:r>
      <w:r>
        <w:rPr>
          <w:rFonts w:hint="eastAsia" w:ascii="仿宋" w:hAnsi="仿宋" w:eastAsia="仿宋"/>
          <w:sz w:val="32"/>
          <w:szCs w:val="32"/>
        </w:rPr>
        <w:t>），</w:t>
      </w:r>
      <w:r>
        <w:rPr>
          <w:rFonts w:ascii="仿宋" w:hAnsi="仿宋" w:eastAsia="仿宋"/>
          <w:sz w:val="32"/>
          <w:szCs w:val="32"/>
        </w:rPr>
        <w:t>收缴自制小口径步枪2支，小口径步枪子弹221发，</w:t>
      </w:r>
      <w:r>
        <w:rPr>
          <w:rFonts w:hint="eastAsia" w:ascii="仿宋" w:hAnsi="仿宋" w:eastAsia="仿宋"/>
          <w:sz w:val="32"/>
          <w:szCs w:val="32"/>
        </w:rPr>
        <w:t>取保候审</w:t>
      </w:r>
      <w:r>
        <w:rPr>
          <w:rFonts w:ascii="仿宋" w:hAnsi="仿宋" w:eastAsia="仿宋"/>
          <w:sz w:val="32"/>
          <w:szCs w:val="32"/>
        </w:rPr>
        <w:t>2</w:t>
      </w:r>
      <w:r>
        <w:rPr>
          <w:rFonts w:hint="eastAsia" w:ascii="仿宋" w:hAnsi="仿宋" w:eastAsia="仿宋"/>
          <w:sz w:val="32"/>
          <w:szCs w:val="32"/>
        </w:rPr>
        <w:t>人；办理</w:t>
      </w:r>
      <w:r>
        <w:rPr>
          <w:rFonts w:ascii="仿宋" w:hAnsi="仿宋" w:eastAsia="仿宋"/>
          <w:sz w:val="32"/>
          <w:szCs w:val="32"/>
        </w:rPr>
        <w:t>各类</w:t>
      </w:r>
      <w:r>
        <w:rPr>
          <w:rFonts w:hint="eastAsia" w:ascii="仿宋" w:hAnsi="仿宋" w:eastAsia="仿宋"/>
          <w:sz w:val="32"/>
          <w:szCs w:val="32"/>
        </w:rPr>
        <w:t>林业行政案件</w:t>
      </w:r>
      <w:r>
        <w:rPr>
          <w:rFonts w:ascii="仿宋" w:hAnsi="仿宋" w:eastAsia="仿宋"/>
          <w:sz w:val="32"/>
          <w:szCs w:val="32"/>
        </w:rPr>
        <w:t>48</w:t>
      </w:r>
      <w:r>
        <w:rPr>
          <w:rFonts w:hint="eastAsia" w:ascii="仿宋" w:hAnsi="仿宋" w:eastAsia="仿宋"/>
          <w:sz w:val="32"/>
          <w:szCs w:val="32"/>
        </w:rPr>
        <w:t>起</w:t>
      </w:r>
      <w:r>
        <w:rPr>
          <w:rFonts w:ascii="仿宋" w:hAnsi="仿宋" w:eastAsia="仿宋"/>
          <w:sz w:val="32"/>
          <w:szCs w:val="32"/>
        </w:rPr>
        <w:t>（其中：办理盗伐林木案10起、无证运输木材案6起、非法收购无证木竹材案9起、擅自破坏湿地案4起、擅自毁坏林木案8起、非法猎捕野生动物案2起、非法运输野生动物案1起、野外擅自用火案3起、擅自改变林地用途案3起、非法占用湿地案1起、非法收购木材案1起）</w:t>
      </w:r>
      <w:r>
        <w:rPr>
          <w:rFonts w:hint="eastAsia" w:ascii="仿宋" w:hAnsi="仿宋" w:eastAsia="仿宋"/>
          <w:sz w:val="32"/>
          <w:szCs w:val="32"/>
        </w:rPr>
        <w:t>，处理违法人员</w:t>
      </w:r>
      <w:r>
        <w:rPr>
          <w:rFonts w:ascii="仿宋" w:hAnsi="仿宋" w:eastAsia="仿宋"/>
          <w:sz w:val="32"/>
          <w:szCs w:val="32"/>
        </w:rPr>
        <w:t>48</w:t>
      </w:r>
      <w:r>
        <w:rPr>
          <w:rFonts w:hint="eastAsia" w:ascii="仿宋" w:hAnsi="仿宋" w:eastAsia="仿宋"/>
          <w:sz w:val="32"/>
          <w:szCs w:val="32"/>
        </w:rPr>
        <w:t>人，</w:t>
      </w:r>
      <w:r>
        <w:rPr>
          <w:rFonts w:ascii="仿宋" w:hAnsi="仿宋" w:eastAsia="仿宋"/>
          <w:sz w:val="32"/>
          <w:szCs w:val="32"/>
        </w:rPr>
        <w:t>收缴</w:t>
      </w:r>
      <w:r>
        <w:rPr>
          <w:rFonts w:hint="eastAsia" w:ascii="仿宋" w:hAnsi="仿宋" w:eastAsia="仿宋"/>
          <w:sz w:val="32"/>
          <w:szCs w:val="32"/>
        </w:rPr>
        <w:t>罚款</w:t>
      </w:r>
      <w:r>
        <w:rPr>
          <w:rFonts w:ascii="仿宋" w:hAnsi="仿宋" w:eastAsia="仿宋"/>
          <w:sz w:val="32"/>
          <w:szCs w:val="32"/>
        </w:rPr>
        <w:t>17.2</w:t>
      </w:r>
      <w:r>
        <w:rPr>
          <w:rFonts w:hint="eastAsia" w:ascii="仿宋" w:hAnsi="仿宋" w:eastAsia="仿宋"/>
          <w:sz w:val="32"/>
          <w:szCs w:val="32"/>
        </w:rPr>
        <w:t>万余元，</w:t>
      </w:r>
      <w:r>
        <w:rPr>
          <w:rFonts w:ascii="仿宋" w:hAnsi="仿宋" w:eastAsia="仿宋"/>
          <w:sz w:val="32"/>
          <w:szCs w:val="32"/>
        </w:rPr>
        <w:t>木材变价款5.7万元，</w:t>
      </w:r>
      <w:r>
        <w:rPr>
          <w:rFonts w:hint="eastAsia" w:ascii="仿宋" w:hAnsi="仿宋" w:eastAsia="仿宋"/>
          <w:sz w:val="32"/>
          <w:szCs w:val="32"/>
        </w:rPr>
        <w:t>收缴木材</w:t>
      </w:r>
      <w:r>
        <w:rPr>
          <w:rFonts w:ascii="仿宋" w:hAnsi="仿宋" w:eastAsia="仿宋"/>
          <w:sz w:val="32"/>
          <w:szCs w:val="32"/>
        </w:rPr>
        <w:t>54.2</w:t>
      </w:r>
      <w:r>
        <w:rPr>
          <w:rFonts w:hint="eastAsia" w:ascii="仿宋" w:hAnsi="仿宋" w:eastAsia="仿宋"/>
          <w:sz w:val="32"/>
          <w:szCs w:val="32"/>
        </w:rPr>
        <w:t>立方米，收缴野生动物</w:t>
      </w:r>
      <w:r>
        <w:rPr>
          <w:rFonts w:ascii="仿宋" w:hAnsi="仿宋" w:eastAsia="仿宋"/>
          <w:sz w:val="32"/>
          <w:szCs w:val="32"/>
        </w:rPr>
        <w:t>肉块21块、野生动物制品3件，收缴猎套猎夹16个；办理林业治安案件2起，治安拘留2人。共</w:t>
      </w:r>
      <w:r>
        <w:rPr>
          <w:rFonts w:hint="eastAsia" w:ascii="仿宋" w:hAnsi="仿宋" w:eastAsia="仿宋"/>
          <w:sz w:val="32"/>
          <w:szCs w:val="32"/>
        </w:rPr>
        <w:t>为国家挽回经济损失</w:t>
      </w:r>
      <w:r>
        <w:rPr>
          <w:rFonts w:ascii="仿宋" w:hAnsi="仿宋" w:eastAsia="仿宋"/>
          <w:sz w:val="32"/>
          <w:szCs w:val="32"/>
        </w:rPr>
        <w:t>50</w:t>
      </w:r>
      <w:r>
        <w:rPr>
          <w:rFonts w:hint="eastAsia" w:ascii="仿宋" w:hAnsi="仿宋" w:eastAsia="仿宋"/>
          <w:sz w:val="32"/>
          <w:szCs w:val="32"/>
        </w:rPr>
        <w:t>余万元。</w:t>
      </w:r>
    </w:p>
    <w:p>
      <w:pPr>
        <w:pStyle w:val="3"/>
        <w:rPr>
          <w:rStyle w:val="25"/>
          <w:b w:val="0"/>
          <w:bCs w:val="0"/>
        </w:rPr>
      </w:pPr>
      <w:bookmarkStart w:id="21" w:name="_Toc15377200"/>
      <w:bookmarkStart w:id="22"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1"/>
      <w:bookmarkEnd w:id="22"/>
    </w:p>
    <w:p>
      <w:pPr>
        <w:ind w:firstLine="800" w:firstLineChars="250"/>
        <w:rPr>
          <w:rFonts w:ascii="仿宋" w:hAnsi="仿宋" w:eastAsia="仿宋"/>
          <w:sz w:val="32"/>
          <w:szCs w:val="32"/>
        </w:rPr>
      </w:pPr>
      <w:r>
        <w:rPr>
          <w:rFonts w:hint="eastAsia" w:ascii="仿宋" w:hAnsi="仿宋" w:eastAsia="仿宋"/>
          <w:sz w:val="32"/>
          <w:szCs w:val="32"/>
        </w:rPr>
        <w:t>我单位为独立核算全额拨款行政单位，下设刷经寺派出所。截止2018年底我单位共有编制17个，其中公务员编制15个，行政工勤编制2个，在职13人，其中公务员11人，行政工勤2人。</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3" w:name="_Toc15377204"/>
      <w:bookmarkStart w:id="24"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2018年度部门决算情况说明</w:t>
      </w:r>
      <w:bookmarkEnd w:id="23"/>
      <w:bookmarkEnd w:id="24"/>
    </w:p>
    <w:p/>
    <w:p>
      <w:pPr>
        <w:pStyle w:val="23"/>
        <w:numPr>
          <w:ilvl w:val="0"/>
          <w:numId w:val="1"/>
        </w:numPr>
        <w:spacing w:line="600" w:lineRule="exact"/>
        <w:ind w:firstLineChars="0"/>
        <w:outlineLvl w:val="1"/>
        <w:rPr>
          <w:rStyle w:val="25"/>
          <w:rFonts w:ascii="黑体" w:hAnsi="黑体" w:eastAsia="黑体"/>
          <w:b w:val="0"/>
        </w:rPr>
      </w:pPr>
      <w:bookmarkStart w:id="25" w:name="_Toc15377205"/>
      <w:bookmarkStart w:id="26"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5"/>
      <w:bookmarkEnd w:id="26"/>
    </w:p>
    <w:p>
      <w:pPr>
        <w:spacing w:line="600" w:lineRule="exact"/>
        <w:ind w:firstLine="640" w:firstLineChars="200"/>
        <w:rPr>
          <w:rFonts w:ascii="仿宋" w:hAnsi="仿宋" w:eastAsia="仿宋"/>
          <w:sz w:val="32"/>
          <w:szCs w:val="32"/>
        </w:rPr>
      </w:pPr>
      <w:r>
        <w:rPr>
          <w:rFonts w:hint="eastAsia" w:ascii="仿宋" w:hAnsi="仿宋" w:eastAsia="仿宋"/>
          <w:sz w:val="32"/>
          <w:szCs w:val="32"/>
        </w:rPr>
        <w:t>2018年度收入总计374.43万元。与2017年相比，收入总计增加13.12万元，增长3.6</w:t>
      </w:r>
      <w:r>
        <w:rPr>
          <w:rFonts w:ascii="仿宋" w:hAnsi="仿宋" w:eastAsia="仿宋"/>
          <w:sz w:val="32"/>
          <w:szCs w:val="32"/>
        </w:rPr>
        <w:t>%</w:t>
      </w:r>
      <w:r>
        <w:rPr>
          <w:rFonts w:hint="eastAsia" w:ascii="仿宋" w:hAnsi="仿宋" w:eastAsia="仿宋"/>
          <w:sz w:val="32"/>
          <w:szCs w:val="32"/>
        </w:rPr>
        <w:t>。主要变动原因是2018年财政专项经费调整及人员变动。2018年度支出总计416.49万元，与2017年相比增长51.12万元，增长13.99%，主要变动原因是2018年财政专项经费调整及人员变动。</w:t>
      </w:r>
    </w:p>
    <w:p>
      <w:pPr>
        <w:spacing w:line="600" w:lineRule="exact"/>
        <w:ind w:firstLine="640" w:firstLineChars="200"/>
        <w:rPr>
          <w:rFonts w:ascii="仿宋" w:hAnsi="仿宋" w:eastAsia="仿宋"/>
          <w:color w:val="FF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50165</wp:posOffset>
            </wp:positionH>
            <wp:positionV relativeFrom="paragraph">
              <wp:posOffset>20955</wp:posOffset>
            </wp:positionV>
            <wp:extent cx="5274310" cy="3076575"/>
            <wp:effectExtent l="0" t="0" r="0" b="0"/>
            <wp:wrapNone/>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Theme="minorEastAsia"/>
          <w:color w:val="000000"/>
          <w:sz w:val="32"/>
          <w:szCs w:val="32"/>
        </w:rPr>
      </w:pPr>
    </w:p>
    <w:p>
      <w:pPr>
        <w:spacing w:line="600" w:lineRule="exact"/>
        <w:ind w:firstLine="640" w:firstLineChars="200"/>
        <w:rPr>
          <w:rFonts w:ascii="仿宋" w:hAnsi="仿宋" w:eastAsiaTheme="minorEastAsia"/>
          <w:color w:val="000000"/>
          <w:sz w:val="32"/>
          <w:szCs w:val="32"/>
        </w:rPr>
      </w:pPr>
    </w:p>
    <w:p>
      <w:pPr>
        <w:spacing w:line="600" w:lineRule="exact"/>
        <w:ind w:firstLine="640" w:firstLineChars="200"/>
        <w:rPr>
          <w:rFonts w:ascii="仿宋" w:hAnsi="仿宋" w:eastAsiaTheme="minorEastAsia"/>
          <w:color w:val="000000"/>
          <w:sz w:val="32"/>
          <w:szCs w:val="32"/>
        </w:rPr>
      </w:pPr>
    </w:p>
    <w:p>
      <w:pPr>
        <w:spacing w:line="600" w:lineRule="exact"/>
        <w:ind w:firstLine="640" w:firstLineChars="200"/>
        <w:rPr>
          <w:rFonts w:ascii="仿宋" w:hAnsi="仿宋" w:eastAsiaTheme="minorEastAsia"/>
          <w:color w:val="000000"/>
          <w:sz w:val="32"/>
          <w:szCs w:val="32"/>
        </w:rPr>
      </w:pPr>
    </w:p>
    <w:p>
      <w:pPr>
        <w:spacing w:line="600" w:lineRule="exact"/>
        <w:ind w:firstLine="640" w:firstLineChars="200"/>
        <w:rPr>
          <w:rFonts w:ascii="仿宋" w:hAnsi="仿宋" w:eastAsiaTheme="minorEastAsia"/>
          <w:color w:val="000000"/>
          <w:sz w:val="32"/>
          <w:szCs w:val="32"/>
        </w:rPr>
      </w:pPr>
    </w:p>
    <w:p>
      <w:pPr>
        <w:spacing w:line="600" w:lineRule="exact"/>
        <w:ind w:firstLine="640" w:firstLineChars="200"/>
        <w:rPr>
          <w:rFonts w:ascii="仿宋" w:hAnsi="仿宋" w:eastAsiaTheme="minorEastAsia"/>
          <w:color w:val="000000"/>
          <w:sz w:val="32"/>
          <w:szCs w:val="32"/>
        </w:rPr>
      </w:pPr>
    </w:p>
    <w:p>
      <w:pPr>
        <w:spacing w:line="600" w:lineRule="exact"/>
        <w:ind w:firstLine="640" w:firstLineChars="200"/>
        <w:jc w:val="center"/>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w:t>
      </w:r>
    </w:p>
    <w:p>
      <w:pPr>
        <w:pStyle w:val="23"/>
        <w:numPr>
          <w:ilvl w:val="0"/>
          <w:numId w:val="1"/>
        </w:numPr>
        <w:spacing w:line="600" w:lineRule="exact"/>
        <w:ind w:firstLineChars="0"/>
        <w:outlineLvl w:val="1"/>
        <w:rPr>
          <w:rStyle w:val="25"/>
          <w:rFonts w:ascii="黑体" w:hAnsi="黑体" w:eastAsia="黑体"/>
          <w:b w:val="0"/>
        </w:rPr>
      </w:pPr>
      <w:bookmarkStart w:id="27" w:name="_Toc15377206"/>
      <w:bookmarkStart w:id="28"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7"/>
      <w:bookmarkEnd w:id="28"/>
    </w:p>
    <w:p>
      <w:pPr>
        <w:widowControl/>
        <w:ind w:firstLine="640" w:firstLineChars="200"/>
        <w:jc w:val="left"/>
        <w:rPr>
          <w:rFonts w:ascii="仿宋" w:hAnsi="仿宋" w:eastAsia="仿宋"/>
          <w:color w:val="000000"/>
          <w:sz w:val="32"/>
          <w:szCs w:val="32"/>
        </w:rPr>
      </w:pPr>
      <w:r>
        <w:rPr>
          <w:rFonts w:ascii="仿宋" w:hAnsi="仿宋" w:eastAsia="仿宋"/>
          <w:sz w:val="32"/>
          <w:szCs w:val="32"/>
        </w:rPr>
        <w:t>201</w:t>
      </w:r>
      <w:r>
        <w:rPr>
          <w:rFonts w:hint="eastAsia" w:ascii="仿宋" w:hAnsi="仿宋" w:eastAsia="仿宋"/>
          <w:sz w:val="32"/>
          <w:szCs w:val="32"/>
        </w:rPr>
        <w:t>8年本年收入合计374.43万元，其中：一般公共预算财政拨款收入374.42万元，占100</w:t>
      </w:r>
      <w:r>
        <w:rPr>
          <w:rFonts w:ascii="仿宋" w:hAnsi="仿宋" w:eastAsia="仿宋"/>
          <w:sz w:val="32"/>
          <w:szCs w:val="32"/>
        </w:rPr>
        <w:t>%</w:t>
      </w:r>
      <w:r>
        <w:rPr>
          <w:rFonts w:hint="eastAsia" w:ascii="仿宋" w:hAnsi="仿宋" w:eastAsia="仿宋"/>
          <w:sz w:val="32"/>
          <w:szCs w:val="32"/>
        </w:rPr>
        <w:t>；政府性基金预算财政拨款收入0万元，占0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；经营收入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；附属单位上缴收入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；其他收入0.01万元，占</w:t>
      </w:r>
      <w:r>
        <w:rPr>
          <w:rFonts w:ascii="仿宋" w:hAnsi="仿宋" w:eastAsia="仿宋"/>
          <w:sz w:val="32"/>
          <w:szCs w:val="32"/>
        </w:rPr>
        <w:t>0%</w:t>
      </w:r>
      <w:r>
        <w:rPr>
          <w:rFonts w:hint="eastAsia" w:ascii="仿宋" w:hAnsi="仿宋" w:eastAsia="仿宋"/>
          <w:sz w:val="32"/>
          <w:szCs w:val="32"/>
        </w:rPr>
        <w:t>。</w:t>
      </w:r>
      <w:r>
        <w:rPr>
          <w:rFonts w:ascii="仿宋" w:hAnsi="仿宋" w:eastAsia="仿宋"/>
          <w:color w:val="000000"/>
          <w:sz w:val="32"/>
          <w:szCs w:val="32"/>
        </w:rPr>
        <w:drawing>
          <wp:inline distT="0" distB="0" distL="0" distR="0">
            <wp:extent cx="5273675" cy="3077210"/>
            <wp:effectExtent l="19050" t="0" r="21900" b="8614"/>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jc w:val="center"/>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w:t>
      </w:r>
    </w:p>
    <w:p>
      <w:pPr>
        <w:pStyle w:val="23"/>
        <w:numPr>
          <w:ilvl w:val="0"/>
          <w:numId w:val="1"/>
        </w:numPr>
        <w:spacing w:line="600" w:lineRule="exact"/>
        <w:ind w:firstLineChars="0"/>
        <w:outlineLvl w:val="1"/>
        <w:rPr>
          <w:rStyle w:val="25"/>
          <w:rFonts w:ascii="黑体" w:hAnsi="黑体" w:eastAsia="黑体"/>
          <w:b w:val="0"/>
        </w:rPr>
      </w:pPr>
      <w:bookmarkStart w:id="29" w:name="_Toc15377207"/>
      <w:bookmarkStart w:id="30"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9"/>
      <w:bookmarkEnd w:id="30"/>
    </w:p>
    <w:p>
      <w:pPr>
        <w:widowControl/>
        <w:ind w:firstLine="640" w:firstLineChars="200"/>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8年本年支出合计416.49万元，其中：基本支出351.33万元，占84.35</w:t>
      </w:r>
      <w:r>
        <w:rPr>
          <w:rFonts w:ascii="仿宋" w:hAnsi="仿宋" w:eastAsia="仿宋"/>
          <w:sz w:val="32"/>
          <w:szCs w:val="32"/>
        </w:rPr>
        <w:t>%</w:t>
      </w:r>
      <w:r>
        <w:rPr>
          <w:rFonts w:hint="eastAsia" w:ascii="仿宋" w:hAnsi="仿宋" w:eastAsia="仿宋"/>
          <w:sz w:val="32"/>
          <w:szCs w:val="32"/>
        </w:rPr>
        <w:t>；项目支出65.16万元，占15.65</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；经营支出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；对附属单位补助支出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w:t>
      </w:r>
    </w:p>
    <w:p>
      <w:pPr>
        <w:widowControl/>
        <w:rPr>
          <w:rFonts w:ascii="仿宋" w:hAnsi="仿宋" w:eastAsia="仿宋"/>
          <w:color w:val="000000"/>
          <w:sz w:val="32"/>
          <w:szCs w:val="32"/>
        </w:rPr>
      </w:pPr>
      <w:r>
        <w:rPr>
          <w:rFonts w:hint="eastAsia" w:ascii="仿宋" w:hAnsi="仿宋" w:eastAsia="仿宋"/>
          <w:color w:val="000000"/>
          <w:sz w:val="32"/>
          <w:szCs w:val="32"/>
        </w:rPr>
        <w:drawing>
          <wp:inline distT="0" distB="0" distL="0" distR="0">
            <wp:extent cx="5273675" cy="3077210"/>
            <wp:effectExtent l="19050" t="0" r="21900" b="8614"/>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2080" w:firstLineChars="65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w:t>
      </w:r>
    </w:p>
    <w:p>
      <w:pPr>
        <w:spacing w:line="600" w:lineRule="exact"/>
        <w:ind w:firstLine="640" w:firstLineChars="200"/>
        <w:outlineLvl w:val="1"/>
        <w:rPr>
          <w:rFonts w:hint="eastAsia" w:ascii="黑体" w:hAnsi="黑体" w:eastAsia="黑体" w:cstheme="majorBidi"/>
          <w:bCs/>
          <w:sz w:val="32"/>
          <w:szCs w:val="32"/>
        </w:rPr>
      </w:pPr>
      <w:bookmarkStart w:id="31" w:name="_Toc15396606"/>
      <w:bookmarkStart w:id="32"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1"/>
      <w:bookmarkEnd w:id="32"/>
    </w:p>
    <w:p>
      <w:pPr>
        <w:widowControl/>
        <w:ind w:firstLine="640" w:firstLineChars="200"/>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8年财政拨款收入总计374.43万元。与2017年相比，收入增加13.12万元，增长3.6</w:t>
      </w:r>
      <w:r>
        <w:rPr>
          <w:rFonts w:ascii="仿宋" w:hAnsi="仿宋" w:eastAsia="仿宋"/>
          <w:sz w:val="32"/>
          <w:szCs w:val="32"/>
        </w:rPr>
        <w:t>%</w:t>
      </w:r>
      <w:r>
        <w:rPr>
          <w:rFonts w:hint="eastAsia" w:ascii="仿宋" w:hAnsi="仿宋" w:eastAsia="仿宋"/>
          <w:sz w:val="32"/>
          <w:szCs w:val="32"/>
        </w:rPr>
        <w:t>。变动原因是2018年财政专项经费调整及人员变动。2018年财政拨款支出总计416.49万元，与2017年相比增长51.12万元，增长13.99%主要变动原因是2018年财政专项经费调整及人员变动。</w:t>
      </w:r>
    </w:p>
    <w:p>
      <w:pPr>
        <w:rPr>
          <w:rFonts w:ascii="仿宋" w:hAnsi="仿宋" w:eastAsia="仿宋"/>
          <w:color w:val="FF0000"/>
          <w:sz w:val="32"/>
          <w:szCs w:val="32"/>
        </w:rPr>
      </w:pPr>
      <w:r>
        <w:rPr>
          <w:rFonts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38100</wp:posOffset>
            </wp:positionH>
            <wp:positionV relativeFrom="paragraph">
              <wp:posOffset>9525</wp:posOffset>
            </wp:positionV>
            <wp:extent cx="5274310" cy="3076575"/>
            <wp:effectExtent l="5080" t="4445" r="16510" b="508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rPr>
          <w:rFonts w:ascii="仿宋" w:hAnsi="仿宋" w:eastAsia="仿宋"/>
          <w:color w:val="FF0000"/>
          <w:sz w:val="32"/>
          <w:szCs w:val="32"/>
        </w:rPr>
      </w:pPr>
    </w:p>
    <w:p>
      <w:pPr>
        <w:rPr>
          <w:rFonts w:ascii="仿宋" w:hAnsi="仿宋" w:eastAsia="仿宋"/>
          <w:color w:val="FF0000"/>
          <w:sz w:val="32"/>
          <w:szCs w:val="32"/>
        </w:rPr>
      </w:pPr>
    </w:p>
    <w:p>
      <w:pPr>
        <w:rPr>
          <w:rFonts w:ascii="仿宋" w:hAnsi="仿宋" w:eastAsia="仿宋"/>
          <w:color w:val="FF0000"/>
          <w:sz w:val="32"/>
          <w:szCs w:val="32"/>
        </w:rPr>
      </w:pPr>
    </w:p>
    <w:p>
      <w:pPr>
        <w:rPr>
          <w:rFonts w:ascii="仿宋" w:hAnsi="仿宋" w:eastAsia="仿宋"/>
          <w:color w:val="FF0000"/>
          <w:sz w:val="32"/>
          <w:szCs w:val="32"/>
        </w:rPr>
      </w:pPr>
    </w:p>
    <w:p>
      <w:pPr>
        <w:rPr>
          <w:rFonts w:ascii="仿宋" w:hAnsi="仿宋" w:eastAsia="仿宋"/>
          <w:color w:val="FF0000"/>
          <w:sz w:val="32"/>
          <w:szCs w:val="32"/>
        </w:rPr>
      </w:pPr>
    </w:p>
    <w:p>
      <w:pPr>
        <w:rPr>
          <w:rFonts w:ascii="仿宋" w:hAnsi="仿宋" w:eastAsia="仿宋"/>
          <w:color w:val="FF0000"/>
          <w:sz w:val="32"/>
          <w:szCs w:val="32"/>
        </w:rPr>
      </w:pPr>
    </w:p>
    <w:p>
      <w:pPr>
        <w:rPr>
          <w:rFonts w:ascii="仿宋" w:hAnsi="仿宋" w:eastAsia="仿宋"/>
          <w:color w:val="FF0000"/>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w:t>
      </w:r>
    </w:p>
    <w:p>
      <w:pPr>
        <w:spacing w:line="600" w:lineRule="exact"/>
        <w:ind w:firstLine="640" w:firstLineChars="200"/>
        <w:outlineLvl w:val="1"/>
        <w:rPr>
          <w:rStyle w:val="25"/>
          <w:rFonts w:ascii="黑体" w:hAnsi="黑体" w:eastAsia="黑体"/>
          <w:b w:val="0"/>
        </w:rPr>
      </w:pPr>
      <w:bookmarkStart w:id="33" w:name="_Toc15377209"/>
      <w:bookmarkStart w:id="34"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3"/>
      <w:bookmarkEnd w:id="34"/>
    </w:p>
    <w:p>
      <w:pPr>
        <w:outlineLvl w:val="2"/>
        <w:rPr>
          <w:rFonts w:ascii="仿宋" w:hAnsi="仿宋" w:eastAsia="仿宋"/>
          <w:b/>
          <w:color w:val="000000"/>
          <w:sz w:val="32"/>
          <w:szCs w:val="32"/>
        </w:rPr>
      </w:pPr>
      <w:bookmarkStart w:id="35" w:name="_Toc15377210"/>
      <w:r>
        <w:rPr>
          <w:rFonts w:hint="eastAsia" w:ascii="仿宋" w:hAnsi="仿宋" w:eastAsia="仿宋"/>
          <w:b/>
          <w:color w:val="000000"/>
          <w:sz w:val="32"/>
          <w:szCs w:val="32"/>
        </w:rPr>
        <w:t>（一）一般公共预算财政拨款支出决算总体情况</w:t>
      </w:r>
      <w:bookmarkEnd w:id="35"/>
    </w:p>
    <w:p>
      <w:pPr>
        <w:widowControl/>
        <w:ind w:firstLine="640" w:firstLineChars="200"/>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8年一般公共预算财政拨款支出416.48万元，占本年支出合计的</w:t>
      </w:r>
      <w:r>
        <w:rPr>
          <w:rFonts w:ascii="仿宋" w:hAnsi="仿宋" w:eastAsia="仿宋"/>
          <w:sz w:val="32"/>
          <w:szCs w:val="32"/>
        </w:rPr>
        <w:t>100%</w:t>
      </w:r>
      <w:r>
        <w:rPr>
          <w:rFonts w:hint="eastAsia" w:ascii="仿宋" w:hAnsi="仿宋" w:eastAsia="仿宋"/>
          <w:sz w:val="32"/>
          <w:szCs w:val="32"/>
        </w:rPr>
        <w:t>。与</w:t>
      </w:r>
      <w:r>
        <w:rPr>
          <w:rFonts w:ascii="仿宋" w:hAnsi="仿宋" w:eastAsia="仿宋"/>
          <w:sz w:val="32"/>
          <w:szCs w:val="32"/>
        </w:rPr>
        <w:t>201</w:t>
      </w:r>
      <w:r>
        <w:rPr>
          <w:rFonts w:hint="eastAsia" w:ascii="仿宋" w:hAnsi="仿宋" w:eastAsia="仿宋"/>
          <w:sz w:val="32"/>
          <w:szCs w:val="32"/>
        </w:rPr>
        <w:t>7年相比，一般公共预算财政拨款增加</w:t>
      </w:r>
      <w:r>
        <w:rPr>
          <w:rFonts w:ascii="仿宋" w:hAnsi="仿宋" w:eastAsia="仿宋"/>
          <w:sz w:val="32"/>
          <w:szCs w:val="32"/>
        </w:rPr>
        <w:t>51.11</w:t>
      </w:r>
      <w:r>
        <w:rPr>
          <w:rFonts w:hint="eastAsia" w:ascii="仿宋" w:hAnsi="仿宋" w:eastAsia="仿宋"/>
          <w:sz w:val="32"/>
          <w:szCs w:val="32"/>
        </w:rPr>
        <w:t>万元，增长</w:t>
      </w:r>
      <w:r>
        <w:rPr>
          <w:rFonts w:ascii="仿宋" w:hAnsi="仿宋" w:eastAsia="仿宋"/>
          <w:sz w:val="32"/>
          <w:szCs w:val="32"/>
        </w:rPr>
        <w:t>13.99%</w:t>
      </w:r>
      <w:r>
        <w:rPr>
          <w:rFonts w:hint="eastAsia" w:ascii="仿宋" w:hAnsi="仿宋" w:eastAsia="仿宋"/>
          <w:sz w:val="32"/>
          <w:szCs w:val="32"/>
        </w:rPr>
        <w:t>。</w:t>
      </w:r>
    </w:p>
    <w:p>
      <w:pPr>
        <w:widowControl/>
        <w:rPr>
          <w:rFonts w:ascii="宋体" w:hAnsi="宋体" w:cs="Arial"/>
          <w:color w:val="000000"/>
          <w:kern w:val="0"/>
          <w:sz w:val="22"/>
          <w:szCs w:val="22"/>
        </w:rPr>
      </w:pPr>
      <w:r>
        <w:rPr>
          <w:rFonts w:ascii="宋体" w:hAnsi="宋体" w:cs="Arial"/>
          <w:color w:val="000000"/>
          <w:kern w:val="0"/>
          <w:sz w:val="22"/>
          <w:szCs w:val="22"/>
        </w:rPr>
        <w:drawing>
          <wp:inline distT="0" distB="0" distL="0" distR="0">
            <wp:extent cx="5274310" cy="3076575"/>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36" w:name="_Toc15377211"/>
      <w:r>
        <w:rPr>
          <w:rFonts w:hint="eastAsia" w:ascii="仿宋" w:hAnsi="仿宋" w:eastAsia="仿宋"/>
          <w:b/>
          <w:color w:val="000000"/>
          <w:sz w:val="32"/>
          <w:szCs w:val="32"/>
        </w:rPr>
        <w:t>（二）一般公共预算财政拨款支出决算结构情况</w:t>
      </w:r>
      <w:bookmarkEnd w:id="36"/>
    </w:p>
    <w:p>
      <w:pPr>
        <w:widowControl/>
        <w:ind w:firstLine="640" w:firstLineChars="200"/>
        <w:jc w:val="left"/>
        <w:rPr>
          <w:rFonts w:ascii="等线" w:hAnsi="等线" w:eastAsia="等线" w:cs="宋体"/>
          <w:color w:val="000000"/>
          <w:kern w:val="0"/>
          <w:sz w:val="22"/>
          <w:szCs w:val="2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ascii="仿宋" w:hAnsi="仿宋" w:eastAsia="仿宋"/>
          <w:color w:val="000000"/>
          <w:sz w:val="32"/>
          <w:szCs w:val="32"/>
        </w:rPr>
        <w:t>416.48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公共安全支出289.92万元，占69.61%；社会保障和就业支出66.91万元，占16.07%；医疗卫生支出11.03万元，占2.65%；节能环保支出</w:t>
      </w:r>
      <w:r>
        <w:rPr>
          <w:rFonts w:ascii="仿宋" w:hAnsi="仿宋" w:eastAsia="仿宋"/>
          <w:color w:val="000000"/>
          <w:sz w:val="32"/>
          <w:szCs w:val="32"/>
        </w:rPr>
        <w:t xml:space="preserve"> </w:t>
      </w:r>
      <w:r>
        <w:rPr>
          <w:rFonts w:hint="eastAsia" w:ascii="仿宋" w:hAnsi="仿宋" w:eastAsia="仿宋"/>
          <w:color w:val="000000"/>
          <w:sz w:val="32"/>
          <w:szCs w:val="32"/>
        </w:rPr>
        <w:t>2.</w:t>
      </w:r>
      <w:r>
        <w:rPr>
          <w:rFonts w:ascii="仿宋" w:hAnsi="仿宋" w:eastAsia="仿宋"/>
          <w:color w:val="000000"/>
          <w:sz w:val="32"/>
          <w:szCs w:val="32"/>
        </w:rPr>
        <w:t>00</w:t>
      </w:r>
      <w:r>
        <w:rPr>
          <w:rFonts w:hint="eastAsia" w:ascii="仿宋" w:hAnsi="仿宋" w:eastAsia="仿宋"/>
          <w:color w:val="000000"/>
          <w:sz w:val="32"/>
          <w:szCs w:val="32"/>
        </w:rPr>
        <w:t>万元，占0.48%；农林水支出26.10元，占6.27%；住房保障支出20.52万元，占4.93%。</w:t>
      </w:r>
      <w:r>
        <w:rPr>
          <w:rFonts w:ascii="仿宋" w:hAnsi="仿宋" w:eastAsia="仿宋"/>
          <w:color w:val="000000" w:themeColor="text1"/>
          <w:sz w:val="32"/>
          <w:szCs w:val="32"/>
        </w:rPr>
        <w:drawing>
          <wp:inline distT="0" distB="0" distL="0" distR="0">
            <wp:extent cx="5273675" cy="3078480"/>
            <wp:effectExtent l="19050" t="0" r="21900" b="762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37" w:name="_Toc15377212"/>
      <w:r>
        <w:rPr>
          <w:rFonts w:hint="eastAsia" w:ascii="仿宋" w:hAnsi="仿宋" w:eastAsia="仿宋"/>
          <w:b/>
          <w:color w:val="000000"/>
          <w:sz w:val="32"/>
          <w:szCs w:val="32"/>
        </w:rPr>
        <w:t>（三）一般公共预算财政拨款支出决算具体情况</w:t>
      </w:r>
      <w:bookmarkEnd w:id="37"/>
    </w:p>
    <w:p>
      <w:pPr>
        <w:spacing w:line="600" w:lineRule="exact"/>
        <w:ind w:firstLine="643" w:firstLineChars="200"/>
        <w:outlineLvl w:val="2"/>
        <w:rPr>
          <w:rFonts w:ascii="仿宋" w:hAnsi="仿宋" w:eastAsia="仿宋"/>
          <w:color w:val="FF0000"/>
          <w:sz w:val="32"/>
          <w:szCs w:val="32"/>
        </w:rPr>
      </w:pPr>
      <w:bookmarkStart w:id="38" w:name="_Toc15377213"/>
      <w:bookmarkStart w:id="39" w:name="_Toc15378460"/>
      <w:bookmarkStart w:id="40" w:name="_Toc15377444"/>
      <w:r>
        <w:rPr>
          <w:rFonts w:hint="eastAsia" w:ascii="仿宋" w:hAnsi="仿宋" w:eastAsia="仿宋"/>
          <w:b/>
          <w:color w:val="000000" w:themeColor="text1"/>
          <w:sz w:val="32"/>
          <w:szCs w:val="32"/>
        </w:rPr>
        <w:t>2018年般公共预算支出决算数为</w:t>
      </w:r>
      <w:r>
        <w:rPr>
          <w:rFonts w:ascii="仿宋" w:hAnsi="仿宋" w:eastAsia="仿宋"/>
          <w:b/>
          <w:color w:val="000000" w:themeColor="text1"/>
          <w:sz w:val="32"/>
          <w:szCs w:val="32"/>
        </w:rPr>
        <w:t>416.48</w:t>
      </w:r>
      <w:r>
        <w:rPr>
          <w:rFonts w:hint="eastAsia" w:ascii="仿宋" w:hAnsi="仿宋" w:eastAsia="仿宋"/>
          <w:b/>
          <w:color w:val="000000" w:themeColor="text1"/>
          <w:sz w:val="32"/>
          <w:szCs w:val="32"/>
        </w:rPr>
        <w:t>万元，</w:t>
      </w:r>
      <w:r>
        <w:rPr>
          <w:rStyle w:val="13"/>
          <w:rFonts w:hint="eastAsia" w:ascii="仿宋" w:hAnsi="仿宋" w:eastAsia="仿宋"/>
          <w:bCs/>
          <w:color w:val="000000" w:themeColor="text1"/>
          <w:sz w:val="32"/>
          <w:szCs w:val="32"/>
        </w:rPr>
        <w:t>完成</w:t>
      </w:r>
      <w:r>
        <w:rPr>
          <w:rStyle w:val="13"/>
          <w:rFonts w:hint="eastAsia" w:ascii="仿宋" w:hAnsi="仿宋" w:eastAsia="仿宋"/>
          <w:bCs/>
          <w:color w:val="000000"/>
          <w:sz w:val="32"/>
          <w:szCs w:val="32"/>
        </w:rPr>
        <w:t>预算100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38"/>
      <w:bookmarkEnd w:id="39"/>
      <w:bookmarkEnd w:id="40"/>
    </w:p>
    <w:p>
      <w:pPr>
        <w:ind w:firstLine="643" w:firstLineChars="200"/>
        <w:rPr>
          <w:rStyle w:val="13"/>
          <w:rFonts w:ascii="仿宋" w:hAnsi="仿宋" w:eastAsia="仿宋"/>
          <w:b w:val="0"/>
          <w:bCs/>
          <w:color w:val="000000"/>
          <w:sz w:val="32"/>
          <w:szCs w:val="32"/>
        </w:rPr>
      </w:pPr>
      <w:r>
        <w:rPr>
          <w:rStyle w:val="13"/>
          <w:rFonts w:ascii="仿宋" w:hAnsi="仿宋" w:eastAsia="仿宋"/>
          <w:bCs/>
          <w:color w:val="000000"/>
          <w:sz w:val="32"/>
          <w:szCs w:val="32"/>
        </w:rPr>
        <w:t>1.</w:t>
      </w:r>
      <w:r>
        <w:rPr>
          <w:rFonts w:hint="eastAsia"/>
        </w:rPr>
        <w:t xml:space="preserve"> </w:t>
      </w:r>
      <w:r>
        <w:rPr>
          <w:rStyle w:val="13"/>
          <w:rFonts w:hint="eastAsia" w:ascii="仿宋" w:hAnsi="仿宋" w:eastAsia="仿宋"/>
          <w:bCs/>
          <w:color w:val="000000"/>
          <w:sz w:val="32"/>
          <w:szCs w:val="32"/>
        </w:rPr>
        <w:t>公共安全支出:</w:t>
      </w:r>
      <w:r>
        <w:rPr>
          <w:rStyle w:val="13"/>
          <w:rFonts w:ascii="仿宋" w:hAnsi="仿宋" w:eastAsia="仿宋"/>
          <w:b w:val="0"/>
          <w:bCs/>
          <w:color w:val="000000"/>
          <w:sz w:val="32"/>
          <w:szCs w:val="32"/>
        </w:rPr>
        <w:t>2040201</w:t>
      </w:r>
      <w:r>
        <w:rPr>
          <w:rStyle w:val="13"/>
          <w:rFonts w:hint="eastAsia" w:ascii="仿宋" w:hAnsi="仿宋" w:eastAsia="仿宋"/>
          <w:b w:val="0"/>
          <w:bCs/>
          <w:color w:val="000000"/>
          <w:sz w:val="32"/>
          <w:szCs w:val="32"/>
        </w:rPr>
        <w:t>-行政运行支出283.92万元，完成预算1</w:t>
      </w:r>
      <w:r>
        <w:rPr>
          <w:rStyle w:val="13"/>
          <w:rFonts w:ascii="仿宋" w:hAnsi="仿宋" w:eastAsia="仿宋"/>
          <w:b w:val="0"/>
          <w:bCs/>
          <w:color w:val="000000"/>
          <w:sz w:val="32"/>
          <w:szCs w:val="32"/>
        </w:rPr>
        <w:t>00%</w:t>
      </w:r>
      <w:r>
        <w:rPr>
          <w:rStyle w:val="13"/>
          <w:rFonts w:hint="eastAsia" w:ascii="仿宋" w:hAnsi="仿宋" w:eastAsia="仿宋"/>
          <w:b w:val="0"/>
          <w:bCs/>
          <w:color w:val="000000"/>
          <w:sz w:val="32"/>
          <w:szCs w:val="32"/>
        </w:rPr>
        <w:t>；</w:t>
      </w:r>
      <w:r>
        <w:rPr>
          <w:rStyle w:val="13"/>
          <w:rFonts w:ascii="仿宋" w:hAnsi="仿宋" w:eastAsia="仿宋"/>
          <w:b w:val="0"/>
          <w:bCs/>
          <w:color w:val="000000"/>
          <w:sz w:val="32"/>
          <w:szCs w:val="32"/>
        </w:rPr>
        <w:t>2040202</w:t>
      </w:r>
      <w:r>
        <w:rPr>
          <w:rStyle w:val="13"/>
          <w:rFonts w:hint="eastAsia" w:ascii="仿宋" w:hAnsi="仿宋" w:eastAsia="仿宋"/>
          <w:b w:val="0"/>
          <w:bCs/>
          <w:color w:val="000000"/>
          <w:sz w:val="32"/>
          <w:szCs w:val="32"/>
        </w:rPr>
        <w:t>-一般行政管理事务支出6.00万元，支出决算为：289.92万元，完成预算数100%，决算数等于预算数。</w:t>
      </w:r>
    </w:p>
    <w:p>
      <w:pPr>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2．社会保障和就业：</w:t>
      </w:r>
      <w:bookmarkStart w:id="41" w:name="_Toc15396608"/>
      <w:bookmarkStart w:id="42" w:name="_Toc15377214"/>
      <w:r>
        <w:rPr>
          <w:rStyle w:val="13"/>
          <w:rFonts w:hint="eastAsia" w:ascii="仿宋" w:hAnsi="仿宋" w:eastAsia="仿宋"/>
          <w:b w:val="0"/>
          <w:bCs/>
          <w:color w:val="000000"/>
          <w:sz w:val="32"/>
          <w:szCs w:val="32"/>
        </w:rPr>
        <w:t>2080505-</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机关事业单位基本养老保险缴费支出25.61万元；2080506-机关事业单位职业年金缴费支出10.24万元；2080801-死亡抚恤支出31.06万元；支出决算为66.91万元，完成预算100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w:t>
      </w:r>
    </w:p>
    <w:p>
      <w:pPr>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3. 医疗卫生与计划生育：</w:t>
      </w:r>
      <w:r>
        <w:rPr>
          <w:rStyle w:val="13"/>
          <w:rFonts w:ascii="仿宋" w:hAnsi="仿宋" w:eastAsia="仿宋"/>
          <w:b w:val="0"/>
          <w:bCs/>
          <w:color w:val="000000"/>
          <w:sz w:val="32"/>
          <w:szCs w:val="32"/>
        </w:rPr>
        <w:t>2101101</w:t>
      </w:r>
      <w:r>
        <w:rPr>
          <w:rStyle w:val="13"/>
          <w:rFonts w:hint="eastAsia" w:ascii="仿宋" w:hAnsi="仿宋" w:eastAsia="仿宋"/>
          <w:b w:val="0"/>
          <w:bCs/>
          <w:color w:val="000000"/>
          <w:sz w:val="32"/>
          <w:szCs w:val="32"/>
        </w:rPr>
        <w:t>-行政单位医疗支出8.68万元；</w:t>
      </w:r>
      <w:r>
        <w:rPr>
          <w:rStyle w:val="13"/>
          <w:rFonts w:ascii="仿宋" w:hAnsi="仿宋" w:eastAsia="仿宋"/>
          <w:b w:val="0"/>
          <w:bCs/>
          <w:color w:val="000000"/>
          <w:sz w:val="32"/>
          <w:szCs w:val="32"/>
        </w:rPr>
        <w:t>2101103</w:t>
      </w:r>
      <w:r>
        <w:rPr>
          <w:rStyle w:val="13"/>
          <w:rFonts w:hint="eastAsia" w:ascii="仿宋" w:hAnsi="仿宋" w:eastAsia="仿宋"/>
          <w:b w:val="0"/>
          <w:bCs/>
          <w:color w:val="000000"/>
          <w:sz w:val="32"/>
          <w:szCs w:val="32"/>
        </w:rPr>
        <w:t>-公务员医疗补助支出2.35万元；支出决算为11.03万元，完成预算100%，决算数等于预算数。</w:t>
      </w:r>
    </w:p>
    <w:p>
      <w:pPr>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4．节能环保：</w:t>
      </w:r>
      <w:r>
        <w:rPr>
          <w:rStyle w:val="13"/>
          <w:rFonts w:ascii="仿宋" w:hAnsi="仿宋" w:eastAsia="仿宋"/>
          <w:b w:val="0"/>
          <w:bCs/>
          <w:color w:val="000000"/>
          <w:sz w:val="32"/>
          <w:szCs w:val="32"/>
        </w:rPr>
        <w:t>2110501</w:t>
      </w:r>
      <w:r>
        <w:rPr>
          <w:rStyle w:val="13"/>
          <w:rFonts w:hint="eastAsia" w:ascii="仿宋" w:hAnsi="仿宋" w:eastAsia="仿宋"/>
          <w:b w:val="0"/>
          <w:bCs/>
          <w:color w:val="000000"/>
          <w:sz w:val="32"/>
          <w:szCs w:val="32"/>
        </w:rPr>
        <w:t>-森林管护支出2.0万元；支出决算为2.0万元，完成预算100%，决算数等于预算数。</w:t>
      </w:r>
    </w:p>
    <w:p>
      <w:pPr>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5. 农林水:</w:t>
      </w:r>
      <w:r>
        <w:rPr>
          <w:rStyle w:val="13"/>
          <w:rFonts w:ascii="仿宋" w:hAnsi="仿宋" w:eastAsia="仿宋"/>
          <w:bCs/>
          <w:color w:val="000000"/>
          <w:sz w:val="32"/>
          <w:szCs w:val="32"/>
        </w:rPr>
        <w:t xml:space="preserve"> </w:t>
      </w:r>
      <w:r>
        <w:rPr>
          <w:rStyle w:val="13"/>
          <w:rFonts w:ascii="仿宋" w:hAnsi="仿宋" w:eastAsia="仿宋"/>
          <w:b w:val="0"/>
          <w:bCs/>
          <w:color w:val="000000"/>
          <w:sz w:val="32"/>
          <w:szCs w:val="32"/>
        </w:rPr>
        <w:t>2130211</w:t>
      </w:r>
      <w:r>
        <w:rPr>
          <w:rStyle w:val="13"/>
          <w:rFonts w:hint="eastAsia" w:ascii="仿宋" w:hAnsi="仿宋" w:eastAsia="仿宋"/>
          <w:b w:val="0"/>
          <w:bCs/>
          <w:color w:val="000000"/>
          <w:sz w:val="32"/>
          <w:szCs w:val="32"/>
        </w:rPr>
        <w:t>-动植物保护支出5.00万元；</w:t>
      </w:r>
      <w:r>
        <w:rPr>
          <w:rStyle w:val="13"/>
          <w:rFonts w:ascii="仿宋" w:hAnsi="仿宋" w:eastAsia="仿宋"/>
          <w:b w:val="0"/>
          <w:bCs/>
          <w:color w:val="000000"/>
          <w:sz w:val="32"/>
          <w:szCs w:val="32"/>
        </w:rPr>
        <w:t>2130213</w:t>
      </w:r>
      <w:r>
        <w:rPr>
          <w:rStyle w:val="13"/>
          <w:rFonts w:hint="eastAsia" w:ascii="仿宋" w:hAnsi="仿宋" w:eastAsia="仿宋"/>
          <w:b w:val="0"/>
          <w:bCs/>
          <w:color w:val="000000"/>
          <w:sz w:val="32"/>
          <w:szCs w:val="32"/>
        </w:rPr>
        <w:t>-林业执法与监督支出6.10万元；</w:t>
      </w:r>
      <w:r>
        <w:rPr>
          <w:rStyle w:val="13"/>
          <w:rFonts w:ascii="仿宋" w:hAnsi="仿宋" w:eastAsia="仿宋"/>
          <w:b w:val="0"/>
          <w:bCs/>
          <w:color w:val="000000"/>
          <w:sz w:val="32"/>
          <w:szCs w:val="32"/>
        </w:rPr>
        <w:t>2130299</w:t>
      </w:r>
      <w:r>
        <w:rPr>
          <w:rStyle w:val="13"/>
          <w:rFonts w:hint="eastAsia" w:ascii="仿宋" w:hAnsi="仿宋" w:eastAsia="仿宋"/>
          <w:b w:val="0"/>
          <w:bCs/>
          <w:color w:val="000000"/>
          <w:sz w:val="32"/>
          <w:szCs w:val="32"/>
        </w:rPr>
        <w:t>-其他林业支出15.00万元，支出决算为26.10万元，完成预算100%，决算数等于预算数。</w:t>
      </w:r>
    </w:p>
    <w:p>
      <w:pPr>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6.住房保障：</w:t>
      </w:r>
      <w:r>
        <w:rPr>
          <w:rStyle w:val="13"/>
          <w:rFonts w:ascii="仿宋" w:hAnsi="仿宋" w:eastAsia="仿宋"/>
          <w:b w:val="0"/>
          <w:bCs/>
          <w:color w:val="000000"/>
          <w:sz w:val="32"/>
          <w:szCs w:val="32"/>
        </w:rPr>
        <w:t>2210201</w:t>
      </w:r>
      <w:r>
        <w:rPr>
          <w:rStyle w:val="13"/>
          <w:rFonts w:hint="eastAsia" w:ascii="仿宋" w:hAnsi="仿宋" w:eastAsia="仿宋"/>
          <w:b w:val="0"/>
          <w:bCs/>
          <w:color w:val="000000"/>
          <w:sz w:val="32"/>
          <w:szCs w:val="32"/>
        </w:rPr>
        <w:t>-住房公积金支出20.52万元，支出决算20.52万元，完成预算100%，决算数等于预算数。</w:t>
      </w:r>
    </w:p>
    <w:p>
      <w:pPr>
        <w:ind w:firstLine="640" w:firstLineChars="200"/>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1"/>
      <w:bookmarkEnd w:id="42"/>
      <w:r>
        <w:rPr>
          <w:rStyle w:val="25"/>
          <w:rFonts w:ascii="黑体" w:hAnsi="黑体" w:eastAsia="黑体"/>
          <w:b w:val="0"/>
        </w:rPr>
        <w:tab/>
      </w:r>
    </w:p>
    <w:p>
      <w:pPr>
        <w:spacing w:line="600" w:lineRule="exact"/>
        <w:ind w:firstLine="645"/>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8年一般公共预算财政拨款基本支出351.32万元，其中：</w:t>
      </w:r>
    </w:p>
    <w:p>
      <w:pPr>
        <w:widowControl/>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人员经费292.94万元，主要包括：基本工资49.97万元、津贴补贴138.47万元、奖金33.15万元、机关事业单位基本养老保险缴费25.61万元、职业年金缴费10.25万元、其他社会保障缴费2.81万元、医疗费1.13万元、住房公积金20.52万元、职工基本医疗保险缴费8.68万元、公务员医疗补助缴费2.35万元。</w:t>
      </w:r>
    </w:p>
    <w:p>
      <w:pPr>
        <w:widowControl/>
        <w:rPr>
          <w:rFonts w:ascii="宋体" w:hAnsi="宋体" w:cs="Arial"/>
          <w:color w:val="000000" w:themeColor="text1"/>
          <w:kern w:val="0"/>
          <w:sz w:val="22"/>
          <w:szCs w:val="22"/>
        </w:rPr>
      </w:pPr>
      <w:r>
        <w:rPr>
          <w:rFonts w:hint="eastAsia" w:ascii="仿宋" w:hAnsi="仿宋" w:eastAsia="仿宋"/>
          <w:color w:val="000000" w:themeColor="text1"/>
          <w:sz w:val="32"/>
          <w:szCs w:val="32"/>
        </w:rPr>
        <w:t>　　公用经费58.38万元，主要包括：办公费16.86万元、印刷费2.0万元、手续费1.00万元、邮电费2.0万元、取暖费2.0万元、差旅费5.0万元、培训费3.0万元、维修（护）费1.26万元、公务接待费0.54万元、劳务费15.22万元、公务用车运行维护费5.0万元、被装购置费2.5万元、委托业务费2.0万元。</w:t>
      </w:r>
    </w:p>
    <w:p>
      <w:pPr>
        <w:spacing w:line="600" w:lineRule="exact"/>
        <w:ind w:firstLine="640"/>
        <w:outlineLvl w:val="1"/>
        <w:rPr>
          <w:rStyle w:val="25"/>
          <w:rFonts w:ascii="黑体" w:hAnsi="黑体" w:eastAsia="黑体"/>
          <w:b w:val="0"/>
        </w:rPr>
      </w:pPr>
      <w:bookmarkStart w:id="43" w:name="_Toc15396609"/>
      <w:bookmarkStart w:id="44"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3"/>
      <w:bookmarkEnd w:id="44"/>
    </w:p>
    <w:p>
      <w:pPr>
        <w:spacing w:line="600" w:lineRule="exact"/>
        <w:ind w:firstLine="64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widowControl/>
        <w:rPr>
          <w:rFonts w:ascii="宋体" w:hAnsi="宋体" w:cs="Arial"/>
          <w:color w:val="000000"/>
          <w:kern w:val="0"/>
          <w:sz w:val="22"/>
          <w:szCs w:val="2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8年“三公”经费财政拨款支出决算为7.49万元，完成预算</w:t>
      </w:r>
      <w:r>
        <w:rPr>
          <w:rFonts w:ascii="仿宋" w:hAnsi="仿宋" w:eastAsia="仿宋"/>
          <w:color w:val="000000"/>
          <w:sz w:val="32"/>
          <w:szCs w:val="32"/>
        </w:rPr>
        <w:t>100%</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6" w:name="_Toc15377217"/>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6.95</w:t>
      </w:r>
      <w:r>
        <w:rPr>
          <w:rFonts w:hint="eastAsia" w:ascii="仿宋" w:hAnsi="仿宋" w:eastAsia="仿宋"/>
          <w:color w:val="000000"/>
          <w:sz w:val="32"/>
          <w:szCs w:val="32"/>
        </w:rPr>
        <w:t>万元，占92.79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ascii="仿宋" w:hAnsi="仿宋" w:eastAsia="仿宋"/>
          <w:color w:val="000000"/>
          <w:sz w:val="32"/>
          <w:szCs w:val="32"/>
        </w:rPr>
        <w:t>0.54</w:t>
      </w:r>
      <w:r>
        <w:rPr>
          <w:rFonts w:hint="eastAsia" w:ascii="仿宋" w:hAnsi="仿宋" w:eastAsia="仿宋"/>
          <w:color w:val="000000"/>
          <w:sz w:val="32"/>
          <w:szCs w:val="32"/>
        </w:rPr>
        <w:t>万元，占7.21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8240" behindDoc="0" locked="0" layoutInCell="1" allowOverlap="1">
            <wp:simplePos x="0" y="0"/>
            <wp:positionH relativeFrom="column">
              <wp:posOffset>-533400</wp:posOffset>
            </wp:positionH>
            <wp:positionV relativeFrom="paragraph">
              <wp:posOffset>-495300</wp:posOffset>
            </wp:positionV>
            <wp:extent cx="6303010" cy="3819525"/>
            <wp:effectExtent l="19050" t="0" r="21590" b="0"/>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 xml:space="preserve"> 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6.95万元,完成预算</w:t>
      </w:r>
      <w:r>
        <w:rPr>
          <w:rFonts w:ascii="仿宋_GB2312" w:eastAsia="仿宋_GB2312"/>
          <w:color w:val="000000"/>
          <w:sz w:val="32"/>
          <w:szCs w:val="32"/>
        </w:rPr>
        <w:t>100%</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7年减少1.25万元，下降15.24</w:t>
      </w:r>
      <w:r>
        <w:rPr>
          <w:rFonts w:ascii="仿宋_GB2312" w:eastAsia="仿宋_GB2312"/>
          <w:color w:val="000000"/>
          <w:sz w:val="32"/>
          <w:szCs w:val="32"/>
        </w:rPr>
        <w:t>%</w:t>
      </w:r>
      <w:r>
        <w:rPr>
          <w:rFonts w:hint="eastAsia" w:ascii="仿宋_GB2312" w:eastAsia="仿宋_GB2312"/>
          <w:color w:val="000000"/>
          <w:sz w:val="32"/>
          <w:szCs w:val="32"/>
        </w:rPr>
        <w:t>。主要原因是车辆运行维护费主要根据当年车辆运行情况决定，2018年较2017年车辆运行状态较好。</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6.95万元。主要用于外出办案、开展专项行动等所需的公务用车燃料费、维修费、过路过桥费、保险费等支出。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0.54万元，完成预算</w:t>
      </w:r>
      <w:r>
        <w:rPr>
          <w:rFonts w:ascii="仿宋_GB2312" w:eastAsia="仿宋_GB2312"/>
          <w:color w:val="000000"/>
          <w:sz w:val="32"/>
          <w:szCs w:val="32"/>
        </w:rPr>
        <w:t>100%</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0</w:t>
      </w:r>
      <w:r>
        <w:rPr>
          <w:rFonts w:hint="eastAsia" w:ascii="仿宋_GB2312" w:eastAsia="仿宋_GB2312"/>
          <w:color w:val="000000"/>
          <w:sz w:val="32"/>
          <w:szCs w:val="32"/>
        </w:rPr>
        <w:t>.2万元，增长3.8</w:t>
      </w:r>
      <w:r>
        <w:rPr>
          <w:rFonts w:ascii="仿宋_GB2312" w:eastAsia="仿宋_GB2312"/>
          <w:color w:val="000000"/>
          <w:sz w:val="32"/>
          <w:szCs w:val="32"/>
        </w:rPr>
        <w:t xml:space="preserve"> %</w:t>
      </w:r>
      <w:r>
        <w:rPr>
          <w:rFonts w:hint="eastAsia" w:ascii="仿宋_GB2312" w:eastAsia="仿宋_GB2312"/>
          <w:color w:val="000000"/>
          <w:sz w:val="32"/>
          <w:szCs w:val="32"/>
        </w:rPr>
        <w:t>。主要原因是接待次数增多。</w:t>
      </w:r>
    </w:p>
    <w:p>
      <w:pPr>
        <w:widowControl/>
        <w:rPr>
          <w:rFonts w:ascii="宋体" w:hAnsi="宋体" w:cs="Arial"/>
          <w:color w:val="FF0000"/>
          <w:kern w:val="0"/>
          <w:sz w:val="22"/>
          <w:szCs w:val="22"/>
        </w:rPr>
      </w:pPr>
      <w:r>
        <w:rPr>
          <w:rFonts w:hint="eastAsia" w:ascii="仿宋_GB2312" w:eastAsia="仿宋_GB2312"/>
          <w:color w:val="000000"/>
          <w:sz w:val="32"/>
          <w:szCs w:val="32"/>
        </w:rPr>
        <w:t>主要用于执行公务、开展业务活动开支的交通费、住宿费、用餐费等。国内公务接待10批次，40人次（不包括陪同人员），共计支出0.54万元。</w:t>
      </w:r>
    </w:p>
    <w:p>
      <w:pPr>
        <w:spacing w:line="600" w:lineRule="exact"/>
        <w:ind w:firstLine="640"/>
        <w:outlineLvl w:val="1"/>
        <w:rPr>
          <w:rStyle w:val="25"/>
          <w:rFonts w:ascii="黑体" w:hAnsi="黑体" w:eastAsia="黑体"/>
        </w:rPr>
      </w:pPr>
      <w:bookmarkStart w:id="47" w:name="_Toc15396610"/>
      <w:bookmarkStart w:id="48" w:name="_Toc1537721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49" w:name="_Toc15377219"/>
      <w:bookmarkStart w:id="50" w:name="_Toc15396611"/>
      <w:r>
        <w:rPr>
          <w:rStyle w:val="25"/>
          <w:rFonts w:hint="eastAsia" w:ascii="黑体" w:hAns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pStyle w:val="23"/>
        <w:numPr>
          <w:ilvl w:val="0"/>
          <w:numId w:val="3"/>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color w:val="000000" w:themeColor="text1"/>
          <w:sz w:val="32"/>
          <w:szCs w:val="32"/>
        </w:rPr>
      </w:pPr>
      <w:r>
        <w:rPr>
          <w:rFonts w:hint="eastAsia" w:ascii="仿宋" w:hAnsi="仿宋" w:eastAsia="仿宋" w:cs="楷体_GB2312"/>
          <w:b/>
          <w:bCs/>
          <w:color w:val="000000" w:themeColor="text1"/>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我局在年初预算编制阶段，组织对2018年红原森林公安局林业发展资金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本部门按要求对2018年部门整体支出开展绩效自评，从评价情况来看我局2018年部门整体支出良好。本部门还自行组织了1个项目绩效评价，从评价情况来看项目整体绩效目标达到预定目标完成时效达成预期目标。</w:t>
      </w:r>
    </w:p>
    <w:p>
      <w:pPr>
        <w:numPr>
          <w:ilvl w:val="0"/>
          <w:numId w:val="4"/>
        </w:numPr>
        <w:spacing w:line="580" w:lineRule="exact"/>
        <w:ind w:firstLine="643" w:firstLineChars="200"/>
        <w:rPr>
          <w:rFonts w:ascii="仿宋_GB2312" w:hAnsi="仿宋_GB2312" w:eastAsia="仿宋_GB2312" w:cs="仿宋_GB2312"/>
          <w:color w:val="000000" w:themeColor="text1"/>
          <w:sz w:val="32"/>
          <w:szCs w:val="32"/>
        </w:rPr>
      </w:pPr>
      <w:r>
        <w:rPr>
          <w:rFonts w:hint="eastAsia" w:ascii="仿宋" w:hAnsi="仿宋" w:eastAsia="仿宋" w:cs="楷体_GB2312"/>
          <w:b/>
          <w:bCs/>
          <w:color w:val="000000" w:themeColor="text1"/>
          <w:sz w:val="32"/>
          <w:szCs w:val="32"/>
        </w:rPr>
        <w:t>项目绩效目标完成情况。</w:t>
      </w:r>
      <w:r>
        <w:rPr>
          <w:rFonts w:hint="eastAsia" w:ascii="楷体_GB2312" w:hAnsi="楷体_GB2312" w:eastAsia="楷体_GB2312" w:cs="楷体_GB2312"/>
          <w:b/>
          <w:bCs/>
          <w:color w:val="000000" w:themeColor="text1"/>
          <w:sz w:val="32"/>
          <w:szCs w:val="32"/>
        </w:rPr>
        <w:br w:type="textWrapping"/>
      </w:r>
      <w:r>
        <w:rPr>
          <w:rFonts w:hint="eastAsia" w:ascii="仿宋_GB2312" w:hAnsi="仿宋_GB2312" w:eastAsia="仿宋_GB2312" w:cs="仿宋_GB2312"/>
          <w:color w:val="000000" w:themeColor="text1"/>
          <w:sz w:val="32"/>
          <w:szCs w:val="32"/>
        </w:rPr>
        <w:t xml:space="preserve">    本部门在2018年度部门决算中反映2018年红原县森林公安局林业发展资金项目绩效目标实际完成情况。</w:t>
      </w:r>
    </w:p>
    <w:p>
      <w:pPr>
        <w:numPr>
          <w:ilvl w:val="0"/>
          <w:numId w:val="5"/>
        </w:num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2018年红原县森林公安局林业发展资金项目绩效目标完成情况综述。项目全年预算数15万元，执行数为15万元，完成预算的100%。通过项目实施，为我局办案经费以及业务装备提供了充足的资金保障，发现的主要问题：对于整个资金各个环节监控还需加强。下一步改进措施：细化资金监控相关制度并严格执行。</w:t>
      </w:r>
    </w:p>
    <w:tbl>
      <w:tblPr>
        <w:tblStyle w:val="15"/>
        <w:tblW w:w="9522" w:type="dxa"/>
        <w:tblInd w:w="0" w:type="dxa"/>
        <w:tblLayout w:type="fixed"/>
        <w:tblCellMar>
          <w:top w:w="15" w:type="dxa"/>
          <w:left w:w="15" w:type="dxa"/>
          <w:bottom w:w="15" w:type="dxa"/>
          <w:right w:w="15" w:type="dxa"/>
        </w:tblCellMar>
      </w:tblPr>
      <w:tblGrid>
        <w:gridCol w:w="449"/>
        <w:gridCol w:w="764"/>
        <w:gridCol w:w="1048"/>
        <w:gridCol w:w="873"/>
        <w:gridCol w:w="1073"/>
        <w:gridCol w:w="1752"/>
        <w:gridCol w:w="1569"/>
        <w:gridCol w:w="1994"/>
      </w:tblGrid>
      <w:tr>
        <w:tblPrEx>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2018年红原县森林公安局林业发展资金项目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红原县森林公安局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15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15</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15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15</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0</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年度目标完成情况</w:t>
            </w:r>
          </w:p>
        </w:tc>
        <w:tc>
          <w:tcPr>
            <w:tcW w:w="26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预期目标</w:t>
            </w:r>
          </w:p>
        </w:tc>
        <w:tc>
          <w:tcPr>
            <w:tcW w:w="63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26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完成2018年度森林资源保护、森林资源培育、生态保护体系的建设。</w:t>
            </w:r>
          </w:p>
        </w:tc>
        <w:tc>
          <w:tcPr>
            <w:tcW w:w="63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已完成2018年度森林资源保护、森林资源培育、生态保护体系的建设。</w:t>
            </w: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 w:val="24"/>
              </w:rPr>
            </w:pPr>
            <w:r>
              <w:rPr>
                <w:rFonts w:hint="eastAsia" w:ascii="仿宋_GB2312" w:hAnsi="宋体" w:eastAsia="仿宋_GB2312" w:cs="仿宋_GB2312"/>
                <w:color w:val="000000" w:themeColor="text1"/>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二级指标</w:t>
            </w:r>
          </w:p>
        </w:tc>
        <w:tc>
          <w:tcPr>
            <w:tcW w:w="87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三级指标</w:t>
            </w:r>
          </w:p>
        </w:tc>
        <w:tc>
          <w:tcPr>
            <w:tcW w:w="28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指标评价内容</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预期指标值(包含数字及文字描述)</w:t>
            </w:r>
          </w:p>
        </w:tc>
        <w:tc>
          <w:tcPr>
            <w:tcW w:w="199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实际完成指标值(包含数字及文字描述)</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2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99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2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99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目标内容</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项目预期提供的产品、服务、效益或其他目标明确,即绩效目标实际明确个数/应当明确个数×100%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开展专项行动不少于4次</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开展专项行动4次以上</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进度计划</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项目计划实施进度明确</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themeColor="text1"/>
                <w:sz w:val="20"/>
                <w:szCs w:val="20"/>
              </w:rPr>
            </w:pPr>
            <w:r>
              <w:rPr>
                <w:rFonts w:hint="eastAsia" w:ascii="宋体" w:hAnsi="宋体" w:cs="宋体"/>
                <w:color w:val="000000" w:themeColor="text1"/>
                <w:sz w:val="20"/>
                <w:szCs w:val="20"/>
              </w:rPr>
              <w:t>完成2018年度</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0"/>
                <w:szCs w:val="20"/>
              </w:rPr>
              <w:t>按规定完成</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目标匹配</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绩效目标设定符合实际需求的抽样项目点个数/抽样项目点总数×100%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决策依据</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政策依据</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项目符合党中央、国务院和省委、省政府决策部署；符合当前经济社会发展需要</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0"/>
                <w:szCs w:val="20"/>
              </w:rPr>
              <w:t>符合</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0"/>
                <w:szCs w:val="20"/>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连续性项目根据需要制定中长期实施规划</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实施规划符合实际，并根据情况变化适时调整</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管理制度</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制定项目资金管理办法</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项目资金分配决策程序明确</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分配方法</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资金分配方法是否科学合理</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分配过程符合相关规定</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分配结果</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审核把关</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符合申报条件的抽样项目点个数/抽样项目点总数×100%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资金集中</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财政资金占项目资金总额比重较小项目个数/项目总数×100%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按实际分配结果选择客观因素测算验证资金分配方法制定、分配要素设定、基础数据应用、测算依据选取等是否科学合理</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 资金到位</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分配时效</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县级主管部门按规定及时分配资金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资金拨付</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按规定及时拨付资金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按进度拨付</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按进度拨付</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kern w:val="0"/>
                <w:sz w:val="20"/>
                <w:szCs w:val="20"/>
              </w:rPr>
            </w:pPr>
            <w:r>
              <w:rPr>
                <w:rFonts w:hint="eastAsia" w:ascii="宋体" w:hAnsi="宋体" w:cs="宋体"/>
                <w:color w:val="000000" w:themeColor="text1"/>
                <w:kern w:val="0"/>
                <w:sz w:val="20"/>
                <w:szCs w:val="20"/>
              </w:rPr>
              <w:t xml:space="preserve">资金管理  </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使用范围</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资金使用是否合规</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593" w:hRule="exac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支付依据</w:t>
            </w:r>
          </w:p>
          <w:p>
            <w:pPr>
              <w:widowControl/>
              <w:jc w:val="center"/>
              <w:textAlignment w:val="bottom"/>
              <w:rPr>
                <w:rFonts w:ascii="宋体" w:hAnsi="宋体" w:cs="宋体"/>
                <w:color w:val="000000" w:themeColor="text1"/>
                <w:sz w:val="20"/>
                <w:szCs w:val="20"/>
              </w:rPr>
            </w:pP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资金支付依据符合规定，即支付依据合规资金量/资金总量×1100%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开支标准</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资金开支标准符合规定，即开支标准合规资金量/资金总量×100%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财务管理</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财务制度健全，管理规范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会计核算规范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组织实施</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项目调整严格履行相关手续</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投资变更</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项目投资变更额/项目总投入×100%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制度执行</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严格执行项目有关制度规定</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项目绩效（40分）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项目完成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完成数量</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实际完成任务量/绩效目标设定任务量×100%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完成质量</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符合绩效目标设定的验收标准，达到行业基准水平</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完成时效</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（实际完成时间-绩效目标设定完成时间）/绩效目标设定完成时间×100%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完成成本</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（实际完成成本-预计完成成本）/预计完成成本×100%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项目效益</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经济效益</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反映相关产出对经济社会发展带来的影响和效果，根据项目实际细化具体指标。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为国家挽回经济损失</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为国家挽回经济损失</w:t>
            </w:r>
            <w:r>
              <w:rPr>
                <w:rFonts w:ascii="宋体" w:hAnsi="宋体" w:cs="宋体"/>
                <w:color w:val="000000" w:themeColor="text1"/>
                <w:kern w:val="0"/>
                <w:sz w:val="20"/>
                <w:szCs w:val="20"/>
              </w:rPr>
              <w:t>50</w:t>
            </w:r>
            <w:r>
              <w:rPr>
                <w:rFonts w:hint="eastAsia" w:ascii="宋体" w:hAnsi="宋体" w:cs="宋体"/>
                <w:color w:val="000000" w:themeColor="text1"/>
                <w:kern w:val="0"/>
                <w:sz w:val="20"/>
                <w:szCs w:val="20"/>
              </w:rPr>
              <w:t>余万元</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社会效益</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反映相关产出对社会发展带来的影响和效果，根据项目实际细化具体指标。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themeColor="text1"/>
                <w:sz w:val="20"/>
                <w:szCs w:val="20"/>
              </w:rPr>
            </w:pPr>
            <w:r>
              <w:rPr>
                <w:rFonts w:hint="eastAsia" w:ascii="宋体" w:hAnsi="宋体" w:cs="宋体"/>
                <w:color w:val="000000" w:themeColor="text1"/>
                <w:sz w:val="20"/>
                <w:szCs w:val="20"/>
              </w:rPr>
              <w:t>确保所在辖区内人民生活环境良好</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确保所在辖区内人民生活环境良好</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生态效益</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反映相关产出对自然环境带来的影响和效果，根据项目实际细化具体指标。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确保所在辖区内人民生活环境良好</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确保所在辖区内人民生活环境良好</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可持续效益</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反映相关产出带来影响的可持续期限，根据项目实际细化具体指标。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themeColor="text1"/>
                <w:sz w:val="20"/>
                <w:szCs w:val="20"/>
              </w:rPr>
            </w:pPr>
            <w:r>
              <w:rPr>
                <w:rFonts w:hint="eastAsia" w:ascii="宋体" w:hAnsi="宋体" w:cs="宋体"/>
                <w:color w:val="000000" w:themeColor="text1"/>
                <w:sz w:val="20"/>
                <w:szCs w:val="20"/>
              </w:rPr>
              <w:t>确保所在辖区内珍贵动植物不受迫害</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确保所在辖区内珍贵动植物不受迫害</w:t>
            </w: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满意度</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服务对象满意度</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反映服务对象或项目受益人对相关产出及其影响的认可程度，根据项目实际细化具体指标。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0"/>
                <w:szCs w:val="20"/>
              </w:rPr>
              <w:t>群众满意度高，</w:t>
            </w:r>
          </w:p>
        </w:tc>
        <w:tc>
          <w:tcPr>
            <w:tcW w:w="1994"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0"/>
                <w:szCs w:val="20"/>
              </w:rPr>
              <w:t>群众满意度高，</w:t>
            </w:r>
          </w:p>
        </w:tc>
      </w:tr>
    </w:tbl>
    <w:p>
      <w:pPr>
        <w:rPr>
          <w:rFonts w:ascii="Calibri" w:hAnsi="Calibri"/>
          <w:color w:val="FF0000"/>
        </w:rPr>
      </w:pPr>
    </w:p>
    <w:p>
      <w:pPr>
        <w:spacing w:line="580" w:lineRule="exact"/>
        <w:rPr>
          <w:rFonts w:ascii="仿宋_GB2312" w:hAnsi="仿宋_GB2312" w:eastAsia="仿宋_GB2312" w:cs="仿宋_GB2312"/>
          <w:color w:val="FF0000"/>
          <w:sz w:val="32"/>
          <w:szCs w:val="32"/>
        </w:rPr>
      </w:pPr>
    </w:p>
    <w:p>
      <w:pPr>
        <w:numPr>
          <w:ilvl w:val="0"/>
          <w:numId w:val="4"/>
        </w:numPr>
        <w:spacing w:line="580" w:lineRule="exact"/>
        <w:ind w:firstLine="643" w:firstLineChars="200"/>
        <w:rPr>
          <w:rFonts w:ascii="仿宋" w:hAnsi="仿宋" w:eastAsia="仿宋" w:cs="仿宋_GB2312"/>
          <w:color w:val="000000" w:themeColor="text1"/>
          <w:sz w:val="32"/>
          <w:szCs w:val="32"/>
        </w:rPr>
      </w:pPr>
      <w:r>
        <w:rPr>
          <w:rFonts w:hint="eastAsia" w:ascii="仿宋" w:hAnsi="仿宋" w:eastAsia="仿宋" w:cs="楷体_GB2312"/>
          <w:b/>
          <w:bCs/>
          <w:color w:val="000000" w:themeColor="text1"/>
          <w:sz w:val="32"/>
          <w:szCs w:val="32"/>
        </w:rPr>
        <w:t>部门开展绩效评价结果。</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本部门按要求对2018年部门整体支出绩效评价情况开展自评，《红原县森林公安局2018年部门整体支出绩效评价报告》见附件。</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本部门自行组织对红原县森林公安局林业发展资金项目开展了绩效评价，《红原县森林公安局项目2018年绩效评价报告》见附件。</w:t>
      </w:r>
    </w:p>
    <w:p>
      <w:pPr>
        <w:spacing w:line="600" w:lineRule="exact"/>
        <w:ind w:firstLine="800" w:firstLineChars="250"/>
        <w:outlineLvl w:val="1"/>
        <w:rPr>
          <w:rStyle w:val="25"/>
          <w:rFonts w:ascii="黑体" w:hAnsi="黑体" w:eastAsia="黑体"/>
        </w:rPr>
      </w:pPr>
      <w:bookmarkStart w:id="51" w:name="_Toc15377221"/>
      <w:bookmarkStart w:id="52" w:name="_Toc15396612"/>
      <w:r>
        <w:rPr>
          <w:rFonts w:hint="eastAsia" w:ascii="黑体" w:hAnsi="黑体" w:eastAsia="黑体"/>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1"/>
      <w:bookmarkEnd w:id="52"/>
    </w:p>
    <w:p>
      <w:pPr>
        <w:spacing w:line="600" w:lineRule="exact"/>
        <w:ind w:firstLine="643" w:firstLineChars="200"/>
        <w:outlineLvl w:val="2"/>
        <w:rPr>
          <w:rFonts w:ascii="仿宋" w:hAnsi="仿宋" w:eastAsia="仿宋"/>
          <w:sz w:val="32"/>
          <w:szCs w:val="32"/>
        </w:rPr>
      </w:pPr>
      <w:bookmarkStart w:id="53" w:name="_Toc15377222"/>
      <w:r>
        <w:rPr>
          <w:rFonts w:hint="eastAsia" w:ascii="仿宋" w:hAnsi="仿宋" w:eastAsia="仿宋"/>
          <w:b/>
          <w:sz w:val="32"/>
          <w:szCs w:val="32"/>
        </w:rPr>
        <w:t>（一）机关运行经费支出情况</w:t>
      </w:r>
      <w:bookmarkEnd w:id="53"/>
    </w:p>
    <w:p>
      <w:pPr>
        <w:spacing w:line="600"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8年，红原县森林公安局机关运行经费支出58.38万元，比</w:t>
      </w:r>
      <w:r>
        <w:rPr>
          <w:rFonts w:ascii="仿宋_GB2312" w:eastAsia="仿宋_GB2312"/>
          <w:sz w:val="32"/>
          <w:szCs w:val="32"/>
        </w:rPr>
        <w:t>201</w:t>
      </w:r>
      <w:r>
        <w:rPr>
          <w:rFonts w:hint="eastAsia" w:ascii="仿宋_GB2312" w:eastAsia="仿宋_GB2312"/>
          <w:sz w:val="32"/>
          <w:szCs w:val="32"/>
        </w:rPr>
        <w:t>7年增加20.41万元，增长53.</w:t>
      </w:r>
      <w:r>
        <w:rPr>
          <w:rFonts w:ascii="仿宋_GB2312" w:eastAsia="仿宋_GB2312"/>
          <w:sz w:val="32"/>
          <w:szCs w:val="32"/>
        </w:rPr>
        <w:t>75%</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rPr>
      </w:pPr>
      <w:bookmarkStart w:id="54" w:name="_Toc15377223"/>
      <w:r>
        <w:rPr>
          <w:rFonts w:hint="eastAsia" w:ascii="仿宋" w:hAnsi="仿宋" w:eastAsia="仿宋"/>
          <w:b/>
          <w:color w:val="000000" w:themeColor="text1"/>
          <w:sz w:val="32"/>
          <w:szCs w:val="32"/>
        </w:rPr>
        <w:t>（二）政府采购支出情况</w:t>
      </w:r>
      <w:bookmarkEnd w:id="54"/>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8年，政府采购支出总额</w:t>
      </w:r>
      <w:r>
        <w:rPr>
          <w:rFonts w:ascii="仿宋_GB2312" w:eastAsia="仿宋_GB2312"/>
          <w:color w:val="000000" w:themeColor="text1"/>
          <w:sz w:val="32"/>
          <w:szCs w:val="32"/>
        </w:rPr>
        <w:t>0</w:t>
      </w:r>
      <w:r>
        <w:rPr>
          <w:rFonts w:hint="eastAsia" w:ascii="仿宋_GB2312" w:eastAsia="仿宋_GB2312"/>
          <w:color w:val="000000" w:themeColor="text1"/>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rPr>
      </w:pPr>
      <w:bookmarkStart w:id="55" w:name="_Toc15377224"/>
      <w:r>
        <w:rPr>
          <w:rFonts w:hint="eastAsia" w:ascii="仿宋" w:hAnsi="仿宋" w:eastAsia="仿宋"/>
          <w:b/>
          <w:color w:val="000000" w:themeColor="text1"/>
          <w:sz w:val="32"/>
          <w:szCs w:val="32"/>
        </w:rPr>
        <w:t>（三）国有资产占有使用情况</w:t>
      </w:r>
      <w:bookmarkEnd w:id="55"/>
    </w:p>
    <w:p>
      <w:pPr>
        <w:autoSpaceDE w:val="0"/>
        <w:autoSpaceDN w:val="0"/>
        <w:adjustRightInd w:val="0"/>
        <w:spacing w:line="60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截至</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w:t>
      </w:r>
      <w:r>
        <w:rPr>
          <w:rFonts w:ascii="仿宋_GB2312" w:eastAsia="仿宋_GB2312"/>
          <w:color w:val="000000" w:themeColor="text1"/>
          <w:sz w:val="32"/>
          <w:szCs w:val="32"/>
        </w:rPr>
        <w:t>12</w:t>
      </w:r>
      <w:r>
        <w:rPr>
          <w:rFonts w:hint="eastAsia" w:ascii="仿宋_GB2312" w:eastAsia="仿宋_GB2312"/>
          <w:color w:val="000000" w:themeColor="text1"/>
          <w:sz w:val="32"/>
          <w:szCs w:val="32"/>
        </w:rPr>
        <w:t>月</w:t>
      </w:r>
      <w:r>
        <w:rPr>
          <w:rFonts w:ascii="仿宋_GB2312" w:eastAsia="仿宋_GB2312"/>
          <w:color w:val="000000" w:themeColor="text1"/>
          <w:sz w:val="32"/>
          <w:szCs w:val="32"/>
        </w:rPr>
        <w:t>31</w:t>
      </w:r>
      <w:r>
        <w:rPr>
          <w:rFonts w:hint="eastAsia" w:ascii="仿宋_GB2312" w:eastAsia="仿宋_GB2312"/>
          <w:color w:val="000000" w:themeColor="text1"/>
          <w:sz w:val="32"/>
          <w:szCs w:val="32"/>
        </w:rPr>
        <w:t>日，我单位共有车辆3辆，其中：部级领导干部用车</w:t>
      </w:r>
      <w:r>
        <w:rPr>
          <w:rFonts w:ascii="仿宋_GB2312" w:eastAsia="仿宋_GB2312"/>
          <w:color w:val="000000" w:themeColor="text1"/>
          <w:sz w:val="32"/>
          <w:szCs w:val="32"/>
        </w:rPr>
        <w:t>0</w:t>
      </w:r>
      <w:r>
        <w:rPr>
          <w:rFonts w:hint="eastAsia" w:ascii="仿宋_GB2312" w:eastAsia="仿宋_GB2312"/>
          <w:color w:val="000000" w:themeColor="text1"/>
          <w:sz w:val="32"/>
          <w:szCs w:val="32"/>
        </w:rPr>
        <w:t>辆、一般公务用车</w:t>
      </w:r>
      <w:r>
        <w:rPr>
          <w:rFonts w:ascii="仿宋_GB2312" w:eastAsia="仿宋_GB2312"/>
          <w:color w:val="000000" w:themeColor="text1"/>
          <w:sz w:val="32"/>
          <w:szCs w:val="32"/>
        </w:rPr>
        <w:t>0</w:t>
      </w:r>
      <w:r>
        <w:rPr>
          <w:rFonts w:hint="eastAsia" w:ascii="仿宋_GB2312" w:eastAsia="仿宋_GB2312"/>
          <w:color w:val="000000" w:themeColor="text1"/>
          <w:sz w:val="32"/>
          <w:szCs w:val="32"/>
        </w:rPr>
        <w:t>辆、一般执法执勤用车3辆、特种专业技术用车</w:t>
      </w:r>
      <w:r>
        <w:rPr>
          <w:rFonts w:ascii="仿宋_GB2312" w:eastAsia="仿宋_GB2312"/>
          <w:color w:val="000000" w:themeColor="text1"/>
          <w:sz w:val="32"/>
          <w:szCs w:val="32"/>
        </w:rPr>
        <w:t>0</w:t>
      </w:r>
      <w:r>
        <w:rPr>
          <w:rFonts w:hint="eastAsia" w:ascii="仿宋_GB2312" w:eastAsia="仿宋_GB2312"/>
          <w:color w:val="000000" w:themeColor="text1"/>
          <w:sz w:val="32"/>
          <w:szCs w:val="32"/>
        </w:rPr>
        <w:t>辆、其他用车</w:t>
      </w:r>
      <w:r>
        <w:rPr>
          <w:rFonts w:ascii="仿宋_GB2312" w:eastAsia="仿宋_GB2312"/>
          <w:color w:val="000000" w:themeColor="text1"/>
          <w:sz w:val="32"/>
          <w:szCs w:val="32"/>
        </w:rPr>
        <w:t>0</w:t>
      </w:r>
      <w:r>
        <w:rPr>
          <w:rFonts w:hint="eastAsia" w:ascii="仿宋_GB2312" w:eastAsia="仿宋_GB2312"/>
          <w:color w:val="000000" w:themeColor="text1"/>
          <w:sz w:val="32"/>
          <w:szCs w:val="32"/>
        </w:rPr>
        <w:t>辆。单价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ascii="仿宋_GB2312" w:eastAsia="仿宋_GB2312"/>
          <w:color w:val="000000" w:themeColor="text1"/>
          <w:sz w:val="32"/>
          <w:szCs w:val="32"/>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w:t>
      </w:r>
      <w:r>
        <w:rPr>
          <w:rFonts w:hint="eastAsia" w:ascii="仿宋_GB2312" w:eastAsia="仿宋_GB2312"/>
          <w:color w:val="000000" w:themeColor="text1"/>
          <w:sz w:val="32"/>
          <w:szCs w:val="32"/>
        </w:rPr>
        <w:t>0万元以上专用设备</w:t>
      </w:r>
      <w:r>
        <w:rPr>
          <w:rFonts w:ascii="仿宋_GB2312" w:eastAsia="仿宋_GB2312"/>
          <w:color w:val="000000" w:themeColor="text1"/>
          <w:sz w:val="32"/>
          <w:szCs w:val="32"/>
        </w:rPr>
        <w:t>0</w:t>
      </w:r>
      <w:r>
        <w:rPr>
          <w:rFonts w:hint="eastAsia" w:ascii="仿宋_GB2312" w:eastAsia="仿宋_GB2312"/>
          <w:color w:val="000000" w:themeColor="text1"/>
          <w:sz w:val="32"/>
          <w:szCs w:val="32"/>
        </w:rPr>
        <w:t>台（套）。</w:t>
      </w:r>
      <w:r>
        <w:rPr>
          <w:rFonts w:ascii="仿宋_GB2312" w:eastAsia="仿宋_GB2312"/>
          <w:b/>
          <w:color w:val="000000" w:themeColor="text1"/>
          <w:sz w:val="32"/>
          <w:szCs w:val="32"/>
        </w:rPr>
        <w:br w:type="page"/>
      </w:r>
    </w:p>
    <w:p>
      <w:pPr>
        <w:numPr>
          <w:ilvl w:val="0"/>
          <w:numId w:val="6"/>
        </w:numPr>
        <w:spacing w:line="600" w:lineRule="exact"/>
        <w:ind w:firstLine="663" w:firstLineChars="150"/>
        <w:jc w:val="center"/>
        <w:outlineLvl w:val="0"/>
        <w:rPr>
          <w:rStyle w:val="24"/>
          <w:rFonts w:ascii="黑体" w:hAnsi="黑体" w:eastAsia="黑体"/>
          <w:b w:val="0"/>
          <w:color w:val="000000" w:themeColor="text1"/>
        </w:rPr>
      </w:pPr>
      <w:bookmarkStart w:id="56" w:name="_Toc15396613"/>
      <w:bookmarkStart w:id="57" w:name="_Toc15377225"/>
      <w:r>
        <w:rPr>
          <w:rFonts w:hint="eastAsia" w:ascii="黑体" w:hAnsi="黑体" w:eastAsia="黑体"/>
          <w:b/>
          <w:color w:val="000000" w:themeColor="text1"/>
          <w:sz w:val="44"/>
          <w:szCs w:val="44"/>
        </w:rPr>
        <w:t>名</w:t>
      </w:r>
      <w:r>
        <w:rPr>
          <w:rStyle w:val="24"/>
          <w:rFonts w:hint="eastAsia" w:ascii="黑体" w:hAnsi="黑体" w:eastAsia="黑体"/>
          <w:b w:val="0"/>
          <w:color w:val="000000" w:themeColor="text1"/>
        </w:rPr>
        <w:t>词解释</w:t>
      </w:r>
      <w:bookmarkEnd w:id="56"/>
      <w:bookmarkEnd w:id="57"/>
    </w:p>
    <w:p>
      <w:pPr>
        <w:spacing w:line="600" w:lineRule="exact"/>
        <w:jc w:val="left"/>
        <w:rPr>
          <w:rFonts w:ascii="宋体"/>
          <w:b/>
          <w:color w:val="000000" w:themeColor="text1"/>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9</w:t>
      </w:r>
      <w:r>
        <w:rPr>
          <w:rFonts w:hint="eastAsia" w:ascii="仿宋_GB2312" w:eastAsia="仿宋_GB2312"/>
          <w:color w:val="000000" w:themeColor="text1"/>
          <w:sz w:val="32"/>
          <w:szCs w:val="32"/>
        </w:rPr>
        <w:t>．</w:t>
      </w:r>
      <w:r>
        <w:rPr>
          <w:rFonts w:ascii="仿宋_GB2312" w:eastAsia="仿宋_GB2312"/>
          <w:color w:val="000000" w:themeColor="text1"/>
          <w:sz w:val="32"/>
          <w:szCs w:val="32"/>
        </w:rPr>
        <w:t>2040201</w:t>
      </w:r>
      <w:r>
        <w:rPr>
          <w:rFonts w:hint="eastAsia" w:ascii="仿宋_GB2312" w:eastAsia="仿宋_GB2312"/>
          <w:color w:val="000000" w:themeColor="text1"/>
          <w:sz w:val="32"/>
          <w:szCs w:val="32"/>
        </w:rPr>
        <w:t>-行政运行支出</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公安行政单位（包括实行公务员管理的事业单位）的基本支出。</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10</w:t>
      </w:r>
      <w:r>
        <w:rPr>
          <w:rFonts w:hint="eastAsia" w:ascii="仿宋_GB2312" w:eastAsia="仿宋_GB2312"/>
          <w:color w:val="000000" w:themeColor="text1"/>
          <w:sz w:val="32"/>
          <w:szCs w:val="32"/>
        </w:rPr>
        <w:t xml:space="preserve">. </w:t>
      </w:r>
      <w:r>
        <w:rPr>
          <w:rFonts w:ascii="仿宋_GB2312" w:hAnsi="Calibri" w:eastAsia="仿宋_GB2312" w:cs="仿宋"/>
          <w:color w:val="000000" w:themeColor="text1"/>
          <w:kern w:val="0"/>
          <w:sz w:val="32"/>
          <w:szCs w:val="32"/>
        </w:rPr>
        <w:t>2040202</w:t>
      </w:r>
      <w:r>
        <w:rPr>
          <w:rFonts w:hint="eastAsia" w:ascii="仿宋_GB2312" w:hAnsi="Calibri" w:eastAsia="仿宋_GB2312" w:cs="仿宋"/>
          <w:color w:val="000000" w:themeColor="text1"/>
          <w:kern w:val="0"/>
          <w:sz w:val="32"/>
          <w:szCs w:val="32"/>
        </w:rPr>
        <w:t>-一般行政管理事务支出</w:t>
      </w:r>
      <w:r>
        <w:rPr>
          <w:rFonts w:ascii="仿宋_GB2312" w:hAnsi="Calibri" w:eastAsia="仿宋_GB2312" w:cs="仿宋"/>
          <w:color w:val="000000" w:themeColor="text1"/>
          <w:kern w:val="0"/>
          <w:sz w:val="32"/>
          <w:szCs w:val="32"/>
        </w:rPr>
        <w:t>:</w:t>
      </w:r>
      <w:r>
        <w:rPr>
          <w:rFonts w:ascii="仿宋_GB2312" w:eastAsia="仿宋_GB2312"/>
          <w:color w:val="000000" w:themeColor="text1"/>
          <w:sz w:val="32"/>
          <w:szCs w:val="32"/>
        </w:rPr>
        <w:t xml:space="preserve"> 指</w:t>
      </w:r>
      <w:r>
        <w:rPr>
          <w:rFonts w:hint="eastAsia" w:ascii="仿宋_GB2312" w:eastAsia="仿宋_GB2312"/>
          <w:color w:val="000000" w:themeColor="text1"/>
          <w:sz w:val="32"/>
          <w:szCs w:val="32"/>
        </w:rPr>
        <w:t>反映行政单位（包括实行公务员管理的事业单位）</w:t>
      </w:r>
      <w:r>
        <w:rPr>
          <w:rFonts w:ascii="仿宋_GB2312" w:eastAsia="仿宋_GB2312"/>
          <w:color w:val="000000" w:themeColor="text1"/>
          <w:sz w:val="32"/>
          <w:szCs w:val="32"/>
        </w:rPr>
        <w:t>未单独设置项级科目的其他项目支出</w:t>
      </w:r>
      <w:r>
        <w:rPr>
          <w:rFonts w:hint="eastAsia" w:ascii="仿宋_GB2312" w:eastAsia="仿宋_GB2312"/>
          <w:color w:val="000000" w:themeColor="text1"/>
          <w:sz w:val="32"/>
          <w:szCs w:val="32"/>
        </w:rPr>
        <w:t>。</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11</w:t>
      </w:r>
      <w:r>
        <w:rPr>
          <w:rFonts w:hint="eastAsia" w:ascii="仿宋_GB2312" w:eastAsia="仿宋_GB2312"/>
          <w:color w:val="000000" w:themeColor="text1"/>
          <w:sz w:val="32"/>
          <w:szCs w:val="32"/>
        </w:rPr>
        <w:t>. 2080505-</w:t>
      </w:r>
      <w:r>
        <w:rPr>
          <w:rFonts w:ascii="仿宋_GB2312" w:eastAsia="仿宋_GB2312"/>
          <w:color w:val="000000" w:themeColor="text1"/>
          <w:sz w:val="32"/>
          <w:szCs w:val="32"/>
        </w:rPr>
        <w:t xml:space="preserve"> </w:t>
      </w:r>
      <w:r>
        <w:rPr>
          <w:rFonts w:hint="eastAsia" w:ascii="仿宋_GB2312" w:eastAsia="仿宋_GB2312"/>
          <w:color w:val="000000" w:themeColor="text1"/>
          <w:sz w:val="32"/>
          <w:szCs w:val="32"/>
        </w:rPr>
        <w:t>机关事业单位基本养老保险缴费支出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反映机关事业实施养老保险制度由单位缴纳的基本养老保险支出。</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12</w:t>
      </w:r>
      <w:r>
        <w:rPr>
          <w:rFonts w:hint="eastAsia" w:ascii="仿宋_GB2312" w:eastAsia="仿宋_GB2312"/>
          <w:color w:val="000000" w:themeColor="text1"/>
          <w:sz w:val="32"/>
          <w:szCs w:val="32"/>
        </w:rPr>
        <w:t>. 2080506-机关事业单位职业年金缴费支出</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反映机关事业</w:t>
      </w:r>
      <w:r>
        <w:rPr>
          <w:rFonts w:ascii="仿宋_GB2312" w:eastAsia="仿宋_GB2312"/>
          <w:color w:val="000000" w:themeColor="text1"/>
          <w:sz w:val="32"/>
          <w:szCs w:val="32"/>
        </w:rPr>
        <w:t>单位实施养老保险制度由单位实际缴纳的职业年金支出。</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13</w:t>
      </w:r>
      <w:r>
        <w:rPr>
          <w:rFonts w:hint="eastAsia" w:ascii="仿宋_GB2312" w:eastAsia="仿宋_GB2312"/>
          <w:color w:val="000000" w:themeColor="text1"/>
          <w:sz w:val="32"/>
          <w:szCs w:val="32"/>
        </w:rPr>
        <w:t>．2080801-死亡抚恤支出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反映按规定用于烈士和牺牲、病故人员家属的一次性和定期抚恤金以及丧葬补助费。</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14</w:t>
      </w:r>
      <w:r>
        <w:rPr>
          <w:rFonts w:ascii="仿宋_GB2312" w:eastAsia="仿宋_GB2312"/>
          <w:color w:val="000000" w:themeColor="text1"/>
          <w:sz w:val="32"/>
          <w:szCs w:val="32"/>
        </w:rPr>
        <w:t>.</w:t>
      </w:r>
      <w:r>
        <w:rPr>
          <w:rFonts w:hint="eastAsia" w:ascii="仿宋_GB2312" w:eastAsia="仿宋_GB2312"/>
          <w:color w:val="000000" w:themeColor="text1"/>
        </w:rPr>
        <w:t xml:space="preserve"> </w:t>
      </w:r>
      <w:r>
        <w:rPr>
          <w:rFonts w:ascii="仿宋_GB2312" w:eastAsia="仿宋_GB2312"/>
          <w:color w:val="000000" w:themeColor="text1"/>
          <w:sz w:val="32"/>
          <w:szCs w:val="32"/>
        </w:rPr>
        <w:t>2101101</w:t>
      </w:r>
      <w:r>
        <w:rPr>
          <w:rFonts w:hint="eastAsia" w:ascii="仿宋_GB2312" w:eastAsia="仿宋_GB2312"/>
          <w:color w:val="000000" w:themeColor="text1"/>
          <w:sz w:val="32"/>
          <w:szCs w:val="32"/>
        </w:rPr>
        <w:t>-行政单位医疗支出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反映财政部门集中安排的行政单位基本医疗保险缴费经费，未参加医疗保险的行政单位的公共医疗经费按，国家规定享受离休人员待遇的医疗经费。</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15</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2101103</w:t>
      </w:r>
      <w:r>
        <w:rPr>
          <w:rFonts w:hint="eastAsia" w:ascii="仿宋_GB2312" w:eastAsia="仿宋_GB2312"/>
          <w:color w:val="000000" w:themeColor="text1"/>
          <w:sz w:val="32"/>
          <w:szCs w:val="32"/>
        </w:rPr>
        <w:t>-公务员医疗补助支出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 xml:space="preserve">反映财政部门集中安排的公务员医疗补助经费。 </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16</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2110501</w:t>
      </w:r>
      <w:r>
        <w:rPr>
          <w:rFonts w:hint="eastAsia" w:ascii="仿宋_GB2312" w:eastAsia="仿宋_GB2312"/>
          <w:color w:val="000000" w:themeColor="text1"/>
          <w:sz w:val="32"/>
          <w:szCs w:val="32"/>
        </w:rPr>
        <w:t>-森林管护支出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反映专项用于森林资源管护所发生的各项补助支出。</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17</w:t>
      </w:r>
      <w:r>
        <w:rPr>
          <w:rFonts w:hint="eastAsia" w:ascii="仿宋_GB2312" w:eastAsia="仿宋_GB2312"/>
          <w:color w:val="000000" w:themeColor="text1"/>
          <w:sz w:val="32"/>
          <w:szCs w:val="32"/>
        </w:rPr>
        <w:t>．</w:t>
      </w:r>
      <w:r>
        <w:rPr>
          <w:rFonts w:ascii="仿宋_GB2312" w:eastAsia="仿宋_GB2312"/>
          <w:color w:val="000000" w:themeColor="text1"/>
          <w:sz w:val="32"/>
          <w:szCs w:val="32"/>
        </w:rPr>
        <w:t>2130211</w:t>
      </w:r>
      <w:r>
        <w:rPr>
          <w:rFonts w:hint="eastAsia" w:ascii="仿宋_GB2312" w:eastAsia="仿宋_GB2312"/>
          <w:color w:val="000000" w:themeColor="text1"/>
          <w:sz w:val="32"/>
          <w:szCs w:val="32"/>
        </w:rPr>
        <w:t>-动植物保护支出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反映动植物资源及其生存环境调查、监测，动植物资源保护管理，野外放归、巡护，濒危野生动物拯救、繁育，野生动物疫源病检测防控等方面的支出。</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18</w:t>
      </w:r>
      <w:r>
        <w:rPr>
          <w:rFonts w:ascii="仿宋_GB2312" w:eastAsia="仿宋_GB2312"/>
          <w:color w:val="000000" w:themeColor="text1"/>
          <w:sz w:val="32"/>
          <w:szCs w:val="32"/>
        </w:rPr>
        <w:t>. 2130213</w:t>
      </w:r>
      <w:r>
        <w:rPr>
          <w:rFonts w:hint="eastAsia" w:ascii="仿宋_GB2312" w:eastAsia="仿宋_GB2312"/>
          <w:color w:val="000000" w:themeColor="text1"/>
          <w:sz w:val="32"/>
          <w:szCs w:val="32"/>
        </w:rPr>
        <w:t>-林业执法与监督支出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反映林业执法与监督队伍建设、林业刑事、行政案件受理、查处和督办，林业行政许可、复议与诉讼管理等方面的支出。</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rPr>
        <w:t>1</w:t>
      </w:r>
      <w:r>
        <w:rPr>
          <w:rFonts w:hint="eastAsia" w:ascii="仿宋_GB2312" w:eastAsia="仿宋_GB2312"/>
          <w:color w:val="000000" w:themeColor="text1"/>
          <w:sz w:val="32"/>
          <w:szCs w:val="32"/>
          <w:lang w:val="en-US" w:eastAsia="zh-CN"/>
        </w:rPr>
        <w:t>9</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2130299</w:t>
      </w:r>
      <w:r>
        <w:rPr>
          <w:rFonts w:hint="eastAsia" w:ascii="仿宋_GB2312" w:eastAsia="仿宋_GB2312"/>
          <w:color w:val="000000" w:themeColor="text1"/>
          <w:sz w:val="32"/>
          <w:szCs w:val="32"/>
        </w:rPr>
        <w:t>-其他林业支出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反映不可划分到其他款项用于林业方面的支出。</w:t>
      </w:r>
    </w:p>
    <w:p>
      <w:pPr>
        <w:ind w:firstLine="640" w:firstLineChars="200"/>
        <w:rPr>
          <w:rFonts w:ascii="仿宋" w:hAnsi="仿宋" w:eastAsia="仿宋"/>
          <w:bCs/>
          <w:color w:val="000000"/>
          <w:sz w:val="32"/>
          <w:szCs w:val="32"/>
        </w:rPr>
      </w:pPr>
      <w:r>
        <w:rPr>
          <w:rFonts w:hint="eastAsia" w:ascii="仿宋_GB2312" w:eastAsia="仿宋_GB2312"/>
          <w:color w:val="000000" w:themeColor="text1"/>
          <w:sz w:val="32"/>
          <w:szCs w:val="32"/>
          <w:lang w:val="en-US" w:eastAsia="zh-CN"/>
        </w:rPr>
        <w:t>20</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2210201</w:t>
      </w:r>
      <w:r>
        <w:rPr>
          <w:rFonts w:hint="eastAsia" w:ascii="仿宋_GB2312" w:eastAsia="仿宋_GB2312"/>
          <w:color w:val="000000" w:themeColor="text1"/>
          <w:sz w:val="32"/>
          <w:szCs w:val="32"/>
        </w:rPr>
        <w:t>-住房公积金支出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指</w:t>
      </w:r>
      <w:r>
        <w:rPr>
          <w:rFonts w:hint="eastAsia" w:ascii="仿宋_GB2312" w:eastAsia="仿宋_GB2312"/>
          <w:color w:val="000000" w:themeColor="text1"/>
          <w:sz w:val="32"/>
          <w:szCs w:val="32"/>
        </w:rPr>
        <w:t>反映行政事业单位按人力资源和社会保障部、财政部规定的基本工资和津贴补贴以及规定比例为职工缴纳的住房公积金。</w:t>
      </w:r>
    </w:p>
    <w:p>
      <w:pPr>
        <w:pStyle w:val="22"/>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21</w:t>
      </w:r>
      <w:r>
        <w:rPr>
          <w:rFonts w:ascii="仿宋_GB2312" w:eastAsia="仿宋_GB2312"/>
          <w:color w:val="000000" w:themeColor="text1"/>
          <w:sz w:val="32"/>
          <w:szCs w:val="32"/>
        </w:rPr>
        <w:t>.</w:t>
      </w:r>
      <w:r>
        <w:rPr>
          <w:rFonts w:hint="eastAsia" w:ascii="仿宋_GB2312" w:eastAsia="仿宋_GB2312"/>
          <w:color w:val="000000" w:themeColor="text1"/>
          <w:sz w:val="32"/>
          <w:szCs w:val="32"/>
        </w:rPr>
        <w:t>基本支出：指为保障机构正常运转、完成日常工作任务而发生的人员支出和公用支出。</w:t>
      </w:r>
    </w:p>
    <w:p>
      <w:pPr>
        <w:pStyle w:val="22"/>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22</w:t>
      </w:r>
      <w:r>
        <w:rPr>
          <w:rFonts w:ascii="仿宋_GB2312" w:eastAsia="仿宋_GB2312"/>
          <w:color w:val="000000" w:themeColor="text1"/>
          <w:sz w:val="32"/>
          <w:szCs w:val="32"/>
        </w:rPr>
        <w:t>.</w:t>
      </w:r>
      <w:r>
        <w:rPr>
          <w:rFonts w:hint="eastAsia" w:ascii="仿宋_GB2312" w:eastAsia="仿宋_GB2312"/>
          <w:color w:val="000000" w:themeColor="text1"/>
          <w:sz w:val="32"/>
          <w:szCs w:val="32"/>
        </w:rPr>
        <w:t>项目支出：指在基本支出之外为完成特定行政任务和事业发展目标所发生的支出。</w:t>
      </w:r>
      <w:r>
        <w:rPr>
          <w:rFonts w:ascii="仿宋_GB2312" w:eastAsia="仿宋_GB2312"/>
          <w:color w:val="000000" w:themeColor="text1"/>
          <w:sz w:val="32"/>
          <w:szCs w:val="32"/>
        </w:rPr>
        <w:t xml:space="preserve"> </w:t>
      </w:r>
    </w:p>
    <w:p>
      <w:pPr>
        <w:pStyle w:val="22"/>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23</w:t>
      </w:r>
      <w:r>
        <w:rPr>
          <w:rFonts w:ascii="仿宋_GB2312" w:eastAsia="仿宋_GB2312"/>
          <w:color w:val="000000" w:themeColor="text1"/>
          <w:sz w:val="32"/>
          <w:szCs w:val="32"/>
        </w:rPr>
        <w:t>.</w:t>
      </w:r>
      <w:r>
        <w:rPr>
          <w:rFonts w:hint="eastAsia" w:ascii="仿宋_GB2312" w:eastAsia="仿宋_GB2312"/>
          <w:color w:val="000000" w:themeColor="text1"/>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24</w:t>
      </w:r>
      <w:r>
        <w:rPr>
          <w:rFonts w:ascii="仿宋_GB2312" w:eastAsia="仿宋_GB2312"/>
          <w:color w:val="000000" w:themeColor="text1"/>
          <w:sz w:val="32"/>
          <w:szCs w:val="32"/>
        </w:rPr>
        <w:t>.</w:t>
      </w:r>
      <w:r>
        <w:rPr>
          <w:rFonts w:hint="eastAsia" w:ascii="仿宋_GB2312" w:eastAsia="仿宋_GB2312"/>
          <w:color w:val="000000" w:themeColor="text1"/>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25</w:t>
      </w:r>
      <w:bookmarkStart w:id="75" w:name="_GoBack"/>
      <w:bookmarkEnd w:id="75"/>
      <w:r>
        <w:rPr>
          <w:rFonts w:ascii="仿宋_GB2312" w:eastAsia="仿宋_GB2312"/>
          <w:color w:val="000000" w:themeColor="text1"/>
          <w:sz w:val="32"/>
          <w:szCs w:val="32"/>
        </w:rPr>
        <w:t>.</w:t>
      </w:r>
      <w:r>
        <w:rPr>
          <w:rFonts w:hint="eastAsia" w:ascii="仿宋_GB2312" w:eastAsia="仿宋_GB2312"/>
          <w:color w:val="000000" w:themeColor="text1"/>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Style w:val="24"/>
          <w:rFonts w:ascii="黑体" w:hAnsi="黑体" w:eastAsia="黑体"/>
          <w:b w:val="0"/>
        </w:rPr>
      </w:pPr>
      <w:bookmarkStart w:id="58" w:name="_Toc15377226"/>
      <w:r>
        <w:rPr>
          <w:rFonts w:ascii="仿宋_GB2312" w:eastAsia="仿宋_GB2312"/>
          <w:color w:val="000000" w:themeColor="text1"/>
          <w:sz w:val="32"/>
          <w:szCs w:val="32"/>
        </w:rPr>
        <w:br w:type="page"/>
      </w:r>
      <w:bookmarkStart w:id="59" w:name="_Toc15396614"/>
      <w:r>
        <w:rPr>
          <w:rFonts w:hint="eastAsia" w:ascii="黑体" w:hAnsi="黑体" w:eastAsia="黑体"/>
          <w:sz w:val="44"/>
          <w:szCs w:val="44"/>
        </w:rPr>
        <w:t>第</w:t>
      </w:r>
      <w:r>
        <w:rPr>
          <w:rStyle w:val="24"/>
          <w:rFonts w:hint="eastAsia" w:ascii="黑体" w:hAnsi="黑体" w:eastAsia="黑体"/>
          <w:b w:val="0"/>
        </w:rPr>
        <w:t>四部分 附件</w:t>
      </w:r>
      <w:bookmarkEnd w:id="59"/>
    </w:p>
    <w:p>
      <w:pPr>
        <w:spacing w:line="600" w:lineRule="exact"/>
        <w:jc w:val="center"/>
        <w:outlineLvl w:val="0"/>
        <w:rPr>
          <w:rStyle w:val="24"/>
        </w:rPr>
      </w:pPr>
    </w:p>
    <w:p>
      <w:pPr>
        <w:pStyle w:val="3"/>
        <w:rPr>
          <w:rStyle w:val="24"/>
          <w:rFonts w:ascii="仿宋" w:hAnsi="仿宋" w:eastAsia="仿宋"/>
          <w:b w:val="0"/>
          <w:bCs w:val="0"/>
          <w:sz w:val="32"/>
          <w:szCs w:val="32"/>
        </w:rPr>
      </w:pPr>
      <w:bookmarkStart w:id="60" w:name="_Toc15396615"/>
      <w:r>
        <w:rPr>
          <w:rStyle w:val="24"/>
          <w:rFonts w:hint="eastAsia" w:ascii="仿宋" w:hAnsi="仿宋" w:eastAsia="仿宋"/>
          <w:b w:val="0"/>
          <w:bCs w:val="0"/>
          <w:sz w:val="32"/>
          <w:szCs w:val="32"/>
        </w:rPr>
        <w:t>附件1</w:t>
      </w:r>
      <w:bookmarkEnd w:id="60"/>
    </w:p>
    <w:p>
      <w:pPr>
        <w:widowControl/>
        <w:spacing w:line="480" w:lineRule="exact"/>
        <w:jc w:val="center"/>
        <w:rPr>
          <w:rFonts w:ascii="方正小标宋简体" w:hAnsi="宋体" w:eastAsia="方正小标宋简体" w:cs="方正小标宋简体"/>
          <w:sz w:val="44"/>
          <w:szCs w:val="44"/>
        </w:rPr>
      </w:pPr>
      <w:bookmarkStart w:id="61" w:name="_Toc15396617"/>
      <w:r>
        <w:rPr>
          <w:rFonts w:hint="eastAsia" w:ascii="方正小标宋简体" w:hAnsi="宋体" w:eastAsia="方正小标宋简体" w:cs="方正小标宋简体"/>
          <w:sz w:val="44"/>
          <w:szCs w:val="44"/>
        </w:rPr>
        <w:t>部门整体支出绩效报告</w:t>
      </w:r>
    </w:p>
    <w:p>
      <w:pPr>
        <w:widowControl/>
        <w:spacing w:line="480" w:lineRule="exact"/>
        <w:jc w:val="center"/>
        <w:rPr>
          <w:rFonts w:ascii="黑体" w:hAnsi="宋体" w:eastAsia="黑体" w:cs="宋体"/>
          <w:kern w:val="0"/>
        </w:rPr>
      </w:pPr>
      <w:r>
        <w:rPr>
          <w:rFonts w:hint="eastAsia" w:ascii="仿宋_GB2312" w:hAnsi="宋体" w:eastAsia="仿宋_GB2312" w:cs="仿宋_GB2312"/>
          <w:sz w:val="32"/>
        </w:rPr>
        <w:t>（红原县森林公安局）</w:t>
      </w:r>
    </w:p>
    <w:p>
      <w:pPr>
        <w:widowControl/>
        <w:adjustRightInd w:val="0"/>
        <w:snapToGrid w:val="0"/>
        <w:spacing w:line="480" w:lineRule="exact"/>
        <w:ind w:firstLine="720"/>
        <w:jc w:val="left"/>
        <w:rPr>
          <w:rFonts w:ascii="黑体" w:hAnsi="宋体" w:eastAsia="黑体" w:cs="宋体"/>
          <w:kern w:val="0"/>
          <w:lang w:val="zh-CN"/>
        </w:rPr>
      </w:pPr>
      <w:r>
        <w:rPr>
          <w:rFonts w:hint="eastAsia" w:ascii="黑体" w:hAnsi="宋体" w:eastAsia="黑体" w:cs="宋体"/>
          <w:kern w:val="0"/>
          <w:sz w:val="32"/>
        </w:rPr>
        <w:t>一、</w:t>
      </w:r>
      <w:r>
        <w:rPr>
          <w:rFonts w:hint="eastAsia" w:ascii="黑体" w:hAnsi="宋体" w:eastAsia="黑体" w:cs="宋体"/>
          <w:kern w:val="0"/>
          <w:sz w:val="32"/>
          <w:lang w:val="zh-CN"/>
        </w:rPr>
        <w:t xml:space="preserve">部门（单位）概况 </w:t>
      </w:r>
      <w:r>
        <w:rPr>
          <w:rFonts w:ascii="黑体" w:hAnsi="宋体" w:eastAsia="黑体" w:cs="宋体"/>
          <w:kern w:val="0"/>
          <w:sz w:val="32"/>
          <w:lang w:val="zh-CN"/>
        </w:rPr>
        <w:tab/>
      </w:r>
    </w:p>
    <w:p>
      <w:pPr>
        <w:widowControl/>
        <w:adjustRightInd w:val="0"/>
        <w:snapToGrid w:val="0"/>
        <w:spacing w:line="480" w:lineRule="exact"/>
        <w:ind w:firstLine="720"/>
        <w:jc w:val="left"/>
        <w:rPr>
          <w:rFonts w:ascii="仿宋_GB2312" w:hAnsi="宋体" w:eastAsia="仿宋_GB2312" w:cs="宋体"/>
          <w:kern w:val="0"/>
          <w:sz w:val="32"/>
        </w:rPr>
      </w:pPr>
      <w:r>
        <w:rPr>
          <w:rFonts w:hint="eastAsia" w:ascii="仿宋_GB2312" w:hAnsi="宋体" w:eastAsia="仿宋_GB2312" w:cs="宋体"/>
          <w:kern w:val="0"/>
          <w:sz w:val="32"/>
          <w:lang w:val="zh-CN"/>
        </w:rPr>
        <w:t>（一）红原县森林公安局（红原县公安局森林警察大队）机构级别为正科级，下设红原县森林公安局刷金寺派出所（刷金寺森林警察中队），机构级别为副科级。红原县森林公安局内设</w:t>
      </w:r>
      <w:r>
        <w:rPr>
          <w:rFonts w:hint="eastAsia" w:ascii="仿宋_GB2312" w:hAnsi="宋体" w:eastAsia="仿宋_GB2312" w:cs="宋体"/>
          <w:kern w:val="0"/>
          <w:sz w:val="32"/>
        </w:rPr>
        <w:t>3个科室，即办公室、政工科、刑侦治安科。</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（二）机构职能。</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1、认真贯彻执行《森林法》、《野生动物保护法》、《治安管理处罚法》、《刑法》、《刑事诉讼法》等法律法规和党的方针政策；</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2、负责预防、制止、侦破各类破坏森林、林地和野生动植物资源的刑事犯罪，负责办理林区治安行政案件，负责办理法律授权和林业部门委托的林业行政案件；</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3、负责全县林区治安管理工作，负责全县森林公安基层基础和业务建设工作；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4、负责全县森林公安民警招收录用协调、警籍警衔管理及教育培训、立功受奖、优抚、宣传等工作；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5、负责编制全县森林公安发展建设规划，承担警用装备专用物资的申请、购置、发放和管理工作；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6、负责全县森林公安法制建设工作；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7、负责全县森林公安队伍警务督察工作，协助查处全县森林公安民警违法、违纪案件，负责全县森林公安队伍党风廉政建设；</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8、承办县林业局、县公安局和州森林公安局及其他上级部门交办的其他工作；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9、法律、法规规定的森林公安机关其他职责。</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（三）人员概况。</w:t>
      </w:r>
    </w:p>
    <w:p>
      <w:pPr>
        <w:ind w:firstLine="800" w:firstLineChars="250"/>
        <w:rPr>
          <w:rFonts w:ascii="仿宋_GB2312" w:hAnsi="宋体" w:eastAsia="仿宋_GB2312" w:cs="宋体"/>
          <w:kern w:val="0"/>
          <w:sz w:val="32"/>
          <w:lang w:val="zh-CN"/>
        </w:rPr>
      </w:pPr>
      <w:r>
        <w:rPr>
          <w:rFonts w:hint="eastAsia" w:ascii="仿宋_GB2312" w:hAnsi="宋体" w:eastAsia="仿宋_GB2312" w:cs="宋体"/>
          <w:kern w:val="0"/>
          <w:sz w:val="32"/>
          <w:lang w:val="zh-CN"/>
        </w:rPr>
        <w:t>我单位为独立核算全额拨款行政单位，下设刷经寺派出所。截止2018年底我单位共有编制17个，其中公务员编制15个，行政工勤编制2个，在职13人，其中公务员11人，行政工勤2人。</w:t>
      </w:r>
    </w:p>
    <w:p>
      <w:pPr>
        <w:widowControl/>
        <w:adjustRightInd w:val="0"/>
        <w:snapToGrid w:val="0"/>
        <w:spacing w:line="480" w:lineRule="exact"/>
        <w:ind w:firstLine="720"/>
        <w:jc w:val="left"/>
        <w:rPr>
          <w:rFonts w:ascii="黑体" w:hAnsi="宋体" w:eastAsia="黑体" w:cs="宋体"/>
          <w:color w:val="000000" w:themeColor="text1"/>
          <w:kern w:val="0"/>
          <w:sz w:val="32"/>
        </w:rPr>
      </w:pPr>
      <w:r>
        <w:rPr>
          <w:rFonts w:hint="eastAsia" w:ascii="黑体" w:hAnsi="宋体" w:eastAsia="黑体" w:cs="宋体"/>
          <w:color w:val="000000" w:themeColor="text1"/>
          <w:kern w:val="0"/>
          <w:sz w:val="32"/>
        </w:rPr>
        <w:t>二、部门财政资金收支情况</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（一）部门财政资金收入情况。</w:t>
      </w:r>
    </w:p>
    <w:p>
      <w:pPr>
        <w:ind w:firstLine="640" w:firstLineChars="200"/>
        <w:rPr>
          <w:rFonts w:ascii="仿宋_GB2312" w:hAnsi="宋体" w:eastAsia="仿宋_GB2312" w:cs="宋体"/>
          <w:kern w:val="0"/>
          <w:sz w:val="32"/>
          <w:lang w:val="zh-CN"/>
        </w:rPr>
      </w:pPr>
      <w:r>
        <w:rPr>
          <w:rFonts w:hint="eastAsia" w:ascii="仿宋_GB2312" w:hAnsi="宋体" w:eastAsia="仿宋_GB2312" w:cs="宋体"/>
          <w:kern w:val="0"/>
          <w:sz w:val="32"/>
          <w:lang w:val="zh-CN"/>
        </w:rPr>
        <w:t>我局2018年收入总计374.43万元，比上年增加13.12万元，增长3.63%。</w:t>
      </w:r>
      <w:r>
        <w:rPr>
          <w:rFonts w:ascii="仿宋_GB2312" w:hAnsi="宋体" w:eastAsia="仿宋_GB2312" w:cs="宋体"/>
          <w:kern w:val="0"/>
          <w:sz w:val="32"/>
          <w:lang w:val="zh-CN"/>
        </w:rPr>
        <w:t>其中一般公共预算拨款</w:t>
      </w:r>
      <w:r>
        <w:rPr>
          <w:rFonts w:hint="eastAsia" w:ascii="仿宋_GB2312" w:hAnsi="宋体" w:eastAsia="仿宋_GB2312" w:cs="宋体"/>
          <w:kern w:val="0"/>
          <w:sz w:val="32"/>
          <w:lang w:val="zh-CN"/>
        </w:rPr>
        <w:t>374.42</w:t>
      </w:r>
      <w:r>
        <w:rPr>
          <w:rFonts w:ascii="仿宋_GB2312" w:hAnsi="宋体" w:eastAsia="仿宋_GB2312" w:cs="宋体"/>
          <w:kern w:val="0"/>
          <w:sz w:val="32"/>
          <w:lang w:val="zh-CN"/>
        </w:rPr>
        <w:t>万元</w:t>
      </w:r>
      <w:r>
        <w:rPr>
          <w:rFonts w:hint="eastAsia" w:ascii="仿宋_GB2312" w:hAnsi="宋体" w:eastAsia="仿宋_GB2312" w:cs="宋体"/>
          <w:kern w:val="0"/>
          <w:sz w:val="32"/>
          <w:lang w:val="zh-CN"/>
        </w:rPr>
        <w:t>，</w:t>
      </w:r>
      <w:r>
        <w:rPr>
          <w:rFonts w:ascii="仿宋_GB2312" w:hAnsi="宋体" w:eastAsia="仿宋_GB2312" w:cs="宋体"/>
          <w:kern w:val="0"/>
          <w:sz w:val="32"/>
          <w:lang w:val="zh-CN"/>
        </w:rPr>
        <w:t>比上年增加</w:t>
      </w:r>
      <w:r>
        <w:rPr>
          <w:rFonts w:hint="eastAsia" w:ascii="仿宋_GB2312" w:hAnsi="宋体" w:eastAsia="仿宋_GB2312" w:cs="宋体"/>
          <w:kern w:val="0"/>
          <w:sz w:val="32"/>
          <w:lang w:val="zh-CN"/>
        </w:rPr>
        <w:t>13.11</w:t>
      </w:r>
      <w:r>
        <w:rPr>
          <w:rFonts w:ascii="仿宋_GB2312" w:hAnsi="宋体" w:eastAsia="仿宋_GB2312" w:cs="宋体"/>
          <w:kern w:val="0"/>
          <w:sz w:val="32"/>
          <w:lang w:val="zh-CN"/>
        </w:rPr>
        <w:t>万元</w:t>
      </w:r>
      <w:r>
        <w:rPr>
          <w:rFonts w:hint="eastAsia" w:ascii="仿宋_GB2312" w:hAnsi="宋体" w:eastAsia="仿宋_GB2312" w:cs="宋体"/>
          <w:kern w:val="0"/>
          <w:sz w:val="32"/>
          <w:lang w:val="zh-CN"/>
        </w:rPr>
        <w:t>，</w:t>
      </w:r>
      <w:r>
        <w:rPr>
          <w:rFonts w:ascii="仿宋_GB2312" w:hAnsi="宋体" w:eastAsia="仿宋_GB2312" w:cs="宋体"/>
          <w:kern w:val="0"/>
          <w:sz w:val="32"/>
          <w:lang w:val="zh-CN"/>
        </w:rPr>
        <w:t>增长</w:t>
      </w:r>
      <w:r>
        <w:rPr>
          <w:rFonts w:hint="eastAsia" w:ascii="仿宋_GB2312" w:hAnsi="宋体" w:eastAsia="仿宋_GB2312" w:cs="宋体"/>
          <w:kern w:val="0"/>
          <w:sz w:val="32"/>
          <w:lang w:val="zh-CN"/>
        </w:rPr>
        <w:t>3.63%，其他收入0.01万元。比上年增加0.01万元，上年结转42.06万元。</w:t>
      </w:r>
      <w:r>
        <w:rPr>
          <w:rFonts w:ascii="仿宋_GB2312" w:hAnsi="宋体" w:eastAsia="仿宋_GB2312" w:cs="宋体"/>
          <w:kern w:val="0"/>
          <w:sz w:val="32"/>
          <w:lang w:val="zh-CN"/>
        </w:rPr>
        <w:tab/>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（二）部门财政资金支出情况。</w:t>
      </w:r>
    </w:p>
    <w:p>
      <w:pPr>
        <w:ind w:firstLine="640" w:firstLineChars="200"/>
        <w:rPr>
          <w:rFonts w:ascii="仿宋_GB2312" w:hAnsi="宋体" w:eastAsia="仿宋_GB2312" w:cs="宋体"/>
          <w:kern w:val="0"/>
          <w:sz w:val="32"/>
          <w:lang w:val="zh-CN"/>
        </w:rPr>
      </w:pPr>
      <w:r>
        <w:rPr>
          <w:rFonts w:hint="eastAsia" w:ascii="仿宋_GB2312" w:hAnsi="宋体" w:eastAsia="仿宋_GB2312" w:cs="宋体"/>
          <w:kern w:val="0"/>
          <w:sz w:val="32"/>
          <w:lang w:val="zh-CN"/>
        </w:rPr>
        <w:t>全年总支出416.49万元，比上年多51.12万元，增长13.99%。其中基本支出351.33万元，比上年增长9.05%，本年基本支出较上年增加29.17万元；项目支出65.16万元，比上年增长50.8%，项目支出较上年度增加21.92万元。本年年末结转0万元。</w:t>
      </w:r>
    </w:p>
    <w:p>
      <w:pPr>
        <w:widowControl/>
        <w:adjustRightInd w:val="0"/>
        <w:snapToGrid w:val="0"/>
        <w:spacing w:line="480" w:lineRule="exact"/>
        <w:ind w:firstLine="720"/>
        <w:jc w:val="left"/>
        <w:rPr>
          <w:rFonts w:ascii="黑体" w:hAnsi="宋体" w:eastAsia="黑体" w:cs="宋体"/>
          <w:color w:val="000000" w:themeColor="text1"/>
          <w:kern w:val="0"/>
          <w:sz w:val="32"/>
        </w:rPr>
      </w:pPr>
      <w:r>
        <w:rPr>
          <w:rFonts w:hint="eastAsia" w:ascii="黑体" w:hAnsi="宋体" w:eastAsia="黑体" w:cs="宋体"/>
          <w:color w:val="000000" w:themeColor="text1"/>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themeColor="text1"/>
          <w:kern w:val="0"/>
          <w:lang w:val="zh-CN"/>
        </w:rPr>
      </w:pPr>
      <w:r>
        <w:rPr>
          <w:rFonts w:hint="eastAsia" w:ascii="楷体" w:hAnsi="楷体" w:eastAsia="楷体" w:cs="宋体"/>
          <w:color w:val="000000" w:themeColor="text1"/>
          <w:kern w:val="0"/>
          <w:sz w:val="32"/>
          <w:lang w:val="zh-CN"/>
        </w:rPr>
        <w:t>（一）预算编制情况。</w:t>
      </w:r>
    </w:p>
    <w:p>
      <w:pPr>
        <w:widowControl/>
        <w:adjustRightInd w:val="0"/>
        <w:snapToGrid w:val="0"/>
        <w:spacing w:line="480" w:lineRule="exact"/>
        <w:ind w:firstLine="720"/>
        <w:jc w:val="left"/>
        <w:rPr>
          <w:rFonts w:ascii="仿宋_GB2312" w:hAnsi="宋体" w:eastAsia="仿宋_GB2312" w:cs="宋体"/>
          <w:color w:val="000000" w:themeColor="text1"/>
          <w:kern w:val="0"/>
          <w:lang w:val="zh-CN"/>
        </w:rPr>
      </w:pPr>
      <w:r>
        <w:rPr>
          <w:rFonts w:hint="eastAsia" w:ascii="仿宋_GB2312" w:hAnsi="宋体" w:eastAsia="仿宋_GB2312" w:cs="宋体"/>
          <w:color w:val="000000" w:themeColor="text1"/>
          <w:kern w:val="0"/>
          <w:sz w:val="32"/>
          <w:lang w:val="zh-CN"/>
        </w:rPr>
        <w:t>我局2017年末结转结余42.06万元2018年预算收入374.43万元，支出416.49万元，2018年末无结余。我局对本年度相应用款及时进行清理和处理，做到帐帐相符、账实相符、帐证相符，按照先有预算再有支出的原则，及时处理相关事务；对绩效目标进行了梳理和分析，及时上报相关报表。</w:t>
      </w:r>
    </w:p>
    <w:p>
      <w:pPr>
        <w:widowControl/>
        <w:adjustRightInd w:val="0"/>
        <w:snapToGrid w:val="0"/>
        <w:spacing w:line="480" w:lineRule="exact"/>
        <w:ind w:firstLine="720"/>
        <w:jc w:val="left"/>
        <w:rPr>
          <w:rFonts w:ascii="楷体" w:hAnsi="楷体" w:eastAsia="楷体" w:cs="宋体"/>
          <w:color w:val="000000" w:themeColor="text1"/>
          <w:kern w:val="0"/>
          <w:sz w:val="32"/>
          <w:lang w:val="zh-CN"/>
        </w:rPr>
      </w:pPr>
      <w:r>
        <w:rPr>
          <w:rFonts w:hint="eastAsia" w:ascii="楷体" w:hAnsi="楷体" w:eastAsia="楷体" w:cs="宋体"/>
          <w:color w:val="000000" w:themeColor="text1"/>
          <w:kern w:val="0"/>
          <w:sz w:val="32"/>
          <w:lang w:val="zh-CN"/>
        </w:rPr>
        <w:t>（二）执行管理情况。</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2</w:t>
      </w:r>
      <w:r>
        <w:rPr>
          <w:rFonts w:ascii="仿宋_GB2312" w:hAnsi="宋体" w:eastAsia="仿宋_GB2312" w:cs="宋体"/>
          <w:color w:val="000000" w:themeColor="text1"/>
          <w:kern w:val="0"/>
          <w:sz w:val="32"/>
          <w:lang w:val="zh-CN"/>
        </w:rPr>
        <w:t>01</w:t>
      </w:r>
      <w:r>
        <w:rPr>
          <w:rFonts w:hint="eastAsia" w:ascii="仿宋_GB2312" w:hAnsi="宋体" w:eastAsia="仿宋_GB2312" w:cs="宋体"/>
          <w:color w:val="000000" w:themeColor="text1"/>
          <w:kern w:val="0"/>
          <w:sz w:val="32"/>
          <w:lang w:val="zh-CN"/>
        </w:rPr>
        <w:t>8年“三公”经费财政拨款支出决算中，因公出国（境）费支出决算</w:t>
      </w:r>
      <w:r>
        <w:rPr>
          <w:rFonts w:ascii="仿宋_GB2312" w:hAnsi="宋体" w:eastAsia="仿宋_GB2312" w:cs="宋体"/>
          <w:color w:val="000000" w:themeColor="text1"/>
          <w:kern w:val="0"/>
          <w:sz w:val="32"/>
          <w:lang w:val="zh-CN"/>
        </w:rPr>
        <w:t>0</w:t>
      </w:r>
      <w:r>
        <w:rPr>
          <w:rFonts w:hint="eastAsia" w:ascii="仿宋_GB2312" w:hAnsi="宋体" w:eastAsia="仿宋_GB2312" w:cs="宋体"/>
          <w:color w:val="000000" w:themeColor="text1"/>
          <w:kern w:val="0"/>
          <w:sz w:val="32"/>
          <w:lang w:val="zh-CN"/>
        </w:rPr>
        <w:t>万元，占0</w:t>
      </w:r>
      <w:r>
        <w:rPr>
          <w:rFonts w:ascii="仿宋_GB2312" w:hAnsi="宋体" w:eastAsia="仿宋_GB2312" w:cs="宋体"/>
          <w:color w:val="000000" w:themeColor="text1"/>
          <w:kern w:val="0"/>
          <w:sz w:val="32"/>
          <w:lang w:val="zh-CN"/>
        </w:rPr>
        <w:t>%</w:t>
      </w:r>
      <w:r>
        <w:rPr>
          <w:rFonts w:hint="eastAsia" w:ascii="仿宋_GB2312" w:hAnsi="宋体" w:eastAsia="仿宋_GB2312" w:cs="宋体"/>
          <w:color w:val="000000" w:themeColor="text1"/>
          <w:kern w:val="0"/>
          <w:sz w:val="32"/>
          <w:lang w:val="zh-CN"/>
        </w:rPr>
        <w:t>；公务用车购置及运行维护费支出决算</w:t>
      </w:r>
      <w:r>
        <w:rPr>
          <w:rFonts w:ascii="仿宋_GB2312" w:hAnsi="宋体" w:eastAsia="仿宋_GB2312" w:cs="宋体"/>
          <w:color w:val="000000" w:themeColor="text1"/>
          <w:kern w:val="0"/>
          <w:sz w:val="32"/>
          <w:lang w:val="zh-CN"/>
        </w:rPr>
        <w:t>6.95</w:t>
      </w:r>
      <w:r>
        <w:rPr>
          <w:rFonts w:hint="eastAsia" w:ascii="仿宋_GB2312" w:hAnsi="宋体" w:eastAsia="仿宋_GB2312" w:cs="宋体"/>
          <w:color w:val="000000" w:themeColor="text1"/>
          <w:kern w:val="0"/>
          <w:sz w:val="32"/>
          <w:lang w:val="zh-CN"/>
        </w:rPr>
        <w:t>万元，占92.79</w:t>
      </w:r>
      <w:r>
        <w:rPr>
          <w:rFonts w:ascii="仿宋_GB2312" w:hAnsi="宋体" w:eastAsia="仿宋_GB2312" w:cs="宋体"/>
          <w:color w:val="000000" w:themeColor="text1"/>
          <w:kern w:val="0"/>
          <w:sz w:val="32"/>
          <w:lang w:val="zh-CN"/>
        </w:rPr>
        <w:t>%</w:t>
      </w:r>
      <w:r>
        <w:rPr>
          <w:rFonts w:hint="eastAsia" w:ascii="仿宋_GB2312" w:hAnsi="宋体" w:eastAsia="仿宋_GB2312" w:cs="宋体"/>
          <w:color w:val="000000" w:themeColor="text1"/>
          <w:kern w:val="0"/>
          <w:sz w:val="32"/>
          <w:lang w:val="zh-CN"/>
        </w:rPr>
        <w:t>；公务接待费支出决算</w:t>
      </w:r>
      <w:r>
        <w:rPr>
          <w:rFonts w:ascii="仿宋_GB2312" w:hAnsi="宋体" w:eastAsia="仿宋_GB2312" w:cs="宋体"/>
          <w:color w:val="000000" w:themeColor="text1"/>
          <w:kern w:val="0"/>
          <w:sz w:val="32"/>
          <w:lang w:val="zh-CN"/>
        </w:rPr>
        <w:t>0.54</w:t>
      </w:r>
      <w:r>
        <w:rPr>
          <w:rFonts w:hint="eastAsia" w:ascii="仿宋_GB2312" w:hAnsi="宋体" w:eastAsia="仿宋_GB2312" w:cs="宋体"/>
          <w:color w:val="000000" w:themeColor="text1"/>
          <w:kern w:val="0"/>
          <w:sz w:val="32"/>
          <w:lang w:val="zh-CN"/>
        </w:rPr>
        <w:t>万元，占7.21</w:t>
      </w:r>
      <w:r>
        <w:rPr>
          <w:rFonts w:ascii="仿宋_GB2312" w:hAnsi="宋体" w:eastAsia="仿宋_GB2312" w:cs="宋体"/>
          <w:color w:val="000000" w:themeColor="text1"/>
          <w:kern w:val="0"/>
          <w:sz w:val="32"/>
          <w:lang w:val="zh-CN"/>
        </w:rPr>
        <w:t>%</w:t>
      </w:r>
      <w:r>
        <w:rPr>
          <w:rFonts w:hint="eastAsia" w:ascii="仿宋_GB2312" w:hAnsi="宋体" w:eastAsia="仿宋_GB2312" w:cs="宋体"/>
          <w:color w:val="000000" w:themeColor="text1"/>
          <w:kern w:val="0"/>
          <w:sz w:val="32"/>
          <w:lang w:val="zh-CN"/>
        </w:rPr>
        <w:t>。</w:t>
      </w:r>
    </w:p>
    <w:p>
      <w:pPr>
        <w:widowControl/>
        <w:adjustRightInd w:val="0"/>
        <w:snapToGrid w:val="0"/>
        <w:spacing w:line="480" w:lineRule="exact"/>
        <w:ind w:firstLine="720"/>
        <w:jc w:val="left"/>
        <w:rPr>
          <w:rFonts w:ascii="楷体" w:hAnsi="楷体" w:eastAsia="楷体" w:cs="宋体"/>
          <w:color w:val="000000" w:themeColor="text1"/>
          <w:kern w:val="0"/>
          <w:lang w:val="zh-CN"/>
        </w:rPr>
      </w:pPr>
      <w:r>
        <w:rPr>
          <w:rFonts w:hint="eastAsia" w:ascii="楷体" w:hAnsi="楷体" w:eastAsia="楷体" w:cs="宋体"/>
          <w:color w:val="000000" w:themeColor="text1"/>
          <w:kern w:val="0"/>
          <w:sz w:val="32"/>
          <w:lang w:val="zh-CN"/>
        </w:rPr>
        <w:t>（三）综合管理情况。</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我局严格按照县财政局的要求，认真总结经验，及时上报相关的用款计划，待财政局相关科室审核通过后，严格按照计划执行，计划执行情况良好。</w:t>
      </w:r>
    </w:p>
    <w:p>
      <w:pPr>
        <w:widowControl/>
        <w:adjustRightInd w:val="0"/>
        <w:snapToGrid w:val="0"/>
        <w:spacing w:line="480" w:lineRule="exact"/>
        <w:ind w:firstLine="720"/>
        <w:jc w:val="left"/>
        <w:rPr>
          <w:rFonts w:ascii="楷体" w:hAnsi="楷体" w:eastAsia="楷体" w:cs="宋体"/>
          <w:color w:val="000000" w:themeColor="text1"/>
          <w:kern w:val="0"/>
          <w:lang w:val="zh-CN"/>
        </w:rPr>
      </w:pPr>
      <w:r>
        <w:rPr>
          <w:rFonts w:hint="eastAsia" w:ascii="楷体" w:hAnsi="楷体" w:eastAsia="楷体" w:cs="宋体"/>
          <w:color w:val="000000" w:themeColor="text1"/>
          <w:kern w:val="0"/>
          <w:sz w:val="32"/>
          <w:lang w:val="zh-CN"/>
        </w:rPr>
        <w:t>（四）整体绩效。</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我局资金主要由财政拨款资金及林业改革专项资金组成，财政拨款资金主要用于保障我局部门机构正常运转、完成日常工作任务等。林业改革转专项资金主要用于保障森林公安机关办案（业务）经费和业务装备经费开支补助。具体使用范围包括：森林公安办案（业务）经费主要用于森林公安机关开展案件侦办查处、森林资源保护、林业治安管理、维持社会稳定、处理突发事件、禁种铲毒、民警教育培训等直接支出；森林公安业务装备经费主要用于森林公安机关购置指挥通信、刑侦技术、执法勤务（含警用交通工具）、信息化建设、处置突发事件、派出所和监管场所所需的各类警用装备的支出。2018年严格按照财政部门绩效管理相关要求落实每一笔支出，整体部门支出绩效良好。</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p>
    <w:p>
      <w:pPr>
        <w:widowControl/>
        <w:rPr>
          <w:rFonts w:ascii="宋体" w:hAnsi="宋体" w:cs="宋体"/>
          <w:b/>
          <w:bCs/>
          <w:kern w:val="0"/>
          <w:sz w:val="28"/>
          <w:szCs w:val="2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tbl>
      <w:tblPr>
        <w:tblStyle w:val="15"/>
        <w:tblW w:w="20420" w:type="dxa"/>
        <w:tblInd w:w="91" w:type="dxa"/>
        <w:tblLayout w:type="fixed"/>
        <w:tblCellMar>
          <w:top w:w="0" w:type="dxa"/>
          <w:left w:w="108" w:type="dxa"/>
          <w:bottom w:w="0" w:type="dxa"/>
          <w:right w:w="108" w:type="dxa"/>
        </w:tblCellMar>
      </w:tblPr>
      <w:tblGrid>
        <w:gridCol w:w="1060"/>
        <w:gridCol w:w="1540"/>
        <w:gridCol w:w="1500"/>
        <w:gridCol w:w="2720"/>
        <w:gridCol w:w="1420"/>
        <w:gridCol w:w="424"/>
        <w:gridCol w:w="4111"/>
        <w:gridCol w:w="3585"/>
        <w:gridCol w:w="4060"/>
      </w:tblGrid>
      <w:tr>
        <w:tblPrEx>
          <w:tblLayout w:type="fixed"/>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1540"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150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272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1420"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4535" w:type="dxa"/>
            <w:gridSpan w:val="2"/>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585"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Layout w:type="fixed"/>
          <w:tblCellMar>
            <w:top w:w="0" w:type="dxa"/>
            <w:left w:w="108" w:type="dxa"/>
            <w:bottom w:w="0" w:type="dxa"/>
            <w:right w:w="108" w:type="dxa"/>
          </w:tblCellMar>
        </w:tblPrEx>
        <w:trPr>
          <w:trHeight w:val="375" w:hRule="atLeast"/>
        </w:trPr>
        <w:tc>
          <w:tcPr>
            <w:tcW w:w="12775" w:type="dxa"/>
            <w:gridSpan w:val="7"/>
            <w:tcBorders>
              <w:top w:val="nil"/>
              <w:left w:val="nil"/>
              <w:bottom w:val="single" w:color="auto" w:sz="4" w:space="0"/>
              <w:right w:val="nil"/>
            </w:tcBorders>
            <w:shd w:val="clear" w:color="auto" w:fill="auto"/>
            <w:vAlign w:val="center"/>
          </w:tcPr>
          <w:p>
            <w:pPr>
              <w:widowControl/>
              <w:adjustRightInd w:val="0"/>
              <w:snapToGrid w:val="0"/>
              <w:spacing w:line="480" w:lineRule="exact"/>
              <w:ind w:firstLine="720"/>
              <w:jc w:val="center"/>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2018年红原县部门整体支出绩效评价得分情况表</w:t>
            </w:r>
          </w:p>
        </w:tc>
        <w:tc>
          <w:tcPr>
            <w:tcW w:w="3585"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Layout w:type="fixed"/>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一级指标</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二级指标</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三级指标</w:t>
            </w:r>
          </w:p>
        </w:tc>
        <w:tc>
          <w:tcPr>
            <w:tcW w:w="27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指标解释</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得分</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计分标准（备注）</w:t>
            </w:r>
          </w:p>
        </w:tc>
        <w:tc>
          <w:tcPr>
            <w:tcW w:w="3585"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Layout w:type="fixed"/>
          <w:tblCellMar>
            <w:top w:w="0" w:type="dxa"/>
            <w:left w:w="108" w:type="dxa"/>
            <w:bottom w:w="0" w:type="dxa"/>
            <w:right w:w="108" w:type="dxa"/>
          </w:tblCellMar>
        </w:tblPrEx>
        <w:trPr>
          <w:trHeight w:val="720" w:hRule="atLeast"/>
        </w:trPr>
        <w:tc>
          <w:tcPr>
            <w:tcW w:w="106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预算编制（10分）</w:t>
            </w: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报送时效（2分）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基础信息更新（1分）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部门是否按照县财政部门预算编制通知和有关要求，按时完成基础库、项目库报送工作</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超过规定5个工作日扣0.5分，10个工作日扣1分，以此类推，直至扣完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960" w:hRule="atLeast"/>
        </w:trPr>
        <w:tc>
          <w:tcPr>
            <w:tcW w:w="1060"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编制质量（3分）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预算编制准确（1分）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（预算资金总来源-中期评估调整取消资金-预算结余注销资金）÷预算资金总来源*指标分值</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其中：预算资金总来源是指县级年初预算与执行中追加预算（不含当年专款）总和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绩效目标（5分）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部门整体绩效目标（2分）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部门整体绩效目标编制完整、合理</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部门整体绩效目标能完整、合理反映部门年度职责履行情况的得分，否则不得分</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重点项目绩效目标（3分）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项目绩效目标编制明确、量化</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项目支出绩效目标编制不明确和量化的发现一个扣0.5分，直至扣完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预算执行（20分）</w:t>
            </w:r>
          </w:p>
        </w:tc>
        <w:tc>
          <w:tcPr>
            <w:tcW w:w="15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执行进度（10分）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财力专项预算分配时限（4分）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按规定及时分配财力专项预算</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按《预算法》规定时限完成分配的考核得分，否则不得分</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上级专款分配合规率（3分）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按《预算法》规定在一个月内分配上级专款</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（1-未按规定时间在1个月内分配的上级专款规模÷上级专款总规模）*指标分值</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部门预算执行进度（3分）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部门按要求严格预算执行管理</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部门预算实际列支数÷部门预算总额*指标分值</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720" w:hRule="atLeast"/>
        </w:trPr>
        <w:tc>
          <w:tcPr>
            <w:tcW w:w="10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预算调整（4分）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执行中期评估（4分）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部门中期评估调整取消资金÷(中期评估调整取消资金+预算结余注销资金）*指标分值</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当中期评估调整取消资金与结余注销资金之和为零时，得满分</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行政成本（6分）</w:t>
            </w:r>
          </w:p>
        </w:tc>
        <w:tc>
          <w:tcPr>
            <w:tcW w:w="150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三公经费（6分）</w:t>
            </w:r>
          </w:p>
        </w:tc>
        <w:tc>
          <w:tcPr>
            <w:tcW w:w="27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严格执行“三公经费”预算</w:t>
            </w:r>
          </w:p>
        </w:tc>
        <w:tc>
          <w:tcPr>
            <w:tcW w:w="184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部门“三公”经费决算数一项超预算扣1分，两项超预算扣2分，以此类推，直至扣完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综合管理（40分）</w:t>
            </w: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债务管理（2分）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债务还本付息（2）</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按规定做好政府性债务还本付息工作</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0</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实际还本付息金额÷应付金额×指标分值</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120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非税收入执收情况（4分）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非税收入征收情况（2分）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是否按照规定的项目、标准、征收方式执收非税收入，非税收入项目设立的权限和缓减免的依据，对非税收入进行缓减免</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发现有未按规定的非税收入项目、标准执收非税收入或有违反规定缓减免非税收入的，发现一次扣0.5分，直至扣完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72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非税收入上缴情况（2分）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是否及时足额将非税收入缴入财政</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发现未及时足额将非税收入缴入财政的或者截留、挪用非税收入的，发现一次扣0.5分，直至扣完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政府采购实施计划（4分）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政府采购实施计划编制（2）</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实施计划与政府采购预算的一致性</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0</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（1-调整或细化资金/政府采购预算资金）*分值</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政府采购实施计划的执行（2）</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执行的实施计划与备案的实施计划的一致性</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0</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（1-实施计划备案后的调整或细化资金/实施计划备案后的资金）*分值</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96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资产管理（6分）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资产管理信息系统建设情况（2分）</w:t>
            </w:r>
          </w:p>
        </w:tc>
        <w:tc>
          <w:tcPr>
            <w:tcW w:w="2720" w:type="dxa"/>
            <w:tcBorders>
              <w:top w:val="nil"/>
              <w:left w:val="nil"/>
              <w:bottom w:val="nil"/>
              <w:right w:val="nil"/>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考核部门和单位将国有资产纳入资产信息系统管理情况</w:t>
            </w:r>
          </w:p>
        </w:tc>
        <w:tc>
          <w:tcPr>
            <w:tcW w:w="1844"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①未将所属单位国有资产纳入系统管理，每少一个单位扣1分。②未将资产变动情况及时录入系统，每次扣0.5分。③未落实人员负责管理系统，扣1分。</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144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行政事业单位资产清查开展情况（2分）</w:t>
            </w:r>
          </w:p>
        </w:tc>
        <w:tc>
          <w:tcPr>
            <w:tcW w:w="27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考核行政事业单位按要求及时、准确、全面开展资产清查工作情况</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96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行政事业单位资产报表上报情况（2分）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考核行政事业单位上报国有资产报表数据的真实性、准确性、全面性</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①未落实专人负责资产报表，未及时上报资产报表扣1分。②报表填报不规范，内容不完整，数据不真实，扣1分。③未提交分析报告，对资产变动情况未作分析说明，扣1分。</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96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tcBorders>
              <w:top w:val="nil"/>
              <w:left w:val="nil"/>
              <w:bottom w:val="nil"/>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内控制度管理（2分）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内部控制度健全完整（2分）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考核部门内部控制制度的设置和执行情况</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内部控制制度健全完整并执行良好的得分，否则不得分。在本年度内因内控制度不健全或执行不到位，造成单位出现廉政风险或发生重大责任事故的不得分。</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144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信息公开（6分）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预算公开（2分）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除涉密信息外，各部门要在财政部门批复后二十日内向社会公开本部门预算（含所有财政资金安排的“三公”经费、机关运行经费的安排、使用情况等）</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按县财政通知要求公开预算，未按要求公开的，发现一处扣0.5分，直至扣完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144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决算公开（2分）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除涉密信息外，各部门要在财政部门批复二十日内向社会公开本部门决算（含所有财政资金安排的“三公”经费、机关运行经费的安排、使用情况等）</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未按要求公开的，发现一处问题0.5分，直至扣完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72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绩效信息公开（2分）</w:t>
            </w:r>
          </w:p>
        </w:tc>
        <w:tc>
          <w:tcPr>
            <w:tcW w:w="27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按要求公开部门整体支出绩效自评报告及其他按要求应公开的绩效信息</w:t>
            </w:r>
          </w:p>
        </w:tc>
        <w:tc>
          <w:tcPr>
            <w:tcW w:w="184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未按要求公开的，发现一处问题0.5分，直至扣完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144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绩效评价（10分）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评价项目覆盖率（2分）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部门实施绩效评价项目数量占部门管理专项预算项目数量的比重，部门申报绩效目标项目数量的比重，用以反映和考核部门实施绩效评价项目资金覆盖情况</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评价覆盖率=实施绩效评价项目数量/部门管理专项预算项目数量×100%</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评价层次（2分）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部门（单位）是否对下级预算单位开展整体绩效评价</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0</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实施评价下级预算单位的得分，否则不得分</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评价结果报告（2分）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部门是否按要求向财政部门报告自评报告等相关绩效信息</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未按要求报送的，发现一处扣0.5分，直至扣完。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72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整改完成率（4分）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部门是否按要求针对绩效评价发现问题制定整改措施，并整改落实到位</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完成率=应制定整改措施的项目数量/部门实际制定整改措施项目数量×100%。</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96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依法接受财政监督（6分）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是否按要求开展自查自纠（2分）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根据相关自查自纠报告、报表报送时效和质量进行考核</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未在规定时间内报送自查自纠相关材料（包括：纸质和电子版）的，扣0.5分；报告内容不完整，扣1分；报表质量差（如：数据、逻辑、勾稽关系错误）等扣0.5分；直至扣完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72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重点检查发现违规违纪问题（2分）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根据检查组提供的工作底稿、检查报告等资料进行考核</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专项检查发现的违纪违规问题，每个问题扣0.5分，直至扣完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存在问题整改是否到位（2分）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根据相关整改报告、凭证依据等相关证明材料进行考核</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未在规定时间内完成整改，并提供相关证明材料的，每个问题0.5分，直至扣完</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480" w:hRule="atLeast"/>
        </w:trPr>
        <w:tc>
          <w:tcPr>
            <w:tcW w:w="10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整体效益（30分）</w:t>
            </w: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部门整体绩效（30分）</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重点项目绩效评价结果（10分）</w:t>
            </w:r>
          </w:p>
        </w:tc>
        <w:tc>
          <w:tcPr>
            <w:tcW w:w="27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部门实施重大项目的经济、社会效益</w:t>
            </w: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8</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根据县财政组织实施项目绩效评价结果换算</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285"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部门职能完成情况特性指标（20分）</w:t>
            </w:r>
          </w:p>
        </w:tc>
        <w:tc>
          <w:tcPr>
            <w:tcW w:w="27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根据部门职能职责、州级级主管部门和县委县政府安排的各项专项工作任务及其他年度重点工作任务等，汇总梳理形成能够量化衡量且全面反映部门职能工作完成情况的若干指标。</w:t>
            </w:r>
          </w:p>
        </w:tc>
        <w:tc>
          <w:tcPr>
            <w:tcW w:w="1844" w:type="dxa"/>
            <w:gridSpan w:val="2"/>
            <w:tcBorders>
              <w:top w:val="nil"/>
              <w:left w:val="nil"/>
              <w:bottom w:val="nil"/>
              <w:right w:val="single" w:color="auto" w:sz="4" w:space="0"/>
            </w:tcBorders>
            <w:shd w:val="clear" w:color="auto" w:fill="auto"/>
            <w:vAlign w:val="center"/>
          </w:tcPr>
          <w:p>
            <w:pPr>
              <w:widowControl/>
              <w:jc w:val="center"/>
              <w:rPr>
                <w:rFonts w:ascii="宋体" w:hAnsi="宋体" w:cs="宋体"/>
                <w:kern w:val="0"/>
                <w:sz w:val="20"/>
                <w:szCs w:val="20"/>
              </w:rPr>
            </w:pPr>
          </w:p>
        </w:tc>
        <w:tc>
          <w:tcPr>
            <w:tcW w:w="411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部门和评价组根据部门实际设置</w:t>
            </w: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285" w:hRule="atLeast"/>
        </w:trPr>
        <w:tc>
          <w:tcPr>
            <w:tcW w:w="10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5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27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18</w:t>
            </w:r>
          </w:p>
        </w:tc>
        <w:tc>
          <w:tcPr>
            <w:tcW w:w="411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0"/>
                <w:szCs w:val="20"/>
              </w:rPr>
            </w:pPr>
          </w:p>
        </w:tc>
        <w:tc>
          <w:tcPr>
            <w:tcW w:w="3585" w:type="dxa"/>
            <w:tcBorders>
              <w:top w:val="nil"/>
              <w:left w:val="nil"/>
              <w:bottom w:val="nil"/>
              <w:right w:val="nil"/>
            </w:tcBorders>
            <w:shd w:val="clear" w:color="auto" w:fill="auto"/>
            <w:vAlign w:val="center"/>
          </w:tcPr>
          <w:p>
            <w:pPr>
              <w:widowControl/>
              <w:jc w:val="center"/>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center"/>
              <w:rPr>
                <w:rFonts w:ascii="宋体" w:hAnsi="宋体" w:cs="宋体"/>
                <w:kern w:val="0"/>
                <w:sz w:val="16"/>
                <w:szCs w:val="16"/>
              </w:rPr>
            </w:pPr>
          </w:p>
        </w:tc>
      </w:tr>
      <w:tr>
        <w:tblPrEx>
          <w:tblLayout w:type="fixed"/>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得分</w:t>
            </w: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84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82</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3585"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4060"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Layout w:type="fixed"/>
          <w:tblCellMar>
            <w:top w:w="0" w:type="dxa"/>
            <w:left w:w="108" w:type="dxa"/>
            <w:bottom w:w="0" w:type="dxa"/>
            <w:right w:w="108" w:type="dxa"/>
          </w:tblCellMar>
        </w:tblPrEx>
        <w:trPr>
          <w:trHeight w:val="285" w:hRule="atLeast"/>
        </w:trPr>
        <w:tc>
          <w:tcPr>
            <w:tcW w:w="16360" w:type="dxa"/>
            <w:gridSpan w:val="8"/>
            <w:tcBorders>
              <w:top w:val="single" w:color="auto" w:sz="4" w:space="0"/>
              <w:left w:val="nil"/>
              <w:bottom w:val="nil"/>
              <w:right w:val="nil"/>
            </w:tcBorders>
            <w:shd w:val="clear" w:color="auto" w:fill="auto"/>
            <w:vAlign w:val="center"/>
          </w:tcPr>
          <w:p>
            <w:pPr>
              <w:widowControl/>
              <w:jc w:val="left"/>
              <w:rPr>
                <w:rFonts w:ascii="宋体" w:hAnsi="宋体" w:cs="宋体"/>
                <w:b/>
                <w:bCs/>
                <w:kern w:val="0"/>
                <w:sz w:val="20"/>
                <w:szCs w:val="20"/>
              </w:rPr>
            </w:pPr>
            <w:r>
              <w:rPr>
                <w:rFonts w:hint="eastAsia" w:ascii="宋体" w:hAnsi="宋体" w:cs="宋体"/>
                <w:b/>
                <w:bCs/>
                <w:kern w:val="0"/>
                <w:sz w:val="20"/>
                <w:szCs w:val="20"/>
              </w:rPr>
              <w:t>注：若某部门不存在某项评价内容或评价指标，则该评价内容或评价指标不计入该部门考核评价范围，即该部门评价总分＝不含该评价内容或指标的评价总分</w:t>
            </w:r>
          </w:p>
          <w:p>
            <w:pPr>
              <w:widowControl/>
              <w:jc w:val="left"/>
              <w:rPr>
                <w:rFonts w:ascii="宋体" w:hAnsi="宋体" w:cs="宋体"/>
                <w:b/>
                <w:bCs/>
                <w:kern w:val="0"/>
                <w:sz w:val="20"/>
                <w:szCs w:val="20"/>
              </w:rPr>
            </w:pPr>
            <w:r>
              <w:rPr>
                <w:rFonts w:hint="eastAsia" w:ascii="宋体" w:hAnsi="宋体" w:cs="宋体"/>
                <w:b/>
                <w:bCs/>
                <w:kern w:val="0"/>
                <w:sz w:val="20"/>
                <w:szCs w:val="20"/>
              </w:rPr>
              <w:t>/（100-该评价内容或指标所占分值）*100。</w:t>
            </w:r>
          </w:p>
        </w:tc>
        <w:tc>
          <w:tcPr>
            <w:tcW w:w="4060"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bl>
    <w:p>
      <w:pPr>
        <w:widowControl/>
        <w:adjustRightInd w:val="0"/>
        <w:snapToGrid w:val="0"/>
        <w:spacing w:line="480" w:lineRule="exact"/>
        <w:ind w:firstLine="720"/>
        <w:jc w:val="left"/>
        <w:rPr>
          <w:rFonts w:ascii="黑体" w:hAnsi="宋体" w:eastAsia="黑体" w:cs="宋体"/>
          <w:color w:val="000000" w:themeColor="text1"/>
          <w:kern w:val="0"/>
          <w:sz w:val="32"/>
        </w:rPr>
      </w:pPr>
    </w:p>
    <w:p>
      <w:pPr>
        <w:widowControl/>
        <w:adjustRightInd w:val="0"/>
        <w:snapToGrid w:val="0"/>
        <w:spacing w:line="480" w:lineRule="exact"/>
        <w:ind w:firstLine="720"/>
        <w:jc w:val="left"/>
        <w:rPr>
          <w:rFonts w:ascii="黑体" w:hAnsi="宋体" w:eastAsia="黑体" w:cs="宋体"/>
          <w:color w:val="000000" w:themeColor="text1"/>
          <w:kern w:val="0"/>
          <w:sz w:val="32"/>
        </w:rPr>
      </w:pPr>
    </w:p>
    <w:p>
      <w:pPr>
        <w:widowControl/>
        <w:adjustRightInd w:val="0"/>
        <w:snapToGrid w:val="0"/>
        <w:spacing w:line="480" w:lineRule="exact"/>
        <w:ind w:firstLine="720"/>
        <w:jc w:val="left"/>
        <w:rPr>
          <w:rFonts w:ascii="黑体" w:hAnsi="宋体" w:eastAsia="黑体" w:cs="宋体"/>
          <w:color w:val="000000" w:themeColor="text1"/>
          <w:kern w:val="0"/>
          <w:sz w:val="32"/>
        </w:rPr>
      </w:pPr>
    </w:p>
    <w:p>
      <w:pPr>
        <w:widowControl/>
        <w:adjustRightInd w:val="0"/>
        <w:snapToGrid w:val="0"/>
        <w:spacing w:line="480" w:lineRule="exact"/>
        <w:ind w:firstLine="720"/>
        <w:jc w:val="left"/>
        <w:rPr>
          <w:rFonts w:ascii="黑体" w:hAnsi="宋体" w:eastAsia="黑体" w:cs="宋体"/>
          <w:color w:val="000000" w:themeColor="text1"/>
          <w:kern w:val="0"/>
          <w:sz w:val="32"/>
        </w:rPr>
      </w:pPr>
    </w:p>
    <w:p>
      <w:pPr>
        <w:widowControl/>
        <w:adjustRightInd w:val="0"/>
        <w:snapToGrid w:val="0"/>
        <w:spacing w:line="480" w:lineRule="exact"/>
        <w:ind w:firstLine="720"/>
        <w:jc w:val="left"/>
        <w:rPr>
          <w:rFonts w:ascii="黑体" w:hAnsi="宋体" w:eastAsia="黑体" w:cs="宋体"/>
          <w:color w:val="000000" w:themeColor="text1"/>
          <w:kern w:val="0"/>
          <w:sz w:val="32"/>
        </w:rPr>
        <w:sectPr>
          <w:pgSz w:w="16838" w:h="11906" w:orient="landscape"/>
          <w:pgMar w:top="1797" w:right="1440" w:bottom="1797" w:left="1440" w:header="851" w:footer="992" w:gutter="0"/>
          <w:pgNumType w:start="1"/>
          <w:cols w:space="425" w:num="1"/>
          <w:titlePg/>
          <w:docGrid w:type="linesAndChars" w:linePitch="312" w:charSpace="0"/>
        </w:sectPr>
      </w:pPr>
    </w:p>
    <w:p>
      <w:pPr>
        <w:widowControl/>
        <w:adjustRightInd w:val="0"/>
        <w:snapToGrid w:val="0"/>
        <w:spacing w:line="480" w:lineRule="exact"/>
        <w:ind w:firstLine="720"/>
        <w:jc w:val="left"/>
        <w:rPr>
          <w:rFonts w:ascii="黑体" w:hAnsi="宋体" w:eastAsia="黑体" w:cs="宋体"/>
          <w:color w:val="000000" w:themeColor="text1"/>
          <w:kern w:val="0"/>
        </w:rPr>
      </w:pPr>
      <w:r>
        <w:rPr>
          <w:rFonts w:hint="eastAsia" w:ascii="黑体" w:hAnsi="宋体" w:eastAsia="黑体" w:cs="宋体"/>
          <w:color w:val="000000" w:themeColor="text1"/>
          <w:kern w:val="0"/>
          <w:sz w:val="32"/>
        </w:rPr>
        <w:t>四、评价结论及建议</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（一）评价结论。</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根据部门整体支出绩效评价指标规定的内容，经州委办认真自评，评价得分为82分，2018年度整体支出绩效评为“ 良”。</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（二）存在问题。</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通过对2018年度本部门整体支出绩效自评，我们充分认识到推进预算绩效管理的对我单位项目的推动和资金使用的规范性和有效性有着重要意义，但由于在时间上的紧迫和人员安排上的不足，以至于绩效评价并不能完全兼顾我单位工作的方方面面，在各项指标的分析上也未能做到透彻，对各项资金的使用的规范性和使用结果的有效性分析并不透彻，在下一阶段，我们将进一步推进预算绩效管理，不仅规范支出，更要对各项支出的效果进行跟踪问效，将预算绩效管理融入单位的日常管理中。</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（三）改进建议。</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1、科学编制部门预算。按照《预算法》及相关制度要求，根据本单位的年度工作计划和工作重点，认真测算、合理编制部门预算，力求科学严谨、全面细致。严格按照预算项目和使用用途执行预算，强化预算约束。</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2、加强创新机制制度建立。绩效评价是一项系统工程，要求统一部署，规范程序；同时又是一项新生事物，无章可循，需要创新思维，不拘一格，所以应该做到“统而不死，活而不乱”，我局应该结合自身特点，在上级财政部门的指导下，有针对性地开展绩效评价工作。</w:t>
      </w:r>
    </w:p>
    <w:p>
      <w:pPr>
        <w:widowControl/>
        <w:adjustRightInd w:val="0"/>
        <w:snapToGrid w:val="0"/>
        <w:spacing w:line="480" w:lineRule="exact"/>
        <w:ind w:firstLine="720"/>
        <w:jc w:val="left"/>
        <w:rPr>
          <w:rFonts w:ascii="仿宋_GB2312" w:hAnsi="宋体" w:eastAsia="仿宋_GB2312" w:cs="宋体"/>
          <w:color w:val="000000" w:themeColor="text1"/>
          <w:kern w:val="0"/>
          <w:sz w:val="32"/>
          <w:lang w:val="zh-CN"/>
        </w:rPr>
      </w:pPr>
      <w:r>
        <w:rPr>
          <w:rFonts w:hint="eastAsia" w:ascii="仿宋_GB2312" w:hAnsi="宋体" w:eastAsia="仿宋_GB2312" w:cs="宋体"/>
          <w:color w:val="000000" w:themeColor="text1"/>
          <w:kern w:val="0"/>
          <w:sz w:val="32"/>
          <w:lang w:val="zh-CN"/>
        </w:rPr>
        <w:t>3、将绩效管理纳入财务管理日常工作。绩效评价是衡量财政支出的规范性和有效性的一个重要体系，因此应将财政支出绩效评价纳入单位财务管理的一项日常工作，在日常的支出中，应将绩效评价纳入其中，对每一笔支出的效益和产出进行评估，从而真正做到让财政资金发挥更大的效益</w:t>
      </w: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640" w:firstLineChars="200"/>
        <w:rPr>
          <w:rFonts w:ascii="仿宋" w:hAnsi="仿宋" w:eastAsia="仿宋" w:cs="仿宋_GB2312"/>
          <w:sz w:val="32"/>
          <w:szCs w:val="32"/>
        </w:rPr>
      </w:pPr>
    </w:p>
    <w:p>
      <w:pPr>
        <w:ind w:firstLine="420" w:firstLineChars="200"/>
        <w:rPr>
          <w:rFonts w:cs="仿宋_GB2312"/>
        </w:rPr>
      </w:pPr>
    </w:p>
    <w:p>
      <w:pPr>
        <w:ind w:firstLine="420" w:firstLineChars="200"/>
        <w:rPr>
          <w:rFonts w:cs="仿宋_GB2312"/>
        </w:rPr>
      </w:pPr>
    </w:p>
    <w:p>
      <w:pPr>
        <w:ind w:firstLine="420" w:firstLineChars="200"/>
        <w:rPr>
          <w:rFonts w:cs="仿宋_GB2312"/>
        </w:rPr>
      </w:pPr>
    </w:p>
    <w:p>
      <w:pPr>
        <w:ind w:firstLine="420" w:firstLineChars="200"/>
        <w:rPr>
          <w:rFonts w:cs="仿宋_GB2312"/>
        </w:rPr>
      </w:pPr>
    </w:p>
    <w:p>
      <w:pPr>
        <w:ind w:firstLine="420" w:firstLineChars="200"/>
        <w:rPr>
          <w:rFonts w:cs="仿宋_GB2312"/>
        </w:rPr>
      </w:pPr>
    </w:p>
    <w:p>
      <w:pPr>
        <w:ind w:firstLine="420" w:firstLineChars="200"/>
        <w:rPr>
          <w:rFonts w:cs="仿宋_GB2312"/>
        </w:rPr>
      </w:pPr>
    </w:p>
    <w:p>
      <w:pPr>
        <w:pStyle w:val="3"/>
        <w:rPr>
          <w:rStyle w:val="24"/>
          <w:rFonts w:ascii="仿宋" w:hAnsi="仿宋" w:eastAsia="仿宋"/>
          <w:b w:val="0"/>
          <w:bCs w:val="0"/>
          <w:color w:val="000000" w:themeColor="text1"/>
          <w:sz w:val="32"/>
          <w:szCs w:val="32"/>
        </w:rPr>
      </w:pPr>
      <w:r>
        <w:rPr>
          <w:rStyle w:val="24"/>
          <w:rFonts w:hint="eastAsia" w:ascii="仿宋" w:hAnsi="仿宋" w:eastAsia="仿宋"/>
          <w:b w:val="0"/>
          <w:bCs w:val="0"/>
          <w:color w:val="000000" w:themeColor="text1"/>
          <w:sz w:val="32"/>
          <w:szCs w:val="32"/>
        </w:rPr>
        <w:t>附件2</w:t>
      </w:r>
      <w:bookmarkEnd w:id="61"/>
    </w:p>
    <w:p>
      <w:pPr>
        <w:snapToGrid w:val="0"/>
        <w:spacing w:line="580" w:lineRule="exact"/>
        <w:jc w:val="center"/>
        <w:rPr>
          <w:rFonts w:ascii="方正小标宋简体" w:hAnsi="宋体" w:eastAsia="方正小标宋简体" w:cs="方正小标宋简体"/>
          <w:color w:val="000000" w:themeColor="text1"/>
          <w:sz w:val="44"/>
          <w:szCs w:val="44"/>
        </w:rPr>
      </w:pPr>
      <w:bookmarkStart w:id="62" w:name="_Toc15396618"/>
      <w:r>
        <w:rPr>
          <w:rFonts w:hint="eastAsia" w:ascii="方正小标宋简体" w:hAnsi="宋体" w:eastAsia="方正小标宋简体" w:cs="方正小标宋简体"/>
          <w:color w:val="000000" w:themeColor="text1"/>
          <w:sz w:val="44"/>
          <w:szCs w:val="44"/>
        </w:rPr>
        <w:t>项目支出绩效评价报告</w:t>
      </w:r>
    </w:p>
    <w:p>
      <w:pPr>
        <w:tabs>
          <w:tab w:val="left" w:pos="3885"/>
        </w:tabs>
        <w:snapToGrid w:val="0"/>
        <w:spacing w:line="580" w:lineRule="exact"/>
        <w:ind w:firstLine="640" w:firstLineChars="200"/>
        <w:jc w:val="center"/>
        <w:rPr>
          <w:rFonts w:hAnsi="宋体"/>
          <w:color w:val="000000" w:themeColor="text1"/>
        </w:rPr>
      </w:pPr>
      <w:r>
        <w:rPr>
          <w:rFonts w:hint="eastAsia" w:hAnsi="宋体" w:eastAsia="仿宋_GB2312" w:cs="仿宋_GB2312"/>
          <w:color w:val="000000" w:themeColor="text1"/>
          <w:sz w:val="32"/>
        </w:rPr>
        <w:t>（</w:t>
      </w:r>
      <w:r>
        <w:rPr>
          <w:rFonts w:hint="eastAsia" w:ascii="仿宋_GB2312" w:hAnsi="仿宋_GB2312" w:eastAsia="仿宋_GB2312" w:cs="仿宋_GB2312"/>
          <w:color w:val="000000" w:themeColor="text1"/>
          <w:sz w:val="32"/>
          <w:szCs w:val="32"/>
        </w:rPr>
        <w:t>2018年红原县森林公安局林业发展资金项目</w:t>
      </w:r>
      <w:r>
        <w:rPr>
          <w:rFonts w:hint="eastAsia" w:hAnsi="宋体" w:eastAsia="仿宋_GB2312" w:cs="仿宋_GB2312"/>
          <w:color w:val="000000" w:themeColor="text1"/>
          <w:sz w:val="32"/>
        </w:rPr>
        <w:t>）</w:t>
      </w:r>
    </w:p>
    <w:p>
      <w:pPr>
        <w:tabs>
          <w:tab w:val="left" w:pos="3885"/>
        </w:tabs>
        <w:snapToGrid w:val="0"/>
        <w:spacing w:line="580" w:lineRule="exact"/>
        <w:ind w:firstLine="422" w:firstLineChars="200"/>
        <w:jc w:val="left"/>
        <w:rPr>
          <w:rFonts w:ascii="宋体" w:hAnsi="宋体" w:eastAsia="仿宋_GB2312" w:cs="宋体"/>
          <w:b/>
          <w:color w:val="000000" w:themeColor="text1"/>
          <w:szCs w:val="21"/>
        </w:rPr>
      </w:pPr>
    </w:p>
    <w:p>
      <w:pPr>
        <w:snapToGrid w:val="0"/>
        <w:spacing w:line="580" w:lineRule="exact"/>
        <w:ind w:firstLine="640" w:firstLineChars="200"/>
        <w:rPr>
          <w:rFonts w:ascii="黑体" w:hAnsi="宋体" w:eastAsia="黑体" w:cs="黑体"/>
          <w:color w:val="000000" w:themeColor="text1"/>
          <w:sz w:val="32"/>
          <w:szCs w:val="21"/>
        </w:rPr>
      </w:pPr>
      <w:r>
        <w:rPr>
          <w:rFonts w:hint="eastAsia" w:ascii="黑体" w:hAnsi="宋体" w:eastAsia="黑体" w:cs="黑体"/>
          <w:color w:val="000000" w:themeColor="text1"/>
          <w:sz w:val="32"/>
          <w:szCs w:val="21"/>
        </w:rPr>
        <w:t>一、内容摘要</w:t>
      </w:r>
    </w:p>
    <w:p>
      <w:pPr>
        <w:snapToGrid w:val="0"/>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2018红原县森林公安局林业改革发展项目资金共计150,000.00元，预算安排资金150,000.00元，实际到位资金150,000.00元，资金来源中央财政我局。分别于2018年6月申报资金32,694.78元，2018年7月申报资金31,046.00元，2018年9月申报资金68,861.45元，2018年10月申报资金17,397.77元。经财政局审核后拨付资金，全部用于林业改革发展项目支出进度100%。我局认为该项目基本完成了年初预算确定的绩效目标，为我局有效的打击违法捕猎野生动物、破坏森林植被等违法犯罪活动，为保护好我县宝贵的野生动植物资源起到了重要的作用。</w:t>
      </w:r>
    </w:p>
    <w:p>
      <w:pPr>
        <w:snapToGrid w:val="0"/>
        <w:spacing w:line="580" w:lineRule="exact"/>
        <w:ind w:firstLine="640" w:firstLineChars="200"/>
        <w:rPr>
          <w:rFonts w:ascii="黑体" w:hAnsi="宋体" w:eastAsia="黑体" w:cs="黑体"/>
          <w:color w:val="000000" w:themeColor="text1"/>
          <w:szCs w:val="21"/>
        </w:rPr>
      </w:pPr>
      <w:r>
        <w:rPr>
          <w:rFonts w:hint="eastAsia" w:ascii="黑体" w:hAnsi="宋体" w:eastAsia="黑体" w:cs="黑体"/>
          <w:color w:val="000000" w:themeColor="text1"/>
          <w:sz w:val="32"/>
          <w:szCs w:val="21"/>
        </w:rPr>
        <w:t>二、评价工作开展及项目情况</w:t>
      </w:r>
    </w:p>
    <w:p>
      <w:pPr>
        <w:snapToGrid w:val="0"/>
        <w:spacing w:line="580" w:lineRule="exact"/>
        <w:ind w:firstLine="640" w:firstLineChars="200"/>
        <w:rPr>
          <w:rFonts w:ascii="宋体" w:hAnsi="宋体" w:eastAsia="仿宋_GB2312" w:cs="宋体"/>
          <w:color w:val="FF0000"/>
          <w:szCs w:val="21"/>
        </w:rPr>
      </w:pPr>
      <w:r>
        <w:rPr>
          <w:rFonts w:ascii="仿宋_GB2312" w:hAnsi="仿宋_GB2312" w:eastAsia="仿宋_GB2312" w:cs="仿宋_GB2312"/>
          <w:color w:val="000000" w:themeColor="text1"/>
          <w:sz w:val="32"/>
          <w:szCs w:val="32"/>
        </w:rPr>
        <w:t>项目评价分为</w:t>
      </w:r>
      <w:r>
        <w:rPr>
          <w:rFonts w:hint="eastAsia" w:ascii="仿宋_GB2312" w:hAnsi="仿宋_GB2312" w:eastAsia="仿宋_GB2312" w:cs="仿宋_GB2312"/>
          <w:color w:val="000000" w:themeColor="text1"/>
          <w:sz w:val="32"/>
          <w:szCs w:val="32"/>
        </w:rPr>
        <w:t>两个</w:t>
      </w:r>
      <w:r>
        <w:rPr>
          <w:rFonts w:ascii="仿宋_GB2312" w:hAnsi="仿宋_GB2312" w:eastAsia="仿宋_GB2312" w:cs="仿宋_GB2312"/>
          <w:color w:val="000000" w:themeColor="text1"/>
          <w:sz w:val="32"/>
          <w:szCs w:val="32"/>
        </w:rPr>
        <w:t>阶段</w:t>
      </w:r>
      <w:r>
        <w:rPr>
          <w:rFonts w:hint="eastAsia" w:ascii="仿宋_GB2312" w:hAnsi="仿宋_GB2312" w:eastAsia="仿宋_GB2312" w:cs="仿宋_GB2312"/>
          <w:color w:val="000000" w:themeColor="text1"/>
          <w:sz w:val="32"/>
          <w:szCs w:val="32"/>
        </w:rPr>
        <w:t>，</w:t>
      </w:r>
      <w:r>
        <w:rPr>
          <w:rFonts w:ascii="仿宋_GB2312" w:hAnsi="仿宋_GB2312" w:eastAsia="仿宋_GB2312" w:cs="仿宋_GB2312"/>
          <w:color w:val="000000" w:themeColor="text1"/>
          <w:sz w:val="32"/>
          <w:szCs w:val="32"/>
        </w:rPr>
        <w:t>第一阶段</w:t>
      </w:r>
      <w:r>
        <w:rPr>
          <w:rFonts w:hint="eastAsia" w:ascii="仿宋_GB2312" w:hAnsi="仿宋_GB2312" w:eastAsia="仿宋_GB2312" w:cs="仿宋_GB2312"/>
          <w:color w:val="000000" w:themeColor="text1"/>
          <w:sz w:val="32"/>
          <w:szCs w:val="32"/>
        </w:rPr>
        <w:t>：</w:t>
      </w:r>
      <w:r>
        <w:rPr>
          <w:rFonts w:ascii="仿宋_GB2312" w:hAnsi="仿宋_GB2312" w:eastAsia="仿宋_GB2312" w:cs="仿宋_GB2312"/>
          <w:color w:val="000000" w:themeColor="text1"/>
          <w:sz w:val="32"/>
          <w:szCs w:val="32"/>
        </w:rPr>
        <w:t>收集项目自评材料，了解财政性资金项目情况，查看项目资料并收集相关数据；第</w:t>
      </w:r>
      <w:r>
        <w:rPr>
          <w:rFonts w:hint="eastAsia" w:ascii="仿宋_GB2312" w:hAnsi="仿宋_GB2312" w:eastAsia="仿宋_GB2312" w:cs="仿宋_GB2312"/>
          <w:color w:val="000000" w:themeColor="text1"/>
          <w:sz w:val="32"/>
          <w:szCs w:val="32"/>
        </w:rPr>
        <w:t>二</w:t>
      </w:r>
      <w:r>
        <w:rPr>
          <w:rFonts w:ascii="仿宋_GB2312" w:hAnsi="仿宋_GB2312" w:eastAsia="仿宋_GB2312" w:cs="仿宋_GB2312"/>
          <w:color w:val="000000" w:themeColor="text1"/>
          <w:sz w:val="32"/>
          <w:szCs w:val="32"/>
        </w:rPr>
        <w:t>阶段：对</w:t>
      </w:r>
      <w:r>
        <w:rPr>
          <w:rFonts w:hint="eastAsia" w:ascii="仿宋_GB2312" w:hAnsi="仿宋_GB2312" w:eastAsia="仿宋_GB2312" w:cs="仿宋_GB2312"/>
          <w:color w:val="000000" w:themeColor="text1"/>
          <w:sz w:val="32"/>
          <w:szCs w:val="32"/>
        </w:rPr>
        <w:t>本单位</w:t>
      </w:r>
      <w:r>
        <w:rPr>
          <w:rFonts w:ascii="仿宋_GB2312" w:hAnsi="仿宋_GB2312" w:eastAsia="仿宋_GB2312" w:cs="仿宋_GB2312"/>
          <w:color w:val="000000" w:themeColor="text1"/>
          <w:sz w:val="32"/>
          <w:szCs w:val="32"/>
        </w:rPr>
        <w:t>进行综合评价，并撰写评价报告。通过上述</w:t>
      </w:r>
      <w:r>
        <w:rPr>
          <w:rFonts w:hint="eastAsia" w:ascii="仿宋_GB2312" w:hAnsi="仿宋_GB2312" w:eastAsia="仿宋_GB2312" w:cs="仿宋_GB2312"/>
          <w:color w:val="000000" w:themeColor="text1"/>
          <w:sz w:val="32"/>
          <w:szCs w:val="32"/>
        </w:rPr>
        <w:t>两个</w:t>
      </w:r>
      <w:r>
        <w:rPr>
          <w:rFonts w:ascii="仿宋_GB2312" w:hAnsi="仿宋_GB2312" w:eastAsia="仿宋_GB2312" w:cs="仿宋_GB2312"/>
          <w:color w:val="000000" w:themeColor="text1"/>
          <w:sz w:val="32"/>
          <w:szCs w:val="32"/>
        </w:rPr>
        <w:t>阶段的检查工作来了解项目资金的分配与使用情况、项目日常组织管理及项目绩效目标的完成情况。评价过程中，评价人员根据预定的评价指标对</w:t>
      </w:r>
      <w:r>
        <w:rPr>
          <w:rFonts w:hint="eastAsia" w:ascii="仿宋_GB2312" w:hAnsi="仿宋_GB2312" w:eastAsia="仿宋_GB2312" w:cs="仿宋_GB2312"/>
          <w:color w:val="000000" w:themeColor="text1"/>
          <w:sz w:val="32"/>
          <w:szCs w:val="32"/>
        </w:rPr>
        <w:t>本单位项目</w:t>
      </w:r>
      <w:r>
        <w:rPr>
          <w:rFonts w:ascii="仿宋_GB2312" w:hAnsi="仿宋_GB2312" w:eastAsia="仿宋_GB2312" w:cs="仿宋_GB2312"/>
          <w:color w:val="000000" w:themeColor="text1"/>
          <w:sz w:val="32"/>
          <w:szCs w:val="32"/>
        </w:rPr>
        <w:t>进行评价，并根据</w:t>
      </w:r>
      <w:r>
        <w:rPr>
          <w:rFonts w:hint="eastAsia" w:ascii="仿宋_GB2312" w:hAnsi="仿宋_GB2312" w:eastAsia="仿宋_GB2312" w:cs="仿宋_GB2312"/>
          <w:color w:val="000000" w:themeColor="text1"/>
          <w:sz w:val="32"/>
          <w:szCs w:val="32"/>
        </w:rPr>
        <w:t>本单位</w:t>
      </w:r>
      <w:r>
        <w:rPr>
          <w:rFonts w:ascii="仿宋_GB2312" w:hAnsi="仿宋_GB2312" w:eastAsia="仿宋_GB2312" w:cs="仿宋_GB2312"/>
          <w:color w:val="000000" w:themeColor="text1"/>
          <w:sz w:val="32"/>
          <w:szCs w:val="32"/>
        </w:rPr>
        <w:t>的评价情况得出整体评价结论。纳入本次评价范围的项目</w:t>
      </w:r>
      <w:r>
        <w:rPr>
          <w:rFonts w:hint="eastAsia" w:ascii="仿宋_GB2312" w:hAnsi="仿宋_GB2312" w:eastAsia="仿宋_GB2312" w:cs="仿宋_GB2312"/>
          <w:color w:val="000000" w:themeColor="text1"/>
          <w:sz w:val="32"/>
          <w:szCs w:val="32"/>
        </w:rPr>
        <w:t>有2018年红原县森林公安局林业发展资金项目</w:t>
      </w:r>
      <w:r>
        <w:rPr>
          <w:rFonts w:ascii="仿宋_GB2312" w:hAnsi="仿宋_GB2312" w:eastAsia="仿宋_GB2312" w:cs="仿宋_GB2312"/>
          <w:color w:val="000000" w:themeColor="text1"/>
          <w:sz w:val="32"/>
          <w:szCs w:val="32"/>
        </w:rPr>
        <w:t>。</w:t>
      </w:r>
    </w:p>
    <w:p>
      <w:pPr>
        <w:snapToGrid w:val="0"/>
        <w:spacing w:line="580" w:lineRule="exact"/>
        <w:ind w:firstLine="640" w:firstLineChars="200"/>
        <w:rPr>
          <w:rFonts w:ascii="黑体" w:hAnsi="宋体" w:eastAsia="黑体" w:cs="黑体"/>
          <w:color w:val="000000" w:themeColor="text1"/>
          <w:szCs w:val="21"/>
        </w:rPr>
      </w:pPr>
      <w:r>
        <w:rPr>
          <w:rFonts w:hint="eastAsia" w:ascii="黑体" w:hAnsi="宋体" w:eastAsia="黑体" w:cs="黑体"/>
          <w:color w:val="000000" w:themeColor="text1"/>
          <w:sz w:val="32"/>
          <w:szCs w:val="21"/>
        </w:rPr>
        <w:t>三、评价结论及绩效分析</w:t>
      </w:r>
    </w:p>
    <w:p>
      <w:pPr>
        <w:snapToGrid w:val="0"/>
        <w:spacing w:line="580" w:lineRule="exact"/>
        <w:ind w:firstLine="643" w:firstLineChars="200"/>
        <w:rPr>
          <w:rFonts w:ascii="楷体_GB2312" w:hAnsi="宋体" w:eastAsia="楷体_GB2312" w:cs="楷体_GB2312"/>
          <w:b/>
          <w:color w:val="000000" w:themeColor="text1"/>
          <w:szCs w:val="21"/>
        </w:rPr>
      </w:pPr>
      <w:r>
        <w:rPr>
          <w:rFonts w:hint="eastAsia" w:ascii="楷体_GB2312" w:hAnsi="宋体" w:eastAsia="楷体_GB2312" w:cs="楷体_GB2312"/>
          <w:b/>
          <w:color w:val="000000" w:themeColor="text1"/>
          <w:sz w:val="32"/>
          <w:szCs w:val="21"/>
        </w:rPr>
        <w:t>（一）评价结论</w:t>
      </w:r>
    </w:p>
    <w:p>
      <w:pPr>
        <w:snapToGrid w:val="0"/>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2018年红原县森林公安局林业发展资金项目预算执行情况良好，计划目标基本合理，资金落实到位；项目管理制度较健全，执行基本有效，支出基本合规,</w:t>
      </w:r>
      <w:r>
        <w:t xml:space="preserve"> </w:t>
      </w:r>
      <w:r>
        <w:rPr>
          <w:rFonts w:ascii="仿宋_GB2312" w:hAnsi="仿宋_GB2312" w:eastAsia="仿宋_GB2312" w:cs="仿宋_GB2312"/>
          <w:color w:val="000000" w:themeColor="text1"/>
          <w:sz w:val="32"/>
          <w:szCs w:val="32"/>
        </w:rPr>
        <w:t>项目综合评分</w:t>
      </w:r>
      <w:r>
        <w:rPr>
          <w:rFonts w:hint="eastAsia" w:ascii="仿宋_GB2312" w:hAnsi="仿宋_GB2312" w:eastAsia="仿宋_GB2312" w:cs="仿宋_GB2312"/>
          <w:color w:val="000000" w:themeColor="text1"/>
          <w:sz w:val="32"/>
          <w:szCs w:val="32"/>
        </w:rPr>
        <w:t>83.8</w:t>
      </w:r>
      <w:r>
        <w:rPr>
          <w:rFonts w:ascii="仿宋_GB2312" w:hAnsi="仿宋_GB2312" w:eastAsia="仿宋_GB2312" w:cs="仿宋_GB2312"/>
          <w:color w:val="000000" w:themeColor="text1"/>
          <w:sz w:val="32"/>
          <w:szCs w:val="32"/>
        </w:rPr>
        <w:t>分，评价级次为</w:t>
      </w:r>
      <w:r>
        <w:rPr>
          <w:rFonts w:hint="eastAsia" w:ascii="仿宋_GB2312" w:hAnsi="仿宋_GB2312" w:eastAsia="仿宋_GB2312" w:cs="仿宋_GB2312"/>
          <w:color w:val="000000" w:themeColor="text1"/>
          <w:sz w:val="32"/>
          <w:szCs w:val="32"/>
        </w:rPr>
        <w:t xml:space="preserve">良。 </w:t>
      </w:r>
    </w:p>
    <w:p>
      <w:pPr>
        <w:snapToGrid w:val="0"/>
        <w:spacing w:line="580" w:lineRule="exact"/>
        <w:ind w:firstLine="640" w:firstLineChars="200"/>
        <w:rPr>
          <w:rFonts w:ascii="仿宋_GB2312" w:hAnsi="仿宋_GB2312" w:eastAsia="仿宋_GB2312" w:cs="仿宋_GB2312"/>
          <w:color w:val="000000" w:themeColor="text1"/>
          <w:sz w:val="32"/>
          <w:szCs w:val="32"/>
        </w:rPr>
      </w:pPr>
    </w:p>
    <w:p>
      <w:pPr>
        <w:snapToGrid w:val="0"/>
        <w:spacing w:line="580" w:lineRule="exact"/>
        <w:ind w:firstLine="640" w:firstLineChars="200"/>
        <w:rPr>
          <w:rFonts w:ascii="宋体" w:hAnsi="宋体" w:eastAsia="仿宋_GB2312" w:cs="仿宋_GB2312"/>
          <w:color w:val="FF0000"/>
          <w:sz w:val="32"/>
          <w:szCs w:val="21"/>
        </w:rPr>
      </w:pPr>
    </w:p>
    <w:p>
      <w:pPr>
        <w:snapToGrid w:val="0"/>
        <w:spacing w:line="580" w:lineRule="exact"/>
        <w:ind w:firstLine="640" w:firstLineChars="200"/>
        <w:rPr>
          <w:rFonts w:ascii="宋体" w:hAnsi="宋体" w:eastAsia="仿宋_GB2312" w:cs="仿宋_GB2312"/>
          <w:color w:val="FF0000"/>
          <w:sz w:val="32"/>
          <w:szCs w:val="21"/>
        </w:rPr>
      </w:pPr>
    </w:p>
    <w:p>
      <w:pPr>
        <w:snapToGrid w:val="0"/>
        <w:spacing w:line="580" w:lineRule="exact"/>
        <w:rPr>
          <w:rFonts w:ascii="宋体" w:hAnsi="宋体" w:eastAsia="仿宋_GB2312" w:cs="仿宋_GB2312"/>
          <w:color w:val="FF0000"/>
          <w:sz w:val="32"/>
          <w:szCs w:val="21"/>
        </w:rPr>
        <w:sectPr>
          <w:pgSz w:w="11906" w:h="16838"/>
          <w:pgMar w:top="1440" w:right="1800" w:bottom="1440" w:left="1800" w:header="851" w:footer="992" w:gutter="0"/>
          <w:pgNumType w:start="1"/>
          <w:cols w:space="425" w:num="1"/>
          <w:titlePg/>
          <w:docGrid w:type="lines" w:linePitch="312" w:charSpace="0"/>
        </w:sectPr>
      </w:pPr>
    </w:p>
    <w:tbl>
      <w:tblPr>
        <w:tblStyle w:val="15"/>
        <w:tblW w:w="15292" w:type="dxa"/>
        <w:tblInd w:w="108" w:type="dxa"/>
        <w:tblLayout w:type="fixed"/>
        <w:tblCellMar>
          <w:top w:w="0" w:type="dxa"/>
          <w:left w:w="108" w:type="dxa"/>
          <w:bottom w:w="0" w:type="dxa"/>
          <w:right w:w="108" w:type="dxa"/>
        </w:tblCellMar>
      </w:tblPr>
      <w:tblGrid>
        <w:gridCol w:w="955"/>
        <w:gridCol w:w="1760"/>
        <w:gridCol w:w="1000"/>
        <w:gridCol w:w="460"/>
        <w:gridCol w:w="1180"/>
        <w:gridCol w:w="3081"/>
        <w:gridCol w:w="880"/>
        <w:gridCol w:w="1240"/>
        <w:gridCol w:w="1460"/>
        <w:gridCol w:w="1360"/>
        <w:gridCol w:w="1300"/>
        <w:gridCol w:w="616"/>
      </w:tblGrid>
      <w:tr>
        <w:tblPrEx>
          <w:tblLayout w:type="fixed"/>
          <w:tblCellMar>
            <w:top w:w="0" w:type="dxa"/>
            <w:left w:w="108" w:type="dxa"/>
            <w:bottom w:w="0" w:type="dxa"/>
            <w:right w:w="108" w:type="dxa"/>
          </w:tblCellMar>
        </w:tblPrEx>
        <w:trPr>
          <w:trHeight w:val="555" w:hRule="atLeast"/>
        </w:trPr>
        <w:tc>
          <w:tcPr>
            <w:tcW w:w="15292" w:type="dxa"/>
            <w:gridSpan w:val="12"/>
            <w:tcBorders>
              <w:top w:val="nil"/>
              <w:left w:val="nil"/>
              <w:bottom w:val="nil"/>
              <w:right w:val="nil"/>
            </w:tcBorders>
            <w:shd w:val="clear" w:color="auto" w:fill="auto"/>
            <w:vAlign w:val="bottom"/>
          </w:tcPr>
          <w:p>
            <w:pPr>
              <w:widowControl/>
              <w:jc w:val="center"/>
              <w:rPr>
                <w:rFonts w:ascii="宋体" w:hAnsi="宋体" w:cs="宋体"/>
                <w:kern w:val="0"/>
                <w:sz w:val="24"/>
              </w:rPr>
            </w:pPr>
            <w:r>
              <w:rPr>
                <w:rFonts w:ascii="宋体" w:hAnsi="宋体" w:cs="宋体"/>
                <w:kern w:val="0"/>
                <w:sz w:val="24"/>
              </w:rPr>
              <w:pict>
                <v:group id="Line 1" o:spid="_x0000_s1042" o:spt="203" style="position:absolute;left:0pt;margin-left:45pt;margin-top:-0.75pt;height:1.5pt;width:1.5pt;z-index:251663360;mso-width-relative:page;mso-height-relative:page;" coordorigin="581025,352425" coordsize="19050,19050203" editas="canvas">
                  <o:lock v:ext="edit"/>
                  <v:shape id="Line 1" o:spid="_x0000_s1026" o:spt="100" style="position:absolute;left:581025;top:352425;height:19050203;width:19050;" filled="f" stroked="f" coordsize="21600,21600" adj=",">
                    <v:fill on="f" focussize="0,0"/>
                    <v:stroke on="f"/>
                    <v:imagedata o:title=""/>
                    <o:lock v:ext="edit"/>
                  </v:shape>
                  <v:line id="_x0000_s1043" o:spid="_x0000_s1043" o:spt="20" style="position:absolute;left:581025;top:352425;height:0;width:0;" coordsize="21600,21600" o:gfxdata="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vfu0y1AAAAAYBAAAP&#10;AAAAAAAAAAEAIAAAACIAAABkcnMvZG93bnJldi54bWxQSwECFAAUAAAACACHTuJAFT1TlqoBAABK&#10;AwAADgAAAAAAAAABACAAAAAjAQAAZHJzL2Uyb0RvYy54bWxQSwUGAAAAAAYABgBZAQAAPwUAAAAA&#10;">
                    <v:path arrowok="t"/>
                    <v:fill focussize="0,0"/>
                    <v:stroke/>
                    <v:imagedata o:title=""/>
                    <o:lock v:ext="edit"/>
                  </v:line>
                </v:group>
              </w:pict>
            </w:r>
            <w:r>
              <w:rPr>
                <w:rFonts w:ascii="宋体" w:hAnsi="宋体" w:cs="宋体"/>
                <w:kern w:val="0"/>
                <w:sz w:val="24"/>
              </w:rPr>
              <w:pict>
                <v:group id="Line 2" o:spid="_x0000_s1039" o:spt="203" style="position:absolute;left:0pt;margin-left:45pt;margin-top:-0.75pt;height:1.5pt;width:1.5pt;z-index:251664384;mso-width-relative:page;mso-height-relative:page;" coordorigin="581025,352425" coordsize="19050,19050203" editas="canvas">
                  <o:lock v:ext="edit"/>
                  <v:shape id="Line 2" o:spid="_x0000_s1041" o:spt="100" style="position:absolute;left:581025;top:352425;height:19050203;width:19050;" filled="f" stroked="f" coordsize="21600,21600" adj=",">
                    <v:fill on="f" focussize="0,0"/>
                    <v:stroke on="f"/>
                    <v:imagedata o:title=""/>
                    <o:lock v:ext="edit"/>
                  </v:shape>
                  <v:line id="_x0000_s1040" o:spid="_x0000_s1040" o:spt="20" style="position:absolute;left:581025;top:352425;height:0;width:0;" coordsize="21600,21600" o:gfxdata="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9+7TLUAAAABgEA&#10;AA8AAAAAAAAAAQAgAAAAIgAAAGRycy9kb3ducmV2LnhtbFBLAQIUABQAAAAIAIdO4kBqb3sLrAEA&#10;AEoDAAAOAAAAAAAAAAEAIAAAACMBAABkcnMvZTJvRG9jLnhtbFBLBQYAAAAABgAGAFkBAABBBQAA&#10;AAA=&#10;">
                    <v:path arrowok="t"/>
                    <v:fill focussize="0,0"/>
                    <v:stroke/>
                    <v:imagedata o:title=""/>
                    <o:lock v:ext="edit"/>
                  </v:line>
                </v:group>
              </w:pict>
            </w:r>
            <w:r>
              <w:rPr>
                <w:rFonts w:ascii="宋体" w:hAnsi="宋体" w:cs="宋体"/>
                <w:kern w:val="0"/>
                <w:sz w:val="24"/>
              </w:rPr>
              <w:pict>
                <v:group id="Line 3" o:spid="_x0000_s1036" o:spt="203" style="position:absolute;left:0pt;margin-left:45pt;margin-top:-0.75pt;height:1.5pt;width:1.5pt;z-index:251665408;mso-width-relative:page;mso-height-relative:page;" coordorigin="581025,352425" coordsize="19050,19050203" editas="canvas">
                  <o:lock v:ext="edit"/>
                  <v:shape id="Line 3" o:spid="_x0000_s1038" o:spt="100" style="position:absolute;left:581025;top:352425;height:19050203;width:19050;" filled="f" stroked="f" coordsize="21600,21600" adj=",">
                    <v:fill on="f" focussize="0,0"/>
                    <v:stroke on="f"/>
                    <v:imagedata o:title=""/>
                    <o:lock v:ext="edit"/>
                  </v:shape>
                  <v:line id="_x0000_s1037" o:spid="_x0000_s1037" o:spt="20" style="position:absolute;left:581025;top:352425;height:0;width:0;" coordsize="21600,21600" o:gfxdata="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9+7TLUAAAABgEA&#10;AA8AAAAAAAAAAQAgAAAAIgAAAGRycy9kb3ducmV2LnhtbFBLAQIUABQAAAAIAIdO4kCAXEzJrAEA&#10;AEoDAAAOAAAAAAAAAAEAIAAAACMBAABkcnMvZTJvRG9jLnhtbFBLBQYAAAAABgAGAFkBAABBBQAA&#10;AAA=&#10;">
                    <v:path arrowok="t"/>
                    <v:fill focussize="0,0"/>
                    <v:stroke/>
                    <v:imagedata o:title=""/>
                    <o:lock v:ext="edit"/>
                  </v:line>
                </v:group>
              </w:pict>
            </w:r>
            <w:r>
              <w:rPr>
                <w:rFonts w:ascii="宋体" w:hAnsi="宋体" w:cs="宋体"/>
                <w:kern w:val="0"/>
                <w:sz w:val="24"/>
              </w:rPr>
              <w:pict>
                <v:group id="Line 4" o:spid="_x0000_s1033" o:spt="203" style="position:absolute;left:0pt;margin-left:45pt;margin-top:-0.75pt;height:1.5pt;width:3.75pt;z-index:251666432;mso-width-relative:page;mso-height-relative:page;" coordorigin="581025,352425" coordsize="47625,19050203" editas="canvas">
                  <o:lock v:ext="edit"/>
                  <v:shape id="Line 4" o:spid="_x0000_s1035" o:spt="100" style="position:absolute;left:581025;top:352425;height:19050203;width:47625;" filled="f" stroked="f" coordsize="21600,21600" adj=",">
                    <v:fill on="f" focussize="0,0"/>
                    <v:stroke on="f"/>
                    <v:imagedata o:title=""/>
                    <o:lock v:ext="edit"/>
                  </v:shape>
                  <v:line id="_x0000_s1034" o:spid="_x0000_s1034" o:spt="20" style="position:absolute;left:581025;top:352425;height:0;width:28575;" coordsize="21600,21600" o:gfxdata="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jJSWe1QAA&#10;AAYBAAAPAAAAAAAAAAEAIAAAACIAAABkcnMvZG93bnJldi54bWxQSwECFAAUAAAACACHTuJAUXee&#10;Xq8BAABOAwAADgAAAAAAAAABACAAAAAkAQAAZHJzL2Uyb0RvYy54bWxQSwUGAAAAAAYABgBZAQAA&#10;RQUAAAAA&#10;">
                    <v:path arrowok="t"/>
                    <v:fill focussize="0,0"/>
                    <v:stroke/>
                    <v:imagedata o:title=""/>
                    <o:lock v:ext="edit"/>
                  </v:line>
                </v:group>
              </w:pict>
            </w:r>
            <w:r>
              <w:rPr>
                <w:rFonts w:ascii="宋体" w:hAnsi="宋体" w:cs="宋体"/>
                <w:kern w:val="0"/>
                <w:sz w:val="24"/>
              </w:rPr>
              <w:pict>
                <v:group id="Line 5" o:spid="_x0000_s1030" o:spt="203" style="position:absolute;left:0pt;margin-left:45pt;margin-top:-0.75pt;height:1.5pt;width:1.5pt;z-index:251667456;mso-width-relative:page;mso-height-relative:page;" coordorigin="581025,352425" coordsize="19050,19050203" editas="canvas">
                  <o:lock v:ext="edit"/>
                  <v:shape id="Line 5" o:spid="_x0000_s1032" o:spt="100" style="position:absolute;left:581025;top:352425;height:19050203;width:19050;" filled="f" stroked="f" coordsize="21600,21600" adj=",">
                    <v:fill on="f" focussize="0,0"/>
                    <v:stroke on="f"/>
                    <v:imagedata o:title=""/>
                    <o:lock v:ext="edit"/>
                  </v:shape>
                  <v:line id="_x0000_s1031" o:spid="_x0000_s1031" o:spt="20" style="position:absolute;left:581025;top:352425;height:0;width:0;" coordsize="21600,21600" o:gfxdata="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9+7TLUAAAABgEA&#10;AA8AAAAAAAAAAQAgAAAAIgAAAGRycy9kb3ducmV2LnhtbFBLAQIUABQAAAAIAIdO4kAwbGCBrAEA&#10;AEoDAAAOAAAAAAAAAAEAIAAAACMBAABkcnMvZTJvRG9jLnhtbFBLBQYAAAAABgAGAFkBAABBBQAA&#10;AAA=&#10;">
                    <v:path arrowok="t"/>
                    <v:fill focussize="0,0"/>
                    <v:stroke/>
                    <v:imagedata o:title=""/>
                    <o:lock v:ext="edit"/>
                  </v:line>
                </v:group>
              </w:pict>
            </w:r>
            <w:r>
              <w:rPr>
                <w:rFonts w:ascii="宋体" w:hAnsi="宋体" w:cs="宋体"/>
                <w:kern w:val="0"/>
                <w:sz w:val="24"/>
              </w:rPr>
              <w:pict>
                <v:group id="Line 6" o:spid="_x0000_s1027" o:spt="203" style="position:absolute;left:0pt;margin-left:132.75pt;margin-top:-0.75pt;height:1.5pt;width:1.5pt;z-index:251668480;mso-width-relative:page;mso-height-relative:page;" coordorigin="1695450,352425" coordsize="19050,19050203" editas="canvas">
                  <o:lock v:ext="edit"/>
                  <v:shape id="Line 6" o:spid="_x0000_s1029" o:spt="100" style="position:absolute;left:1695450;top:352425;height:19050203;width:19050;" filled="f" stroked="f" coordsize="21600,21600" adj=",">
                    <v:fill on="f" focussize="0,0"/>
                    <v:stroke on="f"/>
                    <v:imagedata o:title=""/>
                    <o:lock v:ext="edit"/>
                  </v:shape>
                  <v:line id="_x0000_s1028" o:spid="_x0000_s1028" o:spt="20" style="position:absolute;left:1695450;top:352425;height:0;width:0;" coordsize="21600,21600" o:gfxdata="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mMz6P1QAAAAgB&#10;AAAPAAAAAAAAAAEAIAAAACIAAABkcnMvZG93bnJldi54bWxQSwECFAAUAAAACACHTuJAHpvCWKwB&#10;AABLAwAADgAAAAAAAAABACAAAAAkAQAAZHJzL2Uyb0RvYy54bWxQSwUGAAAAAAYABgBZAQAAQgUA&#10;AAAA&#10;">
                    <v:path arrowok="t"/>
                    <v:fill focussize="0,0"/>
                    <v:stroke/>
                    <v:imagedata o:title=""/>
                    <o:lock v:ext="edit"/>
                  </v:line>
                </v:group>
              </w:pict>
            </w:r>
          </w:p>
          <w:tbl>
            <w:tblPr>
              <w:tblStyle w:val="15"/>
              <w:tblW w:w="15076" w:type="dxa"/>
              <w:tblCellSpacing w:w="0" w:type="dxa"/>
              <w:tblInd w:w="0" w:type="dxa"/>
              <w:tblLayout w:type="fixed"/>
              <w:tblCellMar>
                <w:top w:w="0" w:type="dxa"/>
                <w:left w:w="0" w:type="dxa"/>
                <w:bottom w:w="0" w:type="dxa"/>
                <w:right w:w="0" w:type="dxa"/>
              </w:tblCellMar>
            </w:tblPr>
            <w:tblGrid>
              <w:gridCol w:w="15076"/>
            </w:tblGrid>
            <w:tr>
              <w:tblPrEx>
                <w:tblLayout w:type="fixed"/>
                <w:tblCellMar>
                  <w:top w:w="0" w:type="dxa"/>
                  <w:left w:w="0" w:type="dxa"/>
                  <w:bottom w:w="0" w:type="dxa"/>
                  <w:right w:w="0" w:type="dxa"/>
                </w:tblCellMar>
              </w:tblPrEx>
              <w:trPr>
                <w:trHeight w:val="555" w:hRule="atLeast"/>
                <w:tblCellSpacing w:w="0" w:type="dxa"/>
              </w:trPr>
              <w:tc>
                <w:tcPr>
                  <w:tcW w:w="15076" w:type="dxa"/>
                  <w:tcBorders>
                    <w:top w:val="nil"/>
                    <w:left w:val="nil"/>
                    <w:bottom w:val="nil"/>
                    <w:right w:val="nil"/>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2018年红原县森林公安局林业发展资金项目支出绩效评价得分情况表</w:t>
                  </w:r>
                </w:p>
              </w:tc>
            </w:tr>
          </w:tbl>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555" w:hRule="atLeast"/>
        </w:trPr>
        <w:tc>
          <w:tcPr>
            <w:tcW w:w="955" w:type="dxa"/>
            <w:vMerge w:val="restart"/>
            <w:tcBorders>
              <w:top w:val="single" w:color="auto" w:sz="4" w:space="0"/>
              <w:left w:val="single" w:color="auto" w:sz="4" w:space="0"/>
              <w:bottom w:val="nil"/>
              <w:right w:val="nil"/>
            </w:tcBorders>
            <w:shd w:val="clear" w:color="auto" w:fill="auto"/>
            <w:vAlign w:val="bottom"/>
          </w:tcPr>
          <w:p>
            <w:pPr>
              <w:widowControl/>
              <w:jc w:val="center"/>
              <w:rPr>
                <w:rFonts w:ascii="宋体" w:hAnsi="宋体" w:cs="宋体"/>
                <w:kern w:val="0"/>
                <w:sz w:val="24"/>
              </w:rPr>
            </w:pPr>
            <w:r>
              <w:rPr>
                <w:rFonts w:hint="eastAsia" w:ascii="宋体" w:hAnsi="宋体" w:cs="宋体"/>
                <w:b/>
                <w:bCs/>
                <w:kern w:val="0"/>
                <w:sz w:val="20"/>
                <w:szCs w:val="20"/>
              </w:rPr>
              <w:t>一级指标</w:t>
            </w:r>
          </w:p>
        </w:tc>
        <w:tc>
          <w:tcPr>
            <w:tcW w:w="1760" w:type="dxa"/>
            <w:vMerge w:val="restart"/>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二级指标</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三级指标</w:t>
            </w:r>
          </w:p>
        </w:tc>
        <w:tc>
          <w:tcPr>
            <w:tcW w:w="460" w:type="dxa"/>
            <w:vMerge w:val="restart"/>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分值</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指标评价内容</w:t>
            </w:r>
          </w:p>
        </w:tc>
        <w:tc>
          <w:tcPr>
            <w:tcW w:w="6240" w:type="dxa"/>
            <w:gridSpan w:val="5"/>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评分标准（得分比值）</w:t>
            </w:r>
          </w:p>
        </w:tc>
        <w:tc>
          <w:tcPr>
            <w:tcW w:w="616" w:type="dxa"/>
            <w:vMerge w:val="restart"/>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得分</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nil"/>
              <w:right w:val="nil"/>
            </w:tcBorders>
            <w:vAlign w:val="center"/>
          </w:tcPr>
          <w:p>
            <w:pPr>
              <w:widowControl/>
              <w:jc w:val="center"/>
              <w:rPr>
                <w:rFonts w:ascii="宋体" w:hAnsi="宋体" w:cs="宋体"/>
                <w:kern w:val="0"/>
                <w:sz w:val="24"/>
              </w:rPr>
            </w:pPr>
          </w:p>
        </w:tc>
        <w:tc>
          <w:tcPr>
            <w:tcW w:w="176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c>
          <w:tcPr>
            <w:tcW w:w="46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c>
          <w:tcPr>
            <w:tcW w:w="426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（公式计算结果＝x）</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差</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较差</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一般</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较好</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好</w:t>
            </w:r>
          </w:p>
        </w:tc>
        <w:tc>
          <w:tcPr>
            <w:tcW w:w="6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nil"/>
            </w:tcBorders>
            <w:vAlign w:val="center"/>
          </w:tcPr>
          <w:p>
            <w:pPr>
              <w:widowControl/>
              <w:jc w:val="center"/>
              <w:rPr>
                <w:rFonts w:ascii="宋体" w:hAnsi="宋体" w:cs="宋体"/>
                <w:kern w:val="0"/>
                <w:sz w:val="24"/>
              </w:rPr>
            </w:pPr>
          </w:p>
        </w:tc>
        <w:tc>
          <w:tcPr>
            <w:tcW w:w="176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c>
          <w:tcPr>
            <w:tcW w:w="46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c>
          <w:tcPr>
            <w:tcW w:w="42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0</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0.3</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0.6</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0.8</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1</w:t>
            </w:r>
          </w:p>
        </w:tc>
        <w:tc>
          <w:tcPr>
            <w:tcW w:w="6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p>
        </w:tc>
      </w:tr>
      <w:tr>
        <w:tblPrEx>
          <w:tblLayout w:type="fixed"/>
          <w:tblCellMar>
            <w:top w:w="0" w:type="dxa"/>
            <w:left w:w="108" w:type="dxa"/>
            <w:bottom w:w="0" w:type="dxa"/>
            <w:right w:w="108" w:type="dxa"/>
          </w:tblCellMar>
        </w:tblPrEx>
        <w:trPr>
          <w:trHeight w:val="765" w:hRule="atLeast"/>
        </w:trPr>
        <w:tc>
          <w:tcPr>
            <w:tcW w:w="955"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项目决策（25分）</w:t>
            </w:r>
          </w:p>
        </w:tc>
        <w:tc>
          <w:tcPr>
            <w:tcW w:w="176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绩效目标（6分）</w:t>
            </w: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目标内容</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项目预期提供的产品、服务、效益或其他目标明确,即绩效目标实际明确个数/应当明确个数×100%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x=0%</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0%＜x＜30%</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30%≤x＜60%</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60%≤x＜100%</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x＝100%</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1.2</w:t>
            </w:r>
          </w:p>
        </w:tc>
      </w:tr>
      <w:tr>
        <w:tblPrEx>
          <w:tblLayout w:type="fixed"/>
          <w:tblCellMar>
            <w:top w:w="0" w:type="dxa"/>
            <w:left w:w="108" w:type="dxa"/>
            <w:bottom w:w="0" w:type="dxa"/>
            <w:right w:w="108" w:type="dxa"/>
          </w:tblCellMar>
        </w:tblPrEx>
        <w:trPr>
          <w:trHeight w:val="64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进度计划</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项目计划实施进度明确</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不明确</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基本明确</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明确</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1.2</w:t>
            </w:r>
          </w:p>
        </w:tc>
      </w:tr>
      <w:tr>
        <w:tblPrEx>
          <w:tblLayout w:type="fixed"/>
          <w:tblCellMar>
            <w:top w:w="0" w:type="dxa"/>
            <w:left w:w="108" w:type="dxa"/>
            <w:bottom w:w="0" w:type="dxa"/>
            <w:right w:w="108" w:type="dxa"/>
          </w:tblCellMar>
        </w:tblPrEx>
        <w:trPr>
          <w:trHeight w:val="690"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目标匹配</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绩效目标设定符合实际需求的抽样项目点个数/抽样项目点总数×100%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x＜70%</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70%≤x＜80%</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80%≤x＜90%</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90%≤x＜100%</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x＝100%</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1.6</w:t>
            </w:r>
          </w:p>
        </w:tc>
      </w:tr>
      <w:tr>
        <w:tblPrEx>
          <w:tblLayout w:type="fixed"/>
          <w:tblCellMar>
            <w:top w:w="0" w:type="dxa"/>
            <w:left w:w="108" w:type="dxa"/>
            <w:bottom w:w="0" w:type="dxa"/>
            <w:right w:w="108" w:type="dxa"/>
          </w:tblCellMar>
        </w:tblPrEx>
        <w:trPr>
          <w:trHeight w:val="76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决策依据（10分）</w:t>
            </w: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政策依据</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项目符合党中央、国务院和省委、省政府决策部署；符合当前经济社会发展需要</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不符合</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符合</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vMerge w:val="restart"/>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实施规划</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连续性项目根据需要制定中长期实施规划</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无</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有</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实施规划符合实际，并根据情况变化适时调整</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不符合</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基本符合</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符合</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1.2</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vMerge w:val="restart"/>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管理制度</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制定项目资金管理办法</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无</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有</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750"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项目资金分配决策程序明确</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不明确</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基本明确</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明确</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1.2</w:t>
            </w:r>
          </w:p>
        </w:tc>
      </w:tr>
      <w:tr>
        <w:tblPrEx>
          <w:tblLayout w:type="fixed"/>
          <w:tblCellMar>
            <w:top w:w="0" w:type="dxa"/>
            <w:left w:w="108" w:type="dxa"/>
            <w:bottom w:w="0" w:type="dxa"/>
            <w:right w:w="108" w:type="dxa"/>
          </w:tblCellMar>
        </w:tblPrEx>
        <w:trPr>
          <w:trHeight w:val="825" w:hRule="atLeast"/>
        </w:trPr>
        <w:tc>
          <w:tcPr>
            <w:tcW w:w="95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资金分配（4分）</w:t>
            </w:r>
          </w:p>
        </w:tc>
        <w:tc>
          <w:tcPr>
            <w:tcW w:w="100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分配方法</w:t>
            </w:r>
          </w:p>
        </w:tc>
        <w:tc>
          <w:tcPr>
            <w:tcW w:w="4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资金分配方法是否科学合理</w:t>
            </w:r>
          </w:p>
        </w:tc>
        <w:tc>
          <w:tcPr>
            <w:tcW w:w="88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否</w:t>
            </w:r>
          </w:p>
        </w:tc>
        <w:tc>
          <w:tcPr>
            <w:tcW w:w="124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一般</w:t>
            </w:r>
          </w:p>
        </w:tc>
        <w:tc>
          <w:tcPr>
            <w:tcW w:w="13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是</w:t>
            </w:r>
          </w:p>
        </w:tc>
        <w:tc>
          <w:tcPr>
            <w:tcW w:w="616"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1.2</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分配过程</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分配过程符合相关规定</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不符合</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符合</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76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分配结果（5分）</w:t>
            </w: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审核把关</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3</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符合申报条件的抽样项目点个数/抽样项目点总数×100%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x＜70%</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70%≤x＜80%</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80%≤x＜90%</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90%≤x＜100%</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x＝100%</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2.4</w:t>
            </w:r>
          </w:p>
        </w:tc>
      </w:tr>
      <w:tr>
        <w:tblPrEx>
          <w:tblLayout w:type="fixed"/>
          <w:tblCellMar>
            <w:top w:w="0" w:type="dxa"/>
            <w:left w:w="108" w:type="dxa"/>
            <w:bottom w:w="0" w:type="dxa"/>
            <w:right w:w="108" w:type="dxa"/>
          </w:tblCellMar>
        </w:tblPrEx>
        <w:trPr>
          <w:trHeight w:val="840"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资金集中</w:t>
            </w:r>
          </w:p>
        </w:tc>
        <w:tc>
          <w:tcPr>
            <w:tcW w:w="460" w:type="dxa"/>
            <w:vMerge w:val="restart"/>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11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集中</w:t>
            </w:r>
          </w:p>
        </w:tc>
        <w:tc>
          <w:tcPr>
            <w:tcW w:w="308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财政资金占项目资金总额比重较小项目个数/项目总数×100%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x＞35%</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25%＜x≤35%</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15%＜x≤25%</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5%＜x≤15%</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x≤5%</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0.6</w:t>
            </w:r>
          </w:p>
        </w:tc>
      </w:tr>
      <w:tr>
        <w:tblPrEx>
          <w:tblLayout w:type="fixed"/>
          <w:tblCellMar>
            <w:top w:w="0" w:type="dxa"/>
            <w:left w:w="108" w:type="dxa"/>
            <w:bottom w:w="0" w:type="dxa"/>
            <w:right w:w="108" w:type="dxa"/>
          </w:tblCellMar>
        </w:tblPrEx>
        <w:trPr>
          <w:trHeight w:val="73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（均衡）</w:t>
            </w:r>
          </w:p>
        </w:tc>
        <w:tc>
          <w:tcPr>
            <w:tcW w:w="4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均衡</w:t>
            </w:r>
          </w:p>
        </w:tc>
        <w:tc>
          <w:tcPr>
            <w:tcW w:w="308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按实际分配结果选择客观因素测算验证资金分配方法制定、分配要素设定、基础数据应用、测算依据选取等是否科学合理（2分）</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不合理</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较合理</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合理</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0.6</w:t>
            </w:r>
          </w:p>
        </w:tc>
      </w:tr>
      <w:tr>
        <w:tblPrEx>
          <w:tblLayout w:type="fixed"/>
          <w:tblCellMar>
            <w:top w:w="0" w:type="dxa"/>
            <w:left w:w="108" w:type="dxa"/>
            <w:bottom w:w="0" w:type="dxa"/>
            <w:right w:w="108" w:type="dxa"/>
          </w:tblCellMar>
        </w:tblPrEx>
        <w:trPr>
          <w:trHeight w:val="360" w:hRule="atLeast"/>
        </w:trPr>
        <w:tc>
          <w:tcPr>
            <w:tcW w:w="955"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项目管理（15分）</w:t>
            </w:r>
          </w:p>
        </w:tc>
        <w:tc>
          <w:tcPr>
            <w:tcW w:w="1760"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资金到位（4分）</w:t>
            </w: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分配时效</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县级主管部门按规定及时分配资金</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不及时</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及时</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11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资金拨付</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按规定及时拨付资金</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严重滞后</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滞后</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较滞后</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较及时</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及时</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资金管理 （3分）</w:t>
            </w: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使用范围</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资金使用是否合规</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否</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是</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支付依据</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资金支付依据符合规定，即支付依旧合规资金量/资金总量×100%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x＜70%</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70%≤x＜80%</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80%≤x＜90%</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90%≤x＜100%</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x＝100%</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0.8</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开支标准</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资金开支标准符合规定，即开支标准合规资金量/资金总量×100%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x＜70%</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70%≤x＜80%</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80%≤x＜90%</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90%≤x＜100%</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x＝100%</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0.8</w:t>
            </w:r>
          </w:p>
        </w:tc>
      </w:tr>
      <w:tr>
        <w:tblPrEx>
          <w:tblLayout w:type="fixed"/>
          <w:tblCellMar>
            <w:top w:w="0" w:type="dxa"/>
            <w:left w:w="108" w:type="dxa"/>
            <w:bottom w:w="0" w:type="dxa"/>
            <w:right w:w="108" w:type="dxa"/>
          </w:tblCellMar>
        </w:tblPrEx>
        <w:trPr>
          <w:trHeight w:val="735" w:hRule="atLeast"/>
        </w:trPr>
        <w:tc>
          <w:tcPr>
            <w:tcW w:w="95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财务管理（4分）</w:t>
            </w:r>
          </w:p>
        </w:tc>
        <w:tc>
          <w:tcPr>
            <w:tcW w:w="100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财务制度</w:t>
            </w:r>
          </w:p>
        </w:tc>
        <w:tc>
          <w:tcPr>
            <w:tcW w:w="4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财务制度健全，管理规范</w:t>
            </w:r>
          </w:p>
        </w:tc>
        <w:tc>
          <w:tcPr>
            <w:tcW w:w="88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不规范</w:t>
            </w:r>
          </w:p>
        </w:tc>
        <w:tc>
          <w:tcPr>
            <w:tcW w:w="124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较规范</w:t>
            </w:r>
          </w:p>
        </w:tc>
        <w:tc>
          <w:tcPr>
            <w:tcW w:w="13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规范</w:t>
            </w:r>
          </w:p>
        </w:tc>
        <w:tc>
          <w:tcPr>
            <w:tcW w:w="616"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会计核算</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会计核算规范</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不规范</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较规范</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规范</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组织实施（4分）</w:t>
            </w: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项目调整</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项目调整严格履行相关手续</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未履行</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履行</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w:t>
            </w:r>
          </w:p>
        </w:tc>
      </w:tr>
      <w:tr>
        <w:tblPrEx>
          <w:tblLayout w:type="fixed"/>
          <w:tblCellMar>
            <w:top w:w="0" w:type="dxa"/>
            <w:left w:w="108" w:type="dxa"/>
            <w:bottom w:w="0" w:type="dxa"/>
            <w:right w:w="108" w:type="dxa"/>
          </w:tblCellMar>
        </w:tblPrEx>
        <w:trPr>
          <w:trHeight w:val="85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投资变更</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项目投资变更额/项目总投入×100%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x＞20%</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20%≥x＞15%</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15%≥x＞10%</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10%≥x＞5%</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x≤5%</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w:t>
            </w:r>
          </w:p>
        </w:tc>
      </w:tr>
      <w:tr>
        <w:tblPrEx>
          <w:tblLayout w:type="fixed"/>
          <w:tblCellMar>
            <w:top w:w="0" w:type="dxa"/>
            <w:left w:w="108" w:type="dxa"/>
            <w:bottom w:w="0" w:type="dxa"/>
            <w:right w:w="108" w:type="dxa"/>
          </w:tblCellMar>
        </w:tblPrEx>
        <w:trPr>
          <w:trHeight w:val="765" w:hRule="atLeast"/>
        </w:trPr>
        <w:tc>
          <w:tcPr>
            <w:tcW w:w="95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制度执行</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严格执行项目有关制度规定</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不严格</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较严格</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严格</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Layout w:type="fixed"/>
          <w:tblCellMar>
            <w:top w:w="0" w:type="dxa"/>
            <w:left w:w="108" w:type="dxa"/>
            <w:bottom w:w="0" w:type="dxa"/>
            <w:right w:w="108" w:type="dxa"/>
          </w:tblCellMar>
        </w:tblPrEx>
        <w:trPr>
          <w:trHeight w:val="555" w:hRule="atLeast"/>
        </w:trPr>
        <w:tc>
          <w:tcPr>
            <w:tcW w:w="955" w:type="dxa"/>
            <w:vMerge w:val="restart"/>
            <w:tcBorders>
              <w:top w:val="nil"/>
              <w:left w:val="single" w:color="auto" w:sz="4" w:space="0"/>
              <w:right w:val="nil"/>
            </w:tcBorders>
            <w:shd w:val="clear" w:color="auto" w:fill="auto"/>
            <w:vAlign w:val="bottom"/>
          </w:tcPr>
          <w:p>
            <w:pPr>
              <w:widowControl/>
              <w:jc w:val="center"/>
              <w:rPr>
                <w:rFonts w:ascii="宋体" w:hAnsi="宋体" w:cs="宋体"/>
                <w:kern w:val="0"/>
                <w:sz w:val="24"/>
              </w:rPr>
            </w:pPr>
          </w:p>
        </w:tc>
        <w:tc>
          <w:tcPr>
            <w:tcW w:w="176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项目完成（15分）</w:t>
            </w: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完成数量</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3</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实际完成任务量/绩效目标设定任务量×100%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x＜85%</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85%≤x＜90%</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90%≤x＜95%</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95%≤x＜100%</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x＝100%</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3</w:t>
            </w:r>
          </w:p>
        </w:tc>
      </w:tr>
      <w:tr>
        <w:tblPrEx>
          <w:tblLayout w:type="fixed"/>
          <w:tblCellMar>
            <w:top w:w="0" w:type="dxa"/>
            <w:left w:w="108" w:type="dxa"/>
            <w:bottom w:w="0" w:type="dxa"/>
            <w:right w:w="108" w:type="dxa"/>
          </w:tblCellMar>
        </w:tblPrEx>
        <w:trPr>
          <w:trHeight w:val="555" w:hRule="atLeast"/>
        </w:trPr>
        <w:tc>
          <w:tcPr>
            <w:tcW w:w="955" w:type="dxa"/>
            <w:vMerge w:val="continue"/>
            <w:tcBorders>
              <w:left w:val="single" w:color="auto" w:sz="4" w:space="0"/>
              <w:right w:val="nil"/>
            </w:tcBorders>
            <w:vAlign w:val="center"/>
          </w:tcPr>
          <w:p>
            <w:pPr>
              <w:widowControl/>
              <w:jc w:val="center"/>
              <w:rPr>
                <w:rFonts w:ascii="宋体" w:hAnsi="宋体" w:cs="宋体"/>
                <w:kern w:val="0"/>
                <w:sz w:val="24"/>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完成质量</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4</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符合绩效目标设定的验收标准，达到行业基准水平</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不符合</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符合</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4</w:t>
            </w:r>
          </w:p>
        </w:tc>
      </w:tr>
      <w:tr>
        <w:tblPrEx>
          <w:tblLayout w:type="fixed"/>
          <w:tblCellMar>
            <w:top w:w="0" w:type="dxa"/>
            <w:left w:w="108" w:type="dxa"/>
            <w:bottom w:w="0" w:type="dxa"/>
            <w:right w:w="108" w:type="dxa"/>
          </w:tblCellMar>
        </w:tblPrEx>
        <w:trPr>
          <w:trHeight w:val="555" w:hRule="atLeast"/>
        </w:trPr>
        <w:tc>
          <w:tcPr>
            <w:tcW w:w="955" w:type="dxa"/>
            <w:vMerge w:val="continue"/>
            <w:tcBorders>
              <w:left w:val="single" w:color="auto" w:sz="4" w:space="0"/>
              <w:right w:val="nil"/>
            </w:tcBorders>
            <w:vAlign w:val="center"/>
          </w:tcPr>
          <w:p>
            <w:pPr>
              <w:widowControl/>
              <w:jc w:val="center"/>
              <w:rPr>
                <w:rFonts w:ascii="宋体" w:hAnsi="宋体" w:cs="宋体"/>
                <w:kern w:val="0"/>
                <w:sz w:val="24"/>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完成时效</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4</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（实际完成时间-绩效目标设定完成时间）/绩效目标设定完成时间×100%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x＞15%</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15%≥x＞10%</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10%≥x＞5%</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5%≥x＞0</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x≤0</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4</w:t>
            </w:r>
          </w:p>
        </w:tc>
      </w:tr>
      <w:tr>
        <w:tblPrEx>
          <w:tblLayout w:type="fixed"/>
          <w:tblCellMar>
            <w:top w:w="0" w:type="dxa"/>
            <w:left w:w="108" w:type="dxa"/>
            <w:bottom w:w="0" w:type="dxa"/>
            <w:right w:w="108" w:type="dxa"/>
          </w:tblCellMar>
        </w:tblPrEx>
        <w:trPr>
          <w:trHeight w:val="555" w:hRule="atLeast"/>
        </w:trPr>
        <w:tc>
          <w:tcPr>
            <w:tcW w:w="955" w:type="dxa"/>
            <w:vMerge w:val="continue"/>
            <w:tcBorders>
              <w:left w:val="single" w:color="auto" w:sz="4" w:space="0"/>
              <w:right w:val="nil"/>
            </w:tcBorders>
            <w:vAlign w:val="center"/>
          </w:tcPr>
          <w:p>
            <w:pPr>
              <w:widowControl/>
              <w:jc w:val="center"/>
              <w:rPr>
                <w:rFonts w:ascii="宋体" w:hAnsi="宋体" w:cs="宋体"/>
                <w:kern w:val="0"/>
                <w:sz w:val="24"/>
              </w:rPr>
            </w:pPr>
          </w:p>
        </w:tc>
        <w:tc>
          <w:tcPr>
            <w:tcW w:w="1760"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完成成本</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4</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（实际完成成本-预计完成成本）/预计完成成本×100%</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x＞15%</w:t>
            </w: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15%≥x＞10%</w:t>
            </w: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10%≥x＞5%</w:t>
            </w: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5%≥x＞0</w:t>
            </w: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x≤0</w:t>
            </w: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4</w:t>
            </w:r>
          </w:p>
        </w:tc>
      </w:tr>
      <w:tr>
        <w:tblPrEx>
          <w:tblLayout w:type="fixed"/>
          <w:tblCellMar>
            <w:top w:w="0" w:type="dxa"/>
            <w:left w:w="108" w:type="dxa"/>
            <w:bottom w:w="0" w:type="dxa"/>
            <w:right w:w="108" w:type="dxa"/>
          </w:tblCellMar>
        </w:tblPrEx>
        <w:trPr>
          <w:trHeight w:val="555" w:hRule="atLeast"/>
        </w:trPr>
        <w:tc>
          <w:tcPr>
            <w:tcW w:w="955" w:type="dxa"/>
            <w:vMerge w:val="continue"/>
            <w:tcBorders>
              <w:left w:val="single" w:color="auto" w:sz="4" w:space="0"/>
              <w:right w:val="nil"/>
            </w:tcBorders>
            <w:vAlign w:val="center"/>
          </w:tcPr>
          <w:p>
            <w:pPr>
              <w:widowControl/>
              <w:jc w:val="center"/>
              <w:rPr>
                <w:rFonts w:ascii="宋体" w:hAnsi="宋体" w:cs="宋体"/>
                <w:kern w:val="0"/>
                <w:sz w:val="24"/>
              </w:rPr>
            </w:pPr>
          </w:p>
        </w:tc>
        <w:tc>
          <w:tcPr>
            <w:tcW w:w="1760" w:type="dxa"/>
            <w:vMerge w:val="restart"/>
            <w:tcBorders>
              <w:top w:val="nil"/>
              <w:left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项目效益（40分）</w:t>
            </w: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经济效益</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10</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反映相关产出对经济社会发展带来的影响和效果，根据项目实际细化具体指标。</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8</w:t>
            </w:r>
          </w:p>
        </w:tc>
      </w:tr>
      <w:tr>
        <w:tblPrEx>
          <w:tblLayout w:type="fixed"/>
          <w:tblCellMar>
            <w:top w:w="0" w:type="dxa"/>
            <w:left w:w="108" w:type="dxa"/>
            <w:bottom w:w="0" w:type="dxa"/>
            <w:right w:w="108" w:type="dxa"/>
          </w:tblCellMar>
        </w:tblPrEx>
        <w:trPr>
          <w:trHeight w:val="555" w:hRule="atLeast"/>
        </w:trPr>
        <w:tc>
          <w:tcPr>
            <w:tcW w:w="955" w:type="dxa"/>
            <w:vMerge w:val="continue"/>
            <w:tcBorders>
              <w:left w:val="single" w:color="auto" w:sz="4" w:space="0"/>
              <w:right w:val="nil"/>
            </w:tcBorders>
            <w:vAlign w:val="center"/>
          </w:tcPr>
          <w:p>
            <w:pPr>
              <w:widowControl/>
              <w:jc w:val="center"/>
              <w:rPr>
                <w:rFonts w:ascii="宋体" w:hAnsi="宋体" w:cs="宋体"/>
                <w:kern w:val="0"/>
                <w:sz w:val="24"/>
              </w:rPr>
            </w:pPr>
          </w:p>
        </w:tc>
        <w:tc>
          <w:tcPr>
            <w:tcW w:w="1760" w:type="dxa"/>
            <w:vMerge w:val="continue"/>
            <w:tcBorders>
              <w:left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社会效益</w:t>
            </w: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10</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反映相关产出对社会发展带来的影响和效果，根据项目实际细化具体指标。</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9</w:t>
            </w:r>
          </w:p>
        </w:tc>
      </w:tr>
      <w:tr>
        <w:tblPrEx>
          <w:tblLayout w:type="fixed"/>
          <w:tblCellMar>
            <w:top w:w="0" w:type="dxa"/>
            <w:left w:w="108" w:type="dxa"/>
            <w:bottom w:w="0" w:type="dxa"/>
            <w:right w:w="108" w:type="dxa"/>
          </w:tblCellMar>
        </w:tblPrEx>
        <w:trPr>
          <w:trHeight w:val="638" w:hRule="atLeast"/>
        </w:trPr>
        <w:tc>
          <w:tcPr>
            <w:tcW w:w="955" w:type="dxa"/>
            <w:vMerge w:val="continue"/>
            <w:tcBorders>
              <w:top w:val="single" w:color="auto" w:sz="4" w:space="0"/>
              <w:left w:val="single" w:color="auto" w:sz="4" w:space="0"/>
              <w:bottom w:val="single" w:color="auto" w:sz="4" w:space="0"/>
              <w:right w:val="nil"/>
            </w:tcBorders>
            <w:vAlign w:val="center"/>
          </w:tcPr>
          <w:p>
            <w:pPr>
              <w:widowControl/>
              <w:jc w:val="center"/>
              <w:rPr>
                <w:rFonts w:ascii="宋体" w:hAnsi="宋体" w:cs="宋体"/>
                <w:kern w:val="0"/>
                <w:sz w:val="24"/>
              </w:rPr>
            </w:pPr>
          </w:p>
        </w:tc>
        <w:tc>
          <w:tcPr>
            <w:tcW w:w="176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100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生态效益</w:t>
            </w:r>
          </w:p>
        </w:tc>
        <w:tc>
          <w:tcPr>
            <w:tcW w:w="4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10</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反映相关产出对自然环境带来的影响和效果，根据项目实际细化具体指标。</w:t>
            </w:r>
          </w:p>
        </w:tc>
        <w:tc>
          <w:tcPr>
            <w:tcW w:w="88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24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616"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7</w:t>
            </w:r>
          </w:p>
        </w:tc>
      </w:tr>
      <w:tr>
        <w:tblPrEx>
          <w:tblLayout w:type="fixed"/>
          <w:tblCellMar>
            <w:top w:w="0" w:type="dxa"/>
            <w:left w:w="108" w:type="dxa"/>
            <w:bottom w:w="0" w:type="dxa"/>
            <w:right w:w="108" w:type="dxa"/>
          </w:tblCellMar>
        </w:tblPrEx>
        <w:trPr>
          <w:trHeight w:val="555" w:hRule="atLeast"/>
        </w:trPr>
        <w:tc>
          <w:tcPr>
            <w:tcW w:w="955" w:type="dxa"/>
            <w:vMerge w:val="restart"/>
            <w:tcBorders>
              <w:top w:val="single" w:color="auto" w:sz="4" w:space="0"/>
              <w:left w:val="single" w:color="auto" w:sz="4" w:space="0"/>
              <w:bottom w:val="nil"/>
              <w:right w:val="nil"/>
            </w:tcBorders>
            <w:vAlign w:val="center"/>
          </w:tcPr>
          <w:p>
            <w:pPr>
              <w:widowControl/>
              <w:jc w:val="center"/>
              <w:rPr>
                <w:rFonts w:ascii="宋体" w:hAnsi="宋体" w:cs="宋体"/>
                <w:kern w:val="0"/>
                <w:sz w:val="24"/>
              </w:rPr>
            </w:pPr>
          </w:p>
        </w:tc>
        <w:tc>
          <w:tcPr>
            <w:tcW w:w="1760" w:type="dxa"/>
            <w:tcBorders>
              <w:top w:val="single" w:color="auto" w:sz="4" w:space="0"/>
              <w:left w:val="single" w:color="auto" w:sz="4" w:space="0"/>
              <w:bottom w:val="single" w:color="auto" w:sz="4" w:space="0"/>
              <w:right w:val="single" w:color="auto" w:sz="4" w:space="0"/>
            </w:tcBorders>
            <w:vAlign w:val="center"/>
          </w:tcPr>
          <w:p>
            <w:pPr>
              <w:widowControl/>
              <w:ind w:left="113"/>
              <w:jc w:val="center"/>
              <w:rPr>
                <w:rFonts w:ascii="宋体" w:hAnsi="宋体" w:cs="宋体"/>
                <w:kern w:val="0"/>
                <w:sz w:val="20"/>
                <w:szCs w:val="20"/>
              </w:rPr>
            </w:pPr>
          </w:p>
        </w:tc>
        <w:tc>
          <w:tcPr>
            <w:tcW w:w="100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可持续效益</w:t>
            </w:r>
          </w:p>
        </w:tc>
        <w:tc>
          <w:tcPr>
            <w:tcW w:w="4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10</w:t>
            </w:r>
          </w:p>
        </w:tc>
        <w:tc>
          <w:tcPr>
            <w:tcW w:w="426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反映相关产出带来影响的可持续期限，根据项目实际细化具体指标。</w:t>
            </w:r>
          </w:p>
        </w:tc>
        <w:tc>
          <w:tcPr>
            <w:tcW w:w="88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24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7</w:t>
            </w:r>
          </w:p>
        </w:tc>
      </w:tr>
      <w:tr>
        <w:tblPrEx>
          <w:tblLayout w:type="fixed"/>
          <w:tblCellMar>
            <w:top w:w="0" w:type="dxa"/>
            <w:left w:w="108" w:type="dxa"/>
            <w:bottom w:w="0" w:type="dxa"/>
            <w:right w:w="108" w:type="dxa"/>
          </w:tblCellMar>
        </w:tblPrEx>
        <w:trPr>
          <w:trHeight w:val="555" w:hRule="atLeast"/>
        </w:trPr>
        <w:tc>
          <w:tcPr>
            <w:tcW w:w="955" w:type="dxa"/>
            <w:vMerge w:val="continue"/>
            <w:tcBorders>
              <w:top w:val="nil"/>
              <w:left w:val="single" w:color="auto" w:sz="4" w:space="0"/>
              <w:bottom w:val="nil"/>
              <w:right w:val="single" w:color="auto" w:sz="4" w:space="0"/>
            </w:tcBorders>
            <w:vAlign w:val="center"/>
          </w:tcPr>
          <w:p>
            <w:pPr>
              <w:widowControl/>
              <w:jc w:val="center"/>
              <w:rPr>
                <w:rFonts w:ascii="宋体" w:hAnsi="宋体" w:cs="宋体"/>
                <w:kern w:val="0"/>
                <w:sz w:val="24"/>
              </w:rPr>
            </w:pPr>
          </w:p>
        </w:tc>
        <w:tc>
          <w:tcPr>
            <w:tcW w:w="17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满意度（5分）</w:t>
            </w: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服务对象满意度</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w:t>
            </w:r>
          </w:p>
        </w:tc>
        <w:tc>
          <w:tcPr>
            <w:tcW w:w="426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反映服务对象或项目受益人对相关产出及其影响的认可程度，根据项目实际细化具体指标。</w:t>
            </w: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4</w:t>
            </w:r>
          </w:p>
        </w:tc>
      </w:tr>
      <w:tr>
        <w:tblPrEx>
          <w:tblLayout w:type="fixed"/>
          <w:tblCellMar>
            <w:top w:w="0" w:type="dxa"/>
            <w:left w:w="108" w:type="dxa"/>
            <w:bottom w:w="0" w:type="dxa"/>
            <w:right w:w="108" w:type="dxa"/>
          </w:tblCellMar>
        </w:tblPrEx>
        <w:trPr>
          <w:trHeight w:val="555" w:hRule="atLeast"/>
        </w:trPr>
        <w:tc>
          <w:tcPr>
            <w:tcW w:w="955"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黑体" w:hAnsi="宋体" w:eastAsia="黑体" w:cs="宋体"/>
                <w:kern w:val="0"/>
                <w:sz w:val="20"/>
                <w:szCs w:val="20"/>
              </w:rPr>
            </w:pPr>
            <w:r>
              <w:rPr>
                <w:rFonts w:hint="eastAsia" w:ascii="黑体" w:hAnsi="宋体" w:eastAsia="黑体" w:cs="宋体"/>
                <w:kern w:val="0"/>
                <w:sz w:val="20"/>
                <w:szCs w:val="20"/>
              </w:rPr>
              <w:t>得分</w:t>
            </w:r>
          </w:p>
        </w:tc>
        <w:tc>
          <w:tcPr>
            <w:tcW w:w="17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1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308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88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2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4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130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p>
        </w:tc>
        <w:tc>
          <w:tcPr>
            <w:tcW w:w="616"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83.8</w:t>
            </w:r>
          </w:p>
        </w:tc>
      </w:tr>
    </w:tbl>
    <w:p>
      <w:pPr>
        <w:snapToGrid w:val="0"/>
        <w:spacing w:line="580" w:lineRule="exact"/>
        <w:ind w:firstLine="640" w:firstLineChars="200"/>
        <w:rPr>
          <w:rFonts w:ascii="宋体" w:hAnsi="宋体" w:eastAsia="仿宋_GB2312" w:cs="仿宋_GB2312"/>
          <w:color w:val="FF0000"/>
          <w:sz w:val="32"/>
          <w:szCs w:val="21"/>
        </w:rPr>
      </w:pPr>
    </w:p>
    <w:p>
      <w:pPr>
        <w:snapToGrid w:val="0"/>
        <w:spacing w:line="580" w:lineRule="exact"/>
        <w:ind w:firstLine="640" w:firstLineChars="200"/>
        <w:rPr>
          <w:rFonts w:ascii="宋体" w:hAnsi="宋体" w:eastAsia="仿宋_GB2312" w:cs="仿宋_GB2312"/>
          <w:color w:val="FF0000"/>
          <w:sz w:val="32"/>
          <w:szCs w:val="21"/>
        </w:rPr>
      </w:pPr>
    </w:p>
    <w:p>
      <w:pPr>
        <w:snapToGrid w:val="0"/>
        <w:spacing w:line="580" w:lineRule="exact"/>
        <w:ind w:firstLine="640" w:firstLineChars="200"/>
        <w:rPr>
          <w:rFonts w:ascii="宋体" w:hAnsi="宋体" w:eastAsia="仿宋_GB2312" w:cs="仿宋_GB2312"/>
          <w:color w:val="FF0000"/>
          <w:sz w:val="32"/>
          <w:szCs w:val="21"/>
        </w:rPr>
      </w:pPr>
    </w:p>
    <w:p>
      <w:pPr>
        <w:snapToGrid w:val="0"/>
        <w:spacing w:line="580" w:lineRule="exact"/>
        <w:ind w:firstLine="640" w:firstLineChars="200"/>
        <w:rPr>
          <w:rFonts w:ascii="宋体" w:hAnsi="宋体" w:eastAsia="仿宋_GB2312" w:cs="仿宋_GB2312"/>
          <w:color w:val="FF0000"/>
          <w:sz w:val="32"/>
          <w:szCs w:val="21"/>
        </w:rPr>
      </w:pPr>
    </w:p>
    <w:p>
      <w:pPr>
        <w:snapToGrid w:val="0"/>
        <w:spacing w:line="580" w:lineRule="exact"/>
        <w:ind w:firstLine="640" w:firstLineChars="200"/>
        <w:rPr>
          <w:rFonts w:ascii="宋体" w:hAnsi="宋体" w:eastAsia="仿宋_GB2312" w:cs="仿宋_GB2312"/>
          <w:color w:val="FF0000"/>
          <w:sz w:val="32"/>
          <w:szCs w:val="21"/>
        </w:rPr>
      </w:pPr>
    </w:p>
    <w:p>
      <w:pPr>
        <w:snapToGrid w:val="0"/>
        <w:spacing w:line="580" w:lineRule="exact"/>
        <w:rPr>
          <w:rFonts w:ascii="楷体_GB2312" w:hAnsi="宋体" w:eastAsia="楷体_GB2312" w:cs="楷体_GB2312"/>
          <w:b/>
          <w:color w:val="FF0000"/>
          <w:sz w:val="32"/>
          <w:szCs w:val="21"/>
        </w:rPr>
        <w:sectPr>
          <w:pgSz w:w="16838" w:h="11906" w:orient="landscape"/>
          <w:pgMar w:top="284" w:right="284" w:bottom="284" w:left="284" w:header="851" w:footer="992" w:gutter="0"/>
          <w:pgNumType w:start="1"/>
          <w:cols w:space="425" w:num="1"/>
          <w:titlePg/>
          <w:docGrid w:type="linesAndChars" w:linePitch="312" w:charSpace="0"/>
        </w:sectPr>
      </w:pPr>
    </w:p>
    <w:p>
      <w:pPr>
        <w:ind w:firstLine="644"/>
        <w:rPr>
          <w:rFonts w:ascii="宋体" w:hAnsi="宋体" w:eastAsia="仿宋_GB2312" w:cs="仿宋_GB2312"/>
          <w:color w:val="000000" w:themeColor="text1"/>
          <w:sz w:val="32"/>
          <w:szCs w:val="21"/>
        </w:rPr>
      </w:pPr>
      <w:r>
        <w:rPr>
          <w:rFonts w:hint="eastAsia" w:ascii="宋体" w:hAnsi="宋体" w:eastAsia="仿宋_GB2312" w:cs="仿宋_GB2312"/>
          <w:color w:val="000000" w:themeColor="text1"/>
          <w:sz w:val="32"/>
          <w:szCs w:val="21"/>
        </w:rPr>
        <w:t>（二）绩效分析</w:t>
      </w:r>
    </w:p>
    <w:p>
      <w:pPr>
        <w:ind w:firstLine="644"/>
        <w:rPr>
          <w:rFonts w:ascii="宋体" w:hAnsi="宋体" w:eastAsia="仿宋_GB2312" w:cs="仿宋_GB2312"/>
          <w:color w:val="000000" w:themeColor="text1"/>
          <w:sz w:val="32"/>
          <w:szCs w:val="21"/>
        </w:rPr>
      </w:pPr>
      <w:r>
        <w:rPr>
          <w:rFonts w:hint="eastAsia" w:ascii="宋体" w:hAnsi="宋体" w:eastAsia="仿宋_GB2312" w:cs="仿宋_GB2312"/>
          <w:color w:val="000000" w:themeColor="text1"/>
          <w:sz w:val="32"/>
          <w:szCs w:val="21"/>
        </w:rPr>
        <w:t>1、项目决策</w:t>
      </w:r>
    </w:p>
    <w:p>
      <w:pPr>
        <w:adjustRightInd w:val="0"/>
        <w:snapToGrid w:val="0"/>
        <w:spacing w:line="580" w:lineRule="exact"/>
        <w:ind w:firstLine="720"/>
        <w:rPr>
          <w:rFonts w:ascii="仿宋_GB2312" w:eastAsia="仿宋_GB2312"/>
          <w:sz w:val="32"/>
          <w:szCs w:val="32"/>
        </w:rPr>
      </w:pPr>
      <w:r>
        <w:rPr>
          <w:rFonts w:hint="eastAsia" w:ascii="宋体" w:hAnsi="宋体" w:eastAsia="仿宋_GB2312" w:cs="仿宋_GB2312"/>
          <w:color w:val="000000" w:themeColor="text1"/>
          <w:sz w:val="32"/>
          <w:szCs w:val="21"/>
        </w:rPr>
        <w:t>我局严格按照《四川省省级财政林业改革发展专项资金管理办法》（川财农[2017]17号）以及《四川省省级财政林业生态保护恢复专项资金管理办法》（川财农[2017]18号）的文件要求将专项资金用于</w:t>
      </w:r>
      <w:r>
        <w:rPr>
          <w:rFonts w:hint="eastAsia" w:ascii="仿宋_GB2312" w:eastAsia="仿宋_GB2312"/>
          <w:sz w:val="32"/>
          <w:szCs w:val="32"/>
        </w:rPr>
        <w:t>森林公安机关开展案件侦办查处、森林资源保护、林业治安管理、维持社会稳定、处理突发事件、禁种铲毒、民警教育培训等直接支出；森林公安业务装备经费主要用于森林公安机关购置指挥通信、刑侦技术、执法勤务（含警用交通工具）、信息化建设、处置突发事件、派出所和监管场所所需的各类警用装备的支出。项目目标设定：依法打击违法捕猎野生动物、破坏森林植被等犯罪活动，使违法违规行为呈下降趋势，并通过林业执法培训等方式，提升森林公安干警的职业能力素养，打造一支有能力、有素养的专业化队伍。</w:t>
      </w:r>
    </w:p>
    <w:p>
      <w:pPr>
        <w:snapToGrid w:val="0"/>
        <w:spacing w:line="580" w:lineRule="exact"/>
        <w:ind w:firstLine="640" w:firstLineChars="200"/>
        <w:rPr>
          <w:rFonts w:ascii="宋体" w:hAnsi="宋体" w:eastAsia="仿宋_GB2312" w:cs="宋体"/>
          <w:color w:val="000000" w:themeColor="text1"/>
          <w:szCs w:val="21"/>
        </w:rPr>
      </w:pPr>
      <w:r>
        <w:rPr>
          <w:rFonts w:hint="eastAsia" w:ascii="宋体" w:hAnsi="宋体" w:eastAsia="仿宋_GB2312" w:cs="宋体"/>
          <w:color w:val="000000" w:themeColor="text1"/>
          <w:sz w:val="32"/>
          <w:szCs w:val="21"/>
        </w:rPr>
        <w:t>2</w:t>
      </w:r>
      <w:r>
        <w:rPr>
          <w:rFonts w:hint="eastAsia" w:ascii="宋体" w:hAnsi="宋体" w:eastAsia="仿宋_GB2312" w:cs="仿宋_GB2312"/>
          <w:color w:val="000000" w:themeColor="text1"/>
          <w:sz w:val="32"/>
          <w:szCs w:val="21"/>
        </w:rPr>
        <w:t>、项目管理</w:t>
      </w:r>
    </w:p>
    <w:p>
      <w:pPr>
        <w:snapToGrid w:val="0"/>
        <w:spacing w:line="580" w:lineRule="exact"/>
        <w:ind w:firstLine="640" w:firstLineChars="200"/>
        <w:rPr>
          <w:rFonts w:ascii="宋体" w:hAnsi="宋体" w:eastAsia="仿宋_GB2312" w:cs="宋体"/>
          <w:color w:val="FF0000"/>
          <w:szCs w:val="21"/>
        </w:rPr>
      </w:pPr>
      <w:r>
        <w:rPr>
          <w:rFonts w:hint="eastAsia" w:ascii="宋体" w:hAnsi="宋体" w:eastAsia="仿宋_GB2312" w:cs="仿宋_GB2312"/>
          <w:color w:val="000000" w:themeColor="text1"/>
          <w:sz w:val="32"/>
          <w:szCs w:val="21"/>
        </w:rPr>
        <w:t>为保护我县宝贵的野生动植物资源，我局严格按照《中华人民共和国预算法》、《中华人民共和国森林法》、《四川省人民政府印发关于进一步加强财政资金管理规定的通知》、《四川省省级财政林业改革发展专项资金管理办法》（川财农[2017]17号）以及《四川省省级财政林业生态保护恢复专项资金管理办法》（川财农[2017]18号）等文件及管理办法要求，规范管理我局林业改革发展资金项目</w:t>
      </w:r>
      <w:r>
        <w:rPr>
          <w:rFonts w:hint="eastAsia" w:ascii="宋体" w:hAnsi="宋体" w:eastAsia="仿宋_GB2312" w:cs="仿宋_GB2312"/>
          <w:color w:val="FF0000"/>
          <w:sz w:val="32"/>
          <w:szCs w:val="21"/>
        </w:rPr>
        <w:t>。</w:t>
      </w:r>
    </w:p>
    <w:p>
      <w:pPr>
        <w:snapToGrid w:val="0"/>
        <w:spacing w:line="580" w:lineRule="exact"/>
        <w:ind w:firstLine="640" w:firstLineChars="200"/>
        <w:rPr>
          <w:rFonts w:ascii="宋体" w:hAnsi="宋体" w:eastAsia="仿宋_GB2312" w:cs="仿宋_GB2312"/>
          <w:color w:val="000000" w:themeColor="text1"/>
          <w:sz w:val="32"/>
          <w:szCs w:val="21"/>
        </w:rPr>
      </w:pPr>
      <w:r>
        <w:rPr>
          <w:rFonts w:hint="eastAsia" w:ascii="宋体" w:hAnsi="宋体" w:eastAsia="仿宋_GB2312" w:cs="仿宋_GB2312"/>
          <w:color w:val="000000" w:themeColor="text1"/>
          <w:sz w:val="32"/>
          <w:szCs w:val="21"/>
        </w:rPr>
        <w:t>3、项目绩效</w:t>
      </w:r>
    </w:p>
    <w:p>
      <w:pPr>
        <w:snapToGrid w:val="0"/>
        <w:spacing w:line="580" w:lineRule="exact"/>
        <w:ind w:firstLine="640" w:firstLineChars="200"/>
        <w:rPr>
          <w:rFonts w:ascii="宋体" w:hAnsi="宋体" w:eastAsia="仿宋_GB2312" w:cs="仿宋_GB2312"/>
          <w:color w:val="000000" w:themeColor="text1"/>
          <w:sz w:val="32"/>
          <w:szCs w:val="21"/>
        </w:rPr>
      </w:pPr>
      <w:r>
        <w:rPr>
          <w:rFonts w:hint="eastAsia" w:ascii="宋体" w:hAnsi="宋体" w:eastAsia="仿宋_GB2312" w:cs="仿宋_GB2312"/>
          <w:color w:val="000000" w:themeColor="text1"/>
          <w:sz w:val="32"/>
          <w:szCs w:val="21"/>
        </w:rPr>
        <w:t>截止2018年底，我局共</w:t>
      </w:r>
      <w:r>
        <w:rPr>
          <w:rFonts w:ascii="宋体" w:hAnsi="宋体" w:eastAsia="仿宋_GB2312" w:cs="仿宋_GB2312"/>
          <w:color w:val="000000" w:themeColor="text1"/>
          <w:sz w:val="32"/>
          <w:szCs w:val="21"/>
        </w:rPr>
        <w:t>出动警力2180余人次，出动警车730余台次，</w:t>
      </w:r>
      <w:r>
        <w:rPr>
          <w:rFonts w:hint="eastAsia" w:ascii="宋体" w:hAnsi="宋体" w:eastAsia="仿宋_GB2312" w:cs="仿宋_GB2312"/>
          <w:color w:val="000000" w:themeColor="text1"/>
          <w:sz w:val="32"/>
          <w:szCs w:val="21"/>
        </w:rPr>
        <w:t>办理各类</w:t>
      </w:r>
      <w:r>
        <w:rPr>
          <w:rFonts w:ascii="宋体" w:hAnsi="宋体" w:eastAsia="仿宋_GB2312" w:cs="仿宋_GB2312"/>
          <w:color w:val="000000" w:themeColor="text1"/>
          <w:sz w:val="32"/>
          <w:szCs w:val="21"/>
        </w:rPr>
        <w:t>涉林</w:t>
      </w:r>
      <w:r>
        <w:rPr>
          <w:rFonts w:hint="eastAsia" w:ascii="宋体" w:hAnsi="宋体" w:eastAsia="仿宋_GB2312" w:cs="仿宋_GB2312"/>
          <w:color w:val="000000" w:themeColor="text1"/>
          <w:sz w:val="32"/>
          <w:szCs w:val="21"/>
        </w:rPr>
        <w:t>案件</w:t>
      </w:r>
      <w:r>
        <w:rPr>
          <w:rFonts w:ascii="宋体" w:hAnsi="宋体" w:eastAsia="仿宋_GB2312" w:cs="仿宋_GB2312"/>
          <w:color w:val="000000" w:themeColor="text1"/>
          <w:sz w:val="32"/>
          <w:szCs w:val="21"/>
        </w:rPr>
        <w:t>52</w:t>
      </w:r>
      <w:r>
        <w:rPr>
          <w:rFonts w:hint="eastAsia" w:ascii="宋体" w:hAnsi="宋体" w:eastAsia="仿宋_GB2312" w:cs="仿宋_GB2312"/>
          <w:color w:val="000000" w:themeColor="text1"/>
          <w:sz w:val="32"/>
          <w:szCs w:val="21"/>
        </w:rPr>
        <w:t>起，其中：办理</w:t>
      </w:r>
      <w:r>
        <w:rPr>
          <w:rFonts w:ascii="宋体" w:hAnsi="宋体" w:eastAsia="仿宋_GB2312" w:cs="仿宋_GB2312"/>
          <w:color w:val="000000" w:themeColor="text1"/>
          <w:sz w:val="32"/>
          <w:szCs w:val="21"/>
        </w:rPr>
        <w:t>涉林</w:t>
      </w:r>
      <w:r>
        <w:rPr>
          <w:rFonts w:hint="eastAsia" w:ascii="宋体" w:hAnsi="宋体" w:eastAsia="仿宋_GB2312" w:cs="仿宋_GB2312"/>
          <w:color w:val="000000" w:themeColor="text1"/>
          <w:sz w:val="32"/>
          <w:szCs w:val="21"/>
        </w:rPr>
        <w:t>刑事案件</w:t>
      </w:r>
      <w:r>
        <w:rPr>
          <w:rFonts w:ascii="宋体" w:hAnsi="宋体" w:eastAsia="仿宋_GB2312" w:cs="仿宋_GB2312"/>
          <w:color w:val="000000" w:themeColor="text1"/>
          <w:sz w:val="32"/>
          <w:szCs w:val="21"/>
        </w:rPr>
        <w:t>2</w:t>
      </w:r>
      <w:r>
        <w:rPr>
          <w:rFonts w:hint="eastAsia" w:ascii="宋体" w:hAnsi="宋体" w:eastAsia="仿宋_GB2312" w:cs="仿宋_GB2312"/>
          <w:color w:val="000000" w:themeColor="text1"/>
          <w:sz w:val="32"/>
          <w:szCs w:val="21"/>
        </w:rPr>
        <w:t>起（</w:t>
      </w:r>
      <w:r>
        <w:rPr>
          <w:rFonts w:ascii="宋体" w:hAnsi="宋体" w:eastAsia="仿宋_GB2312" w:cs="仿宋_GB2312"/>
          <w:color w:val="000000" w:themeColor="text1"/>
          <w:sz w:val="32"/>
          <w:szCs w:val="21"/>
        </w:rPr>
        <w:t>其中：办理</w:t>
      </w:r>
      <w:r>
        <w:rPr>
          <w:rFonts w:hint="eastAsia" w:ascii="宋体" w:hAnsi="宋体" w:eastAsia="仿宋_GB2312" w:cs="仿宋_GB2312"/>
          <w:color w:val="000000" w:themeColor="text1"/>
          <w:sz w:val="32"/>
          <w:szCs w:val="21"/>
        </w:rPr>
        <w:t>非法持有枪支案</w:t>
      </w:r>
      <w:r>
        <w:rPr>
          <w:rFonts w:ascii="宋体" w:hAnsi="宋体" w:eastAsia="仿宋_GB2312" w:cs="仿宋_GB2312"/>
          <w:color w:val="000000" w:themeColor="text1"/>
          <w:sz w:val="32"/>
          <w:szCs w:val="21"/>
        </w:rPr>
        <w:t>1起、非法储存枪支案1起</w:t>
      </w:r>
      <w:r>
        <w:rPr>
          <w:rFonts w:hint="eastAsia" w:ascii="宋体" w:hAnsi="宋体" w:eastAsia="仿宋_GB2312" w:cs="仿宋_GB2312"/>
          <w:color w:val="000000" w:themeColor="text1"/>
          <w:sz w:val="32"/>
          <w:szCs w:val="21"/>
        </w:rPr>
        <w:t>），</w:t>
      </w:r>
      <w:r>
        <w:rPr>
          <w:rFonts w:ascii="宋体" w:hAnsi="宋体" w:eastAsia="仿宋_GB2312" w:cs="仿宋_GB2312"/>
          <w:color w:val="000000" w:themeColor="text1"/>
          <w:sz w:val="32"/>
          <w:szCs w:val="21"/>
        </w:rPr>
        <w:t>收缴自制小口径步枪2支，小口径步枪子弹221发，</w:t>
      </w:r>
      <w:r>
        <w:rPr>
          <w:rFonts w:hint="eastAsia" w:ascii="宋体" w:hAnsi="宋体" w:eastAsia="仿宋_GB2312" w:cs="仿宋_GB2312"/>
          <w:color w:val="000000" w:themeColor="text1"/>
          <w:sz w:val="32"/>
          <w:szCs w:val="21"/>
        </w:rPr>
        <w:t>取保候审</w:t>
      </w:r>
      <w:r>
        <w:rPr>
          <w:rFonts w:ascii="宋体" w:hAnsi="宋体" w:eastAsia="仿宋_GB2312" w:cs="仿宋_GB2312"/>
          <w:color w:val="000000" w:themeColor="text1"/>
          <w:sz w:val="32"/>
          <w:szCs w:val="21"/>
        </w:rPr>
        <w:t>2</w:t>
      </w:r>
      <w:r>
        <w:rPr>
          <w:rFonts w:hint="eastAsia" w:ascii="宋体" w:hAnsi="宋体" w:eastAsia="仿宋_GB2312" w:cs="仿宋_GB2312"/>
          <w:color w:val="000000" w:themeColor="text1"/>
          <w:sz w:val="32"/>
          <w:szCs w:val="21"/>
        </w:rPr>
        <w:t>人；办理</w:t>
      </w:r>
      <w:r>
        <w:rPr>
          <w:rFonts w:ascii="宋体" w:hAnsi="宋体" w:eastAsia="仿宋_GB2312" w:cs="仿宋_GB2312"/>
          <w:color w:val="000000" w:themeColor="text1"/>
          <w:sz w:val="32"/>
          <w:szCs w:val="21"/>
        </w:rPr>
        <w:t>各类</w:t>
      </w:r>
      <w:r>
        <w:rPr>
          <w:rFonts w:hint="eastAsia" w:ascii="宋体" w:hAnsi="宋体" w:eastAsia="仿宋_GB2312" w:cs="仿宋_GB2312"/>
          <w:color w:val="000000" w:themeColor="text1"/>
          <w:sz w:val="32"/>
          <w:szCs w:val="21"/>
        </w:rPr>
        <w:t>林业行政案件</w:t>
      </w:r>
      <w:r>
        <w:rPr>
          <w:rFonts w:ascii="宋体" w:hAnsi="宋体" w:eastAsia="仿宋_GB2312" w:cs="仿宋_GB2312"/>
          <w:color w:val="000000" w:themeColor="text1"/>
          <w:sz w:val="32"/>
          <w:szCs w:val="21"/>
        </w:rPr>
        <w:t>48</w:t>
      </w:r>
      <w:r>
        <w:rPr>
          <w:rFonts w:hint="eastAsia" w:ascii="宋体" w:hAnsi="宋体" w:eastAsia="仿宋_GB2312" w:cs="仿宋_GB2312"/>
          <w:color w:val="000000" w:themeColor="text1"/>
          <w:sz w:val="32"/>
          <w:szCs w:val="21"/>
        </w:rPr>
        <w:t>起</w:t>
      </w:r>
      <w:r>
        <w:rPr>
          <w:rFonts w:ascii="宋体" w:hAnsi="宋体" w:eastAsia="仿宋_GB2312" w:cs="仿宋_GB2312"/>
          <w:color w:val="000000" w:themeColor="text1"/>
          <w:sz w:val="32"/>
          <w:szCs w:val="21"/>
        </w:rPr>
        <w:t>（其中：办理盗伐林木案10起、无证运输木材案6起、非法收购无证木竹材案9起、擅自破坏湿地案4起、擅自毁坏林木案8起、非法猎捕野生动物案2起、非法运输野生动物案1起、野外擅自用火案3起、擅自改变林地用途案3起、非法占用湿地案1起、非法收购木材案1起）</w:t>
      </w:r>
      <w:r>
        <w:rPr>
          <w:rFonts w:hint="eastAsia" w:ascii="宋体" w:hAnsi="宋体" w:eastAsia="仿宋_GB2312" w:cs="仿宋_GB2312"/>
          <w:color w:val="000000" w:themeColor="text1"/>
          <w:sz w:val="32"/>
          <w:szCs w:val="21"/>
        </w:rPr>
        <w:t>，处理违法人员</w:t>
      </w:r>
      <w:r>
        <w:rPr>
          <w:rFonts w:ascii="宋体" w:hAnsi="宋体" w:eastAsia="仿宋_GB2312" w:cs="仿宋_GB2312"/>
          <w:color w:val="000000" w:themeColor="text1"/>
          <w:sz w:val="32"/>
          <w:szCs w:val="21"/>
        </w:rPr>
        <w:t>48</w:t>
      </w:r>
      <w:r>
        <w:rPr>
          <w:rFonts w:hint="eastAsia" w:ascii="宋体" w:hAnsi="宋体" w:eastAsia="仿宋_GB2312" w:cs="仿宋_GB2312"/>
          <w:color w:val="000000" w:themeColor="text1"/>
          <w:sz w:val="32"/>
          <w:szCs w:val="21"/>
        </w:rPr>
        <w:t>人，</w:t>
      </w:r>
      <w:r>
        <w:rPr>
          <w:rFonts w:ascii="宋体" w:hAnsi="宋体" w:eastAsia="仿宋_GB2312" w:cs="仿宋_GB2312"/>
          <w:color w:val="000000" w:themeColor="text1"/>
          <w:sz w:val="32"/>
          <w:szCs w:val="21"/>
        </w:rPr>
        <w:t>收缴</w:t>
      </w:r>
      <w:r>
        <w:rPr>
          <w:rFonts w:hint="eastAsia" w:ascii="宋体" w:hAnsi="宋体" w:eastAsia="仿宋_GB2312" w:cs="仿宋_GB2312"/>
          <w:color w:val="000000" w:themeColor="text1"/>
          <w:sz w:val="32"/>
          <w:szCs w:val="21"/>
        </w:rPr>
        <w:t>罚款</w:t>
      </w:r>
      <w:r>
        <w:rPr>
          <w:rFonts w:ascii="宋体" w:hAnsi="宋体" w:eastAsia="仿宋_GB2312" w:cs="仿宋_GB2312"/>
          <w:color w:val="000000" w:themeColor="text1"/>
          <w:sz w:val="32"/>
          <w:szCs w:val="21"/>
        </w:rPr>
        <w:t>17.2</w:t>
      </w:r>
      <w:r>
        <w:rPr>
          <w:rFonts w:hint="eastAsia" w:ascii="宋体" w:hAnsi="宋体" w:eastAsia="仿宋_GB2312" w:cs="仿宋_GB2312"/>
          <w:color w:val="000000" w:themeColor="text1"/>
          <w:sz w:val="32"/>
          <w:szCs w:val="21"/>
        </w:rPr>
        <w:t>万余元，</w:t>
      </w:r>
      <w:r>
        <w:rPr>
          <w:rFonts w:ascii="宋体" w:hAnsi="宋体" w:eastAsia="仿宋_GB2312" w:cs="仿宋_GB2312"/>
          <w:color w:val="000000" w:themeColor="text1"/>
          <w:sz w:val="32"/>
          <w:szCs w:val="21"/>
        </w:rPr>
        <w:t>木材变价款5.7万元，</w:t>
      </w:r>
      <w:r>
        <w:rPr>
          <w:rFonts w:hint="eastAsia" w:ascii="宋体" w:hAnsi="宋体" w:eastAsia="仿宋_GB2312" w:cs="仿宋_GB2312"/>
          <w:color w:val="000000" w:themeColor="text1"/>
          <w:sz w:val="32"/>
          <w:szCs w:val="21"/>
        </w:rPr>
        <w:t>收缴木材</w:t>
      </w:r>
      <w:r>
        <w:rPr>
          <w:rFonts w:ascii="宋体" w:hAnsi="宋体" w:eastAsia="仿宋_GB2312" w:cs="仿宋_GB2312"/>
          <w:color w:val="000000" w:themeColor="text1"/>
          <w:sz w:val="32"/>
          <w:szCs w:val="21"/>
        </w:rPr>
        <w:t>54.2</w:t>
      </w:r>
      <w:r>
        <w:rPr>
          <w:rFonts w:hint="eastAsia" w:ascii="宋体" w:hAnsi="宋体" w:eastAsia="仿宋_GB2312" w:cs="仿宋_GB2312"/>
          <w:color w:val="000000" w:themeColor="text1"/>
          <w:sz w:val="32"/>
          <w:szCs w:val="21"/>
        </w:rPr>
        <w:t>立方米，收缴野生动物</w:t>
      </w:r>
      <w:r>
        <w:rPr>
          <w:rFonts w:ascii="宋体" w:hAnsi="宋体" w:eastAsia="仿宋_GB2312" w:cs="仿宋_GB2312"/>
          <w:color w:val="000000" w:themeColor="text1"/>
          <w:sz w:val="32"/>
          <w:szCs w:val="21"/>
        </w:rPr>
        <w:t>肉块21块、野生动物制品3件，收缴猎套猎夹16个；办理林业治安案件2起，治安拘留2人。共</w:t>
      </w:r>
      <w:r>
        <w:rPr>
          <w:rFonts w:hint="eastAsia" w:ascii="宋体" w:hAnsi="宋体" w:eastAsia="仿宋_GB2312" w:cs="仿宋_GB2312"/>
          <w:color w:val="000000" w:themeColor="text1"/>
          <w:sz w:val="32"/>
          <w:szCs w:val="21"/>
        </w:rPr>
        <w:t>为国家挽回经济损失</w:t>
      </w:r>
      <w:r>
        <w:rPr>
          <w:rFonts w:ascii="宋体" w:hAnsi="宋体" w:eastAsia="仿宋_GB2312" w:cs="仿宋_GB2312"/>
          <w:color w:val="000000" w:themeColor="text1"/>
          <w:sz w:val="32"/>
          <w:szCs w:val="21"/>
        </w:rPr>
        <w:t>50</w:t>
      </w:r>
      <w:r>
        <w:rPr>
          <w:rFonts w:hint="eastAsia" w:ascii="宋体" w:hAnsi="宋体" w:eastAsia="仿宋_GB2312" w:cs="仿宋_GB2312"/>
          <w:color w:val="000000" w:themeColor="text1"/>
          <w:sz w:val="32"/>
          <w:szCs w:val="21"/>
        </w:rPr>
        <w:t>余万元。</w:t>
      </w:r>
    </w:p>
    <w:p>
      <w:pPr>
        <w:snapToGrid w:val="0"/>
        <w:spacing w:line="580" w:lineRule="exact"/>
        <w:ind w:firstLine="640" w:firstLineChars="200"/>
        <w:rPr>
          <w:rFonts w:ascii="黑体" w:hAnsi="宋体" w:eastAsia="黑体" w:cs="黑体"/>
          <w:color w:val="000000" w:themeColor="text1"/>
          <w:sz w:val="32"/>
          <w:szCs w:val="21"/>
        </w:rPr>
      </w:pPr>
      <w:r>
        <w:rPr>
          <w:rFonts w:hint="eastAsia" w:ascii="黑体" w:hAnsi="宋体" w:eastAsia="黑体" w:cs="黑体"/>
          <w:color w:val="000000" w:themeColor="text1"/>
          <w:sz w:val="32"/>
          <w:szCs w:val="21"/>
        </w:rPr>
        <w:t>四、存在主要问题</w:t>
      </w:r>
    </w:p>
    <w:p>
      <w:pPr>
        <w:snapToGrid w:val="0"/>
        <w:spacing w:line="580" w:lineRule="exact"/>
        <w:ind w:firstLine="640" w:firstLineChars="200"/>
        <w:rPr>
          <w:rFonts w:ascii="宋体" w:hAnsi="宋体" w:eastAsia="仿宋_GB2312" w:cs="仿宋_GB2312"/>
          <w:color w:val="000000" w:themeColor="text1"/>
          <w:sz w:val="32"/>
          <w:szCs w:val="21"/>
        </w:rPr>
      </w:pPr>
      <w:r>
        <w:rPr>
          <w:rFonts w:hint="eastAsia" w:ascii="宋体" w:hAnsi="宋体" w:eastAsia="仿宋_GB2312" w:cs="仿宋_GB2312"/>
          <w:color w:val="000000" w:themeColor="text1"/>
          <w:sz w:val="32"/>
          <w:szCs w:val="21"/>
        </w:rPr>
        <w:t>（一）事中事后监管不到位。存在执行制度不规范的问题，暴露了事中事后监管的缺失。</w:t>
      </w:r>
    </w:p>
    <w:p>
      <w:pPr>
        <w:snapToGrid w:val="0"/>
        <w:spacing w:line="580" w:lineRule="exact"/>
        <w:ind w:firstLine="640" w:firstLineChars="200"/>
        <w:rPr>
          <w:rFonts w:ascii="宋体" w:hAnsi="宋体" w:eastAsia="仿宋_GB2312" w:cs="仿宋_GB2312"/>
          <w:color w:val="000000" w:themeColor="text1"/>
          <w:sz w:val="32"/>
          <w:szCs w:val="21"/>
        </w:rPr>
      </w:pPr>
      <w:r>
        <w:rPr>
          <w:rFonts w:hint="eastAsia" w:ascii="宋体" w:hAnsi="宋体" w:eastAsia="仿宋_GB2312" w:cs="仿宋_GB2312"/>
          <w:color w:val="000000" w:themeColor="text1"/>
          <w:sz w:val="32"/>
          <w:szCs w:val="21"/>
        </w:rPr>
        <w:t>（二）相关管理制度有待提高。相关制度由于不细化导致在项目执行过程中出现的审批资料不齐全等问题。</w:t>
      </w:r>
    </w:p>
    <w:p>
      <w:pPr>
        <w:snapToGrid w:val="0"/>
        <w:spacing w:line="580" w:lineRule="exact"/>
        <w:ind w:firstLine="640" w:firstLineChars="200"/>
        <w:rPr>
          <w:rFonts w:ascii="黑体" w:hAnsi="宋体" w:eastAsia="黑体" w:cs="黑体"/>
          <w:color w:val="000000" w:themeColor="text1"/>
          <w:szCs w:val="21"/>
        </w:rPr>
      </w:pPr>
      <w:r>
        <w:rPr>
          <w:rFonts w:hint="eastAsia" w:ascii="黑体" w:hAnsi="宋体" w:eastAsia="黑体" w:cs="黑体"/>
          <w:color w:val="000000" w:themeColor="text1"/>
          <w:sz w:val="32"/>
          <w:szCs w:val="21"/>
        </w:rPr>
        <w:t>五、相关措施建议</w:t>
      </w:r>
    </w:p>
    <w:p>
      <w:pPr>
        <w:snapToGrid w:val="0"/>
        <w:spacing w:line="580" w:lineRule="exact"/>
        <w:ind w:firstLine="640" w:firstLineChars="200"/>
        <w:rPr>
          <w:rFonts w:ascii="宋体" w:hAnsi="宋体" w:eastAsia="仿宋_GB2312" w:cs="仿宋_GB2312"/>
          <w:color w:val="000000" w:themeColor="text1"/>
          <w:sz w:val="32"/>
          <w:szCs w:val="21"/>
        </w:rPr>
      </w:pPr>
      <w:r>
        <w:rPr>
          <w:rFonts w:hint="eastAsia" w:ascii="宋体" w:hAnsi="宋体" w:eastAsia="仿宋_GB2312" w:cs="仿宋_GB2312"/>
          <w:color w:val="000000" w:themeColor="text1"/>
          <w:sz w:val="32"/>
          <w:szCs w:val="21"/>
        </w:rPr>
        <w:t>（一）加强各科室间的信息沟通，推动工作的协同联动。避免出现由于沟通不充分、不及时，导致的监管不到位。</w:t>
      </w:r>
    </w:p>
    <w:p>
      <w:pPr>
        <w:snapToGrid w:val="0"/>
        <w:spacing w:line="580" w:lineRule="exact"/>
        <w:ind w:firstLine="640" w:firstLineChars="200"/>
        <w:rPr>
          <w:rFonts w:ascii="宋体" w:hAnsi="宋体" w:eastAsia="仿宋_GB2312" w:cs="仿宋_GB2312"/>
          <w:color w:val="000000" w:themeColor="text1"/>
          <w:sz w:val="32"/>
          <w:szCs w:val="21"/>
        </w:rPr>
      </w:pPr>
      <w:r>
        <w:rPr>
          <w:rFonts w:hint="eastAsia" w:ascii="宋体" w:hAnsi="宋体" w:eastAsia="仿宋_GB2312" w:cs="仿宋_GB2312"/>
          <w:color w:val="000000" w:themeColor="text1"/>
          <w:sz w:val="32"/>
          <w:szCs w:val="21"/>
        </w:rPr>
        <w:t>（二）加强项目资金制度建设，通过细化相关细则，严格把控项目资金审批，资金流向等过程。</w:t>
      </w:r>
    </w:p>
    <w:p>
      <w:pPr>
        <w:snapToGrid w:val="0"/>
        <w:spacing w:line="580" w:lineRule="exact"/>
        <w:ind w:firstLine="640" w:firstLineChars="200"/>
        <w:rPr>
          <w:rFonts w:ascii="宋体" w:hAnsi="宋体" w:eastAsia="仿宋_GB2312" w:cs="仿宋_GB2312"/>
          <w:color w:val="FF0000"/>
          <w:sz w:val="32"/>
          <w:szCs w:val="21"/>
        </w:rPr>
      </w:pPr>
      <w:r>
        <w:rPr>
          <w:rFonts w:ascii="宋体" w:hAnsi="宋体" w:eastAsia="仿宋_GB2312" w:cs="仿宋_GB2312"/>
          <w:color w:val="FF0000"/>
          <w:sz w:val="32"/>
          <w:szCs w:val="21"/>
        </w:rPr>
        <w:br w:type="page"/>
      </w: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8"/>
      <w:bookmarkEnd w:id="62"/>
    </w:p>
    <w:p>
      <w:pPr>
        <w:spacing w:line="600" w:lineRule="exact"/>
        <w:jc w:val="center"/>
        <w:outlineLvl w:val="0"/>
        <w:rPr>
          <w:rFonts w:ascii="仿宋" w:hAnsi="仿宋" w:eastAsia="仿宋"/>
          <w:b/>
          <w:color w:val="000000"/>
          <w:sz w:val="44"/>
          <w:szCs w:val="44"/>
        </w:rPr>
      </w:pPr>
    </w:p>
    <w:p>
      <w:pPr>
        <w:pStyle w:val="3"/>
        <w:numPr>
          <w:ilvl w:val="0"/>
          <w:numId w:val="7"/>
        </w:numPr>
        <w:rPr>
          <w:rFonts w:ascii="仿宋" w:hAnsi="仿宋" w:eastAsia="仿宋"/>
          <w:b w:val="0"/>
          <w:color w:val="000000"/>
        </w:rPr>
      </w:pPr>
      <w:bookmarkStart w:id="63"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25"/>
          <w:rFonts w:hint="eastAsia" w:ascii="仿宋" w:hAnsi="仿宋" w:eastAsia="仿宋"/>
          <w:b w:val="0"/>
          <w:bCs w:val="0"/>
        </w:rPr>
        <w:t>入总表</w:t>
      </w:r>
      <w:bookmarkEnd w:id="63"/>
    </w:p>
    <w:p>
      <w:pPr>
        <w:pStyle w:val="3"/>
        <w:rPr>
          <w:rFonts w:ascii="仿宋" w:hAnsi="仿宋" w:eastAsia="仿宋"/>
          <w:color w:val="000000"/>
        </w:rPr>
      </w:pPr>
      <w:bookmarkStart w:id="64"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4"/>
    </w:p>
    <w:p>
      <w:pPr>
        <w:pStyle w:val="3"/>
        <w:rPr>
          <w:rFonts w:ascii="仿宋" w:hAnsi="仿宋" w:eastAsia="仿宋"/>
          <w:b w:val="0"/>
          <w:color w:val="000000"/>
        </w:rPr>
      </w:pPr>
      <w:bookmarkStart w:id="65"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5"/>
    </w:p>
    <w:p>
      <w:pPr>
        <w:pStyle w:val="3"/>
        <w:rPr>
          <w:rFonts w:ascii="仿宋" w:hAnsi="仿宋" w:eastAsia="仿宋"/>
          <w:color w:val="000000"/>
        </w:rPr>
      </w:pPr>
      <w:bookmarkStart w:id="66"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6"/>
    </w:p>
    <w:p>
      <w:pPr>
        <w:pStyle w:val="3"/>
        <w:rPr>
          <w:rFonts w:ascii="仿宋" w:hAnsi="仿宋" w:eastAsia="仿宋"/>
          <w:color w:val="000000"/>
        </w:rPr>
      </w:pPr>
      <w:bookmarkStart w:id="67"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7"/>
    </w:p>
    <w:p>
      <w:pPr>
        <w:pStyle w:val="3"/>
        <w:rPr>
          <w:rFonts w:ascii="仿宋" w:hAnsi="仿宋" w:eastAsia="仿宋"/>
          <w:color w:val="000000"/>
        </w:rPr>
      </w:pPr>
      <w:bookmarkStart w:id="68"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8"/>
    </w:p>
    <w:p>
      <w:pPr>
        <w:pStyle w:val="3"/>
        <w:rPr>
          <w:rFonts w:ascii="仿宋" w:hAnsi="仿宋" w:eastAsia="仿宋"/>
          <w:color w:val="000000"/>
        </w:rPr>
      </w:pPr>
      <w:bookmarkStart w:id="69"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9"/>
    </w:p>
    <w:p>
      <w:pPr>
        <w:pStyle w:val="3"/>
        <w:rPr>
          <w:rFonts w:ascii="仿宋" w:hAnsi="仿宋" w:eastAsia="仿宋"/>
          <w:color w:val="000000"/>
        </w:rPr>
      </w:pPr>
      <w:bookmarkStart w:id="70"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0"/>
    </w:p>
    <w:p>
      <w:pPr>
        <w:pStyle w:val="3"/>
        <w:rPr>
          <w:rFonts w:ascii="仿宋" w:hAnsi="仿宋" w:eastAsia="仿宋"/>
          <w:color w:val="000000"/>
        </w:rPr>
      </w:pPr>
      <w:bookmarkStart w:id="71"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1"/>
    </w:p>
    <w:p>
      <w:pPr>
        <w:pStyle w:val="3"/>
        <w:rPr>
          <w:rFonts w:ascii="仿宋" w:hAnsi="仿宋" w:eastAsia="仿宋"/>
          <w:color w:val="000000"/>
        </w:rPr>
      </w:pPr>
      <w:bookmarkStart w:id="72"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2"/>
    </w:p>
    <w:p>
      <w:pPr>
        <w:pStyle w:val="3"/>
        <w:rPr>
          <w:rFonts w:ascii="仿宋" w:hAnsi="仿宋" w:eastAsia="仿宋"/>
          <w:color w:val="000000"/>
        </w:rPr>
      </w:pPr>
      <w:bookmarkStart w:id="73"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3"/>
    </w:p>
    <w:p>
      <w:pPr>
        <w:pStyle w:val="3"/>
        <w:rPr>
          <w:rFonts w:ascii="仿宋" w:hAnsi="仿宋" w:eastAsia="仿宋"/>
          <w:color w:val="000000" w:themeColor="text1"/>
        </w:rPr>
      </w:pPr>
      <w:bookmarkStart w:id="74"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4"/>
    </w:p>
    <w:sectPr>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等线">
    <w:altName w:val="微软雅黑"/>
    <w:panose1 w:val="00000000000000000000"/>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altName w:val="Segoe Print"/>
    <w:panose1 w:val="02040602050305030304"/>
    <w:charset w:val="00"/>
    <w:family w:val="auto"/>
    <w:pitch w:val="default"/>
    <w:sig w:usb0="00000000" w:usb1="00000000" w:usb2="00000000" w:usb3="00000000" w:csb0="2000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36979"/>
    </w:sdtPr>
    <w:sdtContent>
      <w:p>
        <w:pPr>
          <w:pStyle w:val="8"/>
          <w:jc w:val="center"/>
        </w:pPr>
        <w:r>
          <w:fldChar w:fldCharType="begin"/>
        </w:r>
        <w:r>
          <w:instrText xml:space="preserve">PAGE   \* MERGEFORMAT</w:instrText>
        </w:r>
        <w:r>
          <w:fldChar w:fldCharType="separate"/>
        </w:r>
        <w:r>
          <w:rPr>
            <w:lang w:val="zh-CN"/>
          </w:rPr>
          <w:t>24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5D5382B5"/>
    <w:multiLevelType w:val="singleLevel"/>
    <w:tmpl w:val="5D5382B5"/>
    <w:lvl w:ilvl="0" w:tentative="0">
      <w:start w:val="1"/>
      <w:numFmt w:val="chineseCounting"/>
      <w:suff w:val="nothing"/>
      <w:lvlText w:val="%1、"/>
      <w:lvlJc w:val="left"/>
    </w:lvl>
  </w:abstractNum>
  <w:num w:numId="1">
    <w:abstractNumId w:val="4"/>
  </w:num>
  <w:num w:numId="2">
    <w:abstractNumId w:val="1"/>
  </w:num>
  <w:num w:numId="3">
    <w:abstractNumId w:val="5"/>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4CC6"/>
    <w:rsid w:val="00011731"/>
    <w:rsid w:val="000124DE"/>
    <w:rsid w:val="00012F16"/>
    <w:rsid w:val="00013125"/>
    <w:rsid w:val="000174D8"/>
    <w:rsid w:val="000222C6"/>
    <w:rsid w:val="0002549F"/>
    <w:rsid w:val="000256C0"/>
    <w:rsid w:val="00025AAF"/>
    <w:rsid w:val="00035FAD"/>
    <w:rsid w:val="00044777"/>
    <w:rsid w:val="00044A46"/>
    <w:rsid w:val="00050DEB"/>
    <w:rsid w:val="0005487D"/>
    <w:rsid w:val="000565BC"/>
    <w:rsid w:val="00056BB3"/>
    <w:rsid w:val="00062C3E"/>
    <w:rsid w:val="0006487A"/>
    <w:rsid w:val="00065B61"/>
    <w:rsid w:val="00065F8F"/>
    <w:rsid w:val="00071E87"/>
    <w:rsid w:val="000744B0"/>
    <w:rsid w:val="000768F2"/>
    <w:rsid w:val="000846E3"/>
    <w:rsid w:val="0009184B"/>
    <w:rsid w:val="0009593C"/>
    <w:rsid w:val="000B047F"/>
    <w:rsid w:val="000B3CDA"/>
    <w:rsid w:val="000B58C2"/>
    <w:rsid w:val="000B5923"/>
    <w:rsid w:val="000B5A48"/>
    <w:rsid w:val="000B5B55"/>
    <w:rsid w:val="000B6FF3"/>
    <w:rsid w:val="000C1B2E"/>
    <w:rsid w:val="000C3467"/>
    <w:rsid w:val="000C3CA6"/>
    <w:rsid w:val="000C6F9C"/>
    <w:rsid w:val="000D08F9"/>
    <w:rsid w:val="000D1267"/>
    <w:rsid w:val="000D1D50"/>
    <w:rsid w:val="000D1EBE"/>
    <w:rsid w:val="000D30C6"/>
    <w:rsid w:val="000D5782"/>
    <w:rsid w:val="000D6BC5"/>
    <w:rsid w:val="000D76AC"/>
    <w:rsid w:val="000E20A6"/>
    <w:rsid w:val="000E409F"/>
    <w:rsid w:val="000E4F80"/>
    <w:rsid w:val="000E6613"/>
    <w:rsid w:val="000E6D08"/>
    <w:rsid w:val="000E7119"/>
    <w:rsid w:val="000F0325"/>
    <w:rsid w:val="000F1529"/>
    <w:rsid w:val="000F2107"/>
    <w:rsid w:val="0010257E"/>
    <w:rsid w:val="00102CBC"/>
    <w:rsid w:val="001031D3"/>
    <w:rsid w:val="00105DBF"/>
    <w:rsid w:val="00106554"/>
    <w:rsid w:val="00112584"/>
    <w:rsid w:val="00112C0D"/>
    <w:rsid w:val="00114711"/>
    <w:rsid w:val="00114E9B"/>
    <w:rsid w:val="001151D3"/>
    <w:rsid w:val="001335AF"/>
    <w:rsid w:val="00133889"/>
    <w:rsid w:val="00136A6D"/>
    <w:rsid w:val="00137F06"/>
    <w:rsid w:val="0014729F"/>
    <w:rsid w:val="00147407"/>
    <w:rsid w:val="0014785E"/>
    <w:rsid w:val="00151025"/>
    <w:rsid w:val="00152B43"/>
    <w:rsid w:val="00152D90"/>
    <w:rsid w:val="001531B3"/>
    <w:rsid w:val="00154AD6"/>
    <w:rsid w:val="001567B1"/>
    <w:rsid w:val="00157BAB"/>
    <w:rsid w:val="001644FC"/>
    <w:rsid w:val="001654D1"/>
    <w:rsid w:val="00166B66"/>
    <w:rsid w:val="001728EA"/>
    <w:rsid w:val="00175294"/>
    <w:rsid w:val="00176F6C"/>
    <w:rsid w:val="00176FA9"/>
    <w:rsid w:val="0018106D"/>
    <w:rsid w:val="00181720"/>
    <w:rsid w:val="00181E2D"/>
    <w:rsid w:val="00183FCF"/>
    <w:rsid w:val="001877A7"/>
    <w:rsid w:val="00191536"/>
    <w:rsid w:val="001955F0"/>
    <w:rsid w:val="00196687"/>
    <w:rsid w:val="00196821"/>
    <w:rsid w:val="001A0715"/>
    <w:rsid w:val="001A5D46"/>
    <w:rsid w:val="001A7DE5"/>
    <w:rsid w:val="001B066A"/>
    <w:rsid w:val="001B25D8"/>
    <w:rsid w:val="001B3920"/>
    <w:rsid w:val="001C0962"/>
    <w:rsid w:val="001C129A"/>
    <w:rsid w:val="001C3D07"/>
    <w:rsid w:val="001C653E"/>
    <w:rsid w:val="001C7EA3"/>
    <w:rsid w:val="001D67A6"/>
    <w:rsid w:val="001D7531"/>
    <w:rsid w:val="001E491E"/>
    <w:rsid w:val="001E737D"/>
    <w:rsid w:val="001F0592"/>
    <w:rsid w:val="001F13BF"/>
    <w:rsid w:val="001F3A6D"/>
    <w:rsid w:val="001F7506"/>
    <w:rsid w:val="002000FD"/>
    <w:rsid w:val="002006CD"/>
    <w:rsid w:val="00200EB8"/>
    <w:rsid w:val="00201E18"/>
    <w:rsid w:val="00202797"/>
    <w:rsid w:val="00202B36"/>
    <w:rsid w:val="002032D6"/>
    <w:rsid w:val="00204B7A"/>
    <w:rsid w:val="0021101A"/>
    <w:rsid w:val="00211A5F"/>
    <w:rsid w:val="002174D5"/>
    <w:rsid w:val="00220536"/>
    <w:rsid w:val="00224D32"/>
    <w:rsid w:val="002275EE"/>
    <w:rsid w:val="00230EC0"/>
    <w:rsid w:val="00231E2C"/>
    <w:rsid w:val="002332E4"/>
    <w:rsid w:val="00235629"/>
    <w:rsid w:val="0023690F"/>
    <w:rsid w:val="00241018"/>
    <w:rsid w:val="00245926"/>
    <w:rsid w:val="00246454"/>
    <w:rsid w:val="00247296"/>
    <w:rsid w:val="00250852"/>
    <w:rsid w:val="002526CF"/>
    <w:rsid w:val="0025767F"/>
    <w:rsid w:val="00257C3F"/>
    <w:rsid w:val="00257D67"/>
    <w:rsid w:val="00260C38"/>
    <w:rsid w:val="00261045"/>
    <w:rsid w:val="002616C0"/>
    <w:rsid w:val="00261960"/>
    <w:rsid w:val="002619B3"/>
    <w:rsid w:val="002640A6"/>
    <w:rsid w:val="002662AA"/>
    <w:rsid w:val="0027567B"/>
    <w:rsid w:val="00280496"/>
    <w:rsid w:val="00284657"/>
    <w:rsid w:val="00294419"/>
    <w:rsid w:val="00295495"/>
    <w:rsid w:val="002966B4"/>
    <w:rsid w:val="002A2461"/>
    <w:rsid w:val="002A2DDF"/>
    <w:rsid w:val="002A6B7E"/>
    <w:rsid w:val="002B10DC"/>
    <w:rsid w:val="002B213F"/>
    <w:rsid w:val="002B255A"/>
    <w:rsid w:val="002B2613"/>
    <w:rsid w:val="002B54A4"/>
    <w:rsid w:val="002B725B"/>
    <w:rsid w:val="002C20F0"/>
    <w:rsid w:val="002C4774"/>
    <w:rsid w:val="002C702A"/>
    <w:rsid w:val="002E35BE"/>
    <w:rsid w:val="002E52E3"/>
    <w:rsid w:val="002E6D48"/>
    <w:rsid w:val="002F1818"/>
    <w:rsid w:val="002F4AF3"/>
    <w:rsid w:val="002F54A8"/>
    <w:rsid w:val="002F567B"/>
    <w:rsid w:val="0030455B"/>
    <w:rsid w:val="0030535B"/>
    <w:rsid w:val="00307636"/>
    <w:rsid w:val="00310155"/>
    <w:rsid w:val="00311218"/>
    <w:rsid w:val="003216A9"/>
    <w:rsid w:val="00323A25"/>
    <w:rsid w:val="003276C2"/>
    <w:rsid w:val="00332F94"/>
    <w:rsid w:val="00332FD5"/>
    <w:rsid w:val="0034498E"/>
    <w:rsid w:val="003577DB"/>
    <w:rsid w:val="003579A8"/>
    <w:rsid w:val="003604DE"/>
    <w:rsid w:val="0036425E"/>
    <w:rsid w:val="00366162"/>
    <w:rsid w:val="0037013F"/>
    <w:rsid w:val="00372172"/>
    <w:rsid w:val="00374DD0"/>
    <w:rsid w:val="00377144"/>
    <w:rsid w:val="00380C92"/>
    <w:rsid w:val="00384D9E"/>
    <w:rsid w:val="003874BA"/>
    <w:rsid w:val="00390971"/>
    <w:rsid w:val="00394BC9"/>
    <w:rsid w:val="003967BF"/>
    <w:rsid w:val="0039754A"/>
    <w:rsid w:val="003A305D"/>
    <w:rsid w:val="003A4109"/>
    <w:rsid w:val="003A436B"/>
    <w:rsid w:val="003A484F"/>
    <w:rsid w:val="003A7CBF"/>
    <w:rsid w:val="003B008E"/>
    <w:rsid w:val="003B0BE0"/>
    <w:rsid w:val="003B0C1B"/>
    <w:rsid w:val="003B688C"/>
    <w:rsid w:val="003B6E2A"/>
    <w:rsid w:val="003C0291"/>
    <w:rsid w:val="003C0DE7"/>
    <w:rsid w:val="003C0E7D"/>
    <w:rsid w:val="003C18E1"/>
    <w:rsid w:val="003C39AE"/>
    <w:rsid w:val="003C7B60"/>
    <w:rsid w:val="003D1FB2"/>
    <w:rsid w:val="003D25EF"/>
    <w:rsid w:val="003D2E78"/>
    <w:rsid w:val="003D3CAD"/>
    <w:rsid w:val="003D44D3"/>
    <w:rsid w:val="003D66DA"/>
    <w:rsid w:val="003E1310"/>
    <w:rsid w:val="003E4AB1"/>
    <w:rsid w:val="003E6F55"/>
    <w:rsid w:val="003F1318"/>
    <w:rsid w:val="003F1954"/>
    <w:rsid w:val="003F1F50"/>
    <w:rsid w:val="003F393A"/>
    <w:rsid w:val="00406254"/>
    <w:rsid w:val="004139A1"/>
    <w:rsid w:val="00415AB8"/>
    <w:rsid w:val="004223DE"/>
    <w:rsid w:val="004236AC"/>
    <w:rsid w:val="00424FA5"/>
    <w:rsid w:val="00432074"/>
    <w:rsid w:val="00432EEE"/>
    <w:rsid w:val="00434133"/>
    <w:rsid w:val="00434489"/>
    <w:rsid w:val="00435B69"/>
    <w:rsid w:val="00436170"/>
    <w:rsid w:val="00437085"/>
    <w:rsid w:val="00441DD4"/>
    <w:rsid w:val="00443880"/>
    <w:rsid w:val="004455F4"/>
    <w:rsid w:val="004464F4"/>
    <w:rsid w:val="00451F21"/>
    <w:rsid w:val="00455B70"/>
    <w:rsid w:val="00461313"/>
    <w:rsid w:val="00463EFD"/>
    <w:rsid w:val="00464974"/>
    <w:rsid w:val="00464A00"/>
    <w:rsid w:val="00465C6B"/>
    <w:rsid w:val="00466FA0"/>
    <w:rsid w:val="00471401"/>
    <w:rsid w:val="00473F31"/>
    <w:rsid w:val="004757CF"/>
    <w:rsid w:val="00476319"/>
    <w:rsid w:val="00476359"/>
    <w:rsid w:val="0047775E"/>
    <w:rsid w:val="004808BF"/>
    <w:rsid w:val="0048263A"/>
    <w:rsid w:val="00482D71"/>
    <w:rsid w:val="00487E5D"/>
    <w:rsid w:val="004925DB"/>
    <w:rsid w:val="00493299"/>
    <w:rsid w:val="004970B7"/>
    <w:rsid w:val="004A711F"/>
    <w:rsid w:val="004B1258"/>
    <w:rsid w:val="004B199D"/>
    <w:rsid w:val="004B2522"/>
    <w:rsid w:val="004B4690"/>
    <w:rsid w:val="004B5A95"/>
    <w:rsid w:val="004C2737"/>
    <w:rsid w:val="004E0A2D"/>
    <w:rsid w:val="004E1635"/>
    <w:rsid w:val="004E206B"/>
    <w:rsid w:val="004E3BFA"/>
    <w:rsid w:val="004E4F84"/>
    <w:rsid w:val="004E6DF7"/>
    <w:rsid w:val="004F0FBD"/>
    <w:rsid w:val="004F1636"/>
    <w:rsid w:val="00500A97"/>
    <w:rsid w:val="00501035"/>
    <w:rsid w:val="00503838"/>
    <w:rsid w:val="00505A47"/>
    <w:rsid w:val="00506B22"/>
    <w:rsid w:val="00512FDA"/>
    <w:rsid w:val="00514A1B"/>
    <w:rsid w:val="005151B7"/>
    <w:rsid w:val="00516949"/>
    <w:rsid w:val="00520DA0"/>
    <w:rsid w:val="00523F32"/>
    <w:rsid w:val="00534964"/>
    <w:rsid w:val="005442F1"/>
    <w:rsid w:val="005446E5"/>
    <w:rsid w:val="00544A31"/>
    <w:rsid w:val="005531E9"/>
    <w:rsid w:val="00554BB8"/>
    <w:rsid w:val="0055752B"/>
    <w:rsid w:val="00562158"/>
    <w:rsid w:val="00564ECE"/>
    <w:rsid w:val="005656F5"/>
    <w:rsid w:val="005664BB"/>
    <w:rsid w:val="005709FA"/>
    <w:rsid w:val="00570F1B"/>
    <w:rsid w:val="00572456"/>
    <w:rsid w:val="005747E4"/>
    <w:rsid w:val="0057481D"/>
    <w:rsid w:val="00581DD3"/>
    <w:rsid w:val="00583A53"/>
    <w:rsid w:val="00584278"/>
    <w:rsid w:val="0058486E"/>
    <w:rsid w:val="00587906"/>
    <w:rsid w:val="005909FC"/>
    <w:rsid w:val="00592864"/>
    <w:rsid w:val="00594F3F"/>
    <w:rsid w:val="00596DD2"/>
    <w:rsid w:val="00597E58"/>
    <w:rsid w:val="005A12A3"/>
    <w:rsid w:val="005A25FC"/>
    <w:rsid w:val="005A2E0E"/>
    <w:rsid w:val="005A5E75"/>
    <w:rsid w:val="005A736A"/>
    <w:rsid w:val="005B16D9"/>
    <w:rsid w:val="005B3E61"/>
    <w:rsid w:val="005B47D7"/>
    <w:rsid w:val="005B4CDF"/>
    <w:rsid w:val="005B6A75"/>
    <w:rsid w:val="005B6E32"/>
    <w:rsid w:val="005B7C3D"/>
    <w:rsid w:val="005C76F3"/>
    <w:rsid w:val="005C7FF0"/>
    <w:rsid w:val="005D1C8B"/>
    <w:rsid w:val="005D468C"/>
    <w:rsid w:val="005D5C41"/>
    <w:rsid w:val="005D5CED"/>
    <w:rsid w:val="005E149D"/>
    <w:rsid w:val="005E1F47"/>
    <w:rsid w:val="005E5948"/>
    <w:rsid w:val="005F1A4C"/>
    <w:rsid w:val="005F326C"/>
    <w:rsid w:val="005F6F33"/>
    <w:rsid w:val="00600EED"/>
    <w:rsid w:val="006015E6"/>
    <w:rsid w:val="0060253B"/>
    <w:rsid w:val="00602B36"/>
    <w:rsid w:val="00605207"/>
    <w:rsid w:val="00605688"/>
    <w:rsid w:val="00605D00"/>
    <w:rsid w:val="006070AF"/>
    <w:rsid w:val="00607E6C"/>
    <w:rsid w:val="006101B1"/>
    <w:rsid w:val="006137FC"/>
    <w:rsid w:val="006139AE"/>
    <w:rsid w:val="00614E44"/>
    <w:rsid w:val="00615D71"/>
    <w:rsid w:val="00616FB0"/>
    <w:rsid w:val="00620867"/>
    <w:rsid w:val="00622830"/>
    <w:rsid w:val="006231C7"/>
    <w:rsid w:val="0062537E"/>
    <w:rsid w:val="00625AF4"/>
    <w:rsid w:val="00630AEF"/>
    <w:rsid w:val="006314B4"/>
    <w:rsid w:val="00631564"/>
    <w:rsid w:val="006325F8"/>
    <w:rsid w:val="00634B11"/>
    <w:rsid w:val="00634C9A"/>
    <w:rsid w:val="00637F76"/>
    <w:rsid w:val="00642564"/>
    <w:rsid w:val="00642F95"/>
    <w:rsid w:val="006440E4"/>
    <w:rsid w:val="00645D36"/>
    <w:rsid w:val="00652790"/>
    <w:rsid w:val="00660ADA"/>
    <w:rsid w:val="0066343B"/>
    <w:rsid w:val="00664777"/>
    <w:rsid w:val="00664C43"/>
    <w:rsid w:val="00665D73"/>
    <w:rsid w:val="0066612B"/>
    <w:rsid w:val="00666C63"/>
    <w:rsid w:val="00670C51"/>
    <w:rsid w:val="00673202"/>
    <w:rsid w:val="006748A4"/>
    <w:rsid w:val="00675EF7"/>
    <w:rsid w:val="0067613C"/>
    <w:rsid w:val="00677E81"/>
    <w:rsid w:val="00677EA7"/>
    <w:rsid w:val="00683E73"/>
    <w:rsid w:val="0068561B"/>
    <w:rsid w:val="00690E8C"/>
    <w:rsid w:val="00691DC9"/>
    <w:rsid w:val="0069626D"/>
    <w:rsid w:val="006A094B"/>
    <w:rsid w:val="006A3069"/>
    <w:rsid w:val="006A3141"/>
    <w:rsid w:val="006A5E34"/>
    <w:rsid w:val="006A7B75"/>
    <w:rsid w:val="006B2422"/>
    <w:rsid w:val="006B2B9A"/>
    <w:rsid w:val="006C1937"/>
    <w:rsid w:val="006C3CB2"/>
    <w:rsid w:val="006C44BB"/>
    <w:rsid w:val="006C5A3C"/>
    <w:rsid w:val="006D1647"/>
    <w:rsid w:val="006D5878"/>
    <w:rsid w:val="006D5E0A"/>
    <w:rsid w:val="006D61FC"/>
    <w:rsid w:val="006D684A"/>
    <w:rsid w:val="006E0DD9"/>
    <w:rsid w:val="006E2534"/>
    <w:rsid w:val="006F020C"/>
    <w:rsid w:val="006F5B43"/>
    <w:rsid w:val="006F66EC"/>
    <w:rsid w:val="0070034E"/>
    <w:rsid w:val="007015F2"/>
    <w:rsid w:val="00701F73"/>
    <w:rsid w:val="007023CE"/>
    <w:rsid w:val="00710172"/>
    <w:rsid w:val="00711E24"/>
    <w:rsid w:val="007127B7"/>
    <w:rsid w:val="00716127"/>
    <w:rsid w:val="00721299"/>
    <w:rsid w:val="007260B9"/>
    <w:rsid w:val="007277D9"/>
    <w:rsid w:val="007340D0"/>
    <w:rsid w:val="0073443A"/>
    <w:rsid w:val="00737E7D"/>
    <w:rsid w:val="00740D3C"/>
    <w:rsid w:val="007416B6"/>
    <w:rsid w:val="00746F48"/>
    <w:rsid w:val="00747241"/>
    <w:rsid w:val="00751A5E"/>
    <w:rsid w:val="0075404D"/>
    <w:rsid w:val="00756E3C"/>
    <w:rsid w:val="0076035E"/>
    <w:rsid w:val="0076182A"/>
    <w:rsid w:val="007643A6"/>
    <w:rsid w:val="007675CC"/>
    <w:rsid w:val="00767B7E"/>
    <w:rsid w:val="00771707"/>
    <w:rsid w:val="0077362E"/>
    <w:rsid w:val="007770C3"/>
    <w:rsid w:val="0078090F"/>
    <w:rsid w:val="00784D24"/>
    <w:rsid w:val="00785FBA"/>
    <w:rsid w:val="00786E4A"/>
    <w:rsid w:val="007875EB"/>
    <w:rsid w:val="00791216"/>
    <w:rsid w:val="0079166D"/>
    <w:rsid w:val="0079371D"/>
    <w:rsid w:val="00793D17"/>
    <w:rsid w:val="0079426B"/>
    <w:rsid w:val="007A0587"/>
    <w:rsid w:val="007A4DF7"/>
    <w:rsid w:val="007B0EA3"/>
    <w:rsid w:val="007B31B0"/>
    <w:rsid w:val="007B4514"/>
    <w:rsid w:val="007B4D95"/>
    <w:rsid w:val="007B68AF"/>
    <w:rsid w:val="007B6D69"/>
    <w:rsid w:val="007B7E68"/>
    <w:rsid w:val="007C136A"/>
    <w:rsid w:val="007C2AA6"/>
    <w:rsid w:val="007C32E9"/>
    <w:rsid w:val="007C4196"/>
    <w:rsid w:val="007C5337"/>
    <w:rsid w:val="007C6EE8"/>
    <w:rsid w:val="007D00DB"/>
    <w:rsid w:val="007D312A"/>
    <w:rsid w:val="007D3F19"/>
    <w:rsid w:val="007D4BB8"/>
    <w:rsid w:val="007D530E"/>
    <w:rsid w:val="007D5886"/>
    <w:rsid w:val="007D6CC3"/>
    <w:rsid w:val="007E23B0"/>
    <w:rsid w:val="007E2E07"/>
    <w:rsid w:val="007F1991"/>
    <w:rsid w:val="007F22BA"/>
    <w:rsid w:val="007F266E"/>
    <w:rsid w:val="007F2C2F"/>
    <w:rsid w:val="007F55FC"/>
    <w:rsid w:val="007F5665"/>
    <w:rsid w:val="007F5B4F"/>
    <w:rsid w:val="007F7817"/>
    <w:rsid w:val="00800112"/>
    <w:rsid w:val="00801530"/>
    <w:rsid w:val="00801E70"/>
    <w:rsid w:val="00810B40"/>
    <w:rsid w:val="00816288"/>
    <w:rsid w:val="008224A8"/>
    <w:rsid w:val="0082298D"/>
    <w:rsid w:val="00822D66"/>
    <w:rsid w:val="00824DA2"/>
    <w:rsid w:val="008253BB"/>
    <w:rsid w:val="008271F9"/>
    <w:rsid w:val="008279A2"/>
    <w:rsid w:val="008318D3"/>
    <w:rsid w:val="00832B28"/>
    <w:rsid w:val="00833409"/>
    <w:rsid w:val="0083706E"/>
    <w:rsid w:val="008374A3"/>
    <w:rsid w:val="008423A5"/>
    <w:rsid w:val="00850625"/>
    <w:rsid w:val="00851728"/>
    <w:rsid w:val="00852528"/>
    <w:rsid w:val="00852E08"/>
    <w:rsid w:val="00853718"/>
    <w:rsid w:val="00854C8E"/>
    <w:rsid w:val="00855221"/>
    <w:rsid w:val="00860645"/>
    <w:rsid w:val="00861B65"/>
    <w:rsid w:val="00863E60"/>
    <w:rsid w:val="00864532"/>
    <w:rsid w:val="00866A99"/>
    <w:rsid w:val="00866CA9"/>
    <w:rsid w:val="00871F71"/>
    <w:rsid w:val="008820BF"/>
    <w:rsid w:val="00885AF4"/>
    <w:rsid w:val="008865B3"/>
    <w:rsid w:val="008867E4"/>
    <w:rsid w:val="00890B8D"/>
    <w:rsid w:val="008912C8"/>
    <w:rsid w:val="008939CD"/>
    <w:rsid w:val="00893DE8"/>
    <w:rsid w:val="008965EB"/>
    <w:rsid w:val="008A1E59"/>
    <w:rsid w:val="008A2709"/>
    <w:rsid w:val="008A397D"/>
    <w:rsid w:val="008A58B1"/>
    <w:rsid w:val="008B09E8"/>
    <w:rsid w:val="008B768C"/>
    <w:rsid w:val="008C1CE9"/>
    <w:rsid w:val="008C2992"/>
    <w:rsid w:val="008C4DB1"/>
    <w:rsid w:val="008C4EAF"/>
    <w:rsid w:val="008C5176"/>
    <w:rsid w:val="008C60C5"/>
    <w:rsid w:val="008C6711"/>
    <w:rsid w:val="008C7FD0"/>
    <w:rsid w:val="008D5109"/>
    <w:rsid w:val="008D5462"/>
    <w:rsid w:val="008D689B"/>
    <w:rsid w:val="008D6D16"/>
    <w:rsid w:val="008E1197"/>
    <w:rsid w:val="008E1DE7"/>
    <w:rsid w:val="008E2ECF"/>
    <w:rsid w:val="008E707C"/>
    <w:rsid w:val="008E787E"/>
    <w:rsid w:val="008F1582"/>
    <w:rsid w:val="008F26CF"/>
    <w:rsid w:val="009004F6"/>
    <w:rsid w:val="00900B08"/>
    <w:rsid w:val="00902155"/>
    <w:rsid w:val="00902FA3"/>
    <w:rsid w:val="00904A3E"/>
    <w:rsid w:val="00905EBE"/>
    <w:rsid w:val="009063FC"/>
    <w:rsid w:val="00912733"/>
    <w:rsid w:val="00916D97"/>
    <w:rsid w:val="00916F45"/>
    <w:rsid w:val="00923564"/>
    <w:rsid w:val="0092392E"/>
    <w:rsid w:val="009241B9"/>
    <w:rsid w:val="009315F9"/>
    <w:rsid w:val="009408F7"/>
    <w:rsid w:val="00941E80"/>
    <w:rsid w:val="00945ABC"/>
    <w:rsid w:val="00945DC1"/>
    <w:rsid w:val="00946945"/>
    <w:rsid w:val="00950AA8"/>
    <w:rsid w:val="00951248"/>
    <w:rsid w:val="0095152F"/>
    <w:rsid w:val="00954C49"/>
    <w:rsid w:val="00955F10"/>
    <w:rsid w:val="0095780D"/>
    <w:rsid w:val="0096123C"/>
    <w:rsid w:val="00966503"/>
    <w:rsid w:val="0097099F"/>
    <w:rsid w:val="009715D2"/>
    <w:rsid w:val="00971997"/>
    <w:rsid w:val="00971BD6"/>
    <w:rsid w:val="00971FFC"/>
    <w:rsid w:val="00976678"/>
    <w:rsid w:val="00983628"/>
    <w:rsid w:val="0098660A"/>
    <w:rsid w:val="009869F4"/>
    <w:rsid w:val="009931C3"/>
    <w:rsid w:val="00996166"/>
    <w:rsid w:val="009A5426"/>
    <w:rsid w:val="009B1520"/>
    <w:rsid w:val="009B174A"/>
    <w:rsid w:val="009B2C43"/>
    <w:rsid w:val="009B4EAE"/>
    <w:rsid w:val="009B526E"/>
    <w:rsid w:val="009B5A10"/>
    <w:rsid w:val="009B64FE"/>
    <w:rsid w:val="009B7573"/>
    <w:rsid w:val="009C08D1"/>
    <w:rsid w:val="009C1AC2"/>
    <w:rsid w:val="009C22F4"/>
    <w:rsid w:val="009C2E98"/>
    <w:rsid w:val="009C5C44"/>
    <w:rsid w:val="009D3447"/>
    <w:rsid w:val="009D4711"/>
    <w:rsid w:val="009D7D9C"/>
    <w:rsid w:val="009E107D"/>
    <w:rsid w:val="009E1C44"/>
    <w:rsid w:val="009E5160"/>
    <w:rsid w:val="009E72E3"/>
    <w:rsid w:val="009E7BF5"/>
    <w:rsid w:val="009F07D4"/>
    <w:rsid w:val="009F1185"/>
    <w:rsid w:val="009F18CD"/>
    <w:rsid w:val="009F2399"/>
    <w:rsid w:val="009F2A13"/>
    <w:rsid w:val="009F534C"/>
    <w:rsid w:val="009F5BF5"/>
    <w:rsid w:val="009F6E8B"/>
    <w:rsid w:val="00A037D0"/>
    <w:rsid w:val="00A04EB0"/>
    <w:rsid w:val="00A0731C"/>
    <w:rsid w:val="00A0798E"/>
    <w:rsid w:val="00A112D6"/>
    <w:rsid w:val="00A11602"/>
    <w:rsid w:val="00A125F9"/>
    <w:rsid w:val="00A13CC1"/>
    <w:rsid w:val="00A16847"/>
    <w:rsid w:val="00A22E4F"/>
    <w:rsid w:val="00A237D8"/>
    <w:rsid w:val="00A254B5"/>
    <w:rsid w:val="00A268C4"/>
    <w:rsid w:val="00A27D66"/>
    <w:rsid w:val="00A307CD"/>
    <w:rsid w:val="00A3315D"/>
    <w:rsid w:val="00A36651"/>
    <w:rsid w:val="00A40935"/>
    <w:rsid w:val="00A40A00"/>
    <w:rsid w:val="00A4142F"/>
    <w:rsid w:val="00A445E5"/>
    <w:rsid w:val="00A44FF0"/>
    <w:rsid w:val="00A47D94"/>
    <w:rsid w:val="00A500ED"/>
    <w:rsid w:val="00A51917"/>
    <w:rsid w:val="00A55979"/>
    <w:rsid w:val="00A56DF2"/>
    <w:rsid w:val="00A57642"/>
    <w:rsid w:val="00A600D4"/>
    <w:rsid w:val="00A63522"/>
    <w:rsid w:val="00A65690"/>
    <w:rsid w:val="00A6698E"/>
    <w:rsid w:val="00A674C0"/>
    <w:rsid w:val="00A67AB5"/>
    <w:rsid w:val="00A73576"/>
    <w:rsid w:val="00A73F40"/>
    <w:rsid w:val="00A75418"/>
    <w:rsid w:val="00A8421F"/>
    <w:rsid w:val="00A849F0"/>
    <w:rsid w:val="00A868C2"/>
    <w:rsid w:val="00A91760"/>
    <w:rsid w:val="00A93B00"/>
    <w:rsid w:val="00A93C21"/>
    <w:rsid w:val="00A95757"/>
    <w:rsid w:val="00A95D42"/>
    <w:rsid w:val="00AA767E"/>
    <w:rsid w:val="00AB6192"/>
    <w:rsid w:val="00AC382B"/>
    <w:rsid w:val="00AC3C6A"/>
    <w:rsid w:val="00AC40C6"/>
    <w:rsid w:val="00AD39BE"/>
    <w:rsid w:val="00AD5620"/>
    <w:rsid w:val="00AD7C1B"/>
    <w:rsid w:val="00AE16BA"/>
    <w:rsid w:val="00AE1EBE"/>
    <w:rsid w:val="00AE1F4E"/>
    <w:rsid w:val="00AE6B57"/>
    <w:rsid w:val="00AE700F"/>
    <w:rsid w:val="00AE7455"/>
    <w:rsid w:val="00AF2350"/>
    <w:rsid w:val="00AF6B4C"/>
    <w:rsid w:val="00B00F34"/>
    <w:rsid w:val="00B02F32"/>
    <w:rsid w:val="00B03C9D"/>
    <w:rsid w:val="00B04059"/>
    <w:rsid w:val="00B060AE"/>
    <w:rsid w:val="00B102D4"/>
    <w:rsid w:val="00B10517"/>
    <w:rsid w:val="00B10580"/>
    <w:rsid w:val="00B119BE"/>
    <w:rsid w:val="00B14E76"/>
    <w:rsid w:val="00B161B8"/>
    <w:rsid w:val="00B1693E"/>
    <w:rsid w:val="00B2048C"/>
    <w:rsid w:val="00B21658"/>
    <w:rsid w:val="00B22747"/>
    <w:rsid w:val="00B26122"/>
    <w:rsid w:val="00B262FC"/>
    <w:rsid w:val="00B26894"/>
    <w:rsid w:val="00B27366"/>
    <w:rsid w:val="00B310B9"/>
    <w:rsid w:val="00B34C5F"/>
    <w:rsid w:val="00B3559D"/>
    <w:rsid w:val="00B35F3F"/>
    <w:rsid w:val="00B35F55"/>
    <w:rsid w:val="00B365E3"/>
    <w:rsid w:val="00B36CBB"/>
    <w:rsid w:val="00B36D43"/>
    <w:rsid w:val="00B379B2"/>
    <w:rsid w:val="00B425E0"/>
    <w:rsid w:val="00B43EA3"/>
    <w:rsid w:val="00B440AA"/>
    <w:rsid w:val="00B44B70"/>
    <w:rsid w:val="00B5059D"/>
    <w:rsid w:val="00B53C56"/>
    <w:rsid w:val="00B555C1"/>
    <w:rsid w:val="00B56284"/>
    <w:rsid w:val="00B60821"/>
    <w:rsid w:val="00B62F8F"/>
    <w:rsid w:val="00B647DC"/>
    <w:rsid w:val="00B6527E"/>
    <w:rsid w:val="00B667A1"/>
    <w:rsid w:val="00B73C25"/>
    <w:rsid w:val="00B77EA6"/>
    <w:rsid w:val="00B80E06"/>
    <w:rsid w:val="00B814DD"/>
    <w:rsid w:val="00B81598"/>
    <w:rsid w:val="00B841F1"/>
    <w:rsid w:val="00B90A35"/>
    <w:rsid w:val="00B944D6"/>
    <w:rsid w:val="00BA0068"/>
    <w:rsid w:val="00BA0682"/>
    <w:rsid w:val="00BA110A"/>
    <w:rsid w:val="00BA48C9"/>
    <w:rsid w:val="00BA686B"/>
    <w:rsid w:val="00BB3DA4"/>
    <w:rsid w:val="00BB4DF0"/>
    <w:rsid w:val="00BB7BCB"/>
    <w:rsid w:val="00BC24E4"/>
    <w:rsid w:val="00BC289F"/>
    <w:rsid w:val="00BC5361"/>
    <w:rsid w:val="00BC5460"/>
    <w:rsid w:val="00BC6B50"/>
    <w:rsid w:val="00BD03B0"/>
    <w:rsid w:val="00BD0E25"/>
    <w:rsid w:val="00BD1875"/>
    <w:rsid w:val="00BE2317"/>
    <w:rsid w:val="00BE6EFE"/>
    <w:rsid w:val="00BF3409"/>
    <w:rsid w:val="00BF57C2"/>
    <w:rsid w:val="00BF58FF"/>
    <w:rsid w:val="00BF5BD6"/>
    <w:rsid w:val="00BF5CD0"/>
    <w:rsid w:val="00C00E4A"/>
    <w:rsid w:val="00C03E31"/>
    <w:rsid w:val="00C0476B"/>
    <w:rsid w:val="00C12F55"/>
    <w:rsid w:val="00C15260"/>
    <w:rsid w:val="00C228A4"/>
    <w:rsid w:val="00C2363E"/>
    <w:rsid w:val="00C2377D"/>
    <w:rsid w:val="00C24E9E"/>
    <w:rsid w:val="00C2539C"/>
    <w:rsid w:val="00C303A6"/>
    <w:rsid w:val="00C33E72"/>
    <w:rsid w:val="00C354B2"/>
    <w:rsid w:val="00C35554"/>
    <w:rsid w:val="00C37060"/>
    <w:rsid w:val="00C374D8"/>
    <w:rsid w:val="00C42709"/>
    <w:rsid w:val="00C533CC"/>
    <w:rsid w:val="00C5751C"/>
    <w:rsid w:val="00C57C54"/>
    <w:rsid w:val="00C61BFC"/>
    <w:rsid w:val="00C62B85"/>
    <w:rsid w:val="00C631C6"/>
    <w:rsid w:val="00C65438"/>
    <w:rsid w:val="00C674C0"/>
    <w:rsid w:val="00C73DD3"/>
    <w:rsid w:val="00C74439"/>
    <w:rsid w:val="00C746D1"/>
    <w:rsid w:val="00C7660E"/>
    <w:rsid w:val="00C77EDE"/>
    <w:rsid w:val="00C80276"/>
    <w:rsid w:val="00C8121F"/>
    <w:rsid w:val="00C84188"/>
    <w:rsid w:val="00C85771"/>
    <w:rsid w:val="00C869D5"/>
    <w:rsid w:val="00C91CBB"/>
    <w:rsid w:val="00C949B0"/>
    <w:rsid w:val="00C95B1D"/>
    <w:rsid w:val="00C967AA"/>
    <w:rsid w:val="00CA057D"/>
    <w:rsid w:val="00CA0EDD"/>
    <w:rsid w:val="00CA182D"/>
    <w:rsid w:val="00CA5928"/>
    <w:rsid w:val="00CB0F30"/>
    <w:rsid w:val="00CB5E20"/>
    <w:rsid w:val="00CB63E8"/>
    <w:rsid w:val="00CC09B6"/>
    <w:rsid w:val="00CC4DD0"/>
    <w:rsid w:val="00CC666F"/>
    <w:rsid w:val="00CD1E3F"/>
    <w:rsid w:val="00CD38D3"/>
    <w:rsid w:val="00CD72DA"/>
    <w:rsid w:val="00CE44F6"/>
    <w:rsid w:val="00CE45E7"/>
    <w:rsid w:val="00CE49DA"/>
    <w:rsid w:val="00CE4DFA"/>
    <w:rsid w:val="00CE737D"/>
    <w:rsid w:val="00CE7B61"/>
    <w:rsid w:val="00CE7F7B"/>
    <w:rsid w:val="00CF715D"/>
    <w:rsid w:val="00D00095"/>
    <w:rsid w:val="00D04525"/>
    <w:rsid w:val="00D04C93"/>
    <w:rsid w:val="00D060A5"/>
    <w:rsid w:val="00D1407D"/>
    <w:rsid w:val="00D16577"/>
    <w:rsid w:val="00D16FD2"/>
    <w:rsid w:val="00D17B88"/>
    <w:rsid w:val="00D20620"/>
    <w:rsid w:val="00D20E91"/>
    <w:rsid w:val="00D25A1A"/>
    <w:rsid w:val="00D26091"/>
    <w:rsid w:val="00D276A6"/>
    <w:rsid w:val="00D32FD3"/>
    <w:rsid w:val="00D33130"/>
    <w:rsid w:val="00D3407B"/>
    <w:rsid w:val="00D34913"/>
    <w:rsid w:val="00D34A47"/>
    <w:rsid w:val="00D34E7C"/>
    <w:rsid w:val="00D35489"/>
    <w:rsid w:val="00D35928"/>
    <w:rsid w:val="00D36BF3"/>
    <w:rsid w:val="00D36F63"/>
    <w:rsid w:val="00D37998"/>
    <w:rsid w:val="00D40DA2"/>
    <w:rsid w:val="00D45525"/>
    <w:rsid w:val="00D510CC"/>
    <w:rsid w:val="00D51276"/>
    <w:rsid w:val="00D53BF7"/>
    <w:rsid w:val="00D545EB"/>
    <w:rsid w:val="00D57CC6"/>
    <w:rsid w:val="00D600F7"/>
    <w:rsid w:val="00D6245D"/>
    <w:rsid w:val="00D65FE3"/>
    <w:rsid w:val="00D679EC"/>
    <w:rsid w:val="00D7035F"/>
    <w:rsid w:val="00D82A30"/>
    <w:rsid w:val="00D83992"/>
    <w:rsid w:val="00D86F5C"/>
    <w:rsid w:val="00D901EE"/>
    <w:rsid w:val="00D91116"/>
    <w:rsid w:val="00D92A43"/>
    <w:rsid w:val="00D9393C"/>
    <w:rsid w:val="00DA11EB"/>
    <w:rsid w:val="00DA3121"/>
    <w:rsid w:val="00DA65AC"/>
    <w:rsid w:val="00DA7B63"/>
    <w:rsid w:val="00DB1913"/>
    <w:rsid w:val="00DB358C"/>
    <w:rsid w:val="00DC410D"/>
    <w:rsid w:val="00DC6085"/>
    <w:rsid w:val="00DC68CA"/>
    <w:rsid w:val="00DC7CBA"/>
    <w:rsid w:val="00DD10CC"/>
    <w:rsid w:val="00DD1B66"/>
    <w:rsid w:val="00DD5EE2"/>
    <w:rsid w:val="00DD73B7"/>
    <w:rsid w:val="00DE05DB"/>
    <w:rsid w:val="00DE0E61"/>
    <w:rsid w:val="00DE13A5"/>
    <w:rsid w:val="00DE2798"/>
    <w:rsid w:val="00DE2EFF"/>
    <w:rsid w:val="00DE6E05"/>
    <w:rsid w:val="00DE6E0B"/>
    <w:rsid w:val="00DE7D19"/>
    <w:rsid w:val="00DF2180"/>
    <w:rsid w:val="00DF28BC"/>
    <w:rsid w:val="00DF2CF1"/>
    <w:rsid w:val="00DF34B9"/>
    <w:rsid w:val="00E01053"/>
    <w:rsid w:val="00E06116"/>
    <w:rsid w:val="00E064B2"/>
    <w:rsid w:val="00E06DE5"/>
    <w:rsid w:val="00E07ACF"/>
    <w:rsid w:val="00E07DD2"/>
    <w:rsid w:val="00E11E7F"/>
    <w:rsid w:val="00E121F8"/>
    <w:rsid w:val="00E17722"/>
    <w:rsid w:val="00E20D1A"/>
    <w:rsid w:val="00E2101C"/>
    <w:rsid w:val="00E23DCA"/>
    <w:rsid w:val="00E331A1"/>
    <w:rsid w:val="00E33202"/>
    <w:rsid w:val="00E336A9"/>
    <w:rsid w:val="00E36641"/>
    <w:rsid w:val="00E43314"/>
    <w:rsid w:val="00E50624"/>
    <w:rsid w:val="00E54ADD"/>
    <w:rsid w:val="00E55B85"/>
    <w:rsid w:val="00E55BE5"/>
    <w:rsid w:val="00E5678A"/>
    <w:rsid w:val="00E568DF"/>
    <w:rsid w:val="00E616BF"/>
    <w:rsid w:val="00E62959"/>
    <w:rsid w:val="00E640AF"/>
    <w:rsid w:val="00E64269"/>
    <w:rsid w:val="00E82267"/>
    <w:rsid w:val="00E84C6A"/>
    <w:rsid w:val="00E946A6"/>
    <w:rsid w:val="00E959BC"/>
    <w:rsid w:val="00EA010F"/>
    <w:rsid w:val="00EB385A"/>
    <w:rsid w:val="00EB7A9A"/>
    <w:rsid w:val="00ED1B63"/>
    <w:rsid w:val="00ED2FCE"/>
    <w:rsid w:val="00ED3C1F"/>
    <w:rsid w:val="00ED4085"/>
    <w:rsid w:val="00ED420E"/>
    <w:rsid w:val="00ED5FB3"/>
    <w:rsid w:val="00ED6953"/>
    <w:rsid w:val="00ED785C"/>
    <w:rsid w:val="00EE2DE0"/>
    <w:rsid w:val="00EE2F57"/>
    <w:rsid w:val="00EE50FF"/>
    <w:rsid w:val="00EE6A5C"/>
    <w:rsid w:val="00EE770D"/>
    <w:rsid w:val="00EF3442"/>
    <w:rsid w:val="00EF4C34"/>
    <w:rsid w:val="00EF77C6"/>
    <w:rsid w:val="00F02197"/>
    <w:rsid w:val="00F03241"/>
    <w:rsid w:val="00F043DD"/>
    <w:rsid w:val="00F04BD8"/>
    <w:rsid w:val="00F05438"/>
    <w:rsid w:val="00F10DBA"/>
    <w:rsid w:val="00F1361C"/>
    <w:rsid w:val="00F15761"/>
    <w:rsid w:val="00F15EEC"/>
    <w:rsid w:val="00F160C7"/>
    <w:rsid w:val="00F17AFB"/>
    <w:rsid w:val="00F20BFA"/>
    <w:rsid w:val="00F2221A"/>
    <w:rsid w:val="00F226AB"/>
    <w:rsid w:val="00F2397B"/>
    <w:rsid w:val="00F253B2"/>
    <w:rsid w:val="00F3027F"/>
    <w:rsid w:val="00F36D8F"/>
    <w:rsid w:val="00F417B1"/>
    <w:rsid w:val="00F425F2"/>
    <w:rsid w:val="00F4579E"/>
    <w:rsid w:val="00F5462C"/>
    <w:rsid w:val="00F563F6"/>
    <w:rsid w:val="00F57769"/>
    <w:rsid w:val="00F602DF"/>
    <w:rsid w:val="00F620F8"/>
    <w:rsid w:val="00F62DFF"/>
    <w:rsid w:val="00F646AA"/>
    <w:rsid w:val="00F81FD9"/>
    <w:rsid w:val="00F841AA"/>
    <w:rsid w:val="00F855F7"/>
    <w:rsid w:val="00F86564"/>
    <w:rsid w:val="00F959E9"/>
    <w:rsid w:val="00F96335"/>
    <w:rsid w:val="00FA23E8"/>
    <w:rsid w:val="00FA333A"/>
    <w:rsid w:val="00FA3557"/>
    <w:rsid w:val="00FA4252"/>
    <w:rsid w:val="00FA5282"/>
    <w:rsid w:val="00FA5A5B"/>
    <w:rsid w:val="00FB372C"/>
    <w:rsid w:val="00FB5764"/>
    <w:rsid w:val="00FB7F4A"/>
    <w:rsid w:val="00FC439D"/>
    <w:rsid w:val="00FC7F1F"/>
    <w:rsid w:val="00FD3CC1"/>
    <w:rsid w:val="00FD68E3"/>
    <w:rsid w:val="00FD7C0C"/>
    <w:rsid w:val="00FD7DBC"/>
    <w:rsid w:val="00FE65AD"/>
    <w:rsid w:val="00FF0500"/>
    <w:rsid w:val="00FF1E02"/>
    <w:rsid w:val="00FF30B4"/>
    <w:rsid w:val="00FF338F"/>
    <w:rsid w:val="00FF3C65"/>
    <w:rsid w:val="00FF5E2A"/>
    <w:rsid w:val="00FF7000"/>
    <w:rsid w:val="01EA3F3E"/>
    <w:rsid w:val="04317AB6"/>
    <w:rsid w:val="047D654F"/>
    <w:rsid w:val="08726605"/>
    <w:rsid w:val="0BBF0531"/>
    <w:rsid w:val="0E1C725C"/>
    <w:rsid w:val="0ED62A80"/>
    <w:rsid w:val="10C055FF"/>
    <w:rsid w:val="10F529AD"/>
    <w:rsid w:val="11B62762"/>
    <w:rsid w:val="128C0123"/>
    <w:rsid w:val="12C13CD2"/>
    <w:rsid w:val="12DF0705"/>
    <w:rsid w:val="12ED57DC"/>
    <w:rsid w:val="15FE2EFE"/>
    <w:rsid w:val="16BB723D"/>
    <w:rsid w:val="190651AD"/>
    <w:rsid w:val="19C05F60"/>
    <w:rsid w:val="1EB15BA7"/>
    <w:rsid w:val="1EBE66F8"/>
    <w:rsid w:val="22223BB6"/>
    <w:rsid w:val="23AE2BCF"/>
    <w:rsid w:val="240371BF"/>
    <w:rsid w:val="25B46BBD"/>
    <w:rsid w:val="269D6674"/>
    <w:rsid w:val="29FD04D3"/>
    <w:rsid w:val="2B0548FC"/>
    <w:rsid w:val="2E4854DA"/>
    <w:rsid w:val="319F7F4E"/>
    <w:rsid w:val="34B072A3"/>
    <w:rsid w:val="366165E2"/>
    <w:rsid w:val="3ABF06FE"/>
    <w:rsid w:val="3C13635F"/>
    <w:rsid w:val="3C776A2D"/>
    <w:rsid w:val="3EB079F2"/>
    <w:rsid w:val="409551ED"/>
    <w:rsid w:val="41D977C0"/>
    <w:rsid w:val="42FA6E88"/>
    <w:rsid w:val="453E098F"/>
    <w:rsid w:val="45C91081"/>
    <w:rsid w:val="4A5E2656"/>
    <w:rsid w:val="4ACD3623"/>
    <w:rsid w:val="4B9675F5"/>
    <w:rsid w:val="524B64EE"/>
    <w:rsid w:val="541E50EC"/>
    <w:rsid w:val="55846BFF"/>
    <w:rsid w:val="55F16A65"/>
    <w:rsid w:val="5B2E1037"/>
    <w:rsid w:val="5E6D6A27"/>
    <w:rsid w:val="60365CFC"/>
    <w:rsid w:val="627D2080"/>
    <w:rsid w:val="6B7F3207"/>
    <w:rsid w:val="6D7E6B82"/>
    <w:rsid w:val="70D35E58"/>
    <w:rsid w:val="75282356"/>
    <w:rsid w:val="767840B9"/>
    <w:rsid w:val="76F56BFF"/>
    <w:rsid w:val="7DB146BC"/>
    <w:rsid w:val="7F902EC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2">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3">
    <w:name w:val="Strong"/>
    <w:basedOn w:val="12"/>
    <w:qFormat/>
    <w:uiPriority w:val="99"/>
    <w:rPr>
      <w:b/>
    </w:rPr>
  </w:style>
  <w:style w:type="character" w:styleId="14">
    <w:name w:val="Hyperlink"/>
    <w:basedOn w:val="12"/>
    <w:unhideWhenUsed/>
    <w:qFormat/>
    <w:uiPriority w:val="99"/>
    <w:rPr>
      <w:color w:val="0000FF" w:themeColor="hyperlink"/>
      <w:u w:val="single"/>
    </w:rPr>
  </w:style>
  <w:style w:type="character" w:customStyle="1" w:styleId="16">
    <w:name w:val="Header Char"/>
    <w:basedOn w:val="12"/>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2"/>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2"/>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列出段落1"/>
    <w:basedOn w:val="1"/>
    <w:qFormat/>
    <w:uiPriority w:val="34"/>
    <w:pPr>
      <w:ind w:firstLine="420" w:firstLineChars="200"/>
    </w:pPr>
  </w:style>
  <w:style w:type="character" w:customStyle="1" w:styleId="24">
    <w:name w:val="标题 1 Char"/>
    <w:basedOn w:val="12"/>
    <w:link w:val="2"/>
    <w:qFormat/>
    <w:uiPriority w:val="9"/>
    <w:rPr>
      <w:rFonts w:ascii="Times New Roman" w:hAnsi="Times New Roman"/>
      <w:b/>
      <w:bCs/>
      <w:kern w:val="44"/>
      <w:sz w:val="44"/>
      <w:szCs w:val="44"/>
    </w:rPr>
  </w:style>
  <w:style w:type="character" w:customStyle="1" w:styleId="25">
    <w:name w:val="标题 2 Char"/>
    <w:basedOn w:val="12"/>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2"/>
    <w:link w:val="7"/>
    <w:semiHidden/>
    <w:qFormat/>
    <w:uiPriority w:val="99"/>
    <w:rPr>
      <w:rFonts w:ascii="Times New Roman" w:hAnsi="Times New Roman"/>
      <w:kern w:val="2"/>
      <w:sz w:val="18"/>
      <w:szCs w:val="18"/>
    </w:rPr>
  </w:style>
  <w:style w:type="character" w:customStyle="1" w:styleId="28">
    <w:name w:val="标题 3 Char"/>
    <w:basedOn w:val="12"/>
    <w:link w:val="4"/>
    <w:qFormat/>
    <w:uiPriority w:val="9"/>
    <w:rPr>
      <w:rFonts w:ascii="Times New Roman" w:hAnsi="Times New Roman"/>
      <w:b/>
      <w:bCs/>
      <w:kern w:val="2"/>
      <w:sz w:val="32"/>
      <w:szCs w:val="32"/>
    </w:rPr>
  </w:style>
  <w:style w:type="paragraph" w:styleId="2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收、支决算总计变动情况图</a:t>
            </a:r>
            <a:endParaRPr lang="en-US" altLang="zh-CN" sz="1400" b="0" i="0" u="none" strike="noStrike" baseline="0">
              <a:effectLst/>
            </a:endParaRPr>
          </a:p>
        </c:rich>
      </c:tx>
      <c:layout>
        <c:manualLayout>
          <c:xMode val="edge"/>
          <c:yMode val="edge"/>
          <c:x val="0.307368167589695"/>
          <c:y val="0.024767801857585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收入(万元）</c:v>
                </c:pt>
                <c:pt idx="1">
                  <c:v>支出（万元）</c:v>
                </c:pt>
              </c:strCache>
            </c:strRef>
          </c:cat>
          <c:val>
            <c:numRef>
              <c:f>Sheet1!$B$2:$B$3</c:f>
              <c:numCache>
                <c:formatCode>General</c:formatCode>
                <c:ptCount val="2"/>
                <c:pt idx="0">
                  <c:v>361.31</c:v>
                </c:pt>
                <c:pt idx="1">
                  <c:v>365.37</c:v>
                </c:pt>
              </c:numCache>
            </c:numRef>
          </c:val>
        </c:ser>
        <c:ser>
          <c:idx val="1"/>
          <c:order val="1"/>
          <c:tx>
            <c:strRef>
              <c:f>Sheet1!$C$1</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收入(万元）</c:v>
                </c:pt>
                <c:pt idx="1">
                  <c:v>支出（万元）</c:v>
                </c:pt>
              </c:strCache>
            </c:strRef>
          </c:cat>
          <c:val>
            <c:numRef>
              <c:f>Sheet1!$C$2:$C$3</c:f>
              <c:numCache>
                <c:formatCode>General</c:formatCode>
                <c:ptCount val="2"/>
                <c:pt idx="0">
                  <c:v>374.429999999999</c:v>
                </c:pt>
                <c:pt idx="1">
                  <c:v>416.489999999999</c:v>
                </c:pt>
              </c:numCache>
            </c:numRef>
          </c:val>
        </c:ser>
        <c:dLbls>
          <c:showLegendKey val="0"/>
          <c:showVal val="1"/>
          <c:showCatName val="0"/>
          <c:showSerName val="0"/>
          <c:showPercent val="0"/>
          <c:showBubbleSize val="0"/>
        </c:dLbls>
        <c:gapWidth val="219"/>
        <c:overlap val="-27"/>
        <c:axId val="117307264"/>
        <c:axId val="117308800"/>
      </c:barChart>
      <c:catAx>
        <c:axId val="11730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308800"/>
        <c:crosses val="autoZero"/>
        <c:auto val="1"/>
        <c:lblAlgn val="ctr"/>
        <c:lblOffset val="100"/>
        <c:noMultiLvlLbl val="0"/>
      </c:catAx>
      <c:valAx>
        <c:axId val="1173088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307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0%</c:formatCode>
                <c:ptCount val="7"/>
                <c:pt idx="0">
                  <c:v>1</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0.8435</c:v>
                </c:pt>
                <c:pt idx="1">
                  <c:v>0.1565</c:v>
                </c:pt>
                <c:pt idx="2" c:formatCode="0%">
                  <c:v>0</c:v>
                </c:pt>
                <c:pt idx="3" c:formatCode="0%">
                  <c:v>0</c:v>
                </c:pt>
                <c:pt idx="4" c:formatCode="0%">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收、支决算总计变动情况图</a:t>
            </a:r>
            <a:endParaRPr lang="en-US" altLang="zh-CN" sz="1400" b="0" i="0" u="none" strike="noStrike" baseline="0">
              <a:effectLst/>
            </a:endParaRPr>
          </a:p>
        </c:rich>
      </c:tx>
      <c:layout>
        <c:manualLayout>
          <c:xMode val="edge"/>
          <c:yMode val="edge"/>
          <c:x val="0.307368167589695"/>
          <c:y val="0.024767801857585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2017年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财政拨款收入(万元）</c:v>
                </c:pt>
                <c:pt idx="1">
                  <c:v>财政拨款支出（万元）</c:v>
                </c:pt>
              </c:strCache>
            </c:strRef>
          </c:cat>
          <c:val>
            <c:numRef>
              <c:f>Sheet1!$B$2:$B$3</c:f>
              <c:numCache>
                <c:formatCode>General</c:formatCode>
                <c:ptCount val="2"/>
                <c:pt idx="0">
                  <c:v>361.31</c:v>
                </c:pt>
                <c:pt idx="1">
                  <c:v>365.37</c:v>
                </c:pt>
              </c:numCache>
            </c:numRef>
          </c:val>
        </c:ser>
        <c:ser>
          <c:idx val="1"/>
          <c:order val="1"/>
          <c:tx>
            <c:strRef>
              <c:f>Sheet1!$C$1</c:f>
              <c:strCache>
                <c:ptCount val="1"/>
                <c:pt idx="0">
                  <c:v>2018年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财政拨款收入(万元）</c:v>
                </c:pt>
                <c:pt idx="1">
                  <c:v>财政拨款支出（万元）</c:v>
                </c:pt>
              </c:strCache>
            </c:strRef>
          </c:cat>
          <c:val>
            <c:numRef>
              <c:f>Sheet1!$C$2:$C$3</c:f>
              <c:numCache>
                <c:formatCode>General</c:formatCode>
                <c:ptCount val="2"/>
                <c:pt idx="0">
                  <c:v>374.429999999999</c:v>
                </c:pt>
                <c:pt idx="1">
                  <c:v>416.489999999999</c:v>
                </c:pt>
              </c:numCache>
            </c:numRef>
          </c:val>
        </c:ser>
        <c:dLbls>
          <c:showLegendKey val="0"/>
          <c:showVal val="1"/>
          <c:showCatName val="0"/>
          <c:showSerName val="0"/>
          <c:showPercent val="0"/>
          <c:showBubbleSize val="0"/>
        </c:dLbls>
        <c:gapWidth val="219"/>
        <c:overlap val="-27"/>
        <c:axId val="134094848"/>
        <c:axId val="134096384"/>
      </c:barChart>
      <c:catAx>
        <c:axId val="13409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096384"/>
        <c:crosses val="autoZero"/>
        <c:auto val="1"/>
        <c:lblAlgn val="ctr"/>
        <c:lblOffset val="100"/>
        <c:noMultiLvlLbl val="0"/>
      </c:catAx>
      <c:valAx>
        <c:axId val="1340963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094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一般公共预算财政拨款支出决算变动情况</a:t>
            </a:r>
            <a:endParaRPr lang="zh-CN" altLang="en-US"/>
          </a:p>
        </c:rich>
      </c:tx>
      <c:layout>
        <c:manualLayout>
          <c:xMode val="edge"/>
          <c:yMode val="edge"/>
          <c:x val="0.190946303876716"/>
          <c:y val="0.024767801857585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一般公共预算拨款支出（万元）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0">
                  <c:v>2017年</c:v>
                </c:pt>
                <c:pt idx="1">
                  <c:v>2018年</c:v>
                </c:pt>
              </c:strCache>
            </c:strRef>
          </c:cat>
          <c:val>
            <c:numRef>
              <c:f>Sheet1!$B$2:$B$5</c:f>
              <c:numCache>
                <c:formatCode>General</c:formatCode>
                <c:ptCount val="4"/>
                <c:pt idx="0">
                  <c:v>365.37</c:v>
                </c:pt>
                <c:pt idx="1">
                  <c:v>416.48</c:v>
                </c:pt>
              </c:numCache>
            </c:numRef>
          </c:val>
        </c:ser>
        <c:dLbls>
          <c:showLegendKey val="0"/>
          <c:showVal val="1"/>
          <c:showCatName val="0"/>
          <c:showSerName val="0"/>
          <c:showPercent val="0"/>
          <c:showBubbleSize val="0"/>
        </c:dLbls>
        <c:gapWidth val="219"/>
        <c:overlap val="-27"/>
        <c:axId val="134137344"/>
        <c:axId val="134138880"/>
      </c:barChart>
      <c:catAx>
        <c:axId val="13413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138880"/>
        <c:crosses val="autoZero"/>
        <c:auto val="1"/>
        <c:lblAlgn val="ctr"/>
        <c:lblOffset val="100"/>
        <c:noMultiLvlLbl val="0"/>
      </c:catAx>
      <c:valAx>
        <c:axId val="1341388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1373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公共安全支出</c:v>
                </c:pt>
                <c:pt idx="1">
                  <c:v>社会保障和就业</c:v>
                </c:pt>
                <c:pt idx="2">
                  <c:v>医疗卫生支出</c:v>
                </c:pt>
                <c:pt idx="3">
                  <c:v>节能环保支出</c:v>
                </c:pt>
                <c:pt idx="4">
                  <c:v>农林水支出</c:v>
                </c:pt>
              </c:strCache>
            </c:strRef>
          </c:cat>
          <c:val>
            <c:numRef>
              <c:f>Sheet1!$B$2:$B$5</c:f>
              <c:numCache>
                <c:formatCode>0.00%</c:formatCode>
                <c:ptCount val="4"/>
                <c:pt idx="0">
                  <c:v>0.6961</c:v>
                </c:pt>
                <c:pt idx="1">
                  <c:v>0.1607</c:v>
                </c:pt>
                <c:pt idx="2">
                  <c:v>0.0265</c:v>
                </c:pt>
                <c:pt idx="3">
                  <c:v>0.0048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1695507384567"/>
          <c:y val="0.0330852778178102"/>
        </c:manualLayout>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“三公”经费财政拨款支出结构图(万元）</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0%</c:formatCode>
                <c:ptCount val="4"/>
                <c:pt idx="0">
                  <c:v>0</c:v>
                </c:pt>
                <c:pt idx="1" c:formatCode="0.00%">
                  <c:v>0.927900000000001</c:v>
                </c:pt>
                <c:pt idx="2" c:formatCode="0.00%">
                  <c:v>0.0721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D1B6C-96AB-4D16-A8D0-9E88C3B0C46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15047</Words>
  <Characters>3883</Characters>
  <Lines>32</Lines>
  <Paragraphs>37</Paragraphs>
  <ScaleCrop>false</ScaleCrop>
  <LinksUpToDate>false</LinksUpToDate>
  <CharactersWithSpaces>18893</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2019-08-28T09:24:13Z</dcterms:modified>
  <dc:title>四川省***</dc:title>
  <cp:revision>729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