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outlineLvl w:val="9"/>
        <w:rPr>
          <w:rFonts w:hint="eastAsia" w:ascii="方正小标宋简体" w:hAnsi="方正小标宋简体" w:eastAsia="方正小标宋简体" w:cs="方正小标宋简体"/>
          <w:sz w:val="72"/>
          <w:szCs w:val="72"/>
        </w:rPr>
      </w:pPr>
      <w:bookmarkStart w:id="0" w:name="_Toc10129"/>
      <w:bookmarkStart w:id="1" w:name="_Toc13691"/>
      <w:bookmarkStart w:id="2" w:name="_Toc30431"/>
      <w:bookmarkStart w:id="3" w:name="_Toc11233"/>
      <w:bookmarkStart w:id="4" w:name="_Toc17558"/>
      <w:bookmarkStart w:id="5" w:name="_Toc31250"/>
    </w:p>
    <w:p>
      <w:pPr>
        <w:adjustRightInd w:val="0"/>
        <w:snapToGrid w:val="0"/>
        <w:spacing w:line="360" w:lineRule="auto"/>
        <w:jc w:val="center"/>
        <w:outlineLvl w:val="9"/>
        <w:rPr>
          <w:rFonts w:hint="eastAsia" w:ascii="方正小标宋简体" w:hAnsi="方正小标宋简体" w:eastAsia="方正小标宋简体" w:cs="方正小标宋简体"/>
          <w:sz w:val="72"/>
          <w:szCs w:val="72"/>
        </w:rPr>
      </w:pPr>
    </w:p>
    <w:p>
      <w:pPr>
        <w:adjustRightInd w:val="0"/>
        <w:snapToGrid w:val="0"/>
        <w:spacing w:line="360" w:lineRule="auto"/>
        <w:ind w:firstLine="2160" w:firstLineChars="300"/>
        <w:jc w:val="both"/>
        <w:outlineLvl w:val="0"/>
        <w:rPr>
          <w:rFonts w:ascii="方正小标宋简体" w:hAnsi="方正小标宋简体" w:eastAsia="方正小标宋简体" w:cs="方正小标宋简体"/>
          <w:sz w:val="72"/>
          <w:szCs w:val="72"/>
        </w:rPr>
      </w:pPr>
      <w:bookmarkStart w:id="6" w:name="_Toc7468"/>
      <w:r>
        <w:rPr>
          <w:rFonts w:hint="eastAsia" w:ascii="方正小标宋简体" w:hAnsi="方正小标宋简体" w:eastAsia="方正小标宋简体" w:cs="方正小标宋简体"/>
          <w:sz w:val="72"/>
          <w:szCs w:val="72"/>
        </w:rPr>
        <w:t>202</w:t>
      </w:r>
      <w:r>
        <w:rPr>
          <w:rFonts w:hint="eastAsia" w:ascii="方正小标宋简体" w:hAnsi="方正小标宋简体" w:eastAsia="方正小标宋简体" w:cs="方正小标宋简体"/>
          <w:sz w:val="72"/>
          <w:szCs w:val="72"/>
          <w:lang w:val="en-US" w:eastAsia="zh-CN"/>
        </w:rPr>
        <w:t>5</w:t>
      </w:r>
      <w:r>
        <w:rPr>
          <w:rFonts w:hint="eastAsia" w:ascii="方正小标宋简体" w:hAnsi="方正小标宋简体" w:eastAsia="方正小标宋简体" w:cs="方正小标宋简体"/>
          <w:sz w:val="72"/>
          <w:szCs w:val="72"/>
        </w:rPr>
        <w:t>年度</w:t>
      </w:r>
      <w:bookmarkEnd w:id="0"/>
      <w:bookmarkEnd w:id="1"/>
      <w:bookmarkEnd w:id="2"/>
      <w:bookmarkEnd w:id="3"/>
      <w:bookmarkEnd w:id="4"/>
      <w:bookmarkEnd w:id="5"/>
      <w:bookmarkEnd w:id="6"/>
    </w:p>
    <w:p>
      <w:pPr>
        <w:widowControl/>
        <w:jc w:val="center"/>
        <w:rPr>
          <w:rFonts w:hint="eastAsia" w:ascii="方正小标宋简体" w:hAnsi="方正小标宋简体" w:eastAsia="方正小标宋简体" w:cs="方正小标宋简体"/>
          <w:sz w:val="72"/>
          <w:szCs w:val="72"/>
        </w:rPr>
      </w:pPr>
      <w:bookmarkStart w:id="7" w:name="_Toc7275"/>
      <w:bookmarkStart w:id="8" w:name="_Toc18312"/>
      <w:bookmarkStart w:id="9" w:name="_Toc15378442"/>
      <w:bookmarkStart w:id="10" w:name="_Toc9387"/>
      <w:bookmarkStart w:id="11" w:name="_Toc15377426"/>
      <w:bookmarkStart w:id="12" w:name="_Toc15377194"/>
      <w:bookmarkStart w:id="13" w:name="_Toc29595"/>
      <w:bookmarkStart w:id="14" w:name="_Toc15396598"/>
      <w:bookmarkStart w:id="15" w:name="_Toc10026"/>
      <w:bookmarkStart w:id="16" w:name="_Toc15396476"/>
      <w:bookmarkStart w:id="17" w:name="_Toc4704"/>
      <w:r>
        <w:rPr>
          <w:rFonts w:hint="eastAsia" w:ascii="方正小标宋简体" w:hAnsi="方正小标宋简体" w:eastAsia="方正小标宋简体" w:cs="方正小标宋简体"/>
          <w:sz w:val="72"/>
          <w:szCs w:val="72"/>
        </w:rPr>
        <w:t>四川省</w:t>
      </w:r>
      <w:bookmarkStart w:id="18" w:name="_Toc15306268"/>
      <w:r>
        <w:rPr>
          <w:rFonts w:hint="eastAsia" w:ascii="方正小标宋简体" w:hAnsi="方正小标宋简体" w:eastAsia="方正小标宋简体" w:cs="方正小标宋简体"/>
          <w:sz w:val="72"/>
          <w:szCs w:val="72"/>
          <w:lang w:val="en-US" w:eastAsia="zh-CN"/>
        </w:rPr>
        <w:t>阿坝州红原县政协</w:t>
      </w:r>
      <w:r>
        <w:rPr>
          <w:rFonts w:hint="eastAsia" w:ascii="方正小标宋简体" w:hAnsi="方正小标宋简体" w:eastAsia="方正小标宋简体" w:cs="方正小标宋简体"/>
          <w:sz w:val="72"/>
          <w:szCs w:val="72"/>
        </w:rPr>
        <w:t>部门决算</w:t>
      </w:r>
      <w:bookmarkEnd w:id="7"/>
      <w:bookmarkEnd w:id="8"/>
      <w:bookmarkEnd w:id="9"/>
      <w:bookmarkEnd w:id="10"/>
      <w:bookmarkEnd w:id="11"/>
      <w:bookmarkEnd w:id="12"/>
      <w:bookmarkEnd w:id="13"/>
      <w:bookmarkEnd w:id="14"/>
      <w:bookmarkEnd w:id="15"/>
      <w:bookmarkEnd w:id="16"/>
      <w:bookmarkEnd w:id="17"/>
      <w:bookmarkEnd w:id="18"/>
    </w:p>
    <w:p>
      <w:pPr>
        <w:widowControl/>
        <w:jc w:val="center"/>
        <w:rPr>
          <w:rFonts w:hint="eastAsia" w:ascii="方正小标宋简体" w:hAnsi="方正小标宋简体" w:eastAsia="方正小标宋简体" w:cs="方正小标宋简体"/>
          <w:sz w:val="72"/>
          <w:szCs w:val="72"/>
        </w:rPr>
      </w:pPr>
    </w:p>
    <w:p>
      <w:pPr>
        <w:widowControl/>
        <w:jc w:val="center"/>
        <w:rPr>
          <w:rFonts w:hint="eastAsia" w:ascii="方正小标宋简体" w:hAnsi="方正小标宋简体" w:eastAsia="方正小标宋简体" w:cs="方正小标宋简体"/>
          <w:sz w:val="72"/>
          <w:szCs w:val="72"/>
        </w:rPr>
      </w:pPr>
    </w:p>
    <w:p>
      <w:pPr>
        <w:widowControl/>
        <w:jc w:val="center"/>
        <w:rPr>
          <w:rFonts w:hint="eastAsia" w:ascii="方正小标宋简体" w:hAnsi="方正小标宋简体" w:eastAsia="方正小标宋简体" w:cs="方正小标宋简体"/>
          <w:sz w:val="72"/>
          <w:szCs w:val="72"/>
        </w:rPr>
      </w:pPr>
    </w:p>
    <w:p>
      <w:pPr>
        <w:widowControl/>
        <w:jc w:val="both"/>
        <w:rPr>
          <w:rFonts w:hint="eastAsia" w:ascii="方正小标宋简体" w:hAnsi="方正小标宋简体" w:eastAsia="方正小标宋简体" w:cs="方正小标宋简体"/>
          <w:sz w:val="32"/>
          <w:szCs w:val="32"/>
        </w:rPr>
      </w:pPr>
    </w:p>
    <w:p>
      <w:pPr>
        <w:pStyle w:val="2"/>
        <w:rPr>
          <w:rFonts w:hint="eastAsia" w:ascii="方正小标宋简体" w:hAnsi="方正小标宋简体" w:eastAsia="方正小标宋简体" w:cs="方正小标宋简体"/>
          <w:sz w:val="32"/>
          <w:szCs w:val="32"/>
        </w:rPr>
      </w:pPr>
    </w:p>
    <w:p>
      <w:pPr>
        <w:rPr>
          <w:rFonts w:hint="eastAsia"/>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保密审查情况：已审查，内容审定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黑体"/>
          <w:color w:val="auto"/>
          <w:sz w:val="48"/>
          <w:szCs w:val="48"/>
          <w:highlight w:val="none"/>
        </w:rPr>
      </w:pPr>
      <w:r>
        <w:rPr>
          <w:rFonts w:hint="eastAsia" w:asciiTheme="minorEastAsia" w:hAnsiTheme="minorEastAsia" w:eastAsiaTheme="minorEastAsia" w:cstheme="minorEastAsia"/>
          <w:sz w:val="24"/>
          <w:szCs w:val="24"/>
          <w:lang w:val="en-US" w:eastAsia="zh-CN"/>
        </w:rPr>
        <w:t>部门主要负责人审签情况：已审签，同意对外公开</w:t>
      </w:r>
    </w:p>
    <w:sdt>
      <w:sdtPr>
        <w:rPr>
          <w:rFonts w:ascii="宋体" w:hAnsi="宋体" w:eastAsia="宋体" w:cs="Times New Roman"/>
          <w:b/>
          <w:bCs/>
          <w:kern w:val="2"/>
          <w:sz w:val="48"/>
          <w:szCs w:val="48"/>
          <w:lang w:val="en-US" w:eastAsia="zh-CN" w:bidi="ar-SA"/>
        </w:rPr>
        <w:id w:val="147475645"/>
        <w15:color w:val="DBDBDB"/>
        <w:docPartObj>
          <w:docPartGallery w:val="Table of Contents"/>
          <w:docPartUnique/>
        </w:docPartObj>
      </w:sdtPr>
      <w:sdtEndPr>
        <w:rPr>
          <w:rFonts w:ascii="宋体" w:hAnsi="宋体" w:eastAsia="宋体" w:cs="Times New Roman"/>
          <w:b/>
          <w:bCs/>
          <w:kern w:val="2"/>
          <w:sz w:val="48"/>
          <w:szCs w:val="48"/>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b/>
              <w:bCs/>
              <w:sz w:val="48"/>
              <w:szCs w:val="48"/>
            </w:rPr>
          </w:pPr>
          <w:r>
            <w:rPr>
              <w:rFonts w:ascii="宋体" w:hAnsi="宋体" w:eastAsia="宋体"/>
              <w:b/>
              <w:bCs/>
              <w:sz w:val="48"/>
              <w:szCs w:val="48"/>
            </w:rPr>
            <w:t>目</w:t>
          </w:r>
          <w:r>
            <w:rPr>
              <w:rFonts w:hint="eastAsia" w:ascii="宋体" w:hAnsi="宋体" w:eastAsia="宋体"/>
              <w:b/>
              <w:bCs/>
              <w:sz w:val="48"/>
              <w:szCs w:val="48"/>
              <w:lang w:val="en-US" w:eastAsia="zh-CN"/>
            </w:rPr>
            <w:t xml:space="preserve">  </w:t>
          </w:r>
          <w:r>
            <w:rPr>
              <w:rFonts w:ascii="宋体" w:hAnsi="宋体" w:eastAsia="宋体"/>
              <w:b/>
              <w:bCs/>
              <w:sz w:val="48"/>
              <w:szCs w:val="48"/>
            </w:rPr>
            <w:t>录</w:t>
          </w:r>
        </w:p>
        <w:p>
          <w:pPr>
            <w:pStyle w:val="2"/>
            <w:ind w:firstLine="1960" w:firstLineChars="700"/>
            <w:rPr>
              <w:rFonts w:hint="default" w:ascii="宋体" w:hAnsi="宋体" w:eastAsia="宋体"/>
              <w:b w:val="0"/>
              <w:bCs w:val="0"/>
              <w:sz w:val="28"/>
              <w:szCs w:val="28"/>
              <w:lang w:val="en-US" w:eastAsia="zh-CN"/>
            </w:rPr>
          </w:pPr>
          <w:r>
            <w:rPr>
              <w:rFonts w:hint="eastAsia" w:ascii="宋体" w:hAnsi="宋体" w:eastAsia="宋体"/>
              <w:b w:val="0"/>
              <w:bCs w:val="0"/>
              <w:sz w:val="28"/>
              <w:szCs w:val="28"/>
              <w:lang w:val="en-US" w:eastAsia="zh-CN"/>
            </w:rPr>
            <w:t>公开时间：2026年10月</w:t>
          </w:r>
          <w:r>
            <w:rPr>
              <w:rFonts w:hint="eastAsia" w:ascii="宋体" w:hAnsi="宋体"/>
              <w:b w:val="0"/>
              <w:bCs w:val="0"/>
              <w:sz w:val="28"/>
              <w:szCs w:val="28"/>
              <w:lang w:val="en-US" w:eastAsia="zh-CN"/>
            </w:rPr>
            <w:t>13日</w:t>
          </w:r>
          <w:bookmarkStart w:id="129" w:name="_GoBack"/>
          <w:bookmarkEnd w:id="129"/>
        </w:p>
        <w:p/>
        <w:p>
          <w:pPr>
            <w:pStyle w:val="13"/>
            <w:tabs>
              <w:tab w:val="right" w:leader="dot" w:pos="8306"/>
              <w:tab w:val="clear" w:pos="8296"/>
            </w:tabs>
          </w:pPr>
          <w:r>
            <w:fldChar w:fldCharType="begin"/>
          </w:r>
          <w:r>
            <w:instrText xml:space="preserve">TOC \o "1-3" \h \u </w:instrText>
          </w:r>
          <w:r>
            <w:fldChar w:fldCharType="separate"/>
          </w:r>
          <w:r>
            <w:fldChar w:fldCharType="begin"/>
          </w:r>
          <w:r>
            <w:instrText xml:space="preserve"> HYPERLINK \l _Toc31225 </w:instrText>
          </w:r>
          <w:r>
            <w:fldChar w:fldCharType="separate"/>
          </w:r>
          <w:r>
            <w:rPr>
              <w:rFonts w:hint="eastAsia" w:ascii="Times New Roman" w:hAnsi="Times New Roman" w:eastAsia="方正小标宋简体" w:cs="方正小标宋简体"/>
              <w:highlight w:val="none"/>
            </w:rPr>
            <w:t>第一部分</w:t>
          </w:r>
          <w:r>
            <w:rPr>
              <w:rFonts w:hint="eastAsia" w:ascii="Times New Roman" w:hAnsi="Times New Roman" w:eastAsia="方正小标宋简体" w:cs="方正小标宋简体"/>
              <w:highlight w:val="none"/>
              <w:lang w:val="en-US" w:eastAsia="zh-CN"/>
            </w:rPr>
            <w:t xml:space="preserve"> </w:t>
          </w:r>
          <w:r>
            <w:rPr>
              <w:rFonts w:hint="eastAsia" w:ascii="Times New Roman" w:hAnsi="Times New Roman" w:eastAsia="方正小标宋简体" w:cs="方正小标宋简体"/>
              <w:highlight w:val="none"/>
            </w:rPr>
            <w:t xml:space="preserve"> </w:t>
          </w:r>
          <w:r>
            <w:rPr>
              <w:rFonts w:hint="eastAsia" w:ascii="Times New Roman" w:hAnsi="Times New Roman" w:eastAsia="方正小标宋简体" w:cs="方正小标宋简体"/>
              <w:bCs w:val="0"/>
              <w:highlight w:val="none"/>
            </w:rPr>
            <w:t>部门概况</w:t>
          </w:r>
          <w:r>
            <w:tab/>
          </w:r>
          <w:r>
            <w:fldChar w:fldCharType="begin"/>
          </w:r>
          <w:r>
            <w:instrText xml:space="preserve"> PAGEREF _Toc31225 \h </w:instrText>
          </w:r>
          <w:r>
            <w:fldChar w:fldCharType="separate"/>
          </w:r>
          <w:r>
            <w:t>1</w:t>
          </w:r>
          <w:r>
            <w:fldChar w:fldCharType="end"/>
          </w:r>
          <w:r>
            <w:fldChar w:fldCharType="end"/>
          </w:r>
        </w:p>
        <w:p>
          <w:pPr>
            <w:pStyle w:val="16"/>
            <w:tabs>
              <w:tab w:val="right" w:leader="dot" w:pos="8306"/>
              <w:tab w:val="clear" w:pos="8296"/>
            </w:tabs>
          </w:pPr>
          <w:r>
            <w:fldChar w:fldCharType="begin"/>
          </w:r>
          <w:r>
            <w:instrText xml:space="preserve"> HYPERLINK \l _Toc25383 </w:instrText>
          </w:r>
          <w:r>
            <w:fldChar w:fldCharType="separate"/>
          </w:r>
          <w:r>
            <w:rPr>
              <w:rFonts w:hint="eastAsia" w:ascii="Times New Roman" w:hAnsi="Times New Roman" w:eastAsia="黑体"/>
              <w:lang w:eastAsia="zh-CN"/>
            </w:rPr>
            <w:t xml:space="preserve">一、 </w:t>
          </w:r>
          <w:r>
            <w:rPr>
              <w:rFonts w:hint="eastAsia" w:ascii="Times New Roman" w:hAnsi="Times New Roman" w:eastAsia="黑体"/>
              <w:highlight w:val="none"/>
              <w:lang w:eastAsia="zh-CN"/>
            </w:rPr>
            <w:t>部门职责</w:t>
          </w:r>
          <w:r>
            <w:tab/>
          </w:r>
          <w:r>
            <w:fldChar w:fldCharType="begin"/>
          </w:r>
          <w:r>
            <w:instrText xml:space="preserve"> PAGEREF _Toc25383 \h </w:instrText>
          </w:r>
          <w:r>
            <w:fldChar w:fldCharType="separate"/>
          </w:r>
          <w:r>
            <w:t>1</w:t>
          </w:r>
          <w:r>
            <w:fldChar w:fldCharType="end"/>
          </w:r>
          <w:r>
            <w:fldChar w:fldCharType="end"/>
          </w:r>
        </w:p>
        <w:p>
          <w:pPr>
            <w:pStyle w:val="9"/>
            <w:tabs>
              <w:tab w:val="right" w:leader="dot" w:pos="8306"/>
              <w:tab w:val="clear" w:pos="8296"/>
            </w:tabs>
          </w:pPr>
          <w:r>
            <w:fldChar w:fldCharType="begin"/>
          </w:r>
          <w:r>
            <w:instrText xml:space="preserve"> HYPERLINK \l _Toc30987 </w:instrText>
          </w:r>
          <w:r>
            <w:fldChar w:fldCharType="separate"/>
          </w:r>
          <w:r>
            <w:rPr>
              <w:rFonts w:hint="eastAsia" w:ascii="Times New Roman" w:hAnsi="Times New Roman" w:eastAsia="楷体_GB2312" w:cs="楷体_GB2312"/>
              <w:szCs w:val="32"/>
              <w:highlight w:val="none"/>
            </w:rPr>
            <w:t>（一）</w:t>
          </w:r>
          <w:r>
            <w:rPr>
              <w:rFonts w:hint="eastAsia" w:eastAsia="楷体_GB2312" w:cs="楷体_GB2312"/>
              <w:szCs w:val="32"/>
              <w:highlight w:val="none"/>
              <w:lang w:val="en-US" w:eastAsia="zh-CN"/>
            </w:rPr>
            <w:t>政协红原县委员会办公室职责</w:t>
          </w:r>
          <w:r>
            <w:tab/>
          </w:r>
          <w:r>
            <w:fldChar w:fldCharType="begin"/>
          </w:r>
          <w:r>
            <w:instrText xml:space="preserve"> PAGEREF _Toc30987 \h </w:instrText>
          </w:r>
          <w:r>
            <w:fldChar w:fldCharType="separate"/>
          </w:r>
          <w:r>
            <w:t>1</w:t>
          </w:r>
          <w:r>
            <w:fldChar w:fldCharType="end"/>
          </w:r>
          <w:r>
            <w:fldChar w:fldCharType="end"/>
          </w:r>
        </w:p>
        <w:p>
          <w:pPr>
            <w:pStyle w:val="9"/>
            <w:tabs>
              <w:tab w:val="right" w:leader="dot" w:pos="8306"/>
              <w:tab w:val="clear" w:pos="8296"/>
            </w:tabs>
          </w:pPr>
          <w:r>
            <w:fldChar w:fldCharType="begin"/>
          </w:r>
          <w:r>
            <w:instrText xml:space="preserve"> HYPERLINK \l _Toc4745 </w:instrText>
          </w:r>
          <w:r>
            <w:fldChar w:fldCharType="separate"/>
          </w:r>
          <w:r>
            <w:rPr>
              <w:rFonts w:hint="eastAsia" w:ascii="Times New Roman" w:hAnsi="Times New Roman" w:eastAsia="楷体_GB2312" w:cs="楷体_GB2312"/>
              <w:szCs w:val="32"/>
              <w:highlight w:val="none"/>
            </w:rPr>
            <w:t>（</w:t>
          </w:r>
          <w:r>
            <w:rPr>
              <w:rFonts w:hint="eastAsia" w:eastAsia="楷体_GB2312" w:cs="楷体_GB2312"/>
              <w:szCs w:val="32"/>
              <w:highlight w:val="none"/>
              <w:lang w:val="en-US" w:eastAsia="zh-CN"/>
            </w:rPr>
            <w:t>二</w:t>
          </w:r>
          <w:r>
            <w:rPr>
              <w:rFonts w:hint="eastAsia" w:ascii="Times New Roman" w:hAnsi="Times New Roman" w:eastAsia="楷体_GB2312" w:cs="楷体_GB2312"/>
              <w:szCs w:val="32"/>
              <w:highlight w:val="none"/>
            </w:rPr>
            <w:t>）</w:t>
          </w:r>
          <w:r>
            <w:rPr>
              <w:rFonts w:hint="eastAsia" w:eastAsia="楷体_GB2312" w:cs="楷体_GB2312"/>
              <w:szCs w:val="32"/>
              <w:highlight w:val="none"/>
              <w:lang w:val="en-US" w:eastAsia="zh-CN"/>
            </w:rPr>
            <w:t>红原县政协网络信息服务中心职责</w:t>
          </w:r>
          <w:r>
            <w:tab/>
          </w:r>
          <w:r>
            <w:fldChar w:fldCharType="begin"/>
          </w:r>
          <w:r>
            <w:instrText xml:space="preserve"> PAGEREF _Toc4745 \h </w:instrText>
          </w:r>
          <w:r>
            <w:fldChar w:fldCharType="separate"/>
          </w:r>
          <w:r>
            <w:t>1</w:t>
          </w:r>
          <w:r>
            <w:fldChar w:fldCharType="end"/>
          </w:r>
          <w:r>
            <w:fldChar w:fldCharType="end"/>
          </w:r>
        </w:p>
        <w:p>
          <w:pPr>
            <w:pStyle w:val="16"/>
            <w:tabs>
              <w:tab w:val="right" w:leader="dot" w:pos="8306"/>
              <w:tab w:val="clear" w:pos="8296"/>
            </w:tabs>
          </w:pPr>
          <w:r>
            <w:fldChar w:fldCharType="begin"/>
          </w:r>
          <w:r>
            <w:instrText xml:space="preserve"> HYPERLINK \l _Toc1604 </w:instrText>
          </w:r>
          <w:r>
            <w:fldChar w:fldCharType="separate"/>
          </w:r>
          <w:r>
            <w:rPr>
              <w:rFonts w:hint="eastAsia" w:ascii="Times New Roman" w:hAnsi="Times New Roman" w:eastAsia="黑体"/>
              <w:highlight w:val="none"/>
            </w:rPr>
            <w:t>二、机</w:t>
          </w:r>
          <w:r>
            <w:rPr>
              <w:rFonts w:hint="eastAsia" w:ascii="Times New Roman" w:hAnsi="Times New Roman" w:eastAsia="黑体"/>
              <w:bCs w:val="0"/>
              <w:highlight w:val="none"/>
            </w:rPr>
            <w:t>构设置</w:t>
          </w:r>
          <w:r>
            <w:tab/>
          </w:r>
          <w:r>
            <w:fldChar w:fldCharType="begin"/>
          </w:r>
          <w:r>
            <w:instrText xml:space="preserve"> PAGEREF _Toc1604 \h </w:instrText>
          </w:r>
          <w:r>
            <w:fldChar w:fldCharType="separate"/>
          </w:r>
          <w:r>
            <w:t>2</w:t>
          </w:r>
          <w:r>
            <w:fldChar w:fldCharType="end"/>
          </w:r>
          <w:r>
            <w:fldChar w:fldCharType="end"/>
          </w:r>
        </w:p>
        <w:p>
          <w:pPr>
            <w:pStyle w:val="9"/>
            <w:tabs>
              <w:tab w:val="right" w:leader="dot" w:pos="8306"/>
              <w:tab w:val="clear" w:pos="8296"/>
            </w:tabs>
          </w:pPr>
          <w:r>
            <w:fldChar w:fldCharType="begin"/>
          </w:r>
          <w:r>
            <w:instrText xml:space="preserve"> HYPERLINK \l _Toc13664 </w:instrText>
          </w:r>
          <w:r>
            <w:fldChar w:fldCharType="separate"/>
          </w:r>
          <w:r>
            <w:rPr>
              <w:rFonts w:hint="eastAsia" w:ascii="仿宋_GB2312" w:hAnsi="仿宋_GB2312" w:eastAsia="仿宋_GB2312" w:cs="仿宋_GB2312"/>
              <w:kern w:val="2"/>
              <w:szCs w:val="32"/>
            </w:rPr>
            <w:t>1. 中国人民政治协商会议四川省红原县委员会办公室</w:t>
          </w:r>
          <w:r>
            <w:tab/>
          </w:r>
          <w:r>
            <w:fldChar w:fldCharType="begin"/>
          </w:r>
          <w:r>
            <w:instrText xml:space="preserve"> PAGEREF _Toc13664 \h </w:instrText>
          </w:r>
          <w:r>
            <w:fldChar w:fldCharType="separate"/>
          </w:r>
          <w:r>
            <w:t>2</w:t>
          </w:r>
          <w:r>
            <w:fldChar w:fldCharType="end"/>
          </w:r>
          <w:r>
            <w:fldChar w:fldCharType="end"/>
          </w:r>
        </w:p>
        <w:p>
          <w:pPr>
            <w:pStyle w:val="9"/>
            <w:tabs>
              <w:tab w:val="right" w:leader="dot" w:pos="8306"/>
              <w:tab w:val="clear" w:pos="8296"/>
            </w:tabs>
          </w:pPr>
          <w:r>
            <w:fldChar w:fldCharType="begin"/>
          </w:r>
          <w:r>
            <w:instrText xml:space="preserve"> HYPERLINK \l _Toc26705 </w:instrText>
          </w:r>
          <w:r>
            <w:fldChar w:fldCharType="separate"/>
          </w:r>
          <w:r>
            <w:rPr>
              <w:rFonts w:hint="eastAsia" w:ascii="仿宋_GB2312" w:hAnsi="仿宋_GB2312" w:eastAsia="仿宋_GB2312" w:cs="仿宋_GB2312"/>
              <w:szCs w:val="32"/>
              <w:lang w:val="en-US" w:eastAsia="zh-CN"/>
            </w:rPr>
            <w:t>2. 红原县政协网络信息服务中心</w:t>
          </w:r>
          <w:r>
            <w:tab/>
          </w:r>
          <w:r>
            <w:fldChar w:fldCharType="begin"/>
          </w:r>
          <w:r>
            <w:instrText xml:space="preserve"> PAGEREF _Toc26705 \h </w:instrText>
          </w:r>
          <w:r>
            <w:fldChar w:fldCharType="separate"/>
          </w:r>
          <w:r>
            <w:t>2</w:t>
          </w:r>
          <w:r>
            <w:fldChar w:fldCharType="end"/>
          </w:r>
          <w:r>
            <w:fldChar w:fldCharType="end"/>
          </w:r>
        </w:p>
        <w:p>
          <w:pPr>
            <w:pStyle w:val="13"/>
            <w:tabs>
              <w:tab w:val="right" w:leader="dot" w:pos="8306"/>
              <w:tab w:val="clear" w:pos="8296"/>
            </w:tabs>
          </w:pPr>
          <w:r>
            <w:fldChar w:fldCharType="begin"/>
          </w:r>
          <w:r>
            <w:instrText xml:space="preserve"> HYPERLINK \l _Toc12572 </w:instrText>
          </w:r>
          <w:r>
            <w:fldChar w:fldCharType="separate"/>
          </w:r>
          <w:r>
            <w:rPr>
              <w:rFonts w:hint="eastAsia" w:ascii="Times New Roman" w:hAnsi="Times New Roman" w:eastAsia="方正小标宋简体" w:cs="方正小标宋简体"/>
              <w:highlight w:val="none"/>
            </w:rPr>
            <w:t>第二部分</w:t>
          </w:r>
          <w:r>
            <w:rPr>
              <w:rFonts w:hint="eastAsia" w:ascii="Times New Roman" w:hAnsi="Times New Roman" w:eastAsia="方正小标宋简体" w:cs="方正小标宋简体"/>
              <w:highlight w:val="none"/>
              <w:lang w:val="en-US" w:eastAsia="zh-CN"/>
            </w:rPr>
            <w:t xml:space="preserve"> </w:t>
          </w:r>
          <w:r>
            <w:rPr>
              <w:rFonts w:hint="eastAsia" w:ascii="Times New Roman" w:hAnsi="Times New Roman" w:eastAsia="方正小标宋简体" w:cs="方正小标宋简体"/>
              <w:highlight w:val="none"/>
            </w:rPr>
            <w:t xml:space="preserve"> </w:t>
          </w:r>
          <w:r>
            <w:rPr>
              <w:rFonts w:hint="eastAsia" w:eastAsia="方正小标宋简体" w:cs="方正小标宋简体"/>
              <w:highlight w:val="none"/>
              <w:lang w:val="en-US" w:eastAsia="zh-CN"/>
            </w:rPr>
            <w:t>2025年度</w:t>
          </w:r>
          <w:r>
            <w:rPr>
              <w:rFonts w:hint="eastAsia" w:ascii="Times New Roman" w:hAnsi="Times New Roman" w:eastAsia="方正小标宋简体" w:cs="方正小标宋简体"/>
              <w:highlight w:val="none"/>
            </w:rPr>
            <w:t>部门决算情况说明</w:t>
          </w:r>
          <w:r>
            <w:tab/>
          </w:r>
          <w:r>
            <w:fldChar w:fldCharType="begin"/>
          </w:r>
          <w:r>
            <w:instrText xml:space="preserve"> PAGEREF _Toc12572 \h </w:instrText>
          </w:r>
          <w:r>
            <w:fldChar w:fldCharType="separate"/>
          </w:r>
          <w:r>
            <w:t>2</w:t>
          </w:r>
          <w:r>
            <w:fldChar w:fldCharType="end"/>
          </w:r>
          <w:r>
            <w:fldChar w:fldCharType="end"/>
          </w:r>
        </w:p>
        <w:p>
          <w:pPr>
            <w:pStyle w:val="16"/>
            <w:tabs>
              <w:tab w:val="right" w:leader="dot" w:pos="8306"/>
              <w:tab w:val="clear" w:pos="8296"/>
            </w:tabs>
          </w:pPr>
          <w:r>
            <w:fldChar w:fldCharType="begin"/>
          </w:r>
          <w:r>
            <w:instrText xml:space="preserve"> HYPERLINK \l _Toc2704 </w:instrText>
          </w:r>
          <w:r>
            <w:fldChar w:fldCharType="separate"/>
          </w:r>
          <w:r>
            <w:rPr>
              <w:rFonts w:hint="eastAsia" w:ascii="Times New Roman" w:hAnsi="Times New Roman" w:eastAsia="黑体"/>
              <w:szCs w:val="32"/>
              <w:highlight w:val="none"/>
              <w:lang w:eastAsia="zh-CN"/>
            </w:rPr>
            <w:t>一、</w:t>
          </w:r>
          <w:r>
            <w:rPr>
              <w:rFonts w:hint="eastAsia" w:ascii="Times New Roman" w:hAnsi="Times New Roman" w:eastAsia="黑体"/>
              <w:szCs w:val="32"/>
              <w:highlight w:val="none"/>
            </w:rPr>
            <w:t>收</w:t>
          </w:r>
          <w:r>
            <w:rPr>
              <w:rFonts w:hint="eastAsia" w:ascii="Times New Roman" w:hAnsi="Times New Roman" w:eastAsia="黑体"/>
              <w:highlight w:val="none"/>
            </w:rPr>
            <w:t>入支出决算总体情况说明</w:t>
          </w:r>
          <w:r>
            <w:tab/>
          </w:r>
          <w:r>
            <w:fldChar w:fldCharType="begin"/>
          </w:r>
          <w:r>
            <w:instrText xml:space="preserve"> PAGEREF _Toc2704 \h </w:instrText>
          </w:r>
          <w:r>
            <w:fldChar w:fldCharType="separate"/>
          </w:r>
          <w:r>
            <w:t>2</w:t>
          </w:r>
          <w:r>
            <w:fldChar w:fldCharType="end"/>
          </w:r>
          <w:r>
            <w:fldChar w:fldCharType="end"/>
          </w:r>
        </w:p>
        <w:p>
          <w:pPr>
            <w:pStyle w:val="16"/>
            <w:tabs>
              <w:tab w:val="right" w:leader="dot" w:pos="8306"/>
              <w:tab w:val="clear" w:pos="8296"/>
            </w:tabs>
          </w:pPr>
          <w:r>
            <w:fldChar w:fldCharType="begin"/>
          </w:r>
          <w:r>
            <w:instrText xml:space="preserve"> HYPERLINK \l _Toc18526 </w:instrText>
          </w:r>
          <w:r>
            <w:fldChar w:fldCharType="separate"/>
          </w:r>
          <w:r>
            <w:rPr>
              <w:rFonts w:hint="eastAsia" w:ascii="Times New Roman" w:hAnsi="Times New Roman" w:eastAsia="黑体"/>
              <w:szCs w:val="32"/>
              <w:highlight w:val="none"/>
              <w:lang w:eastAsia="zh-CN"/>
            </w:rPr>
            <w:t>二、收入决算情况说明</w:t>
          </w:r>
          <w:r>
            <w:tab/>
          </w:r>
          <w:r>
            <w:fldChar w:fldCharType="begin"/>
          </w:r>
          <w:r>
            <w:instrText xml:space="preserve"> PAGEREF _Toc18526 \h </w:instrText>
          </w:r>
          <w:r>
            <w:fldChar w:fldCharType="separate"/>
          </w:r>
          <w:r>
            <w:t>3</w:t>
          </w:r>
          <w:r>
            <w:fldChar w:fldCharType="end"/>
          </w:r>
          <w:r>
            <w:fldChar w:fldCharType="end"/>
          </w:r>
        </w:p>
        <w:p>
          <w:pPr>
            <w:pStyle w:val="16"/>
            <w:tabs>
              <w:tab w:val="right" w:leader="dot" w:pos="8306"/>
              <w:tab w:val="clear" w:pos="8296"/>
            </w:tabs>
          </w:pPr>
          <w:r>
            <w:fldChar w:fldCharType="begin"/>
          </w:r>
          <w:r>
            <w:instrText xml:space="preserve"> HYPERLINK \l _Toc18012 </w:instrText>
          </w:r>
          <w:r>
            <w:fldChar w:fldCharType="separate"/>
          </w:r>
          <w:r>
            <w:rPr>
              <w:rFonts w:hint="eastAsia" w:ascii="Times New Roman" w:hAnsi="Times New Roman" w:eastAsia="黑体"/>
              <w:szCs w:val="32"/>
              <w:highlight w:val="none"/>
              <w:lang w:eastAsia="zh-CN"/>
            </w:rPr>
            <w:t>三、</w:t>
          </w:r>
          <w:r>
            <w:rPr>
              <w:rFonts w:hint="eastAsia" w:ascii="Times New Roman" w:hAnsi="Times New Roman" w:eastAsia="黑体"/>
              <w:szCs w:val="32"/>
              <w:highlight w:val="none"/>
            </w:rPr>
            <w:t>支</w:t>
          </w:r>
          <w:r>
            <w:rPr>
              <w:rFonts w:hint="eastAsia" w:ascii="Times New Roman" w:hAnsi="Times New Roman" w:eastAsia="黑体"/>
              <w:highlight w:val="none"/>
            </w:rPr>
            <w:t>出决算情况说明</w:t>
          </w:r>
          <w:r>
            <w:tab/>
          </w:r>
          <w:r>
            <w:fldChar w:fldCharType="begin"/>
          </w:r>
          <w:r>
            <w:instrText xml:space="preserve"> PAGEREF _Toc18012 \h </w:instrText>
          </w:r>
          <w:r>
            <w:fldChar w:fldCharType="separate"/>
          </w:r>
          <w:r>
            <w:t>3</w:t>
          </w:r>
          <w:r>
            <w:fldChar w:fldCharType="end"/>
          </w:r>
          <w:r>
            <w:fldChar w:fldCharType="end"/>
          </w:r>
        </w:p>
        <w:p>
          <w:pPr>
            <w:pStyle w:val="16"/>
            <w:tabs>
              <w:tab w:val="right" w:leader="dot" w:pos="8306"/>
              <w:tab w:val="clear" w:pos="8296"/>
            </w:tabs>
          </w:pPr>
          <w:r>
            <w:fldChar w:fldCharType="begin"/>
          </w:r>
          <w:r>
            <w:instrText xml:space="preserve"> HYPERLINK \l _Toc30063 </w:instrText>
          </w:r>
          <w:r>
            <w:fldChar w:fldCharType="separate"/>
          </w:r>
          <w:r>
            <w:rPr>
              <w:rFonts w:hint="eastAsia" w:ascii="Times New Roman" w:hAnsi="Times New Roman" w:eastAsia="黑体"/>
              <w:szCs w:val="32"/>
              <w:highlight w:val="none"/>
            </w:rPr>
            <w:t>四、财</w:t>
          </w:r>
          <w:r>
            <w:rPr>
              <w:rFonts w:hint="eastAsia" w:ascii="Times New Roman" w:hAnsi="Times New Roman" w:eastAsia="黑体"/>
              <w:highlight w:val="none"/>
            </w:rPr>
            <w:t>政拨款收入支出决算总体情况说明</w:t>
          </w:r>
          <w:r>
            <w:tab/>
          </w:r>
          <w:r>
            <w:fldChar w:fldCharType="begin"/>
          </w:r>
          <w:r>
            <w:instrText xml:space="preserve"> PAGEREF _Toc30063 \h </w:instrText>
          </w:r>
          <w:r>
            <w:fldChar w:fldCharType="separate"/>
          </w:r>
          <w:r>
            <w:t>4</w:t>
          </w:r>
          <w:r>
            <w:fldChar w:fldCharType="end"/>
          </w:r>
          <w:r>
            <w:fldChar w:fldCharType="end"/>
          </w:r>
        </w:p>
        <w:p>
          <w:pPr>
            <w:pStyle w:val="16"/>
            <w:tabs>
              <w:tab w:val="right" w:leader="dot" w:pos="8306"/>
              <w:tab w:val="clear" w:pos="8296"/>
            </w:tabs>
          </w:pPr>
          <w:r>
            <w:fldChar w:fldCharType="begin"/>
          </w:r>
          <w:r>
            <w:instrText xml:space="preserve"> HYPERLINK \l _Toc15616 </w:instrText>
          </w:r>
          <w:r>
            <w:fldChar w:fldCharType="separate"/>
          </w:r>
          <w:r>
            <w:rPr>
              <w:rFonts w:hint="eastAsia" w:ascii="Times New Roman" w:hAnsi="Times New Roman" w:eastAsia="黑体"/>
              <w:szCs w:val="32"/>
              <w:highlight w:val="none"/>
            </w:rPr>
            <w:t>五、一</w:t>
          </w:r>
          <w:r>
            <w:rPr>
              <w:rFonts w:hint="eastAsia" w:ascii="Times New Roman" w:hAnsi="Times New Roman" w:eastAsia="黑体"/>
              <w:highlight w:val="none"/>
            </w:rPr>
            <w:t>般公共预算财政拨款支出决算情况说明</w:t>
          </w:r>
          <w:r>
            <w:tab/>
          </w:r>
          <w:r>
            <w:fldChar w:fldCharType="begin"/>
          </w:r>
          <w:r>
            <w:instrText xml:space="preserve"> PAGEREF _Toc15616 \h </w:instrText>
          </w:r>
          <w:r>
            <w:fldChar w:fldCharType="separate"/>
          </w:r>
          <w:r>
            <w:t>4</w:t>
          </w:r>
          <w:r>
            <w:fldChar w:fldCharType="end"/>
          </w:r>
          <w:r>
            <w:fldChar w:fldCharType="end"/>
          </w:r>
        </w:p>
        <w:p>
          <w:pPr>
            <w:pStyle w:val="9"/>
            <w:tabs>
              <w:tab w:val="right" w:leader="dot" w:pos="8306"/>
              <w:tab w:val="clear" w:pos="8296"/>
            </w:tabs>
          </w:pPr>
          <w:r>
            <w:fldChar w:fldCharType="begin"/>
          </w:r>
          <w:r>
            <w:instrText xml:space="preserve"> HYPERLINK \l _Toc24952 </w:instrText>
          </w:r>
          <w:r>
            <w:fldChar w:fldCharType="separate"/>
          </w:r>
          <w:r>
            <w:rPr>
              <w:rFonts w:hint="eastAsia" w:ascii="Times New Roman" w:hAnsi="Times New Roman" w:eastAsia="楷体_GB2312" w:cs="楷体_GB2312"/>
              <w:szCs w:val="32"/>
              <w:highlight w:val="none"/>
            </w:rPr>
            <w:t>（一）一般公共预算财政拨款支出决算总体情况</w:t>
          </w:r>
          <w:r>
            <w:tab/>
          </w:r>
          <w:r>
            <w:fldChar w:fldCharType="begin"/>
          </w:r>
          <w:r>
            <w:instrText xml:space="preserve"> PAGEREF _Toc24952 \h </w:instrText>
          </w:r>
          <w:r>
            <w:fldChar w:fldCharType="separate"/>
          </w:r>
          <w:r>
            <w:t>4</w:t>
          </w:r>
          <w:r>
            <w:fldChar w:fldCharType="end"/>
          </w:r>
          <w:r>
            <w:fldChar w:fldCharType="end"/>
          </w:r>
        </w:p>
        <w:p>
          <w:pPr>
            <w:pStyle w:val="9"/>
            <w:tabs>
              <w:tab w:val="right" w:leader="dot" w:pos="8306"/>
              <w:tab w:val="clear" w:pos="8296"/>
            </w:tabs>
          </w:pPr>
          <w:r>
            <w:fldChar w:fldCharType="begin"/>
          </w:r>
          <w:r>
            <w:instrText xml:space="preserve"> HYPERLINK \l _Toc31487 </w:instrText>
          </w:r>
          <w:r>
            <w:fldChar w:fldCharType="separate"/>
          </w:r>
          <w:r>
            <w:rPr>
              <w:rFonts w:hint="eastAsia" w:ascii="Times New Roman" w:hAnsi="Times New Roman" w:eastAsia="楷体_GB2312" w:cs="楷体_GB2312"/>
              <w:szCs w:val="32"/>
              <w:highlight w:val="none"/>
            </w:rPr>
            <w:t>（二）一般公共预算财政拨款支出决算结构情况</w:t>
          </w:r>
          <w:r>
            <w:tab/>
          </w:r>
          <w:r>
            <w:fldChar w:fldCharType="begin"/>
          </w:r>
          <w:r>
            <w:instrText xml:space="preserve"> PAGEREF _Toc31487 \h </w:instrText>
          </w:r>
          <w:r>
            <w:fldChar w:fldCharType="separate"/>
          </w:r>
          <w:r>
            <w:t>5</w:t>
          </w:r>
          <w:r>
            <w:fldChar w:fldCharType="end"/>
          </w:r>
          <w:r>
            <w:fldChar w:fldCharType="end"/>
          </w:r>
        </w:p>
        <w:p>
          <w:pPr>
            <w:pStyle w:val="9"/>
            <w:tabs>
              <w:tab w:val="right" w:leader="dot" w:pos="8306"/>
              <w:tab w:val="clear" w:pos="8296"/>
            </w:tabs>
          </w:pPr>
          <w:r>
            <w:fldChar w:fldCharType="begin"/>
          </w:r>
          <w:r>
            <w:instrText xml:space="preserve"> HYPERLINK \l _Toc28111 </w:instrText>
          </w:r>
          <w:r>
            <w:fldChar w:fldCharType="separate"/>
          </w:r>
          <w:r>
            <w:rPr>
              <w:rFonts w:hint="eastAsia" w:ascii="Times New Roman" w:hAnsi="Times New Roman" w:eastAsia="楷体_GB2312" w:cs="楷体_GB2312"/>
              <w:szCs w:val="32"/>
              <w:highlight w:val="none"/>
            </w:rPr>
            <w:t>（三）一般公共预算财政拨款支出决算具体情况</w:t>
          </w:r>
          <w:r>
            <w:tab/>
          </w:r>
          <w:r>
            <w:fldChar w:fldCharType="begin"/>
          </w:r>
          <w:r>
            <w:instrText xml:space="preserve"> PAGEREF _Toc28111 \h </w:instrText>
          </w:r>
          <w:r>
            <w:fldChar w:fldCharType="separate"/>
          </w:r>
          <w:r>
            <w:t>6</w:t>
          </w:r>
          <w:r>
            <w:fldChar w:fldCharType="end"/>
          </w:r>
          <w:r>
            <w:fldChar w:fldCharType="end"/>
          </w:r>
        </w:p>
        <w:p>
          <w:pPr>
            <w:pStyle w:val="16"/>
            <w:tabs>
              <w:tab w:val="right" w:leader="dot" w:pos="8306"/>
              <w:tab w:val="clear" w:pos="8296"/>
            </w:tabs>
          </w:pPr>
          <w:r>
            <w:fldChar w:fldCharType="begin"/>
          </w:r>
          <w:r>
            <w:instrText xml:space="preserve"> HYPERLINK \l _Toc29510 </w:instrText>
          </w:r>
          <w:r>
            <w:fldChar w:fldCharType="separate"/>
          </w:r>
          <w:r>
            <w:rPr>
              <w:rFonts w:hint="eastAsia" w:ascii="Times New Roman" w:hAnsi="Times New Roman" w:eastAsia="黑体"/>
              <w:szCs w:val="32"/>
              <w:highlight w:val="none"/>
            </w:rPr>
            <w:t>六、一</w:t>
          </w:r>
          <w:r>
            <w:rPr>
              <w:rFonts w:hint="eastAsia" w:ascii="Times New Roman" w:hAnsi="Times New Roman" w:eastAsia="黑体"/>
              <w:highlight w:val="none"/>
            </w:rPr>
            <w:t>般公共预算财政拨款基本支出决算情况说明</w:t>
          </w:r>
          <w:r>
            <w:tab/>
          </w:r>
          <w:r>
            <w:fldChar w:fldCharType="begin"/>
          </w:r>
          <w:r>
            <w:instrText xml:space="preserve"> PAGEREF _Toc29510 \h </w:instrText>
          </w:r>
          <w:r>
            <w:fldChar w:fldCharType="separate"/>
          </w:r>
          <w:r>
            <w:t>7</w:t>
          </w:r>
          <w:r>
            <w:fldChar w:fldCharType="end"/>
          </w:r>
          <w:r>
            <w:fldChar w:fldCharType="end"/>
          </w:r>
        </w:p>
        <w:p>
          <w:pPr>
            <w:pStyle w:val="16"/>
            <w:tabs>
              <w:tab w:val="right" w:leader="dot" w:pos="8306"/>
              <w:tab w:val="clear" w:pos="8296"/>
            </w:tabs>
          </w:pPr>
          <w:r>
            <w:fldChar w:fldCharType="begin"/>
          </w:r>
          <w:r>
            <w:instrText xml:space="preserve"> HYPERLINK \l _Toc2844 </w:instrText>
          </w:r>
          <w:r>
            <w:fldChar w:fldCharType="separate"/>
          </w:r>
          <w:r>
            <w:rPr>
              <w:rFonts w:hint="eastAsia" w:ascii="Times New Roman" w:hAnsi="Times New Roman" w:eastAsia="黑体"/>
              <w:szCs w:val="32"/>
              <w:highlight w:val="none"/>
            </w:rPr>
            <w:t>七、</w:t>
          </w:r>
          <w:r>
            <w:rPr>
              <w:rFonts w:hint="eastAsia" w:ascii="Times New Roman" w:hAnsi="Times New Roman" w:eastAsia="黑体"/>
              <w:highlight w:val="none"/>
            </w:rPr>
            <w:t>财政拨款“三公”经费支出决算情况说明</w:t>
          </w:r>
          <w:r>
            <w:tab/>
          </w:r>
          <w:r>
            <w:fldChar w:fldCharType="begin"/>
          </w:r>
          <w:r>
            <w:instrText xml:space="preserve"> PAGEREF _Toc2844 \h </w:instrText>
          </w:r>
          <w:r>
            <w:fldChar w:fldCharType="separate"/>
          </w:r>
          <w:r>
            <w:t>8</w:t>
          </w:r>
          <w:r>
            <w:fldChar w:fldCharType="end"/>
          </w:r>
          <w:r>
            <w:fldChar w:fldCharType="end"/>
          </w:r>
        </w:p>
        <w:p>
          <w:pPr>
            <w:pStyle w:val="9"/>
            <w:tabs>
              <w:tab w:val="right" w:leader="dot" w:pos="8306"/>
              <w:tab w:val="clear" w:pos="8296"/>
            </w:tabs>
          </w:pPr>
          <w:r>
            <w:fldChar w:fldCharType="begin"/>
          </w:r>
          <w:r>
            <w:instrText xml:space="preserve"> HYPERLINK \l _Toc17695 </w:instrText>
          </w:r>
          <w:r>
            <w:fldChar w:fldCharType="separate"/>
          </w:r>
          <w:r>
            <w:rPr>
              <w:rFonts w:hint="eastAsia" w:ascii="Times New Roman" w:hAnsi="Times New Roman" w:eastAsia="楷体_GB2312" w:cs="楷体_GB2312"/>
              <w:szCs w:val="32"/>
              <w:highlight w:val="none"/>
            </w:rPr>
            <w:t>（一）财政拨款“三公”经费支出决算总体情况说明</w:t>
          </w:r>
          <w:r>
            <w:tab/>
          </w:r>
          <w:r>
            <w:fldChar w:fldCharType="begin"/>
          </w:r>
          <w:r>
            <w:instrText xml:space="preserve"> PAGEREF _Toc17695 \h </w:instrText>
          </w:r>
          <w:r>
            <w:fldChar w:fldCharType="separate"/>
          </w:r>
          <w:r>
            <w:t>8</w:t>
          </w:r>
          <w:r>
            <w:fldChar w:fldCharType="end"/>
          </w:r>
          <w:r>
            <w:fldChar w:fldCharType="end"/>
          </w:r>
        </w:p>
        <w:p>
          <w:pPr>
            <w:pStyle w:val="9"/>
            <w:tabs>
              <w:tab w:val="right" w:leader="dot" w:pos="8306"/>
              <w:tab w:val="clear" w:pos="8296"/>
            </w:tabs>
          </w:pPr>
          <w:r>
            <w:fldChar w:fldCharType="begin"/>
          </w:r>
          <w:r>
            <w:instrText xml:space="preserve"> HYPERLINK \l _Toc25588 </w:instrText>
          </w:r>
          <w:r>
            <w:fldChar w:fldCharType="separate"/>
          </w:r>
          <w:r>
            <w:rPr>
              <w:rFonts w:hint="eastAsia" w:ascii="Times New Roman" w:hAnsi="Times New Roman" w:eastAsia="楷体_GB2312" w:cs="楷体_GB2312"/>
              <w:szCs w:val="32"/>
              <w:highlight w:val="none"/>
            </w:rPr>
            <w:t>（二）财政拨款“三公”经费支出决算具体情况说明</w:t>
          </w:r>
          <w:r>
            <w:tab/>
          </w:r>
          <w:r>
            <w:fldChar w:fldCharType="begin"/>
          </w:r>
          <w:r>
            <w:instrText xml:space="preserve"> PAGEREF _Toc25588 \h </w:instrText>
          </w:r>
          <w:r>
            <w:fldChar w:fldCharType="separate"/>
          </w:r>
          <w:r>
            <w:t>8</w:t>
          </w:r>
          <w:r>
            <w:fldChar w:fldCharType="end"/>
          </w:r>
          <w:r>
            <w:fldChar w:fldCharType="end"/>
          </w:r>
        </w:p>
        <w:p>
          <w:pPr>
            <w:pStyle w:val="16"/>
            <w:tabs>
              <w:tab w:val="right" w:leader="dot" w:pos="8306"/>
              <w:tab w:val="clear" w:pos="8296"/>
            </w:tabs>
          </w:pPr>
          <w:r>
            <w:fldChar w:fldCharType="begin"/>
          </w:r>
          <w:r>
            <w:instrText xml:space="preserve"> HYPERLINK \l _Toc27784 </w:instrText>
          </w:r>
          <w:r>
            <w:fldChar w:fldCharType="separate"/>
          </w:r>
          <w:r>
            <w:rPr>
              <w:rFonts w:hint="eastAsia" w:ascii="Times New Roman" w:hAnsi="Times New Roman" w:eastAsia="黑体"/>
              <w:szCs w:val="32"/>
              <w:highlight w:val="none"/>
            </w:rPr>
            <w:t>八、</w:t>
          </w:r>
          <w:r>
            <w:rPr>
              <w:rFonts w:hint="eastAsia" w:ascii="Times New Roman" w:hAnsi="Times New Roman" w:eastAsia="黑体"/>
              <w:highlight w:val="none"/>
            </w:rPr>
            <w:t>政府性基金预算支出决算情况说明</w:t>
          </w:r>
          <w:r>
            <w:tab/>
          </w:r>
          <w:r>
            <w:fldChar w:fldCharType="begin"/>
          </w:r>
          <w:r>
            <w:instrText xml:space="preserve"> PAGEREF _Toc27784 \h </w:instrText>
          </w:r>
          <w:r>
            <w:fldChar w:fldCharType="separate"/>
          </w:r>
          <w:r>
            <w:t>10</w:t>
          </w:r>
          <w:r>
            <w:fldChar w:fldCharType="end"/>
          </w:r>
          <w:r>
            <w:fldChar w:fldCharType="end"/>
          </w:r>
        </w:p>
        <w:p>
          <w:pPr>
            <w:pStyle w:val="16"/>
            <w:tabs>
              <w:tab w:val="right" w:leader="dot" w:pos="8306"/>
              <w:tab w:val="clear" w:pos="8296"/>
            </w:tabs>
          </w:pPr>
          <w:r>
            <w:fldChar w:fldCharType="begin"/>
          </w:r>
          <w:r>
            <w:instrText xml:space="preserve"> HYPERLINK \l _Toc132 </w:instrText>
          </w:r>
          <w:r>
            <w:fldChar w:fldCharType="separate"/>
          </w:r>
          <w:r>
            <w:rPr>
              <w:rFonts w:hint="eastAsia" w:ascii="Times New Roman" w:hAnsi="Times New Roman" w:eastAsia="黑体"/>
              <w:highlight w:val="none"/>
              <w:lang w:eastAsia="zh-CN"/>
            </w:rPr>
            <w:t>九、</w:t>
          </w:r>
          <w:r>
            <w:rPr>
              <w:rFonts w:hint="eastAsia" w:ascii="Times New Roman" w:hAnsi="Times New Roman" w:eastAsia="黑体"/>
              <w:highlight w:val="none"/>
            </w:rPr>
            <w:t>国有资本经营预算支出决算情况说明</w:t>
          </w:r>
          <w:r>
            <w:tab/>
          </w:r>
          <w:r>
            <w:fldChar w:fldCharType="begin"/>
          </w:r>
          <w:r>
            <w:instrText xml:space="preserve"> PAGEREF _Toc132 \h </w:instrText>
          </w:r>
          <w:r>
            <w:fldChar w:fldCharType="separate"/>
          </w:r>
          <w:r>
            <w:t>10</w:t>
          </w:r>
          <w:r>
            <w:fldChar w:fldCharType="end"/>
          </w:r>
          <w:r>
            <w:fldChar w:fldCharType="end"/>
          </w:r>
        </w:p>
        <w:p>
          <w:pPr>
            <w:pStyle w:val="16"/>
            <w:tabs>
              <w:tab w:val="right" w:leader="dot" w:pos="8306"/>
              <w:tab w:val="clear" w:pos="8296"/>
            </w:tabs>
          </w:pPr>
          <w:r>
            <w:fldChar w:fldCharType="begin"/>
          </w:r>
          <w:r>
            <w:instrText xml:space="preserve"> HYPERLINK \l _Toc25750 </w:instrText>
          </w:r>
          <w:r>
            <w:fldChar w:fldCharType="separate"/>
          </w:r>
          <w:r>
            <w:rPr>
              <w:rFonts w:hint="eastAsia" w:ascii="Times New Roman" w:hAnsi="Times New Roman" w:eastAsia="黑体"/>
              <w:highlight w:val="none"/>
              <w:lang w:eastAsia="zh-CN"/>
            </w:rPr>
            <w:t>十、</w:t>
          </w:r>
          <w:r>
            <w:rPr>
              <w:rFonts w:hint="eastAsia" w:ascii="Times New Roman" w:hAnsi="Times New Roman" w:eastAsia="黑体"/>
              <w:highlight w:val="none"/>
            </w:rPr>
            <w:t>其他重要事项的情况说明</w:t>
          </w:r>
          <w:r>
            <w:tab/>
          </w:r>
          <w:r>
            <w:fldChar w:fldCharType="begin"/>
          </w:r>
          <w:r>
            <w:instrText xml:space="preserve"> PAGEREF _Toc25750 \h </w:instrText>
          </w:r>
          <w:r>
            <w:fldChar w:fldCharType="separate"/>
          </w:r>
          <w:r>
            <w:t>10</w:t>
          </w:r>
          <w:r>
            <w:fldChar w:fldCharType="end"/>
          </w:r>
          <w:r>
            <w:fldChar w:fldCharType="end"/>
          </w:r>
        </w:p>
        <w:p>
          <w:pPr>
            <w:pStyle w:val="9"/>
            <w:tabs>
              <w:tab w:val="right" w:leader="dot" w:pos="8306"/>
              <w:tab w:val="clear" w:pos="8296"/>
            </w:tabs>
          </w:pPr>
          <w:r>
            <w:fldChar w:fldCharType="begin"/>
          </w:r>
          <w:r>
            <w:instrText xml:space="preserve"> HYPERLINK \l _Toc7358 </w:instrText>
          </w:r>
          <w:r>
            <w:fldChar w:fldCharType="separate"/>
          </w:r>
          <w:r>
            <w:rPr>
              <w:rFonts w:hint="eastAsia" w:ascii="Times New Roman" w:hAnsi="Times New Roman" w:eastAsia="楷体_GB2312" w:cs="楷体_GB2312"/>
              <w:szCs w:val="32"/>
              <w:highlight w:val="none"/>
            </w:rPr>
            <w:t>（一）机关运行经费支出情况</w:t>
          </w:r>
          <w:r>
            <w:tab/>
          </w:r>
          <w:r>
            <w:fldChar w:fldCharType="begin"/>
          </w:r>
          <w:r>
            <w:instrText xml:space="preserve"> PAGEREF _Toc7358 \h </w:instrText>
          </w:r>
          <w:r>
            <w:fldChar w:fldCharType="separate"/>
          </w:r>
          <w:r>
            <w:t>10</w:t>
          </w:r>
          <w:r>
            <w:fldChar w:fldCharType="end"/>
          </w:r>
          <w:r>
            <w:fldChar w:fldCharType="end"/>
          </w:r>
        </w:p>
        <w:p>
          <w:pPr>
            <w:pStyle w:val="9"/>
            <w:tabs>
              <w:tab w:val="right" w:leader="dot" w:pos="8306"/>
              <w:tab w:val="clear" w:pos="8296"/>
            </w:tabs>
          </w:pPr>
          <w:r>
            <w:fldChar w:fldCharType="begin"/>
          </w:r>
          <w:r>
            <w:instrText xml:space="preserve"> HYPERLINK \l _Toc14816 </w:instrText>
          </w:r>
          <w:r>
            <w:fldChar w:fldCharType="separate"/>
          </w:r>
          <w:r>
            <w:rPr>
              <w:rFonts w:hint="eastAsia" w:ascii="Times New Roman" w:hAnsi="Times New Roman" w:eastAsia="楷体_GB2312" w:cs="楷体_GB2312"/>
              <w:szCs w:val="32"/>
              <w:highlight w:val="none"/>
            </w:rPr>
            <w:t>（二）政府采购支出情况</w:t>
          </w:r>
          <w:r>
            <w:tab/>
          </w:r>
          <w:r>
            <w:fldChar w:fldCharType="begin"/>
          </w:r>
          <w:r>
            <w:instrText xml:space="preserve"> PAGEREF _Toc14816 \h </w:instrText>
          </w:r>
          <w:r>
            <w:fldChar w:fldCharType="separate"/>
          </w:r>
          <w:r>
            <w:t>10</w:t>
          </w:r>
          <w:r>
            <w:fldChar w:fldCharType="end"/>
          </w:r>
          <w:r>
            <w:fldChar w:fldCharType="end"/>
          </w:r>
        </w:p>
        <w:p>
          <w:pPr>
            <w:pStyle w:val="9"/>
            <w:tabs>
              <w:tab w:val="right" w:leader="dot" w:pos="8306"/>
              <w:tab w:val="clear" w:pos="8296"/>
            </w:tabs>
          </w:pPr>
          <w:r>
            <w:fldChar w:fldCharType="begin"/>
          </w:r>
          <w:r>
            <w:instrText xml:space="preserve"> HYPERLINK \l _Toc31134 </w:instrText>
          </w:r>
          <w:r>
            <w:fldChar w:fldCharType="separate"/>
          </w:r>
          <w:r>
            <w:rPr>
              <w:rFonts w:hint="eastAsia" w:ascii="Times New Roman" w:hAnsi="Times New Roman" w:eastAsia="楷体_GB2312" w:cs="楷体_GB2312"/>
              <w:szCs w:val="32"/>
              <w:highlight w:val="none"/>
            </w:rPr>
            <w:t>（三）国有资产占有使用情况</w:t>
          </w:r>
          <w:r>
            <w:tab/>
          </w:r>
          <w:r>
            <w:fldChar w:fldCharType="begin"/>
          </w:r>
          <w:r>
            <w:instrText xml:space="preserve"> PAGEREF _Toc31134 \h </w:instrText>
          </w:r>
          <w:r>
            <w:fldChar w:fldCharType="separate"/>
          </w:r>
          <w:r>
            <w:t>11</w:t>
          </w:r>
          <w:r>
            <w:fldChar w:fldCharType="end"/>
          </w:r>
          <w:r>
            <w:fldChar w:fldCharType="end"/>
          </w:r>
        </w:p>
        <w:p>
          <w:pPr>
            <w:pStyle w:val="9"/>
            <w:tabs>
              <w:tab w:val="right" w:leader="dot" w:pos="8306"/>
              <w:tab w:val="clear" w:pos="8296"/>
            </w:tabs>
          </w:pPr>
          <w:r>
            <w:fldChar w:fldCharType="begin"/>
          </w:r>
          <w:r>
            <w:instrText xml:space="preserve"> HYPERLINK \l _Toc32038 </w:instrText>
          </w:r>
          <w:r>
            <w:fldChar w:fldCharType="separate"/>
          </w:r>
          <w:r>
            <w:rPr>
              <w:rFonts w:hint="eastAsia" w:eastAsia="楷体_GB2312" w:cs="楷体_GB2312"/>
              <w:szCs w:val="32"/>
              <w:highlight w:val="none"/>
              <w:lang w:eastAsia="zh-CN"/>
            </w:rPr>
            <w:t>（</w:t>
          </w:r>
          <w:r>
            <w:rPr>
              <w:rFonts w:hint="eastAsia" w:ascii="Times New Roman" w:hAnsi="Times New Roman" w:eastAsia="楷体_GB2312" w:cs="楷体_GB2312"/>
              <w:szCs w:val="32"/>
              <w:highlight w:val="none"/>
            </w:rPr>
            <w:t>四）预算绩效管理情况</w:t>
          </w:r>
          <w:r>
            <w:tab/>
          </w:r>
          <w:r>
            <w:fldChar w:fldCharType="begin"/>
          </w:r>
          <w:r>
            <w:instrText xml:space="preserve"> PAGEREF _Toc32038 \h </w:instrText>
          </w:r>
          <w:r>
            <w:fldChar w:fldCharType="separate"/>
          </w:r>
          <w:r>
            <w:t>11</w:t>
          </w:r>
          <w:r>
            <w:fldChar w:fldCharType="end"/>
          </w:r>
          <w:r>
            <w:fldChar w:fldCharType="end"/>
          </w:r>
        </w:p>
        <w:p>
          <w:pPr>
            <w:pStyle w:val="13"/>
            <w:tabs>
              <w:tab w:val="right" w:leader="dot" w:pos="8306"/>
              <w:tab w:val="clear" w:pos="8296"/>
            </w:tabs>
          </w:pPr>
          <w:r>
            <w:fldChar w:fldCharType="begin"/>
          </w:r>
          <w:r>
            <w:instrText xml:space="preserve"> HYPERLINK \l _Toc20916 </w:instrText>
          </w:r>
          <w:r>
            <w:fldChar w:fldCharType="separate"/>
          </w:r>
          <w:r>
            <w:rPr>
              <w:rFonts w:hint="eastAsia" w:ascii="Times New Roman" w:hAnsi="Times New Roman" w:eastAsia="黑体"/>
              <w:szCs w:val="44"/>
              <w:highlight w:val="none"/>
            </w:rPr>
            <w:t>第</w:t>
          </w:r>
          <w:r>
            <w:rPr>
              <w:rFonts w:hint="eastAsia" w:eastAsia="黑体"/>
              <w:szCs w:val="44"/>
              <w:highlight w:val="none"/>
              <w:lang w:eastAsia="zh-CN"/>
            </w:rPr>
            <w:t>三</w:t>
          </w:r>
          <w:r>
            <w:rPr>
              <w:rFonts w:hint="eastAsia" w:ascii="Times New Roman" w:hAnsi="Times New Roman" w:eastAsia="黑体"/>
              <w:szCs w:val="44"/>
              <w:highlight w:val="none"/>
            </w:rPr>
            <w:t>部分</w:t>
          </w:r>
          <w:r>
            <w:rPr>
              <w:rFonts w:hint="eastAsia" w:ascii="Times New Roman" w:hAnsi="Times New Roman" w:eastAsia="黑体"/>
              <w:szCs w:val="44"/>
              <w:highlight w:val="none"/>
              <w:lang w:val="en-US" w:eastAsia="zh-CN"/>
            </w:rPr>
            <w:t xml:space="preserve"> </w:t>
          </w:r>
          <w:r>
            <w:rPr>
              <w:rFonts w:hint="eastAsia" w:eastAsia="黑体"/>
              <w:szCs w:val="44"/>
              <w:highlight w:val="none"/>
              <w:lang w:val="en-US" w:eastAsia="zh-CN"/>
            </w:rPr>
            <w:t xml:space="preserve"> </w:t>
          </w:r>
          <w:r>
            <w:rPr>
              <w:rFonts w:hint="eastAsia" w:ascii="Times New Roman" w:hAnsi="Times New Roman" w:eastAsia="黑体"/>
              <w:szCs w:val="44"/>
              <w:highlight w:val="none"/>
            </w:rPr>
            <w:t>名词解释</w:t>
          </w:r>
          <w:r>
            <w:tab/>
          </w:r>
          <w:r>
            <w:fldChar w:fldCharType="begin"/>
          </w:r>
          <w:r>
            <w:instrText xml:space="preserve"> PAGEREF _Toc20916 \h </w:instrText>
          </w:r>
          <w:r>
            <w:fldChar w:fldCharType="separate"/>
          </w:r>
          <w:r>
            <w:t>12</w:t>
          </w:r>
          <w:r>
            <w:fldChar w:fldCharType="end"/>
          </w:r>
          <w:r>
            <w:fldChar w:fldCharType="end"/>
          </w:r>
        </w:p>
        <w:p>
          <w:pPr>
            <w:pStyle w:val="13"/>
            <w:tabs>
              <w:tab w:val="right" w:leader="dot" w:pos="8306"/>
              <w:tab w:val="clear" w:pos="8296"/>
            </w:tabs>
          </w:pPr>
          <w:r>
            <w:fldChar w:fldCharType="begin"/>
          </w:r>
          <w:r>
            <w:instrText xml:space="preserve"> HYPERLINK \l _Toc71 </w:instrText>
          </w:r>
          <w:r>
            <w:fldChar w:fldCharType="separate"/>
          </w:r>
          <w:r>
            <w:rPr>
              <w:rFonts w:hint="eastAsia" w:ascii="Times New Roman" w:hAnsi="Times New Roman" w:eastAsia="黑体"/>
              <w:szCs w:val="44"/>
              <w:highlight w:val="none"/>
            </w:rPr>
            <w:t>第四部分</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 附件</w:t>
          </w:r>
          <w:r>
            <w:tab/>
          </w:r>
          <w:r>
            <w:fldChar w:fldCharType="begin"/>
          </w:r>
          <w:r>
            <w:instrText xml:space="preserve"> PAGEREF _Toc71 \h </w:instrText>
          </w:r>
          <w:r>
            <w:fldChar w:fldCharType="separate"/>
          </w:r>
          <w:r>
            <w:t>14</w:t>
          </w:r>
          <w:r>
            <w:fldChar w:fldCharType="end"/>
          </w:r>
          <w:r>
            <w:fldChar w:fldCharType="end"/>
          </w:r>
        </w:p>
        <w:p>
          <w:pPr>
            <w:pStyle w:val="16"/>
            <w:tabs>
              <w:tab w:val="right" w:leader="dot" w:pos="8306"/>
              <w:tab w:val="clear" w:pos="8296"/>
            </w:tabs>
          </w:pPr>
          <w:r>
            <w:fldChar w:fldCharType="begin"/>
          </w:r>
          <w:r>
            <w:instrText xml:space="preserve"> HYPERLINK \l _Toc21193 </w:instrText>
          </w:r>
          <w:r>
            <w:fldChar w:fldCharType="separate"/>
          </w:r>
          <w:r>
            <w:rPr>
              <w:rFonts w:hint="default" w:ascii="Times New Roman" w:hAnsi="Times New Roman" w:eastAsia="方正小标宋简体" w:cs="Times New Roman"/>
              <w:bCs/>
              <w:szCs w:val="44"/>
              <w:highlight w:val="none"/>
              <w:shd w:val="clear" w:color="auto" w:fill="FFFFFF"/>
            </w:rPr>
            <w:t>部门</w:t>
          </w:r>
          <w:r>
            <w:rPr>
              <w:rFonts w:hint="default" w:ascii="Times New Roman" w:hAnsi="Times New Roman" w:eastAsia="方正小标宋简体" w:cs="Times New Roman"/>
              <w:bCs/>
              <w:szCs w:val="44"/>
              <w:highlight w:val="none"/>
              <w:shd w:val="clear" w:color="auto" w:fill="FFFFFF"/>
              <w:lang w:eastAsia="zh-CN"/>
            </w:rPr>
            <w:t>预算</w:t>
          </w:r>
          <w:r>
            <w:rPr>
              <w:rFonts w:hint="default" w:ascii="Times New Roman" w:hAnsi="Times New Roman" w:eastAsia="方正小标宋简体" w:cs="Times New Roman"/>
              <w:bCs/>
              <w:szCs w:val="44"/>
              <w:highlight w:val="none"/>
              <w:shd w:val="clear" w:color="auto" w:fill="FFFFFF"/>
            </w:rPr>
            <w:t>绩效</w:t>
          </w:r>
          <w:r>
            <w:rPr>
              <w:rFonts w:hint="eastAsia" w:ascii="Times New Roman" w:hAnsi="Times New Roman" w:eastAsia="方正小标宋简体" w:cs="Times New Roman"/>
              <w:bCs/>
              <w:szCs w:val="44"/>
              <w:highlight w:val="none"/>
              <w:shd w:val="clear" w:color="auto" w:fill="FFFFFF"/>
              <w:lang w:eastAsia="zh-CN"/>
            </w:rPr>
            <w:t>评价</w:t>
          </w:r>
          <w:r>
            <w:rPr>
              <w:rFonts w:hint="default" w:ascii="Times New Roman" w:hAnsi="Times New Roman" w:eastAsia="方正小标宋简体" w:cs="Times New Roman"/>
              <w:bCs/>
              <w:szCs w:val="44"/>
              <w:highlight w:val="none"/>
              <w:shd w:val="clear" w:color="auto" w:fill="FFFFFF"/>
            </w:rPr>
            <w:t>报告</w:t>
          </w:r>
          <w:r>
            <w:tab/>
          </w:r>
          <w:r>
            <w:fldChar w:fldCharType="begin"/>
          </w:r>
          <w:r>
            <w:instrText xml:space="preserve"> PAGEREF _Toc21193 \h </w:instrText>
          </w:r>
          <w:r>
            <w:fldChar w:fldCharType="separate"/>
          </w:r>
          <w:r>
            <w:t>14</w:t>
          </w:r>
          <w:r>
            <w:fldChar w:fldCharType="end"/>
          </w:r>
          <w:r>
            <w:fldChar w:fldCharType="end"/>
          </w:r>
        </w:p>
        <w:p>
          <w:pPr>
            <w:pStyle w:val="16"/>
            <w:tabs>
              <w:tab w:val="right" w:leader="dot" w:pos="8306"/>
              <w:tab w:val="clear" w:pos="8296"/>
            </w:tabs>
          </w:pPr>
          <w:r>
            <w:fldChar w:fldCharType="begin"/>
          </w:r>
          <w:r>
            <w:instrText xml:space="preserve"> HYPERLINK \l _Toc19929 </w:instrText>
          </w:r>
          <w:r>
            <w:fldChar w:fldCharType="separate"/>
          </w:r>
          <w:r>
            <w:rPr>
              <w:rFonts w:hint="default" w:ascii="Times New Roman" w:hAnsi="Times New Roman" w:eastAsia="黑体" w:cs="Times New Roman"/>
              <w:kern w:val="0"/>
              <w:szCs w:val="32"/>
              <w:highlight w:val="none"/>
              <w:shd w:val="clear" w:color="auto" w:fill="FFFFFF"/>
              <w:lang w:val="zh-CN"/>
            </w:rPr>
            <w:t>一、部门（单位）基本情况</w:t>
          </w:r>
          <w:r>
            <w:tab/>
          </w:r>
          <w:r>
            <w:fldChar w:fldCharType="begin"/>
          </w:r>
          <w:r>
            <w:instrText xml:space="preserve"> PAGEREF _Toc19929 \h </w:instrText>
          </w:r>
          <w:r>
            <w:fldChar w:fldCharType="separate"/>
          </w:r>
          <w:r>
            <w:t>14</w:t>
          </w:r>
          <w:r>
            <w:fldChar w:fldCharType="end"/>
          </w:r>
          <w:r>
            <w:fldChar w:fldCharType="end"/>
          </w:r>
        </w:p>
        <w:p>
          <w:pPr>
            <w:pStyle w:val="16"/>
            <w:tabs>
              <w:tab w:val="right" w:leader="dot" w:pos="8306"/>
              <w:tab w:val="clear" w:pos="8296"/>
            </w:tabs>
          </w:pPr>
          <w:r>
            <w:fldChar w:fldCharType="begin"/>
          </w:r>
          <w:r>
            <w:instrText xml:space="preserve"> HYPERLINK \l _Toc11591 </w:instrText>
          </w:r>
          <w:r>
            <w:fldChar w:fldCharType="separate"/>
          </w:r>
          <w:r>
            <w:rPr>
              <w:rFonts w:hint="default" w:ascii="Times New Roman" w:hAnsi="Times New Roman" w:eastAsia="黑体" w:cs="Times New Roman"/>
              <w:kern w:val="0"/>
              <w:szCs w:val="32"/>
              <w:highlight w:val="none"/>
              <w:shd w:val="clear" w:color="auto" w:fill="FFFFFF"/>
            </w:rPr>
            <w:t>二、</w:t>
          </w:r>
          <w:r>
            <w:rPr>
              <w:rFonts w:hint="default" w:ascii="Times New Roman" w:hAnsi="Times New Roman" w:eastAsia="黑体" w:cs="Times New Roman"/>
              <w:kern w:val="0"/>
              <w:szCs w:val="32"/>
              <w:highlight w:val="none"/>
              <w:shd w:val="clear" w:color="auto" w:fill="FFFFFF"/>
              <w:lang w:eastAsia="zh-CN"/>
            </w:rPr>
            <w:t>部门</w:t>
          </w:r>
          <w:r>
            <w:rPr>
              <w:rFonts w:hint="default" w:ascii="Times New Roman" w:hAnsi="Times New Roman" w:eastAsia="黑体" w:cs="Times New Roman"/>
              <w:kern w:val="0"/>
              <w:szCs w:val="32"/>
              <w:highlight w:val="none"/>
              <w:shd w:val="clear" w:color="auto" w:fill="FFFFFF"/>
            </w:rPr>
            <w:t>资金收支情况</w:t>
          </w:r>
          <w:r>
            <w:tab/>
          </w:r>
          <w:r>
            <w:fldChar w:fldCharType="begin"/>
          </w:r>
          <w:r>
            <w:instrText xml:space="preserve"> PAGEREF _Toc11591 \h </w:instrText>
          </w:r>
          <w:r>
            <w:fldChar w:fldCharType="separate"/>
          </w:r>
          <w:r>
            <w:t>15</w:t>
          </w:r>
          <w:r>
            <w:fldChar w:fldCharType="end"/>
          </w:r>
          <w:r>
            <w:fldChar w:fldCharType="end"/>
          </w:r>
        </w:p>
        <w:p>
          <w:pPr>
            <w:pStyle w:val="16"/>
            <w:tabs>
              <w:tab w:val="right" w:leader="dot" w:pos="8306"/>
              <w:tab w:val="clear" w:pos="8296"/>
            </w:tabs>
          </w:pPr>
          <w:r>
            <w:fldChar w:fldCharType="begin"/>
          </w:r>
          <w:r>
            <w:instrText xml:space="preserve"> HYPERLINK \l _Toc6075 </w:instrText>
          </w:r>
          <w:r>
            <w:fldChar w:fldCharType="separate"/>
          </w:r>
          <w:r>
            <w:fldChar w:fldCharType="end"/>
          </w:r>
        </w:p>
        <w:p>
          <w:pPr>
            <w:pStyle w:val="16"/>
            <w:tabs>
              <w:tab w:val="right" w:leader="dot" w:pos="8306"/>
              <w:tab w:val="clear" w:pos="8296"/>
            </w:tabs>
          </w:pPr>
          <w:r>
            <w:fldChar w:fldCharType="begin"/>
          </w:r>
          <w:r>
            <w:instrText xml:space="preserve"> HYPERLINK \l _Toc5201 </w:instrText>
          </w:r>
          <w:r>
            <w:fldChar w:fldCharType="separate"/>
          </w:r>
          <w:r>
            <w:rPr>
              <w:rFonts w:hint="default" w:ascii="Times New Roman" w:hAnsi="Times New Roman" w:eastAsia="黑体" w:cs="Times New Roman"/>
              <w:kern w:val="0"/>
              <w:szCs w:val="32"/>
              <w:highlight w:val="none"/>
              <w:shd w:val="clear" w:color="auto" w:fill="FFFFFF"/>
            </w:rPr>
            <w:t>三、部门</w:t>
          </w:r>
          <w:r>
            <w:rPr>
              <w:rFonts w:hint="default" w:ascii="Times New Roman" w:hAnsi="Times New Roman" w:eastAsia="黑体" w:cs="Times New Roman"/>
              <w:kern w:val="0"/>
              <w:szCs w:val="32"/>
              <w:highlight w:val="none"/>
              <w:shd w:val="clear" w:color="auto" w:fill="FFFFFF"/>
              <w:lang w:eastAsia="zh-CN"/>
            </w:rPr>
            <w:t>预算</w:t>
          </w:r>
          <w:r>
            <w:rPr>
              <w:rFonts w:hint="default" w:ascii="Times New Roman" w:hAnsi="Times New Roman" w:eastAsia="黑体" w:cs="Times New Roman"/>
              <w:kern w:val="0"/>
              <w:szCs w:val="32"/>
              <w:highlight w:val="none"/>
              <w:shd w:val="clear" w:color="auto" w:fill="FFFFFF"/>
            </w:rPr>
            <w:t>绩效</w:t>
          </w:r>
          <w:r>
            <w:rPr>
              <w:rFonts w:hint="default" w:ascii="Times New Roman" w:hAnsi="Times New Roman" w:eastAsia="黑体" w:cs="Times New Roman"/>
              <w:kern w:val="0"/>
              <w:szCs w:val="32"/>
              <w:highlight w:val="none"/>
              <w:shd w:val="clear" w:color="auto" w:fill="FFFFFF"/>
              <w:lang w:eastAsia="zh-CN"/>
            </w:rPr>
            <w:t>分析</w:t>
          </w:r>
          <w:r>
            <w:tab/>
          </w:r>
          <w:r>
            <w:fldChar w:fldCharType="begin"/>
          </w:r>
          <w:r>
            <w:instrText xml:space="preserve"> PAGEREF _Toc5201 \h </w:instrText>
          </w:r>
          <w:r>
            <w:fldChar w:fldCharType="separate"/>
          </w:r>
          <w:r>
            <w:t>16</w:t>
          </w:r>
          <w:r>
            <w:fldChar w:fldCharType="end"/>
          </w:r>
          <w:r>
            <w:fldChar w:fldCharType="end"/>
          </w:r>
        </w:p>
        <w:p>
          <w:pPr>
            <w:pStyle w:val="16"/>
            <w:tabs>
              <w:tab w:val="right" w:leader="dot" w:pos="8306"/>
              <w:tab w:val="clear" w:pos="8296"/>
            </w:tabs>
          </w:pPr>
          <w:r>
            <w:fldChar w:fldCharType="begin"/>
          </w:r>
          <w:r>
            <w:instrText xml:space="preserve"> HYPERLINK \l _Toc10286 </w:instrText>
          </w:r>
          <w:r>
            <w:fldChar w:fldCharType="separate"/>
          </w:r>
          <w:r>
            <w:rPr>
              <w:rFonts w:hint="default" w:ascii="Times New Roman" w:hAnsi="Times New Roman" w:eastAsia="黑体" w:cs="Times New Roman"/>
              <w:kern w:val="0"/>
              <w:szCs w:val="32"/>
              <w:highlight w:val="none"/>
              <w:shd w:val="clear" w:color="auto" w:fill="FFFFFF"/>
              <w:lang w:eastAsia="zh-CN"/>
            </w:rPr>
            <w:t>四、</w:t>
          </w:r>
          <w:r>
            <w:rPr>
              <w:rFonts w:hint="default" w:ascii="Times New Roman" w:hAnsi="Times New Roman" w:eastAsia="黑体" w:cs="Times New Roman"/>
              <w:kern w:val="0"/>
              <w:szCs w:val="32"/>
              <w:highlight w:val="none"/>
              <w:shd w:val="clear" w:color="auto" w:fill="FFFFFF"/>
            </w:rPr>
            <w:t>评价结论及建议</w:t>
          </w:r>
          <w:r>
            <w:tab/>
          </w:r>
          <w:r>
            <w:fldChar w:fldCharType="begin"/>
          </w:r>
          <w:r>
            <w:instrText xml:space="preserve"> PAGEREF _Toc10286 \h </w:instrText>
          </w:r>
          <w:r>
            <w:fldChar w:fldCharType="separate"/>
          </w:r>
          <w:r>
            <w:t>22</w:t>
          </w:r>
          <w:r>
            <w:fldChar w:fldCharType="end"/>
          </w:r>
          <w:r>
            <w:fldChar w:fldCharType="end"/>
          </w:r>
        </w:p>
        <w:p>
          <w:pPr>
            <w:pStyle w:val="16"/>
            <w:tabs>
              <w:tab w:val="right" w:leader="dot" w:pos="8306"/>
              <w:tab w:val="clear" w:pos="8296"/>
            </w:tabs>
          </w:pPr>
          <w:r>
            <w:fldChar w:fldCharType="begin"/>
          </w:r>
          <w:r>
            <w:instrText xml:space="preserve"> HYPERLINK \l _Toc12835 </w:instrText>
          </w:r>
          <w:r>
            <w:fldChar w:fldCharType="separate"/>
          </w:r>
          <w:r>
            <w:rPr>
              <w:rFonts w:hint="eastAsia" w:ascii="Times New Roman" w:hAnsi="Times New Roman" w:eastAsia="方正小标宋简体" w:cs="Times New Roman"/>
              <w:i w:val="0"/>
              <w:kern w:val="0"/>
              <w:szCs w:val="44"/>
              <w:lang w:val="en-US" w:eastAsia="zh-CN" w:bidi="ar"/>
            </w:rPr>
            <w:t>部门预算绩效自评打分表</w:t>
          </w:r>
          <w:r>
            <w:tab/>
          </w:r>
          <w:r>
            <w:fldChar w:fldCharType="begin"/>
          </w:r>
          <w:r>
            <w:instrText xml:space="preserve"> PAGEREF _Toc12835 \h </w:instrText>
          </w:r>
          <w:r>
            <w:fldChar w:fldCharType="separate"/>
          </w:r>
          <w:r>
            <w:t>23</w:t>
          </w:r>
          <w:r>
            <w:fldChar w:fldCharType="end"/>
          </w:r>
          <w:r>
            <w:fldChar w:fldCharType="end"/>
          </w:r>
        </w:p>
        <w:p>
          <w:pPr>
            <w:pStyle w:val="13"/>
            <w:tabs>
              <w:tab w:val="right" w:leader="dot" w:pos="8306"/>
              <w:tab w:val="clear" w:pos="8296"/>
            </w:tabs>
            <w:rPr>
              <w:sz w:val="28"/>
              <w:szCs w:val="28"/>
            </w:rPr>
          </w:pPr>
          <w:r>
            <w:rPr>
              <w:sz w:val="28"/>
              <w:szCs w:val="28"/>
            </w:rPr>
            <w:fldChar w:fldCharType="begin"/>
          </w:r>
          <w:r>
            <w:rPr>
              <w:sz w:val="28"/>
              <w:szCs w:val="28"/>
            </w:rPr>
            <w:instrText xml:space="preserve"> HYPERLINK \l _Toc11742 </w:instrText>
          </w:r>
          <w:r>
            <w:rPr>
              <w:sz w:val="28"/>
              <w:szCs w:val="28"/>
            </w:rPr>
            <w:fldChar w:fldCharType="separate"/>
          </w:r>
          <w:r>
            <w:rPr>
              <w:rFonts w:hint="eastAsia" w:ascii="Times New Roman" w:hAnsi="Times New Roman" w:eastAsia="黑体"/>
              <w:sz w:val="28"/>
              <w:szCs w:val="28"/>
              <w:highlight w:val="none"/>
            </w:rPr>
            <w:t>第五部分 附表</w:t>
          </w:r>
          <w:r>
            <w:rPr>
              <w:sz w:val="28"/>
              <w:szCs w:val="28"/>
            </w:rPr>
            <w:tab/>
          </w:r>
          <w:r>
            <w:rPr>
              <w:sz w:val="28"/>
              <w:szCs w:val="28"/>
            </w:rPr>
            <w:fldChar w:fldCharType="begin"/>
          </w:r>
          <w:r>
            <w:rPr>
              <w:sz w:val="28"/>
              <w:szCs w:val="28"/>
            </w:rPr>
            <w:instrText xml:space="preserve"> PAGEREF _Toc11742 \h </w:instrText>
          </w:r>
          <w:r>
            <w:rPr>
              <w:sz w:val="28"/>
              <w:szCs w:val="28"/>
            </w:rPr>
            <w:fldChar w:fldCharType="separate"/>
          </w:r>
          <w:r>
            <w:rPr>
              <w:sz w:val="28"/>
              <w:szCs w:val="28"/>
            </w:rPr>
            <w:t>24</w:t>
          </w:r>
          <w:r>
            <w:rPr>
              <w:sz w:val="28"/>
              <w:szCs w:val="28"/>
            </w:rPr>
            <w:fldChar w:fldCharType="end"/>
          </w:r>
          <w:r>
            <w:rPr>
              <w:sz w:val="28"/>
              <w:szCs w:val="28"/>
            </w:rPr>
            <w:fldChar w:fldCharType="end"/>
          </w:r>
        </w:p>
        <w:p>
          <w:r>
            <w:fldChar w:fldCharType="end"/>
          </w:r>
        </w:p>
      </w:sdtContent>
    </w:sdt>
    <w:p>
      <w:pPr>
        <w:pStyle w:val="3"/>
        <w:jc w:val="center"/>
        <w:rPr>
          <w:rFonts w:hint="eastAsia" w:ascii="Times New Roman" w:hAnsi="Times New Roman" w:eastAsia="方正小标宋简体" w:cs="方正小标宋简体"/>
          <w:b w:val="0"/>
          <w:color w:val="auto"/>
          <w:highlight w:val="none"/>
        </w:rPr>
        <w:sectPr>
          <w:footerReference r:id="rId5" w:type="first"/>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pPr>
    </w:p>
    <w:p>
      <w:pPr>
        <w:pStyle w:val="3"/>
        <w:jc w:val="center"/>
        <w:rPr>
          <w:rFonts w:ascii="Times New Roman" w:hAnsi="Times New Roman" w:eastAsia="黑体"/>
          <w:color w:val="auto"/>
          <w:sz w:val="32"/>
          <w:szCs w:val="32"/>
          <w:highlight w:val="none"/>
        </w:rPr>
      </w:pPr>
      <w:bookmarkStart w:id="19" w:name="_Toc31225"/>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0"/>
          <w:rFonts w:hint="eastAsia" w:ascii="Times New Roman" w:hAnsi="Times New Roman" w:eastAsia="方正小标宋简体" w:cs="方正小标宋简体"/>
          <w:b w:val="0"/>
          <w:bCs w:val="0"/>
          <w:color w:val="auto"/>
          <w:highlight w:val="none"/>
        </w:rPr>
        <w:t>部门概况</w:t>
      </w:r>
      <w:bookmarkEnd w:id="19"/>
    </w:p>
    <w:p>
      <w:pPr>
        <w:pStyle w:val="4"/>
        <w:numPr>
          <w:ilvl w:val="0"/>
          <w:numId w:val="1"/>
        </w:numPr>
        <w:rPr>
          <w:rFonts w:hint="eastAsia" w:ascii="Times New Roman" w:hAnsi="Times New Roman" w:eastAsia="黑体"/>
          <w:b w:val="0"/>
          <w:color w:val="auto"/>
          <w:highlight w:val="none"/>
          <w:lang w:eastAsia="zh-CN"/>
        </w:rPr>
      </w:pPr>
      <w:bookmarkStart w:id="20" w:name="_Toc25383"/>
      <w:r>
        <w:rPr>
          <w:rFonts w:hint="eastAsia" w:ascii="Times New Roman" w:hAnsi="Times New Roman" w:eastAsia="黑体"/>
          <w:b w:val="0"/>
          <w:color w:val="auto"/>
          <w:highlight w:val="none"/>
          <w:lang w:eastAsia="zh-CN"/>
        </w:rPr>
        <w:t>部门职责</w:t>
      </w:r>
      <w:bookmarkEnd w:id="20"/>
    </w:p>
    <w:p>
      <w:pPr>
        <w:spacing w:line="600" w:lineRule="exact"/>
        <w:ind w:firstLine="643" w:firstLineChars="200"/>
        <w:outlineLvl w:val="2"/>
        <w:rPr>
          <w:rFonts w:hint="default" w:eastAsia="楷体_GB2312"/>
          <w:lang w:val="en-US" w:eastAsia="zh-CN"/>
        </w:rPr>
      </w:pPr>
      <w:bookmarkStart w:id="21" w:name="_Toc30987"/>
      <w:r>
        <w:rPr>
          <w:rFonts w:hint="eastAsia" w:ascii="Times New Roman" w:hAnsi="Times New Roman" w:eastAsia="楷体_GB2312" w:cs="楷体_GB2312"/>
          <w:b/>
          <w:color w:val="auto"/>
          <w:sz w:val="32"/>
          <w:szCs w:val="32"/>
          <w:highlight w:val="none"/>
        </w:rPr>
        <w:t>（一）</w:t>
      </w:r>
      <w:r>
        <w:rPr>
          <w:rFonts w:hint="eastAsia" w:eastAsia="楷体_GB2312" w:cs="楷体_GB2312"/>
          <w:b/>
          <w:color w:val="auto"/>
          <w:sz w:val="32"/>
          <w:szCs w:val="32"/>
          <w:highlight w:val="none"/>
          <w:lang w:val="en-US" w:eastAsia="zh-CN"/>
        </w:rPr>
        <w:t>政协红原县委员会办公室职责</w:t>
      </w:r>
      <w:bookmarkEnd w:id="21"/>
    </w:p>
    <w:p>
      <w:pPr>
        <w:keepNext w:val="0"/>
        <w:keepLines w:val="0"/>
        <w:pageBreakBefore w:val="0"/>
        <w:widowControl w:val="0"/>
        <w:kinsoku/>
        <w:wordWrap w:val="0"/>
        <w:overflowPunct/>
        <w:topLinePunct w:val="0"/>
        <w:autoSpaceDE w:val="0"/>
        <w:autoSpaceDN/>
        <w:bidi w:val="0"/>
        <w:adjustRightInd w:val="0"/>
        <w:snapToGrid w:val="0"/>
        <w:spacing w:before="93" w:beforeLines="30" w:beforeAutospacing="0" w:after="0" w:afterAutospacing="0" w:line="572" w:lineRule="atLeast"/>
        <w:ind w:right="0"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1.负责政协红原县委员会全体会议、常委会议、主席会议和其他主要会议的组织和会务工作，并组织实施“三个例会”的决议、决定。</w:t>
      </w:r>
    </w:p>
    <w:p>
      <w:pPr>
        <w:keepNext w:val="0"/>
        <w:keepLines w:val="0"/>
        <w:pageBreakBefore w:val="0"/>
        <w:widowControl w:val="0"/>
        <w:kinsoku/>
        <w:wordWrap w:val="0"/>
        <w:overflowPunct/>
        <w:topLinePunct w:val="0"/>
        <w:autoSpaceDE w:val="0"/>
        <w:autoSpaceDN/>
        <w:bidi w:val="0"/>
        <w:adjustRightInd w:val="0"/>
        <w:snapToGrid w:val="0"/>
        <w:spacing w:before="93" w:beforeLines="30" w:beforeAutospacing="0" w:after="0" w:afterAutospacing="0" w:line="572" w:lineRule="atLeast"/>
        <w:ind w:right="0"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2.组织委员视察参观、调查、座谈等日常活动以及各专门委员会的其他工作的组织和服务工作，负责县政协举办各种重大活动的组织、宣传工作。</w:t>
      </w:r>
    </w:p>
    <w:p>
      <w:pPr>
        <w:keepNext w:val="0"/>
        <w:keepLines w:val="0"/>
        <w:pageBreakBefore w:val="0"/>
        <w:widowControl w:val="0"/>
        <w:kinsoku/>
        <w:wordWrap w:val="0"/>
        <w:overflowPunct/>
        <w:topLinePunct w:val="0"/>
        <w:autoSpaceDE w:val="0"/>
        <w:autoSpaceDN/>
        <w:bidi w:val="0"/>
        <w:adjustRightInd w:val="0"/>
        <w:snapToGrid w:val="0"/>
        <w:spacing w:before="93" w:beforeLines="30" w:beforeAutospacing="0" w:after="0" w:afterAutospacing="0" w:line="572" w:lineRule="atLeast"/>
        <w:ind w:right="0"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3.研究统一战线和人民政协的理论、政策，调查研究和了解有关我县各项事业及群众生活的重要问题提出解决办法，供党政机关参考。</w:t>
      </w:r>
    </w:p>
    <w:p>
      <w:pPr>
        <w:keepNext w:val="0"/>
        <w:keepLines w:val="0"/>
        <w:pageBreakBefore w:val="0"/>
        <w:widowControl w:val="0"/>
        <w:kinsoku/>
        <w:wordWrap w:val="0"/>
        <w:overflowPunct/>
        <w:topLinePunct w:val="0"/>
        <w:autoSpaceDN/>
        <w:bidi w:val="0"/>
        <w:adjustRightInd w:val="0"/>
        <w:snapToGrid w:val="0"/>
        <w:spacing w:before="93" w:beforeLines="30" w:beforeAutospacing="0" w:after="0" w:afterAutospacing="0" w:line="572" w:lineRule="atLeast"/>
        <w:ind w:right="0"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4.密切与县委、县人大、县政府有关部门的联系，搞好协调工作，做好上情下达、下情上报工作。</w:t>
      </w:r>
    </w:p>
    <w:p>
      <w:pPr>
        <w:keepNext w:val="0"/>
        <w:keepLines w:val="0"/>
        <w:pageBreakBefore w:val="0"/>
        <w:widowControl w:val="0"/>
        <w:kinsoku/>
        <w:wordWrap w:val="0"/>
        <w:overflowPunct/>
        <w:topLinePunct w:val="0"/>
        <w:autoSpaceDN/>
        <w:bidi w:val="0"/>
        <w:adjustRightInd w:val="0"/>
        <w:snapToGrid w:val="0"/>
        <w:spacing w:before="93" w:beforeLines="30" w:beforeAutospacing="0" w:after="0" w:afterAutospacing="0" w:line="572" w:lineRule="atLeast"/>
        <w:ind w:right="0"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5.负责政协工作的内外宣传、收集、反映各族各界人士的意见、建议。</w:t>
      </w:r>
    </w:p>
    <w:p>
      <w:pPr>
        <w:keepNext w:val="0"/>
        <w:keepLines w:val="0"/>
        <w:pageBreakBefore w:val="0"/>
        <w:widowControl w:val="0"/>
        <w:kinsoku/>
        <w:wordWrap w:val="0"/>
        <w:overflowPunct/>
        <w:topLinePunct w:val="0"/>
        <w:autoSpaceDN/>
        <w:bidi w:val="0"/>
        <w:adjustRightInd w:val="0"/>
        <w:snapToGrid w:val="0"/>
        <w:spacing w:before="93" w:beforeLines="30" w:beforeAutospacing="0" w:after="0" w:afterAutospacing="0" w:line="572" w:lineRule="atLeast"/>
        <w:ind w:right="0"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6.负责管理政协委员会机关行政、文秘、档案、信访、保密等工作。</w:t>
      </w:r>
    </w:p>
    <w:p>
      <w:pPr>
        <w:numPr>
          <w:ilvl w:val="0"/>
          <w:numId w:val="0"/>
        </w:numPr>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7.承担县政协主席、副主席和州政协交办的其他工作。</w:t>
      </w:r>
    </w:p>
    <w:p>
      <w:pPr>
        <w:spacing w:line="600" w:lineRule="exact"/>
        <w:ind w:firstLine="643" w:firstLineChars="200"/>
        <w:outlineLvl w:val="2"/>
        <w:rPr>
          <w:rFonts w:hint="default" w:ascii="Times New Roman" w:hAnsi="Times New Roman" w:eastAsia="楷体_GB2312" w:cs="楷体_GB2312"/>
          <w:b/>
          <w:color w:val="auto"/>
          <w:sz w:val="32"/>
          <w:szCs w:val="32"/>
          <w:highlight w:val="none"/>
          <w:lang w:val="en-US" w:eastAsia="zh-CN"/>
        </w:rPr>
      </w:pPr>
      <w:bookmarkStart w:id="22" w:name="_Toc4745"/>
      <w:r>
        <w:rPr>
          <w:rFonts w:hint="eastAsia" w:ascii="Times New Roman" w:hAnsi="Times New Roman" w:eastAsia="楷体_GB2312" w:cs="楷体_GB2312"/>
          <w:b/>
          <w:color w:val="auto"/>
          <w:sz w:val="32"/>
          <w:szCs w:val="32"/>
          <w:highlight w:val="none"/>
        </w:rPr>
        <w:t>（</w:t>
      </w:r>
      <w:r>
        <w:rPr>
          <w:rFonts w:hint="eastAsia" w:eastAsia="楷体_GB2312" w:cs="楷体_GB2312"/>
          <w:b/>
          <w:color w:val="auto"/>
          <w:sz w:val="32"/>
          <w:szCs w:val="32"/>
          <w:highlight w:val="none"/>
          <w:lang w:val="en-US" w:eastAsia="zh-CN"/>
        </w:rPr>
        <w:t>二</w:t>
      </w:r>
      <w:r>
        <w:rPr>
          <w:rFonts w:hint="eastAsia" w:ascii="Times New Roman" w:hAnsi="Times New Roman" w:eastAsia="楷体_GB2312" w:cs="楷体_GB2312"/>
          <w:b/>
          <w:color w:val="auto"/>
          <w:sz w:val="32"/>
          <w:szCs w:val="32"/>
          <w:highlight w:val="none"/>
        </w:rPr>
        <w:t>）</w:t>
      </w:r>
      <w:r>
        <w:rPr>
          <w:rFonts w:hint="eastAsia" w:eastAsia="楷体_GB2312" w:cs="楷体_GB2312"/>
          <w:b/>
          <w:color w:val="auto"/>
          <w:sz w:val="32"/>
          <w:szCs w:val="32"/>
          <w:highlight w:val="none"/>
          <w:lang w:val="en-US" w:eastAsia="zh-CN"/>
        </w:rPr>
        <w:t>红原县政协网络信息服务中心职责</w:t>
      </w:r>
      <w:bookmarkEnd w:id="22"/>
    </w:p>
    <w:p>
      <w:pPr>
        <w:snapToGrid w:val="0"/>
        <w:spacing w:line="520" w:lineRule="exact"/>
        <w:ind w:firstLine="640" w:firstLineChars="200"/>
        <w:rPr>
          <w:rFonts w:hint="eastAsia"/>
          <w:lang w:eastAsia="zh-CN"/>
        </w:rPr>
      </w:pPr>
      <w:r>
        <w:rPr>
          <w:rFonts w:hint="eastAsia" w:ascii="仿宋_GB2312" w:hAnsi="仿宋" w:eastAsia="仿宋_GB2312"/>
          <w:sz w:val="32"/>
          <w:szCs w:val="32"/>
          <w:lang w:val="en-US" w:eastAsia="zh-CN"/>
        </w:rPr>
        <w:t>承担政协机关信息化的规划、建设、运行、管理维护等工作，保障机关网络的正常运行；负责机关系统和软件的安装与维护。</w:t>
      </w:r>
    </w:p>
    <w:p>
      <w:pPr>
        <w:pStyle w:val="4"/>
        <w:rPr>
          <w:rStyle w:val="31"/>
          <w:rFonts w:ascii="Times New Roman" w:hAnsi="Times New Roman"/>
          <w:b w:val="0"/>
          <w:bCs w:val="0"/>
          <w:color w:val="auto"/>
          <w:highlight w:val="none"/>
        </w:rPr>
      </w:pPr>
      <w:bookmarkStart w:id="23" w:name="_Toc15396601"/>
      <w:bookmarkStart w:id="24" w:name="_Toc15377200"/>
      <w:bookmarkStart w:id="25" w:name="_Toc1604"/>
      <w:r>
        <w:rPr>
          <w:rFonts w:hint="eastAsia" w:ascii="Times New Roman" w:hAnsi="Times New Roman" w:eastAsia="黑体"/>
          <w:b w:val="0"/>
          <w:color w:val="auto"/>
          <w:highlight w:val="none"/>
        </w:rPr>
        <w:t>二、机</w:t>
      </w:r>
      <w:r>
        <w:rPr>
          <w:rStyle w:val="31"/>
          <w:rFonts w:hint="eastAsia" w:ascii="Times New Roman" w:hAnsi="Times New Roman" w:eastAsia="黑体"/>
          <w:b w:val="0"/>
          <w:bCs w:val="0"/>
          <w:color w:val="auto"/>
          <w:highlight w:val="none"/>
        </w:rPr>
        <w:t>构设置</w:t>
      </w:r>
      <w:bookmarkEnd w:id="23"/>
      <w:bookmarkEnd w:id="24"/>
      <w:bookmarkEnd w:id="25"/>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中国人民政治协商会议四川省红原县委员会办公室下属</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级预算单位2个，其中行政单位</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个，参照公务员法管理的事业单位</w:t>
      </w:r>
      <w:r>
        <w:rPr>
          <w:rFonts w:hint="eastAsia" w:ascii="仿宋_GB2312" w:hAnsi="仿宋_GB2312" w:eastAsia="仿宋_GB2312" w:cs="仿宋_GB2312"/>
          <w:bCs/>
          <w:sz w:val="32"/>
          <w:szCs w:val="32"/>
          <w:lang w:val="en-US" w:eastAsia="zh-CN"/>
        </w:rPr>
        <w:t>0</w:t>
      </w:r>
      <w:r>
        <w:rPr>
          <w:rFonts w:hint="eastAsia" w:ascii="仿宋_GB2312" w:hAnsi="仿宋_GB2312" w:eastAsia="仿宋_GB2312" w:cs="仿宋_GB2312"/>
          <w:sz w:val="32"/>
          <w:szCs w:val="32"/>
        </w:rPr>
        <w:t>个，其他事业单位</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w:t>
      </w:r>
    </w:p>
    <w:p>
      <w:pPr>
        <w:pStyle w:val="6"/>
        <w:adjustRightInd w:val="0"/>
        <w:snapToGrid w:val="0"/>
        <w:spacing w:before="93" w:line="600" w:lineRule="exact"/>
        <w:ind w:firstLine="672" w:firstLineChars="21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纳入</w:t>
      </w:r>
      <w:r>
        <w:rPr>
          <w:rFonts w:hint="eastAsia" w:ascii="仿宋_GB2312" w:hAnsi="仿宋_GB2312" w:eastAsia="仿宋_GB2312" w:cs="仿宋_GB2312"/>
          <w:kern w:val="2"/>
          <w:sz w:val="32"/>
          <w:szCs w:val="32"/>
        </w:rPr>
        <w:t>中国人民政治协商会议四川省红原县委员会办公室</w:t>
      </w:r>
      <w:r>
        <w:rPr>
          <w:rFonts w:hint="eastAsia" w:hAnsi="仿宋_GB2312" w:cs="仿宋_GB2312"/>
          <w:sz w:val="32"/>
          <w:szCs w:val="32"/>
          <w:lang w:eastAsia="zh-CN"/>
        </w:rPr>
        <w:t>202</w:t>
      </w:r>
      <w:r>
        <w:rPr>
          <w:rFonts w:hint="eastAsia" w:hAnsi="仿宋_GB2312" w:cs="仿宋_GB2312"/>
          <w:sz w:val="32"/>
          <w:szCs w:val="32"/>
          <w:lang w:val="en-US" w:eastAsia="zh-CN"/>
        </w:rPr>
        <w:t>5</w:t>
      </w:r>
      <w:r>
        <w:rPr>
          <w:rFonts w:hint="eastAsia" w:ascii="仿宋_GB2312" w:hAnsi="仿宋_GB2312" w:eastAsia="仿宋_GB2312" w:cs="仿宋_GB2312"/>
          <w:sz w:val="32"/>
          <w:szCs w:val="32"/>
        </w:rPr>
        <w:t>年度部门决算编制范围的</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级预算单位包括：</w:t>
      </w:r>
    </w:p>
    <w:p>
      <w:pPr>
        <w:pStyle w:val="6"/>
        <w:numPr>
          <w:ilvl w:val="0"/>
          <w:numId w:val="2"/>
        </w:numPr>
        <w:adjustRightInd w:val="0"/>
        <w:snapToGrid w:val="0"/>
        <w:spacing w:before="93" w:line="600" w:lineRule="exact"/>
        <w:outlineLvl w:val="2"/>
        <w:rPr>
          <w:rFonts w:hint="eastAsia" w:ascii="仿宋_GB2312" w:hAnsi="仿宋_GB2312" w:eastAsia="仿宋_GB2312" w:cs="仿宋_GB2312"/>
          <w:kern w:val="2"/>
          <w:sz w:val="32"/>
          <w:szCs w:val="32"/>
        </w:rPr>
      </w:pPr>
      <w:bookmarkStart w:id="26" w:name="_Toc15377202"/>
      <w:bookmarkStart w:id="27" w:name="_Toc15377433"/>
      <w:bookmarkStart w:id="28" w:name="_Toc8386"/>
      <w:bookmarkStart w:id="29" w:name="_Toc15378449"/>
      <w:bookmarkStart w:id="30" w:name="_Toc15306276"/>
      <w:bookmarkStart w:id="31" w:name="_Toc13664"/>
      <w:r>
        <w:rPr>
          <w:rFonts w:hint="eastAsia" w:ascii="仿宋_GB2312" w:hAnsi="仿宋_GB2312" w:eastAsia="仿宋_GB2312" w:cs="仿宋_GB2312"/>
          <w:kern w:val="2"/>
          <w:sz w:val="32"/>
          <w:szCs w:val="32"/>
        </w:rPr>
        <w:t>中国人民政治协商会议四川省红原县委员会办公室</w:t>
      </w:r>
      <w:bookmarkEnd w:id="26"/>
      <w:bookmarkEnd w:id="27"/>
      <w:bookmarkEnd w:id="28"/>
      <w:bookmarkEnd w:id="29"/>
      <w:bookmarkEnd w:id="30"/>
      <w:bookmarkEnd w:id="31"/>
      <w:bookmarkStart w:id="32" w:name="_Toc15378450"/>
      <w:bookmarkStart w:id="33" w:name="_Toc15377203"/>
      <w:bookmarkStart w:id="34" w:name="_Toc15306277"/>
      <w:bookmarkStart w:id="35" w:name="_Toc15377434"/>
    </w:p>
    <w:bookmarkEnd w:id="32"/>
    <w:bookmarkEnd w:id="33"/>
    <w:bookmarkEnd w:id="34"/>
    <w:bookmarkEnd w:id="35"/>
    <w:p>
      <w:pPr>
        <w:pStyle w:val="6"/>
        <w:numPr>
          <w:ilvl w:val="0"/>
          <w:numId w:val="2"/>
        </w:numPr>
        <w:adjustRightInd w:val="0"/>
        <w:snapToGrid w:val="0"/>
        <w:spacing w:before="93" w:line="600" w:lineRule="exact"/>
        <w:outlineLvl w:val="2"/>
        <w:rPr>
          <w:rFonts w:hint="eastAsia" w:ascii="仿宋_GB2312" w:hAnsi="仿宋_GB2312" w:eastAsia="仿宋_GB2312" w:cs="仿宋_GB2312"/>
          <w:sz w:val="32"/>
          <w:szCs w:val="32"/>
          <w:lang w:val="en-US" w:eastAsia="zh-CN"/>
        </w:rPr>
      </w:pPr>
      <w:bookmarkStart w:id="36" w:name="_Toc20862"/>
      <w:bookmarkStart w:id="37" w:name="_Toc26705"/>
      <w:r>
        <w:rPr>
          <w:rFonts w:hint="eastAsia" w:ascii="仿宋_GB2312" w:hAnsi="仿宋_GB2312" w:eastAsia="仿宋_GB2312" w:cs="仿宋_GB2312"/>
          <w:sz w:val="32"/>
          <w:szCs w:val="32"/>
          <w:lang w:val="en-US" w:eastAsia="zh-CN"/>
        </w:rPr>
        <w:t>红原县政协网络信息服务中心</w:t>
      </w:r>
      <w:bookmarkEnd w:id="36"/>
      <w:bookmarkEnd w:id="37"/>
    </w:p>
    <w:p>
      <w:pPr>
        <w:pStyle w:val="3"/>
        <w:jc w:val="center"/>
        <w:outlineLvl w:val="9"/>
        <w:rPr>
          <w:rFonts w:hint="eastAsia" w:ascii="Times New Roman" w:hAnsi="Times New Roman" w:eastAsia="方正小标宋简体" w:cs="方正小标宋简体"/>
          <w:b w:val="0"/>
          <w:color w:val="auto"/>
          <w:highlight w:val="none"/>
        </w:rPr>
      </w:pPr>
      <w:bookmarkStart w:id="38" w:name="_Toc15377204"/>
      <w:bookmarkStart w:id="39" w:name="_Toc15396602"/>
    </w:p>
    <w:p>
      <w:pPr>
        <w:pStyle w:val="3"/>
        <w:jc w:val="center"/>
        <w:rPr>
          <w:rFonts w:ascii="Times New Roman" w:hAnsi="Times New Roman"/>
          <w:color w:val="auto"/>
          <w:highlight w:val="none"/>
        </w:rPr>
      </w:pPr>
      <w:bookmarkStart w:id="40" w:name="_Toc1257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38"/>
      <w:bookmarkEnd w:id="39"/>
      <w:bookmarkEnd w:id="40"/>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41" w:name="_Toc15377205"/>
      <w:bookmarkStart w:id="42" w:name="_Toc15396603"/>
      <w:bookmarkStart w:id="43" w:name="_Toc2704"/>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1"/>
          <w:rFonts w:hint="eastAsia" w:ascii="Times New Roman" w:hAnsi="Times New Roman" w:eastAsia="黑体"/>
          <w:b w:val="0"/>
          <w:color w:val="auto"/>
          <w:highlight w:val="none"/>
        </w:rPr>
        <w:t>入支出决算总体情况说明</w:t>
      </w:r>
      <w:bookmarkEnd w:id="41"/>
      <w:bookmarkEnd w:id="42"/>
      <w:bookmarkEnd w:id="43"/>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sz w:val="32"/>
          <w:szCs w:val="32"/>
          <w:highlight w:val="none"/>
          <w:lang w:val="en-US" w:eastAsia="zh-CN"/>
        </w:rPr>
      </w:pPr>
      <w:bookmarkStart w:id="44" w:name="_Toc6311"/>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880.15</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eastAsia="仿宋_GB2312" w:cs="仿宋_GB2312"/>
          <w:color w:val="auto"/>
          <w:sz w:val="32"/>
          <w:szCs w:val="32"/>
          <w:highlight w:val="none"/>
          <w:lang w:val="en-US" w:eastAsia="zh-CN"/>
        </w:rPr>
        <w:t>均</w:t>
      </w:r>
      <w:r>
        <w:rPr>
          <w:rFonts w:hint="eastAsia" w:ascii="Times New Roman" w:hAnsi="Times New Roman" w:eastAsia="仿宋_GB2312" w:cs="仿宋_GB2312"/>
          <w:color w:val="auto"/>
          <w:sz w:val="32"/>
          <w:szCs w:val="32"/>
          <w:highlight w:val="none"/>
        </w:rPr>
        <w:t>增加</w:t>
      </w:r>
      <w:r>
        <w:rPr>
          <w:rFonts w:hint="eastAsia" w:eastAsia="仿宋_GB2312" w:cs="仿宋_GB2312"/>
          <w:color w:val="auto"/>
          <w:sz w:val="32"/>
          <w:szCs w:val="32"/>
          <w:highlight w:val="none"/>
          <w:lang w:val="en-US" w:eastAsia="zh-CN"/>
        </w:rPr>
        <w:t>36.9</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4.38</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本年度新增交流交往交融项目。</w:t>
      </w:r>
      <w:bookmarkEnd w:id="44"/>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bookmarkStart w:id="45" w:name="_Toc15676"/>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bookmarkEnd w:id="45"/>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pPr>
        <w:pStyle w:val="2"/>
        <w:rPr>
          <w:rFonts w:hint="eastAsia" w:ascii="Times New Roman" w:hAnsi="Times New Roman" w:eastAsia="仿宋_GB2312" w:cs="仿宋_GB2312"/>
          <w:color w:val="auto"/>
          <w:sz w:val="32"/>
          <w:szCs w:val="32"/>
          <w:highlight w:val="none"/>
        </w:rPr>
      </w:pPr>
    </w:p>
    <w:p>
      <w:pPr>
        <w:rPr>
          <w:rFonts w:hint="eastAsia"/>
        </w:rPr>
      </w:pPr>
      <w:r>
        <w:rPr>
          <w:rFonts w:hint="eastAsia" w:ascii="仿宋" w:eastAsia="仿宋"/>
          <w:sz w:val="32"/>
          <w:szCs w:val="32"/>
          <w:lang w:eastAsia="zh-CN"/>
        </w:rPr>
        <w:drawing>
          <wp:anchor distT="0" distB="0" distL="114300" distR="114300" simplePos="0" relativeHeight="251659264" behindDoc="0" locked="0" layoutInCell="1" allowOverlap="1">
            <wp:simplePos x="0" y="0"/>
            <wp:positionH relativeFrom="column">
              <wp:posOffset>537845</wp:posOffset>
            </wp:positionH>
            <wp:positionV relativeFrom="paragraph">
              <wp:posOffset>94615</wp:posOffset>
            </wp:positionV>
            <wp:extent cx="4090035" cy="2065655"/>
            <wp:effectExtent l="4445" t="4445" r="20320" b="6350"/>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46" w:name="_Toc18526"/>
      <w:bookmarkStart w:id="47" w:name="_Toc15377206"/>
      <w:bookmarkStart w:id="48" w:name="_Toc15396604"/>
      <w:r>
        <w:rPr>
          <w:rFonts w:hint="eastAsia" w:ascii="Times New Roman" w:hAnsi="Times New Roman" w:eastAsia="黑体"/>
          <w:color w:val="auto"/>
          <w:sz w:val="32"/>
          <w:szCs w:val="32"/>
          <w:highlight w:val="none"/>
          <w:lang w:eastAsia="zh-CN"/>
        </w:rPr>
        <w:t>二、收入决算情况说明</w:t>
      </w:r>
      <w:bookmarkEnd w:id="46"/>
      <w:bookmarkEnd w:id="47"/>
      <w:bookmarkEnd w:id="48"/>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eastAsia="zh-CN"/>
        </w:rPr>
      </w:pPr>
      <w:bookmarkStart w:id="49" w:name="_Toc19462"/>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880.15</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880.15</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eastAsia="zh-CN"/>
        </w:rPr>
        <w:t>。</w:t>
      </w:r>
      <w:bookmarkEnd w:id="49"/>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bookmarkStart w:id="50" w:name="_Toc25297"/>
      <w:r>
        <w:rPr>
          <w:rFonts w:hint="eastAsia" w:ascii="Times New Roman" w:hAnsi="Times New Roman" w:eastAsia="仿宋_GB2312" w:cs="仿宋_GB2312"/>
          <w:color w:val="auto"/>
          <w:sz w:val="32"/>
          <w:szCs w:val="32"/>
          <w:highlight w:val="none"/>
          <w:lang w:eastAsia="zh-CN"/>
        </w:rPr>
        <w:t>（图2：收入决算结构图）（饼状图）</w:t>
      </w:r>
      <w:bookmarkEnd w:id="50"/>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仿宋_GB2312" w:eastAsia="仿宋_GB2312"/>
          <w:sz w:val="32"/>
          <w:szCs w:val="32"/>
          <w:lang w:eastAsia="zh-CN"/>
        </w:rPr>
        <w:drawing>
          <wp:anchor distT="0" distB="0" distL="114300" distR="114300" simplePos="0" relativeHeight="251660288" behindDoc="0" locked="0" layoutInCell="1" allowOverlap="1">
            <wp:simplePos x="0" y="0"/>
            <wp:positionH relativeFrom="column">
              <wp:posOffset>375920</wp:posOffset>
            </wp:positionH>
            <wp:positionV relativeFrom="paragraph">
              <wp:posOffset>233045</wp:posOffset>
            </wp:positionV>
            <wp:extent cx="4109085" cy="2007870"/>
            <wp:effectExtent l="4445" t="4445" r="20320" b="698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pStyle w:val="2"/>
        <w:rPr>
          <w:rFonts w:hint="eastAsia" w:ascii="Times New Roman" w:hAnsi="Times New Roman" w:eastAsia="仿宋_GB2312" w:cs="仿宋_GB2312"/>
          <w:color w:val="auto"/>
          <w:sz w:val="32"/>
          <w:szCs w:val="32"/>
          <w:highlight w:val="none"/>
          <w:lang w:eastAsia="zh-CN"/>
        </w:rPr>
      </w:pPr>
    </w:p>
    <w:p>
      <w:pPr>
        <w:rPr>
          <w:rFonts w:hint="eastAsia" w:ascii="Times New Roman" w:hAnsi="Times New Roman" w:eastAsia="仿宋_GB2312" w:cs="仿宋_GB2312"/>
          <w:color w:val="auto"/>
          <w:sz w:val="32"/>
          <w:szCs w:val="32"/>
          <w:highlight w:val="none"/>
          <w:lang w:eastAsia="zh-CN"/>
        </w:rPr>
      </w:pPr>
    </w:p>
    <w:p>
      <w:pPr>
        <w:pStyle w:val="2"/>
        <w:rPr>
          <w:rFonts w:hint="eastAsia" w:ascii="Times New Roman" w:hAnsi="Times New Roman" w:eastAsia="仿宋_GB2312" w:cs="仿宋_GB2312"/>
          <w:color w:val="auto"/>
          <w:sz w:val="32"/>
          <w:szCs w:val="32"/>
          <w:highlight w:val="none"/>
          <w:lang w:eastAsia="zh-CN"/>
        </w:rPr>
      </w:pPr>
    </w:p>
    <w:p>
      <w:pPr>
        <w:rPr>
          <w:rFonts w:hint="eastAsia" w:ascii="Times New Roman" w:hAnsi="Times New Roman" w:eastAsia="仿宋_GB2312" w:cs="仿宋_GB2312"/>
          <w:color w:val="auto"/>
          <w:sz w:val="32"/>
          <w:szCs w:val="32"/>
          <w:highlight w:val="none"/>
          <w:lang w:eastAsia="zh-CN"/>
        </w:rPr>
      </w:pPr>
    </w:p>
    <w:p>
      <w:pPr>
        <w:pStyle w:val="2"/>
        <w:rPr>
          <w:rFonts w:hint="eastAsia" w:ascii="Times New Roman" w:hAnsi="Times New Roman" w:eastAsia="仿宋_GB2312" w:cs="仿宋_GB2312"/>
          <w:color w:val="auto"/>
          <w:sz w:val="32"/>
          <w:szCs w:val="32"/>
          <w:highlight w:val="none"/>
          <w:lang w:eastAsia="zh-CN"/>
        </w:rPr>
      </w:pPr>
    </w:p>
    <w:p>
      <w:pPr>
        <w:pStyle w:val="2"/>
        <w:rPr>
          <w:rFonts w:hint="eastAsia"/>
          <w:lang w:eastAsia="zh-CN"/>
        </w:rPr>
      </w:pPr>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51" w:name="_Toc15396605"/>
      <w:bookmarkStart w:id="52" w:name="_Toc18012"/>
      <w:bookmarkStart w:id="53"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1"/>
          <w:rFonts w:hint="eastAsia" w:ascii="Times New Roman" w:hAnsi="Times New Roman" w:eastAsia="黑体"/>
          <w:b w:val="0"/>
          <w:color w:val="auto"/>
          <w:highlight w:val="none"/>
        </w:rPr>
        <w:t>出决算情况说明</w:t>
      </w:r>
      <w:bookmarkEnd w:id="51"/>
      <w:bookmarkEnd w:id="52"/>
      <w:bookmarkEnd w:id="53"/>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bookmarkStart w:id="54" w:name="_Toc15466"/>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880.15</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708.73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80.52</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171.41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19.47</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eastAsia="zh-CN"/>
        </w:rPr>
        <w:t>。</w:t>
      </w:r>
      <w:bookmarkEnd w:id="54"/>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bookmarkStart w:id="55" w:name="_Toc28390"/>
      <w:r>
        <w:rPr>
          <w:rFonts w:hint="eastAsia" w:ascii="Times New Roman" w:hAnsi="Times New Roman" w:eastAsia="仿宋_GB2312" w:cs="仿宋_GB2312"/>
          <w:color w:val="auto"/>
          <w:sz w:val="32"/>
          <w:szCs w:val="32"/>
          <w:highlight w:val="none"/>
          <w:lang w:eastAsia="zh-CN"/>
        </w:rPr>
        <w:t>（图3：支出决算结构图）（饼状图）</w:t>
      </w:r>
      <w:bookmarkEnd w:id="55"/>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仿宋_GB2312" w:eastAsia="仿宋_GB2312"/>
          <w:sz w:val="32"/>
          <w:szCs w:val="32"/>
          <w:lang w:eastAsia="zh-CN"/>
        </w:rPr>
        <w:drawing>
          <wp:anchor distT="0" distB="0" distL="114300" distR="114300" simplePos="0" relativeHeight="251661312" behindDoc="0" locked="0" layoutInCell="1" allowOverlap="1">
            <wp:simplePos x="0" y="0"/>
            <wp:positionH relativeFrom="column">
              <wp:posOffset>433070</wp:posOffset>
            </wp:positionH>
            <wp:positionV relativeFrom="paragraph">
              <wp:posOffset>181610</wp:posOffset>
            </wp:positionV>
            <wp:extent cx="4271010" cy="2152015"/>
            <wp:effectExtent l="4445" t="4445" r="10795" b="15240"/>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pStyle w:val="2"/>
        <w:rPr>
          <w:rFonts w:hint="eastAsia" w:ascii="Times New Roman" w:hAnsi="Times New Roman" w:eastAsia="仿宋_GB2312" w:cs="仿宋_GB2312"/>
          <w:color w:val="auto"/>
          <w:sz w:val="32"/>
          <w:szCs w:val="32"/>
          <w:highlight w:val="none"/>
          <w:lang w:eastAsia="zh-CN"/>
        </w:rPr>
      </w:pPr>
    </w:p>
    <w:p>
      <w:pPr>
        <w:rPr>
          <w:rFonts w:hint="eastAsia" w:ascii="Times New Roman" w:hAnsi="Times New Roman" w:eastAsia="仿宋_GB2312" w:cs="仿宋_GB2312"/>
          <w:color w:val="auto"/>
          <w:sz w:val="32"/>
          <w:szCs w:val="32"/>
          <w:highlight w:val="none"/>
          <w:lang w:eastAsia="zh-CN"/>
        </w:rPr>
      </w:pPr>
    </w:p>
    <w:p>
      <w:pPr>
        <w:pStyle w:val="2"/>
        <w:rPr>
          <w:rFonts w:hint="eastAsia" w:ascii="Times New Roman" w:hAnsi="Times New Roman" w:eastAsia="仿宋_GB2312" w:cs="仿宋_GB2312"/>
          <w:color w:val="auto"/>
          <w:sz w:val="32"/>
          <w:szCs w:val="32"/>
          <w:highlight w:val="none"/>
          <w:lang w:eastAsia="zh-CN"/>
        </w:rPr>
      </w:pPr>
    </w:p>
    <w:p>
      <w:pPr>
        <w:rPr>
          <w:rFonts w:hint="eastAsia" w:ascii="Times New Roman" w:hAnsi="Times New Roman" w:eastAsia="仿宋_GB2312" w:cs="仿宋_GB2312"/>
          <w:color w:val="auto"/>
          <w:sz w:val="32"/>
          <w:szCs w:val="32"/>
          <w:highlight w:val="none"/>
          <w:lang w:eastAsia="zh-CN"/>
        </w:rPr>
      </w:pPr>
    </w:p>
    <w:p>
      <w:pPr>
        <w:pStyle w:val="2"/>
        <w:rPr>
          <w:rFonts w:hint="eastAsia" w:ascii="Times New Roman" w:hAnsi="Times New Roman" w:eastAsia="仿宋_GB2312" w:cs="仿宋_GB2312"/>
          <w:color w:val="auto"/>
          <w:sz w:val="32"/>
          <w:szCs w:val="32"/>
          <w:highlight w:val="none"/>
          <w:lang w:eastAsia="zh-CN"/>
        </w:rPr>
      </w:pPr>
    </w:p>
    <w:p>
      <w:pPr>
        <w:rPr>
          <w:rFonts w:hint="eastAsia"/>
          <w:lang w:eastAsia="zh-CN"/>
        </w:rPr>
      </w:pPr>
    </w:p>
    <w:p>
      <w:pPr>
        <w:spacing w:line="600" w:lineRule="exact"/>
        <w:ind w:firstLine="640" w:firstLineChars="200"/>
        <w:outlineLvl w:val="1"/>
        <w:rPr>
          <w:rStyle w:val="31"/>
          <w:rFonts w:ascii="Times New Roman" w:hAnsi="Times New Roman" w:eastAsia="黑体"/>
          <w:b w:val="0"/>
          <w:color w:val="auto"/>
          <w:highlight w:val="none"/>
        </w:rPr>
      </w:pPr>
      <w:bookmarkStart w:id="56" w:name="_Toc30063"/>
      <w:bookmarkStart w:id="57" w:name="_Toc15396606"/>
      <w:bookmarkStart w:id="58" w:name="_Toc15377208"/>
      <w:r>
        <w:rPr>
          <w:rFonts w:hint="eastAsia" w:ascii="Times New Roman" w:hAnsi="Times New Roman" w:eastAsia="黑体"/>
          <w:color w:val="auto"/>
          <w:sz w:val="32"/>
          <w:szCs w:val="32"/>
          <w:highlight w:val="none"/>
        </w:rPr>
        <w:t>四、财</w:t>
      </w:r>
      <w:r>
        <w:rPr>
          <w:rStyle w:val="31"/>
          <w:rFonts w:hint="eastAsia" w:ascii="Times New Roman" w:hAnsi="Times New Roman" w:eastAsia="黑体"/>
          <w:b w:val="0"/>
          <w:color w:val="auto"/>
          <w:highlight w:val="none"/>
        </w:rPr>
        <w:t>政拨款收入支出决算总体情况说明</w:t>
      </w:r>
      <w:bookmarkEnd w:id="56"/>
      <w:bookmarkEnd w:id="57"/>
      <w:bookmarkEnd w:id="58"/>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kern w:val="2"/>
          <w:sz w:val="32"/>
          <w:szCs w:val="32"/>
          <w:highlight w:val="none"/>
          <w:lang w:val="en-US" w:eastAsia="zh-CN" w:bidi="ar-SA"/>
        </w:rPr>
      </w:pPr>
      <w:bookmarkStart w:id="59" w:name="_Toc13322"/>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880.15</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w:t>
      </w:r>
      <w:r>
        <w:rPr>
          <w:rFonts w:hint="eastAsia" w:eastAsia="仿宋_GB2312" w:cs="仿宋_GB2312"/>
          <w:color w:val="auto"/>
          <w:sz w:val="32"/>
          <w:szCs w:val="32"/>
          <w:highlight w:val="none"/>
          <w:lang w:val="en-US" w:eastAsia="zh-CN"/>
        </w:rPr>
        <w:t>均</w:t>
      </w:r>
      <w:r>
        <w:rPr>
          <w:rFonts w:hint="eastAsia" w:ascii="Times New Roman" w:hAnsi="Times New Roman" w:eastAsia="仿宋_GB2312" w:cs="仿宋_GB2312"/>
          <w:color w:val="auto"/>
          <w:sz w:val="32"/>
          <w:szCs w:val="32"/>
          <w:highlight w:val="none"/>
        </w:rPr>
        <w:t>增加</w:t>
      </w:r>
      <w:r>
        <w:rPr>
          <w:rFonts w:hint="eastAsia" w:eastAsia="仿宋_GB2312" w:cs="仿宋_GB2312"/>
          <w:color w:val="auto"/>
          <w:sz w:val="32"/>
          <w:szCs w:val="32"/>
          <w:highlight w:val="none"/>
          <w:lang w:val="en-US" w:eastAsia="zh-CN"/>
        </w:rPr>
        <w:t>36.9</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4.38</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本年度新增交流交往交融项目。</w:t>
      </w:r>
      <w:bookmarkEnd w:id="59"/>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eastAsia="仿宋"/>
          <w:sz w:val="32"/>
          <w:szCs w:val="32"/>
          <w:lang w:eastAsia="zh-CN"/>
        </w:rPr>
        <w:drawing>
          <wp:anchor distT="0" distB="0" distL="114300" distR="114300" simplePos="0" relativeHeight="251662336" behindDoc="0" locked="0" layoutInCell="1" allowOverlap="1">
            <wp:simplePos x="0" y="0"/>
            <wp:positionH relativeFrom="column">
              <wp:posOffset>633095</wp:posOffset>
            </wp:positionH>
            <wp:positionV relativeFrom="paragraph">
              <wp:posOffset>242570</wp:posOffset>
            </wp:positionV>
            <wp:extent cx="4003675" cy="2562225"/>
            <wp:effectExtent l="4445" t="4445" r="11430" b="5080"/>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lang w:val="en-US" w:eastAsia="zh-CN"/>
        </w:rPr>
      </w:pPr>
    </w:p>
    <w:p>
      <w:pPr>
        <w:spacing w:line="600" w:lineRule="exact"/>
        <w:ind w:firstLine="640" w:firstLineChars="200"/>
        <w:outlineLvl w:val="1"/>
        <w:rPr>
          <w:rStyle w:val="31"/>
          <w:rFonts w:ascii="Times New Roman" w:hAnsi="Times New Roman" w:eastAsia="黑体"/>
          <w:b w:val="0"/>
          <w:color w:val="auto"/>
          <w:highlight w:val="none"/>
        </w:rPr>
      </w:pPr>
      <w:bookmarkStart w:id="60" w:name="_Toc15396607"/>
      <w:bookmarkStart w:id="61" w:name="_Toc15377209"/>
      <w:bookmarkStart w:id="62" w:name="_Toc15616"/>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般公共预算财政拨款支出决算情况说明</w:t>
      </w:r>
      <w:bookmarkEnd w:id="60"/>
      <w:bookmarkEnd w:id="61"/>
      <w:bookmarkEnd w:id="62"/>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3" w:name="_Toc24952"/>
      <w:bookmarkStart w:id="64"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63"/>
      <w:bookmarkEnd w:id="64"/>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kern w:val="2"/>
          <w:sz w:val="32"/>
          <w:szCs w:val="32"/>
          <w:highlight w:val="none"/>
          <w:lang w:val="en-US" w:eastAsia="zh-CN" w:bidi="ar-SA"/>
        </w:rPr>
      </w:pPr>
      <w:bookmarkStart w:id="65" w:name="_Toc19701"/>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880.15</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w:t>
      </w:r>
      <w:r>
        <w:rPr>
          <w:rFonts w:hint="eastAsia" w:ascii="Times New Roman" w:hAnsi="Times New Roman" w:eastAsia="仿宋_GB2312" w:cs="仿宋_GB2312"/>
          <w:color w:val="auto"/>
          <w:sz w:val="32"/>
          <w:szCs w:val="32"/>
          <w:highlight w:val="none"/>
        </w:rPr>
        <w:t>增加</w:t>
      </w:r>
      <w:r>
        <w:rPr>
          <w:rFonts w:hint="eastAsia" w:eastAsia="仿宋_GB2312" w:cs="仿宋_GB2312"/>
          <w:color w:val="auto"/>
          <w:sz w:val="32"/>
          <w:szCs w:val="32"/>
          <w:highlight w:val="none"/>
          <w:lang w:val="en-US" w:eastAsia="zh-CN"/>
        </w:rPr>
        <w:t>36.9</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4.38</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本年度新增交流交往交融项目。</w:t>
      </w:r>
      <w:bookmarkEnd w:id="65"/>
    </w:p>
    <w:p>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pStyle w:val="2"/>
        <w:rPr>
          <w:rFonts w:hint="eastAsia" w:ascii="Times New Roman" w:hAnsi="Times New Roman" w:eastAsia="仿宋_GB2312" w:cs="仿宋_GB2312"/>
          <w:color w:val="auto"/>
          <w:kern w:val="2"/>
          <w:sz w:val="32"/>
          <w:szCs w:val="32"/>
          <w:highlight w:val="none"/>
          <w:lang w:val="en-US" w:eastAsia="zh-CN" w:bidi="ar-SA"/>
        </w:rPr>
      </w:pPr>
      <w:r>
        <w:rPr>
          <w:rFonts w:hint="eastAsia" w:ascii="仿宋" w:eastAsia="仿宋"/>
          <w:sz w:val="32"/>
          <w:szCs w:val="32"/>
          <w:lang w:eastAsia="zh-CN"/>
        </w:rPr>
        <w:drawing>
          <wp:anchor distT="0" distB="0" distL="114300" distR="114300" simplePos="0" relativeHeight="251663360" behindDoc="0" locked="0" layoutInCell="1" allowOverlap="1">
            <wp:simplePos x="0" y="0"/>
            <wp:positionH relativeFrom="column">
              <wp:posOffset>699770</wp:posOffset>
            </wp:positionH>
            <wp:positionV relativeFrom="paragraph">
              <wp:posOffset>52070</wp:posOffset>
            </wp:positionV>
            <wp:extent cx="3738245" cy="2018665"/>
            <wp:effectExtent l="4445" t="4445" r="10160" b="1524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ascii="Times New Roman" w:hAnsi="Times New Roman" w:eastAsia="仿宋_GB2312" w:cs="仿宋_GB2312"/>
          <w:color w:val="auto"/>
          <w:kern w:val="2"/>
          <w:sz w:val="32"/>
          <w:szCs w:val="32"/>
          <w:highlight w:val="none"/>
          <w:lang w:val="en-US" w:eastAsia="zh-CN" w:bidi="ar-SA"/>
        </w:rPr>
      </w:pPr>
    </w:p>
    <w:p>
      <w:pPr>
        <w:spacing w:line="600" w:lineRule="exact"/>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9"/>
        <w:rPr>
          <w:rFonts w:hint="eastAsia" w:ascii="Times New Roman" w:hAnsi="Times New Roman" w:eastAsia="楷体_GB2312" w:cs="楷体_GB2312"/>
          <w:b/>
          <w:color w:val="auto"/>
          <w:sz w:val="32"/>
          <w:szCs w:val="32"/>
          <w:highlight w:val="none"/>
        </w:rPr>
      </w:pPr>
      <w:bookmarkStart w:id="66" w:name="_Toc1537721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7" w:name="_Toc31487"/>
      <w:r>
        <w:rPr>
          <w:rFonts w:hint="eastAsia" w:ascii="Times New Roman" w:hAnsi="Times New Roman" w:eastAsia="楷体_GB2312" w:cs="楷体_GB2312"/>
          <w:b/>
          <w:color w:val="auto"/>
          <w:sz w:val="32"/>
          <w:szCs w:val="32"/>
          <w:highlight w:val="none"/>
        </w:rPr>
        <w:t>（二）一般公共预算财政拨款支出决算结构情况</w:t>
      </w:r>
      <w:bookmarkEnd w:id="66"/>
      <w:bookmarkEnd w:id="67"/>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880.15</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707.05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80.33</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89.84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10.21</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35.34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4.02</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47.91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5.44</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eastAsia="仿宋_GB2312"/>
          <w:sz w:val="32"/>
          <w:szCs w:val="32"/>
          <w:lang w:eastAsia="zh-CN"/>
        </w:rPr>
        <w:drawing>
          <wp:anchor distT="0" distB="0" distL="114300" distR="114300" simplePos="0" relativeHeight="251664384" behindDoc="0" locked="0" layoutInCell="1" allowOverlap="1">
            <wp:simplePos x="0" y="0"/>
            <wp:positionH relativeFrom="column">
              <wp:posOffset>414020</wp:posOffset>
            </wp:positionH>
            <wp:positionV relativeFrom="paragraph">
              <wp:posOffset>204470</wp:posOffset>
            </wp:positionV>
            <wp:extent cx="3623310" cy="1991360"/>
            <wp:effectExtent l="4445" t="4445" r="10795" b="23495"/>
            <wp:wrapSquare wrapText="bothSides"/>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spacing w:line="600" w:lineRule="exact"/>
        <w:outlineLvl w:val="9"/>
        <w:rPr>
          <w:rFonts w:hint="eastAsia" w:ascii="Times New Roman" w:hAnsi="Times New Roman" w:eastAsia="楷体_GB2312" w:cs="楷体_GB2312"/>
          <w:b/>
          <w:color w:val="auto"/>
          <w:sz w:val="32"/>
          <w:szCs w:val="32"/>
          <w:highlight w:val="none"/>
        </w:rPr>
      </w:pPr>
      <w:bookmarkStart w:id="68" w:name="_Toc15377212"/>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9" w:name="_Toc28111"/>
      <w:r>
        <w:rPr>
          <w:rFonts w:hint="eastAsia" w:ascii="Times New Roman" w:hAnsi="Times New Roman" w:eastAsia="楷体_GB2312" w:cs="楷体_GB2312"/>
          <w:b/>
          <w:color w:val="auto"/>
          <w:sz w:val="32"/>
          <w:szCs w:val="32"/>
          <w:highlight w:val="none"/>
        </w:rPr>
        <w:t>（三）一般公共预算财政拨款支出决算具体情况</w:t>
      </w:r>
      <w:bookmarkEnd w:id="68"/>
      <w:bookmarkEnd w:id="69"/>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70" w:name="_Toc15377444"/>
      <w:bookmarkStart w:id="71" w:name="_Toc15378460"/>
      <w:bookmarkStart w:id="72"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880.15</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70"/>
      <w:bookmarkEnd w:id="71"/>
      <w:bookmarkEnd w:id="72"/>
    </w:p>
    <w:p>
      <w:pPr>
        <w:numPr>
          <w:ilvl w:val="0"/>
          <w:numId w:val="0"/>
        </w:numPr>
        <w:spacing w:line="600" w:lineRule="exact"/>
        <w:ind w:firstLine="643" w:firstLineChars="200"/>
        <w:rPr>
          <w:rStyle w:val="19"/>
          <w:rFonts w:hint="eastAsia" w:ascii="仿宋" w:hAnsi="仿宋" w:eastAsia="仿宋"/>
          <w:bCs/>
          <w:sz w:val="32"/>
          <w:szCs w:val="32"/>
        </w:rPr>
      </w:pPr>
      <w:r>
        <w:rPr>
          <w:rStyle w:val="19"/>
          <w:rFonts w:hint="eastAsia" w:ascii="仿宋" w:hAnsi="仿宋" w:eastAsia="仿宋"/>
          <w:bCs/>
          <w:sz w:val="32"/>
          <w:szCs w:val="32"/>
          <w:lang w:val="en-US" w:eastAsia="zh-CN"/>
        </w:rPr>
        <w:t>1.</w:t>
      </w:r>
      <w:r>
        <w:rPr>
          <w:rStyle w:val="19"/>
          <w:rFonts w:hint="eastAsia" w:ascii="仿宋" w:hAnsi="仿宋" w:eastAsia="仿宋"/>
          <w:bCs/>
          <w:sz w:val="32"/>
          <w:szCs w:val="32"/>
        </w:rPr>
        <w:t>一般公共服务（类）</w:t>
      </w:r>
      <w:r>
        <w:rPr>
          <w:rStyle w:val="19"/>
          <w:rFonts w:hint="eastAsia" w:ascii="仿宋" w:hAnsi="仿宋" w:eastAsia="仿宋"/>
          <w:bCs/>
          <w:sz w:val="32"/>
          <w:szCs w:val="32"/>
          <w:lang w:val="en-US" w:eastAsia="zh-CN"/>
        </w:rPr>
        <w:t>政协事务</w:t>
      </w:r>
      <w:r>
        <w:rPr>
          <w:rStyle w:val="19"/>
          <w:rFonts w:hint="eastAsia" w:ascii="仿宋" w:hAnsi="仿宋" w:eastAsia="仿宋"/>
          <w:bCs/>
          <w:sz w:val="32"/>
          <w:szCs w:val="32"/>
        </w:rPr>
        <w:t>（款）</w:t>
      </w:r>
    </w:p>
    <w:p>
      <w:pPr>
        <w:numPr>
          <w:ilvl w:val="0"/>
          <w:numId w:val="0"/>
        </w:numPr>
        <w:spacing w:line="600" w:lineRule="exact"/>
        <w:ind w:firstLine="643" w:firstLineChars="200"/>
        <w:rPr>
          <w:rStyle w:val="19"/>
          <w:rFonts w:hint="default" w:ascii="仿宋" w:eastAsia="仿宋"/>
          <w:b w:val="0"/>
          <w:bCs/>
          <w:sz w:val="32"/>
          <w:szCs w:val="32"/>
          <w:u w:val="single"/>
          <w:lang w:val="en-US" w:eastAsia="zh-CN"/>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1</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行政运行</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500.69</w:t>
      </w:r>
      <w:r>
        <w:rPr>
          <w:rStyle w:val="19"/>
          <w:rFonts w:hint="eastAsia" w:ascii="仿宋" w:eastAsia="仿宋"/>
          <w:b w:val="0"/>
          <w:bCs/>
          <w:sz w:val="32"/>
          <w:szCs w:val="32"/>
        </w:rPr>
        <w:t>万元，完成</w:t>
      </w:r>
      <w:r>
        <w:rPr>
          <w:rStyle w:val="19"/>
          <w:rFonts w:hint="eastAsia" w:ascii="仿宋" w:eastAsia="仿宋"/>
          <w:b w:val="0"/>
          <w:bCs/>
          <w:sz w:val="32"/>
          <w:szCs w:val="32"/>
          <w:u w:val="none"/>
          <w:lang w:val="en-US" w:eastAsia="zh-CN"/>
        </w:rPr>
        <w:t>调整</w:t>
      </w:r>
      <w:r>
        <w:rPr>
          <w:rStyle w:val="19"/>
          <w:rFonts w:hint="eastAsia" w:ascii="仿宋" w:eastAsia="仿宋"/>
          <w:b w:val="0"/>
          <w:bCs/>
          <w:sz w:val="32"/>
          <w:szCs w:val="32"/>
          <w:u w:val="none"/>
        </w:rPr>
        <w:t>预算</w:t>
      </w:r>
      <w:r>
        <w:rPr>
          <w:rStyle w:val="19"/>
          <w:rFonts w:hint="eastAsia" w:ascii="仿宋" w:eastAsia="仿宋"/>
          <w:b w:val="0"/>
          <w:bCs/>
          <w:sz w:val="32"/>
          <w:szCs w:val="32"/>
          <w:u w:val="none"/>
          <w:lang w:val="en-US" w:eastAsia="zh-CN"/>
        </w:rPr>
        <w:t>数98.59</w:t>
      </w:r>
      <w:r>
        <w:rPr>
          <w:rStyle w:val="19"/>
          <w:rFonts w:ascii="仿宋" w:eastAsia="仿宋"/>
          <w:b w:val="0"/>
          <w:bCs/>
          <w:sz w:val="32"/>
          <w:szCs w:val="32"/>
          <w:u w:val="none"/>
        </w:rPr>
        <w:t>%</w:t>
      </w:r>
      <w:r>
        <w:rPr>
          <w:rStyle w:val="19"/>
          <w:rFonts w:hint="eastAsia" w:ascii="仿宋" w:eastAsia="仿宋"/>
          <w:b w:val="0"/>
          <w:bCs/>
          <w:sz w:val="32"/>
          <w:szCs w:val="32"/>
          <w:u w:val="none"/>
          <w:lang w:eastAsia="zh-CN"/>
        </w:rPr>
        <w:t>，</w:t>
      </w:r>
      <w:r>
        <w:rPr>
          <w:rStyle w:val="19"/>
          <w:rFonts w:hint="eastAsia" w:ascii="仿宋" w:eastAsia="仿宋"/>
          <w:b w:val="0"/>
          <w:bCs/>
          <w:sz w:val="32"/>
          <w:szCs w:val="32"/>
          <w:u w:val="none"/>
          <w:lang w:val="en-US" w:eastAsia="zh-CN"/>
        </w:rPr>
        <w:t>变动原因为人员调动致使人员经费支出减少，存在少量结余。</w:t>
      </w:r>
    </w:p>
    <w:p>
      <w:pPr>
        <w:numPr>
          <w:ilvl w:val="0"/>
          <w:numId w:val="0"/>
        </w:numPr>
        <w:spacing w:line="600" w:lineRule="exact"/>
        <w:ind w:firstLine="643" w:firstLineChars="200"/>
        <w:rPr>
          <w:rStyle w:val="19"/>
          <w:rFonts w:hint="default" w:ascii="仿宋" w:eastAsia="仿宋"/>
          <w:bCs/>
          <w:sz w:val="32"/>
          <w:szCs w:val="32"/>
          <w:lang w:val="en-US" w:eastAsia="zh-CN"/>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2</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一般行政管理事务（项）：</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84.17</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数99.76</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u w:val="none"/>
          <w:lang w:val="en-US" w:eastAsia="zh-CN"/>
        </w:rPr>
        <w:t>变动原因为新增的交流交融交往项目按实际支出，存在少量结余</w:t>
      </w:r>
      <w:r>
        <w:rPr>
          <w:rStyle w:val="19"/>
          <w:rFonts w:hint="eastAsia" w:ascii="仿宋" w:eastAsia="仿宋"/>
          <w:b w:val="0"/>
          <w:bCs/>
          <w:sz w:val="32"/>
          <w:szCs w:val="32"/>
        </w:rPr>
        <w:t>。</w:t>
      </w:r>
    </w:p>
    <w:p>
      <w:pPr>
        <w:numPr>
          <w:ilvl w:val="0"/>
          <w:numId w:val="0"/>
        </w:numPr>
        <w:spacing w:line="600" w:lineRule="exact"/>
        <w:ind w:firstLine="643" w:firstLineChars="200"/>
        <w:rPr>
          <w:rStyle w:val="19"/>
          <w:rFonts w:hint="eastAsia" w:ascii="仿宋" w:eastAsia="仿宋"/>
          <w:b w:val="0"/>
          <w:bCs/>
          <w:sz w:val="32"/>
          <w:szCs w:val="32"/>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3</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政协会议</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14.8</w:t>
      </w:r>
      <w:r>
        <w:rPr>
          <w:rStyle w:val="19"/>
          <w:rFonts w:hint="eastAsia" w:ascii="仿宋" w:eastAsia="仿宋"/>
          <w:b w:val="0"/>
          <w:bCs/>
          <w:sz w:val="32"/>
          <w:szCs w:val="32"/>
        </w:rPr>
        <w:t>万元，完成预算</w:t>
      </w:r>
      <w:r>
        <w:rPr>
          <w:rStyle w:val="19"/>
          <w:rFonts w:hint="eastAsia" w:ascii="仿宋" w:eastAsia="仿宋"/>
          <w:b w:val="0"/>
          <w:bCs/>
          <w:sz w:val="32"/>
          <w:szCs w:val="32"/>
          <w:lang w:val="en-US" w:eastAsia="zh-CN"/>
        </w:rPr>
        <w:t>100</w:t>
      </w:r>
      <w:r>
        <w:rPr>
          <w:rStyle w:val="19"/>
          <w:rFonts w:ascii="仿宋" w:eastAsia="仿宋"/>
          <w:b w:val="0"/>
          <w:bCs/>
          <w:sz w:val="32"/>
          <w:szCs w:val="32"/>
        </w:rPr>
        <w:t>%</w:t>
      </w:r>
      <w:r>
        <w:rPr>
          <w:rStyle w:val="19"/>
          <w:rFonts w:hint="eastAsia" w:ascii="仿宋" w:eastAsia="仿宋"/>
          <w:b w:val="0"/>
          <w:bCs/>
          <w:sz w:val="32"/>
          <w:szCs w:val="32"/>
        </w:rPr>
        <w:t>。</w:t>
      </w:r>
    </w:p>
    <w:p>
      <w:pPr>
        <w:numPr>
          <w:ilvl w:val="0"/>
          <w:numId w:val="0"/>
        </w:numPr>
        <w:spacing w:line="600" w:lineRule="exact"/>
        <w:ind w:firstLine="643" w:firstLineChars="200"/>
        <w:rPr>
          <w:rStyle w:val="19"/>
          <w:rFonts w:hint="eastAsia" w:ascii="仿宋" w:eastAsia="仿宋"/>
          <w:b w:val="0"/>
          <w:bCs/>
          <w:sz w:val="32"/>
          <w:szCs w:val="32"/>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4</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委员视察</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17.65</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数12.84</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lang w:val="en-US" w:eastAsia="zh-CN"/>
        </w:rPr>
        <w:t>变动原因为厉行节约，按实际发生支出，存在结余</w:t>
      </w:r>
      <w:r>
        <w:rPr>
          <w:rStyle w:val="19"/>
          <w:rFonts w:hint="eastAsia" w:ascii="仿宋" w:eastAsia="仿宋"/>
          <w:b w:val="0"/>
          <w:bCs/>
          <w:sz w:val="32"/>
          <w:szCs w:val="32"/>
        </w:rPr>
        <w:t>。</w:t>
      </w:r>
    </w:p>
    <w:p>
      <w:pPr>
        <w:numPr>
          <w:ilvl w:val="0"/>
          <w:numId w:val="0"/>
        </w:numPr>
        <w:spacing w:line="600" w:lineRule="exact"/>
        <w:ind w:firstLine="643" w:firstLineChars="200"/>
        <w:rPr>
          <w:rStyle w:val="19"/>
          <w:rFonts w:hint="eastAsia" w:ascii="仿宋" w:eastAsia="仿宋"/>
          <w:b w:val="0"/>
          <w:bCs/>
          <w:sz w:val="32"/>
          <w:szCs w:val="32"/>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5</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参政议政</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54.79</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数99.87</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lang w:val="en-US" w:eastAsia="zh-CN"/>
        </w:rPr>
        <w:t>变动原因为厉行节约，按实际发生支出，存在少量结余</w:t>
      </w:r>
      <w:r>
        <w:rPr>
          <w:rStyle w:val="19"/>
          <w:rFonts w:hint="eastAsia" w:ascii="仿宋" w:eastAsia="仿宋"/>
          <w:b w:val="0"/>
          <w:bCs/>
          <w:sz w:val="32"/>
          <w:szCs w:val="32"/>
        </w:rPr>
        <w:t>。</w:t>
      </w:r>
    </w:p>
    <w:p>
      <w:pPr>
        <w:numPr>
          <w:ilvl w:val="0"/>
          <w:numId w:val="0"/>
        </w:numPr>
        <w:spacing w:line="600" w:lineRule="exact"/>
        <w:ind w:firstLine="643" w:firstLineChars="200"/>
        <w:rPr>
          <w:rStyle w:val="19"/>
          <w:rFonts w:hint="eastAsia" w:ascii="仿宋" w:eastAsia="仿宋"/>
          <w:b w:val="0"/>
          <w:bCs/>
          <w:sz w:val="32"/>
          <w:szCs w:val="32"/>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6</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事业运行</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34.95</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数98.77</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lang w:val="en-US" w:eastAsia="zh-CN"/>
        </w:rPr>
        <w:t>变动原因为厉行节约，按实际发生支出，公用经费存在结余</w:t>
      </w:r>
      <w:r>
        <w:rPr>
          <w:rStyle w:val="19"/>
          <w:rFonts w:hint="eastAsia" w:ascii="仿宋" w:eastAsia="仿宋"/>
          <w:b w:val="0"/>
          <w:bCs/>
          <w:sz w:val="32"/>
          <w:szCs w:val="32"/>
        </w:rPr>
        <w:t>。</w:t>
      </w:r>
    </w:p>
    <w:p>
      <w:pPr>
        <w:numPr>
          <w:ilvl w:val="0"/>
          <w:numId w:val="0"/>
        </w:numPr>
        <w:spacing w:line="600" w:lineRule="exact"/>
        <w:ind w:firstLine="643" w:firstLineChars="200"/>
        <w:rPr>
          <w:rStyle w:val="19"/>
          <w:rFonts w:hint="eastAsia" w:ascii="仿宋" w:eastAsia="仿宋"/>
          <w:bCs/>
          <w:sz w:val="32"/>
          <w:szCs w:val="32"/>
          <w:lang w:eastAsia="zh-CN"/>
        </w:rPr>
      </w:pPr>
      <w:r>
        <w:rPr>
          <w:rStyle w:val="19"/>
          <w:rFonts w:hint="eastAsia" w:ascii="仿宋" w:eastAsia="仿宋"/>
          <w:bCs/>
          <w:sz w:val="32"/>
          <w:szCs w:val="32"/>
          <w:lang w:val="en-US" w:eastAsia="zh-CN"/>
        </w:rPr>
        <w:t>2</w:t>
      </w:r>
      <w:r>
        <w:rPr>
          <w:rStyle w:val="19"/>
          <w:rFonts w:ascii="仿宋" w:eastAsia="仿宋"/>
          <w:bCs/>
          <w:sz w:val="32"/>
          <w:szCs w:val="32"/>
        </w:rPr>
        <w:t>.</w:t>
      </w:r>
      <w:r>
        <w:rPr>
          <w:rStyle w:val="19"/>
          <w:rFonts w:hint="eastAsia" w:ascii="仿宋" w:eastAsia="仿宋"/>
          <w:bCs/>
          <w:sz w:val="32"/>
          <w:szCs w:val="32"/>
        </w:rPr>
        <w:t>社会保障和就业（类）</w:t>
      </w:r>
      <w:r>
        <w:rPr>
          <w:rStyle w:val="19"/>
          <w:rFonts w:hint="eastAsia" w:ascii="仿宋" w:eastAsia="仿宋"/>
          <w:bCs/>
          <w:sz w:val="32"/>
          <w:szCs w:val="32"/>
          <w:lang w:val="en-US" w:eastAsia="zh-CN"/>
        </w:rPr>
        <w:t>行政事业养老支出</w:t>
      </w:r>
      <w:r>
        <w:rPr>
          <w:rStyle w:val="19"/>
          <w:rFonts w:hint="eastAsia" w:ascii="仿宋" w:eastAsia="仿宋"/>
          <w:bCs/>
          <w:sz w:val="32"/>
          <w:szCs w:val="32"/>
        </w:rPr>
        <w:t>（款</w:t>
      </w:r>
      <w:r>
        <w:rPr>
          <w:rStyle w:val="19"/>
          <w:rFonts w:hint="eastAsia" w:ascii="仿宋" w:eastAsia="仿宋"/>
          <w:bCs/>
          <w:sz w:val="32"/>
          <w:szCs w:val="32"/>
          <w:lang w:eastAsia="zh-CN"/>
        </w:rPr>
        <w:t>）</w:t>
      </w:r>
    </w:p>
    <w:p>
      <w:pPr>
        <w:numPr>
          <w:ilvl w:val="0"/>
          <w:numId w:val="0"/>
        </w:numPr>
        <w:spacing w:line="600" w:lineRule="exact"/>
        <w:ind w:firstLine="643" w:firstLineChars="200"/>
        <w:rPr>
          <w:rStyle w:val="19"/>
          <w:rFonts w:hint="eastAsia" w:ascii="仿宋" w:eastAsia="仿宋"/>
          <w:b w:val="0"/>
          <w:bCs/>
          <w:sz w:val="32"/>
          <w:szCs w:val="32"/>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1</w:t>
      </w:r>
      <w:r>
        <w:rPr>
          <w:rStyle w:val="19"/>
          <w:rFonts w:hint="eastAsia" w:ascii="仿宋" w:eastAsia="仿宋"/>
          <w:bCs/>
          <w:sz w:val="32"/>
          <w:szCs w:val="32"/>
          <w:lang w:eastAsia="zh-CN"/>
        </w:rPr>
        <w:t>）机关事业单位基本养老保险缴费支出</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59.89</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数99.17</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lang w:val="en-US" w:eastAsia="zh-CN"/>
        </w:rPr>
        <w:t>变动原因为</w:t>
      </w:r>
      <w:r>
        <w:rPr>
          <w:rStyle w:val="19"/>
          <w:rFonts w:hint="eastAsia" w:ascii="仿宋" w:eastAsia="仿宋"/>
          <w:b w:val="0"/>
          <w:bCs/>
          <w:sz w:val="32"/>
          <w:szCs w:val="32"/>
          <w:u w:val="none"/>
          <w:lang w:val="en-US" w:eastAsia="zh-CN"/>
        </w:rPr>
        <w:t>人员调动致使人员经费支出减少，存在少量结余。</w:t>
      </w:r>
    </w:p>
    <w:p>
      <w:pPr>
        <w:numPr>
          <w:ilvl w:val="0"/>
          <w:numId w:val="0"/>
        </w:numPr>
        <w:spacing w:line="600" w:lineRule="exact"/>
        <w:ind w:firstLine="643" w:firstLineChars="200"/>
        <w:rPr>
          <w:rStyle w:val="19"/>
          <w:rFonts w:hint="eastAsia" w:ascii="仿宋" w:eastAsia="仿宋"/>
          <w:b w:val="0"/>
          <w:bCs/>
          <w:sz w:val="32"/>
          <w:szCs w:val="32"/>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2</w:t>
      </w:r>
      <w:r>
        <w:rPr>
          <w:rStyle w:val="19"/>
          <w:rFonts w:hint="eastAsia" w:ascii="仿宋" w:eastAsia="仿宋"/>
          <w:bCs/>
          <w:sz w:val="32"/>
          <w:szCs w:val="32"/>
          <w:lang w:eastAsia="zh-CN"/>
        </w:rPr>
        <w:t>）机关事业单位职业年金缴费支出</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29.95</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数99.23</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lang w:val="en-US" w:eastAsia="zh-CN"/>
        </w:rPr>
        <w:t>变动原因为</w:t>
      </w:r>
      <w:r>
        <w:rPr>
          <w:rStyle w:val="19"/>
          <w:rFonts w:hint="eastAsia" w:ascii="仿宋" w:eastAsia="仿宋"/>
          <w:b w:val="0"/>
          <w:bCs/>
          <w:sz w:val="32"/>
          <w:szCs w:val="32"/>
          <w:u w:val="none"/>
          <w:lang w:val="en-US" w:eastAsia="zh-CN"/>
        </w:rPr>
        <w:t>人员调动致使人员经费支出减少，存在少量结余。</w:t>
      </w:r>
    </w:p>
    <w:p>
      <w:pPr>
        <w:numPr>
          <w:ilvl w:val="0"/>
          <w:numId w:val="0"/>
        </w:numPr>
        <w:spacing w:line="600" w:lineRule="exact"/>
        <w:ind w:firstLine="643" w:firstLineChars="200"/>
        <w:rPr>
          <w:rStyle w:val="19"/>
          <w:rFonts w:hint="eastAsia" w:ascii="仿宋" w:eastAsia="仿宋"/>
          <w:bCs/>
          <w:sz w:val="32"/>
          <w:szCs w:val="32"/>
        </w:rPr>
      </w:pPr>
      <w:r>
        <w:rPr>
          <w:rStyle w:val="19"/>
          <w:rFonts w:hint="eastAsia" w:ascii="仿宋" w:eastAsia="仿宋"/>
          <w:bCs/>
          <w:sz w:val="32"/>
          <w:szCs w:val="32"/>
          <w:lang w:val="en-US" w:eastAsia="zh-CN"/>
        </w:rPr>
        <w:t>3</w:t>
      </w:r>
      <w:r>
        <w:rPr>
          <w:rStyle w:val="19"/>
          <w:rFonts w:ascii="仿宋" w:eastAsia="仿宋"/>
          <w:bCs/>
          <w:sz w:val="32"/>
          <w:szCs w:val="32"/>
        </w:rPr>
        <w:t>.</w:t>
      </w:r>
      <w:r>
        <w:rPr>
          <w:rFonts w:hint="eastAsia" w:ascii="仿宋" w:eastAsia="仿宋"/>
          <w:b/>
          <w:bCs/>
          <w:sz w:val="32"/>
          <w:szCs w:val="32"/>
        </w:rPr>
        <w:t>卫生健康</w:t>
      </w:r>
      <w:r>
        <w:rPr>
          <w:rStyle w:val="19"/>
          <w:rFonts w:hint="eastAsia" w:ascii="仿宋" w:eastAsia="仿宋"/>
          <w:bCs/>
          <w:sz w:val="32"/>
          <w:szCs w:val="32"/>
        </w:rPr>
        <w:t>（类）</w:t>
      </w:r>
      <w:r>
        <w:rPr>
          <w:rStyle w:val="19"/>
          <w:rFonts w:hint="eastAsia" w:ascii="仿宋" w:eastAsia="仿宋"/>
          <w:bCs/>
          <w:sz w:val="32"/>
          <w:szCs w:val="32"/>
          <w:lang w:val="en-US" w:eastAsia="zh-CN"/>
        </w:rPr>
        <w:t>行政事业单位医疗</w:t>
      </w:r>
      <w:r>
        <w:rPr>
          <w:rStyle w:val="19"/>
          <w:rFonts w:hint="eastAsia" w:ascii="仿宋" w:eastAsia="仿宋"/>
          <w:bCs/>
          <w:sz w:val="32"/>
          <w:szCs w:val="32"/>
        </w:rPr>
        <w:t>（款）</w:t>
      </w:r>
    </w:p>
    <w:p>
      <w:pPr>
        <w:numPr>
          <w:ilvl w:val="0"/>
          <w:numId w:val="0"/>
        </w:numPr>
        <w:spacing w:line="600" w:lineRule="exact"/>
        <w:ind w:firstLine="643" w:firstLineChars="200"/>
        <w:rPr>
          <w:rStyle w:val="19"/>
          <w:rFonts w:hint="eastAsia" w:ascii="仿宋" w:eastAsia="仿宋"/>
          <w:b w:val="0"/>
          <w:bCs/>
          <w:sz w:val="32"/>
          <w:szCs w:val="32"/>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1</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行政单位医疗</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25.92</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数98.92</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lang w:val="en-US" w:eastAsia="zh-CN"/>
        </w:rPr>
        <w:t>变动原因为</w:t>
      </w:r>
      <w:r>
        <w:rPr>
          <w:rStyle w:val="19"/>
          <w:rFonts w:hint="eastAsia" w:ascii="仿宋" w:eastAsia="仿宋"/>
          <w:b w:val="0"/>
          <w:bCs/>
          <w:sz w:val="32"/>
          <w:szCs w:val="32"/>
          <w:u w:val="none"/>
          <w:lang w:val="en-US" w:eastAsia="zh-CN"/>
        </w:rPr>
        <w:t>人员调动致使人员经费支出减少，存在少量结余。</w:t>
      </w:r>
    </w:p>
    <w:p>
      <w:pPr>
        <w:numPr>
          <w:ilvl w:val="0"/>
          <w:numId w:val="0"/>
        </w:numPr>
        <w:spacing w:line="600" w:lineRule="exact"/>
        <w:ind w:firstLine="643" w:firstLineChars="200"/>
        <w:rPr>
          <w:rStyle w:val="19"/>
          <w:rFonts w:hint="eastAsia" w:ascii="仿宋" w:eastAsia="仿宋"/>
          <w:bCs/>
          <w:sz w:val="32"/>
          <w:szCs w:val="32"/>
          <w:lang w:eastAsia="zh-CN"/>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2</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事业单位医疗</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2.05</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数96.10</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lang w:val="en-US" w:eastAsia="zh-CN"/>
        </w:rPr>
        <w:t>变动原因为保险基数调整，按实际发生支出，存在少量结余</w:t>
      </w:r>
      <w:r>
        <w:rPr>
          <w:rStyle w:val="19"/>
          <w:rFonts w:hint="eastAsia" w:ascii="仿宋" w:eastAsia="仿宋"/>
          <w:b w:val="0"/>
          <w:bCs/>
          <w:sz w:val="32"/>
          <w:szCs w:val="32"/>
        </w:rPr>
        <w:t>。</w:t>
      </w:r>
    </w:p>
    <w:p>
      <w:pPr>
        <w:numPr>
          <w:ilvl w:val="0"/>
          <w:numId w:val="0"/>
        </w:numPr>
        <w:spacing w:line="600" w:lineRule="exact"/>
        <w:ind w:firstLine="643" w:firstLineChars="200"/>
        <w:rPr>
          <w:rStyle w:val="19"/>
          <w:rFonts w:hint="eastAsia" w:ascii="仿宋" w:eastAsia="仿宋"/>
          <w:b w:val="0"/>
          <w:bCs/>
          <w:sz w:val="32"/>
          <w:szCs w:val="32"/>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3</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公务员医疗补助</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7.01</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数88.45</w:t>
      </w:r>
      <w:r>
        <w:rPr>
          <w:rStyle w:val="19"/>
          <w:rFonts w:ascii="仿宋" w:eastAsia="仿宋"/>
          <w:b w:val="0"/>
          <w:bCs/>
          <w:sz w:val="32"/>
          <w:szCs w:val="32"/>
        </w:rPr>
        <w:t>%</w:t>
      </w:r>
      <w:r>
        <w:rPr>
          <w:rStyle w:val="19"/>
          <w:rFonts w:hint="eastAsia" w:ascii="仿宋" w:eastAsia="仿宋"/>
          <w:b w:val="0"/>
          <w:bCs/>
          <w:sz w:val="32"/>
          <w:szCs w:val="32"/>
          <w:lang w:eastAsia="zh-CN"/>
        </w:rPr>
        <w:t>，</w:t>
      </w:r>
      <w:r>
        <w:rPr>
          <w:rStyle w:val="19"/>
          <w:rFonts w:hint="eastAsia" w:ascii="仿宋" w:eastAsia="仿宋"/>
          <w:b w:val="0"/>
          <w:bCs/>
          <w:sz w:val="32"/>
          <w:szCs w:val="32"/>
          <w:lang w:val="en-US" w:eastAsia="zh-CN"/>
        </w:rPr>
        <w:t>变动原因为</w:t>
      </w:r>
      <w:r>
        <w:rPr>
          <w:rStyle w:val="19"/>
          <w:rFonts w:hint="eastAsia" w:ascii="仿宋" w:eastAsia="仿宋"/>
          <w:b w:val="0"/>
          <w:bCs/>
          <w:sz w:val="32"/>
          <w:szCs w:val="32"/>
          <w:u w:val="none"/>
          <w:lang w:val="en-US" w:eastAsia="zh-CN"/>
        </w:rPr>
        <w:t>人员调动致使人员经费支出减少，存在少量结余。</w:t>
      </w:r>
    </w:p>
    <w:p>
      <w:pPr>
        <w:numPr>
          <w:ilvl w:val="0"/>
          <w:numId w:val="0"/>
        </w:numPr>
        <w:spacing w:line="600" w:lineRule="exact"/>
        <w:ind w:firstLine="643" w:firstLineChars="200"/>
        <w:rPr>
          <w:rStyle w:val="19"/>
          <w:rFonts w:hint="eastAsia" w:ascii="仿宋" w:eastAsia="仿宋"/>
          <w:b w:val="0"/>
          <w:bCs/>
          <w:sz w:val="32"/>
          <w:szCs w:val="32"/>
          <w:lang w:eastAsia="zh-CN"/>
        </w:rPr>
      </w:pPr>
      <w:r>
        <w:rPr>
          <w:rStyle w:val="19"/>
          <w:rFonts w:hint="eastAsia" w:ascii="仿宋" w:eastAsia="仿宋"/>
          <w:bCs/>
          <w:sz w:val="32"/>
          <w:szCs w:val="32"/>
          <w:lang w:eastAsia="zh-CN"/>
        </w:rPr>
        <w:t>（</w:t>
      </w:r>
      <w:r>
        <w:rPr>
          <w:rStyle w:val="19"/>
          <w:rFonts w:hint="eastAsia" w:ascii="仿宋" w:eastAsia="仿宋"/>
          <w:bCs/>
          <w:sz w:val="32"/>
          <w:szCs w:val="32"/>
          <w:lang w:val="en-US" w:eastAsia="zh-CN"/>
        </w:rPr>
        <w:t>4</w:t>
      </w:r>
      <w:r>
        <w:rPr>
          <w:rStyle w:val="19"/>
          <w:rFonts w:hint="eastAsia" w:ascii="仿宋" w:eastAsia="仿宋"/>
          <w:bCs/>
          <w:sz w:val="32"/>
          <w:szCs w:val="32"/>
          <w:lang w:eastAsia="zh-CN"/>
        </w:rPr>
        <w:t>）</w:t>
      </w:r>
      <w:r>
        <w:rPr>
          <w:rStyle w:val="19"/>
          <w:rFonts w:hint="eastAsia" w:ascii="仿宋" w:eastAsia="仿宋"/>
          <w:bCs/>
          <w:sz w:val="32"/>
          <w:szCs w:val="32"/>
          <w:lang w:val="en-US" w:eastAsia="zh-CN"/>
        </w:rPr>
        <w:t>其他行政事业单位医疗支出</w:t>
      </w:r>
      <w:r>
        <w:rPr>
          <w:rStyle w:val="19"/>
          <w:rFonts w:hint="eastAsia" w:ascii="仿宋" w:eastAsia="仿宋"/>
          <w:bCs/>
          <w:sz w:val="32"/>
          <w:szCs w:val="32"/>
        </w:rPr>
        <w:t>（项）</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0.36</w:t>
      </w:r>
      <w:r>
        <w:rPr>
          <w:rStyle w:val="19"/>
          <w:rFonts w:hint="eastAsia" w:ascii="仿宋" w:eastAsia="仿宋"/>
          <w:b w:val="0"/>
          <w:bCs/>
          <w:sz w:val="32"/>
          <w:szCs w:val="32"/>
        </w:rPr>
        <w:t>万元，完成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数100</w:t>
      </w:r>
      <w:r>
        <w:rPr>
          <w:rStyle w:val="19"/>
          <w:rFonts w:ascii="仿宋" w:eastAsia="仿宋"/>
          <w:b w:val="0"/>
          <w:bCs/>
          <w:sz w:val="32"/>
          <w:szCs w:val="32"/>
        </w:rPr>
        <w:t>%</w:t>
      </w:r>
      <w:r>
        <w:rPr>
          <w:rStyle w:val="19"/>
          <w:rFonts w:hint="eastAsia" w:ascii="仿宋" w:eastAsia="仿宋"/>
          <w:b w:val="0"/>
          <w:bCs/>
          <w:sz w:val="32"/>
          <w:szCs w:val="32"/>
          <w:lang w:eastAsia="zh-CN"/>
        </w:rPr>
        <w:t>。</w:t>
      </w:r>
    </w:p>
    <w:p>
      <w:pPr>
        <w:numPr>
          <w:ilvl w:val="0"/>
          <w:numId w:val="0"/>
        </w:numPr>
        <w:spacing w:line="600" w:lineRule="exact"/>
        <w:ind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仿宋" w:eastAsia="仿宋"/>
          <w:b/>
          <w:sz w:val="32"/>
          <w:szCs w:val="32"/>
          <w:lang w:val="en-US" w:eastAsia="zh-CN"/>
        </w:rPr>
        <w:t>4</w:t>
      </w:r>
      <w:r>
        <w:rPr>
          <w:rFonts w:hint="eastAsia" w:ascii="仿宋" w:eastAsia="仿宋"/>
          <w:b/>
          <w:sz w:val="32"/>
          <w:szCs w:val="32"/>
        </w:rPr>
        <w:t>.住房保障支出（类）住房改革支出（款）住房公积金（项）:</w:t>
      </w:r>
      <w:r>
        <w:rPr>
          <w:rFonts w:hint="eastAsia" w:ascii="仿宋" w:eastAsia="仿宋"/>
          <w:b w:val="0"/>
          <w:bCs/>
          <w:sz w:val="32"/>
          <w:szCs w:val="32"/>
        </w:rPr>
        <w:t>支出决算为</w:t>
      </w:r>
      <w:r>
        <w:rPr>
          <w:rFonts w:hint="eastAsia" w:ascii="仿宋" w:eastAsia="仿宋"/>
          <w:b w:val="0"/>
          <w:bCs/>
          <w:sz w:val="32"/>
          <w:szCs w:val="32"/>
          <w:lang w:val="en-US" w:eastAsia="zh-CN"/>
        </w:rPr>
        <w:t>47.91</w:t>
      </w:r>
      <w:r>
        <w:rPr>
          <w:rFonts w:hint="eastAsia" w:ascii="仿宋" w:eastAsia="仿宋"/>
          <w:b w:val="0"/>
          <w:bCs/>
          <w:sz w:val="32"/>
          <w:szCs w:val="32"/>
        </w:rPr>
        <w:t>万元，</w:t>
      </w:r>
      <w:r>
        <w:rPr>
          <w:rStyle w:val="19"/>
          <w:rFonts w:hint="eastAsia" w:ascii="仿宋" w:eastAsia="仿宋"/>
          <w:b w:val="0"/>
          <w:bCs/>
          <w:sz w:val="32"/>
          <w:szCs w:val="32"/>
        </w:rPr>
        <w:t>完成</w:t>
      </w:r>
      <w:r>
        <w:rPr>
          <w:rStyle w:val="19"/>
          <w:rFonts w:hint="eastAsia" w:ascii="仿宋" w:eastAsia="仿宋"/>
          <w:b w:val="0"/>
          <w:bCs/>
          <w:sz w:val="32"/>
          <w:szCs w:val="32"/>
          <w:lang w:val="en-US" w:eastAsia="zh-CN"/>
        </w:rPr>
        <w:t>调整</w:t>
      </w:r>
      <w:r>
        <w:rPr>
          <w:rStyle w:val="19"/>
          <w:rFonts w:hint="eastAsia" w:ascii="仿宋" w:eastAsia="仿宋"/>
          <w:b w:val="0"/>
          <w:bCs/>
          <w:sz w:val="32"/>
          <w:szCs w:val="32"/>
        </w:rPr>
        <w:t>预算</w:t>
      </w:r>
      <w:r>
        <w:rPr>
          <w:rStyle w:val="19"/>
          <w:rFonts w:hint="eastAsia" w:ascii="仿宋" w:eastAsia="仿宋"/>
          <w:b w:val="0"/>
          <w:bCs/>
          <w:sz w:val="32"/>
          <w:szCs w:val="32"/>
          <w:lang w:val="en-US" w:eastAsia="zh-CN"/>
        </w:rPr>
        <w:t>数100</w:t>
      </w:r>
      <w:r>
        <w:rPr>
          <w:rStyle w:val="19"/>
          <w:rFonts w:ascii="仿宋" w:eastAsia="仿宋"/>
          <w:b w:val="0"/>
          <w:bCs/>
          <w:sz w:val="32"/>
          <w:szCs w:val="32"/>
        </w:rPr>
        <w:t>%</w:t>
      </w:r>
      <w:r>
        <w:rPr>
          <w:rStyle w:val="19"/>
          <w:rFonts w:hint="eastAsia" w:ascii="仿宋" w:eastAsia="仿宋"/>
          <w:b w:val="0"/>
          <w:bCs/>
          <w:sz w:val="32"/>
          <w:szCs w:val="32"/>
          <w:lang w:eastAsia="zh-CN"/>
        </w:rPr>
        <w:t>。</w:t>
      </w:r>
    </w:p>
    <w:p>
      <w:pPr>
        <w:tabs>
          <w:tab w:val="right" w:pos="8306"/>
        </w:tabs>
        <w:spacing w:line="600" w:lineRule="exact"/>
        <w:ind w:firstLine="640"/>
        <w:outlineLvl w:val="1"/>
        <w:rPr>
          <w:rStyle w:val="31"/>
          <w:rFonts w:ascii="Times New Roman" w:hAnsi="Times New Roman"/>
          <w:color w:val="auto"/>
          <w:highlight w:val="none"/>
        </w:rPr>
      </w:pPr>
      <w:bookmarkStart w:id="73" w:name="_Toc29510"/>
      <w:bookmarkStart w:id="74" w:name="_Toc15396608"/>
      <w:bookmarkStart w:id="75"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般公共预算财政拨款基本支出决算情况说明</w:t>
      </w:r>
      <w:bookmarkEnd w:id="73"/>
      <w:bookmarkEnd w:id="74"/>
      <w:bookmarkEnd w:id="75"/>
      <w:r>
        <w:rPr>
          <w:rStyle w:val="31"/>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708.73</w:t>
      </w:r>
      <w:r>
        <w:rPr>
          <w:rFonts w:hint="eastAsia" w:ascii="Times New Roman" w:hAnsi="Times New Roman" w:eastAsia="仿宋_GB2312" w:cs="仿宋_GB2312"/>
          <w:color w:val="auto"/>
          <w:kern w:val="2"/>
          <w:sz w:val="32"/>
          <w:szCs w:val="32"/>
          <w:highlight w:val="none"/>
          <w:lang w:val="en-US" w:eastAsia="zh-CN" w:bidi="ar-SA"/>
        </w:rPr>
        <w:t>万元，其中：</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622.8</w:t>
      </w:r>
      <w:r>
        <w:rPr>
          <w:rFonts w:hint="eastAsia" w:ascii="Times New Roman" w:hAnsi="Times New Roman" w:eastAsia="仿宋_GB2312" w:cs="仿宋_GB2312"/>
          <w:color w:val="auto"/>
          <w:kern w:val="2"/>
          <w:sz w:val="32"/>
          <w:szCs w:val="32"/>
          <w:highlight w:val="none"/>
          <w:lang w:val="en-US" w:eastAsia="zh-CN" w:bidi="ar-SA"/>
        </w:rPr>
        <w:t>万元，主要包括：基本工资</w:t>
      </w:r>
      <w:r>
        <w:rPr>
          <w:rFonts w:hint="eastAsia" w:eastAsia="仿宋_GB2312" w:cs="仿宋_GB2312"/>
          <w:color w:val="auto"/>
          <w:kern w:val="2"/>
          <w:sz w:val="32"/>
          <w:szCs w:val="32"/>
          <w:highlight w:val="none"/>
          <w:lang w:val="en-US" w:eastAsia="zh-CN" w:bidi="ar-SA"/>
        </w:rPr>
        <w:t>124.4万元</w:t>
      </w:r>
      <w:r>
        <w:rPr>
          <w:rFonts w:hint="eastAsia" w:ascii="Times New Roman" w:hAnsi="Times New Roman" w:eastAsia="仿宋_GB2312" w:cs="仿宋_GB2312"/>
          <w:color w:val="auto"/>
          <w:kern w:val="2"/>
          <w:sz w:val="32"/>
          <w:szCs w:val="32"/>
          <w:highlight w:val="none"/>
          <w:lang w:val="en-US" w:eastAsia="zh-CN" w:bidi="ar-SA"/>
        </w:rPr>
        <w:t>、津贴补贴</w:t>
      </w:r>
      <w:r>
        <w:rPr>
          <w:rFonts w:hint="eastAsia" w:eastAsia="仿宋_GB2312" w:cs="仿宋_GB2312"/>
          <w:color w:val="auto"/>
          <w:kern w:val="2"/>
          <w:sz w:val="32"/>
          <w:szCs w:val="32"/>
          <w:highlight w:val="none"/>
          <w:lang w:val="en-US" w:eastAsia="zh-CN" w:bidi="ar-SA"/>
        </w:rPr>
        <w:t>150.96万元</w:t>
      </w:r>
      <w:r>
        <w:rPr>
          <w:rFonts w:hint="eastAsia" w:ascii="Times New Roman" w:hAnsi="Times New Roman" w:eastAsia="仿宋_GB2312" w:cs="仿宋_GB2312"/>
          <w:color w:val="auto"/>
          <w:kern w:val="2"/>
          <w:sz w:val="32"/>
          <w:szCs w:val="32"/>
          <w:highlight w:val="none"/>
          <w:lang w:val="en-US" w:eastAsia="zh-CN" w:bidi="ar-SA"/>
        </w:rPr>
        <w:t>、奖金</w:t>
      </w:r>
      <w:r>
        <w:rPr>
          <w:rFonts w:hint="eastAsia" w:eastAsia="仿宋_GB2312" w:cs="仿宋_GB2312"/>
          <w:color w:val="auto"/>
          <w:kern w:val="2"/>
          <w:sz w:val="32"/>
          <w:szCs w:val="32"/>
          <w:highlight w:val="none"/>
          <w:lang w:val="en-US" w:eastAsia="zh-CN" w:bidi="ar-SA"/>
        </w:rPr>
        <w:t>139.22万元</w:t>
      </w:r>
      <w:r>
        <w:rPr>
          <w:rFonts w:hint="eastAsia" w:ascii="Times New Roman" w:hAnsi="Times New Roman" w:eastAsia="仿宋_GB2312" w:cs="仿宋_GB2312"/>
          <w:color w:val="auto"/>
          <w:kern w:val="2"/>
          <w:sz w:val="32"/>
          <w:szCs w:val="32"/>
          <w:highlight w:val="none"/>
          <w:lang w:val="en-US" w:eastAsia="zh-CN" w:bidi="ar-SA"/>
        </w:rPr>
        <w:t>、绩效工资</w:t>
      </w:r>
      <w:r>
        <w:rPr>
          <w:rFonts w:hint="eastAsia" w:eastAsia="仿宋_GB2312" w:cs="仿宋_GB2312"/>
          <w:color w:val="auto"/>
          <w:kern w:val="2"/>
          <w:sz w:val="32"/>
          <w:szCs w:val="32"/>
          <w:highlight w:val="none"/>
          <w:lang w:val="en-US" w:eastAsia="zh-CN" w:bidi="ar-SA"/>
        </w:rPr>
        <w:t>6.10万元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w:t>
      </w:r>
      <w:r>
        <w:rPr>
          <w:rFonts w:hint="eastAsia" w:eastAsia="仿宋_GB2312" w:cs="仿宋_GB2312"/>
          <w:color w:val="auto"/>
          <w:kern w:val="2"/>
          <w:sz w:val="32"/>
          <w:szCs w:val="32"/>
          <w:highlight w:val="none"/>
          <w:lang w:val="en-US" w:eastAsia="zh-CN" w:bidi="ar-SA"/>
        </w:rPr>
        <w:t>59.89万元</w:t>
      </w:r>
      <w:r>
        <w:rPr>
          <w:rFonts w:hint="eastAsia" w:ascii="Times New Roman" w:hAnsi="Times New Roman" w:eastAsia="仿宋_GB2312" w:cs="仿宋_GB2312"/>
          <w:color w:val="auto"/>
          <w:kern w:val="2"/>
          <w:sz w:val="32"/>
          <w:szCs w:val="32"/>
          <w:highlight w:val="none"/>
          <w:lang w:val="en-US" w:eastAsia="zh-CN" w:bidi="ar-SA"/>
        </w:rPr>
        <w:t>、职业年金缴费</w:t>
      </w:r>
      <w:r>
        <w:rPr>
          <w:rFonts w:hint="eastAsia" w:eastAsia="仿宋_GB2312" w:cs="仿宋_GB2312"/>
          <w:color w:val="auto"/>
          <w:kern w:val="2"/>
          <w:sz w:val="32"/>
          <w:szCs w:val="32"/>
          <w:highlight w:val="none"/>
          <w:lang w:val="en-US" w:eastAsia="zh-CN" w:bidi="ar-SA"/>
        </w:rPr>
        <w:t>29.95万元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hAnsi="仿宋" w:eastAsia="仿宋"/>
          <w:sz w:val="32"/>
          <w:szCs w:val="32"/>
        </w:rPr>
        <w:t>职工基本医疗保险缴费</w:t>
      </w:r>
      <w:r>
        <w:rPr>
          <w:rFonts w:hint="eastAsia" w:ascii="仿宋" w:hAnsi="仿宋" w:eastAsia="仿宋"/>
          <w:sz w:val="32"/>
          <w:szCs w:val="32"/>
          <w:lang w:val="en-US" w:eastAsia="zh-CN"/>
        </w:rPr>
        <w:t>27.97</w:t>
      </w:r>
      <w:r>
        <w:rPr>
          <w:rFonts w:hint="eastAsia" w:ascii="仿宋" w:hAnsi="仿宋" w:eastAsia="仿宋"/>
          <w:sz w:val="32"/>
          <w:szCs w:val="32"/>
        </w:rPr>
        <w:t>万元、公务员医疗补助缴费</w:t>
      </w:r>
      <w:r>
        <w:rPr>
          <w:rFonts w:hint="eastAsia" w:ascii="仿宋" w:hAnsi="仿宋" w:eastAsia="仿宋"/>
          <w:sz w:val="32"/>
          <w:szCs w:val="32"/>
          <w:lang w:val="en-US" w:eastAsia="zh-CN"/>
        </w:rPr>
        <w:t>7.37</w:t>
      </w:r>
      <w:r>
        <w:rPr>
          <w:rFonts w:hint="eastAsia" w:ascii="仿宋" w:hAnsi="仿宋" w:eastAsia="仿宋"/>
          <w:sz w:val="32"/>
          <w:szCs w:val="32"/>
        </w:rPr>
        <w:t>万元、</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1.23万元</w:t>
      </w:r>
      <w:r>
        <w:rPr>
          <w:rFonts w:hint="eastAsia" w:ascii="Times New Roman" w:hAnsi="Times New Roman" w:eastAsia="仿宋_GB2312" w:cs="仿宋_GB2312"/>
          <w:color w:val="auto"/>
          <w:kern w:val="2"/>
          <w:sz w:val="32"/>
          <w:szCs w:val="32"/>
          <w:highlight w:val="none"/>
          <w:lang w:val="en-US" w:eastAsia="zh-CN" w:bidi="ar-SA"/>
        </w:rPr>
        <w:t>、住房公积金</w:t>
      </w:r>
      <w:r>
        <w:rPr>
          <w:rFonts w:hint="eastAsia" w:eastAsia="仿宋_GB2312" w:cs="仿宋_GB2312"/>
          <w:color w:val="auto"/>
          <w:kern w:val="2"/>
          <w:sz w:val="32"/>
          <w:szCs w:val="32"/>
          <w:highlight w:val="none"/>
          <w:lang w:val="en-US" w:eastAsia="zh-CN" w:bidi="ar-SA"/>
        </w:rPr>
        <w:t>47.91万元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医疗费2.30万元、</w:t>
      </w:r>
      <w:r>
        <w:rPr>
          <w:rFonts w:hint="eastAsia" w:ascii="Times New Roman" w:hAnsi="Times New Roman" w:eastAsia="仿宋_GB2312" w:cs="仿宋_GB2312"/>
          <w:color w:val="auto"/>
          <w:kern w:val="2"/>
          <w:sz w:val="32"/>
          <w:szCs w:val="32"/>
          <w:highlight w:val="none"/>
          <w:lang w:val="en-US" w:eastAsia="zh-CN" w:bidi="ar-SA"/>
        </w:rPr>
        <w:t>生活补助</w:t>
      </w:r>
      <w:r>
        <w:rPr>
          <w:rFonts w:hint="eastAsia" w:eastAsia="仿宋_GB2312" w:cs="仿宋_GB2312"/>
          <w:color w:val="auto"/>
          <w:kern w:val="2"/>
          <w:sz w:val="32"/>
          <w:szCs w:val="32"/>
          <w:highlight w:val="none"/>
          <w:lang w:val="en-US" w:eastAsia="zh-CN" w:bidi="ar-SA"/>
        </w:rPr>
        <w:t>23.21万元</w:t>
      </w:r>
      <w:r>
        <w:rPr>
          <w:rFonts w:hint="eastAsia" w:ascii="Times New Roman" w:hAnsi="Times New Roman" w:eastAsia="仿宋_GB2312" w:cs="仿宋_GB2312"/>
          <w:color w:val="auto"/>
          <w:kern w:val="2"/>
          <w:sz w:val="32"/>
          <w:szCs w:val="32"/>
          <w:highlight w:val="none"/>
          <w:lang w:val="en-US" w:eastAsia="zh-CN" w:bidi="ar-SA"/>
        </w:rPr>
        <w:t>、医疗费补助</w:t>
      </w:r>
      <w:r>
        <w:rPr>
          <w:rFonts w:hint="eastAsia" w:eastAsia="仿宋_GB2312" w:cs="仿宋_GB2312"/>
          <w:color w:val="auto"/>
          <w:kern w:val="2"/>
          <w:sz w:val="32"/>
          <w:szCs w:val="32"/>
          <w:highlight w:val="none"/>
          <w:lang w:val="en-US" w:eastAsia="zh-CN" w:bidi="ar-SA"/>
        </w:rPr>
        <w:t>2.29万元。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公用经费</w:t>
      </w:r>
      <w:r>
        <w:rPr>
          <w:rFonts w:hint="eastAsia" w:ascii="仿宋_GB2312" w:hAnsi="仿宋_GB2312" w:eastAsia="仿宋_GB2312" w:cs="仿宋_GB2312"/>
          <w:sz w:val="32"/>
          <w:szCs w:val="32"/>
        </w:rPr>
        <w:t>85.93</w:t>
      </w:r>
      <w:r>
        <w:rPr>
          <w:rFonts w:hint="eastAsia" w:ascii="Times New Roman" w:hAnsi="Times New Roman" w:eastAsia="仿宋_GB2312" w:cs="仿宋_GB2312"/>
          <w:color w:val="auto"/>
          <w:kern w:val="2"/>
          <w:sz w:val="32"/>
          <w:szCs w:val="32"/>
          <w:highlight w:val="none"/>
          <w:lang w:val="en-US" w:eastAsia="zh-CN" w:bidi="ar-SA"/>
        </w:rPr>
        <w:t>万元，主要包括：办公费</w:t>
      </w:r>
      <w:r>
        <w:rPr>
          <w:rFonts w:hint="eastAsia" w:eastAsia="仿宋_GB2312" w:cs="仿宋_GB2312"/>
          <w:color w:val="auto"/>
          <w:kern w:val="2"/>
          <w:sz w:val="32"/>
          <w:szCs w:val="32"/>
          <w:highlight w:val="none"/>
          <w:lang w:val="en-US" w:eastAsia="zh-CN" w:bidi="ar-SA"/>
        </w:rPr>
        <w:t>10.42万元</w:t>
      </w:r>
      <w:r>
        <w:rPr>
          <w:rFonts w:hint="eastAsia" w:ascii="Times New Roman" w:hAnsi="Times New Roman" w:eastAsia="仿宋_GB2312" w:cs="仿宋_GB2312"/>
          <w:color w:val="auto"/>
          <w:kern w:val="2"/>
          <w:sz w:val="32"/>
          <w:szCs w:val="32"/>
          <w:highlight w:val="none"/>
          <w:lang w:val="en-US" w:eastAsia="zh-CN" w:bidi="ar-SA"/>
        </w:rPr>
        <w:t>、印刷费</w:t>
      </w:r>
      <w:r>
        <w:rPr>
          <w:rFonts w:hint="eastAsia" w:eastAsia="仿宋_GB2312" w:cs="仿宋_GB2312"/>
          <w:color w:val="auto"/>
          <w:kern w:val="2"/>
          <w:sz w:val="32"/>
          <w:szCs w:val="32"/>
          <w:highlight w:val="none"/>
          <w:lang w:val="en-US" w:eastAsia="zh-CN" w:bidi="ar-SA"/>
        </w:rPr>
        <w:t>0.3万元</w:t>
      </w:r>
      <w:r>
        <w:rPr>
          <w:rFonts w:hint="eastAsia" w:ascii="Times New Roman" w:hAnsi="Times New Roman" w:eastAsia="仿宋_GB2312" w:cs="仿宋_GB2312"/>
          <w:color w:val="auto"/>
          <w:kern w:val="2"/>
          <w:sz w:val="32"/>
          <w:szCs w:val="32"/>
          <w:highlight w:val="none"/>
          <w:lang w:val="en-US" w:eastAsia="zh-CN" w:bidi="ar-SA"/>
        </w:rPr>
        <w:t>、电费</w:t>
      </w:r>
      <w:r>
        <w:rPr>
          <w:rFonts w:hint="eastAsia" w:eastAsia="仿宋_GB2312" w:cs="仿宋_GB2312"/>
          <w:color w:val="auto"/>
          <w:kern w:val="2"/>
          <w:sz w:val="32"/>
          <w:szCs w:val="32"/>
          <w:highlight w:val="none"/>
          <w:lang w:val="en-US" w:eastAsia="zh-CN" w:bidi="ar-SA"/>
        </w:rPr>
        <w:t>1.13万元</w:t>
      </w:r>
      <w:r>
        <w:rPr>
          <w:rFonts w:hint="eastAsia" w:ascii="Times New Roman" w:hAnsi="Times New Roman" w:eastAsia="仿宋_GB2312" w:cs="仿宋_GB2312"/>
          <w:color w:val="auto"/>
          <w:kern w:val="2"/>
          <w:sz w:val="32"/>
          <w:szCs w:val="32"/>
          <w:highlight w:val="none"/>
          <w:lang w:val="en-US" w:eastAsia="zh-CN" w:bidi="ar-SA"/>
        </w:rPr>
        <w:t>、邮电费</w:t>
      </w:r>
      <w:r>
        <w:rPr>
          <w:rFonts w:hint="eastAsia" w:eastAsia="仿宋_GB2312" w:cs="仿宋_GB2312"/>
          <w:color w:val="auto"/>
          <w:kern w:val="2"/>
          <w:sz w:val="32"/>
          <w:szCs w:val="32"/>
          <w:highlight w:val="none"/>
          <w:lang w:val="en-US" w:eastAsia="zh-CN" w:bidi="ar-SA"/>
        </w:rPr>
        <w:t>2.88万元</w:t>
      </w:r>
      <w:r>
        <w:rPr>
          <w:rFonts w:hint="eastAsia" w:ascii="Times New Roman" w:hAnsi="Times New Roman" w:eastAsia="仿宋_GB2312" w:cs="仿宋_GB2312"/>
          <w:color w:val="auto"/>
          <w:kern w:val="2"/>
          <w:sz w:val="32"/>
          <w:szCs w:val="32"/>
          <w:highlight w:val="none"/>
          <w:lang w:val="en-US" w:eastAsia="zh-CN" w:bidi="ar-SA"/>
        </w:rPr>
        <w:t>、取暖费</w:t>
      </w:r>
      <w:r>
        <w:rPr>
          <w:rFonts w:hint="eastAsia" w:eastAsia="仿宋_GB2312" w:cs="仿宋_GB2312"/>
          <w:color w:val="auto"/>
          <w:kern w:val="2"/>
          <w:sz w:val="32"/>
          <w:szCs w:val="32"/>
          <w:highlight w:val="none"/>
          <w:lang w:val="en-US" w:eastAsia="zh-CN" w:bidi="ar-SA"/>
        </w:rPr>
        <w:t>2万元</w:t>
      </w:r>
      <w:r>
        <w:rPr>
          <w:rFonts w:hint="eastAsia" w:ascii="Times New Roman" w:hAnsi="Times New Roman" w:eastAsia="仿宋_GB2312" w:cs="仿宋_GB2312"/>
          <w:color w:val="auto"/>
          <w:kern w:val="2"/>
          <w:sz w:val="32"/>
          <w:szCs w:val="32"/>
          <w:highlight w:val="none"/>
          <w:lang w:val="en-US" w:eastAsia="zh-CN" w:bidi="ar-SA"/>
        </w:rPr>
        <w:t>、差旅费</w:t>
      </w:r>
      <w:r>
        <w:rPr>
          <w:rFonts w:hint="eastAsia" w:eastAsia="仿宋_GB2312" w:cs="仿宋_GB2312"/>
          <w:color w:val="auto"/>
          <w:kern w:val="2"/>
          <w:sz w:val="32"/>
          <w:szCs w:val="32"/>
          <w:highlight w:val="none"/>
          <w:lang w:val="en-US" w:eastAsia="zh-CN" w:bidi="ar-SA"/>
        </w:rPr>
        <w:t>6.31万元</w:t>
      </w:r>
      <w:r>
        <w:rPr>
          <w:rFonts w:hint="eastAsia" w:ascii="Times New Roman" w:hAnsi="Times New Roman" w:eastAsia="仿宋_GB2312" w:cs="仿宋_GB2312"/>
          <w:color w:val="auto"/>
          <w:kern w:val="2"/>
          <w:sz w:val="32"/>
          <w:szCs w:val="32"/>
          <w:highlight w:val="none"/>
          <w:lang w:val="en-US" w:eastAsia="zh-CN" w:bidi="ar-SA"/>
        </w:rPr>
        <w:t>、租赁费</w:t>
      </w:r>
      <w:r>
        <w:rPr>
          <w:rFonts w:hint="eastAsia" w:eastAsia="仿宋_GB2312" w:cs="仿宋_GB2312"/>
          <w:color w:val="auto"/>
          <w:kern w:val="2"/>
          <w:sz w:val="32"/>
          <w:szCs w:val="32"/>
          <w:highlight w:val="none"/>
          <w:lang w:val="en-US" w:eastAsia="zh-CN" w:bidi="ar-SA"/>
        </w:rPr>
        <w:t>0.04万元</w:t>
      </w:r>
      <w:r>
        <w:rPr>
          <w:rFonts w:hint="eastAsia" w:ascii="Times New Roman" w:hAnsi="Times New Roman" w:eastAsia="仿宋_GB2312" w:cs="仿宋_GB2312"/>
          <w:color w:val="auto"/>
          <w:kern w:val="2"/>
          <w:sz w:val="32"/>
          <w:szCs w:val="32"/>
          <w:highlight w:val="none"/>
          <w:lang w:val="en-US" w:eastAsia="zh-CN" w:bidi="ar-SA"/>
        </w:rPr>
        <w:t>、会议费、培训费</w:t>
      </w:r>
      <w:r>
        <w:rPr>
          <w:rFonts w:hint="eastAsia" w:eastAsia="仿宋_GB2312" w:cs="仿宋_GB2312"/>
          <w:color w:val="auto"/>
          <w:kern w:val="2"/>
          <w:sz w:val="32"/>
          <w:szCs w:val="32"/>
          <w:highlight w:val="none"/>
          <w:lang w:val="en-US" w:eastAsia="zh-CN" w:bidi="ar-SA"/>
        </w:rPr>
        <w:t>1.35万元</w:t>
      </w:r>
      <w:r>
        <w:rPr>
          <w:rFonts w:hint="eastAsia" w:ascii="Times New Roman" w:hAnsi="Times New Roman" w:eastAsia="仿宋_GB2312" w:cs="仿宋_GB2312"/>
          <w:color w:val="auto"/>
          <w:kern w:val="2"/>
          <w:sz w:val="32"/>
          <w:szCs w:val="32"/>
          <w:highlight w:val="none"/>
          <w:lang w:val="en-US" w:eastAsia="zh-CN" w:bidi="ar-SA"/>
        </w:rPr>
        <w:t>、公务接待费</w:t>
      </w:r>
      <w:r>
        <w:rPr>
          <w:rFonts w:hint="eastAsia" w:eastAsia="仿宋_GB2312" w:cs="仿宋_GB2312"/>
          <w:color w:val="auto"/>
          <w:kern w:val="2"/>
          <w:sz w:val="32"/>
          <w:szCs w:val="32"/>
          <w:highlight w:val="none"/>
          <w:lang w:val="en-US" w:eastAsia="zh-CN" w:bidi="ar-SA"/>
        </w:rPr>
        <w:t>0.13万元</w:t>
      </w:r>
      <w:r>
        <w:rPr>
          <w:rFonts w:hint="eastAsia" w:ascii="Times New Roman" w:hAnsi="Times New Roman" w:eastAsia="仿宋_GB2312" w:cs="仿宋_GB2312"/>
          <w:color w:val="auto"/>
          <w:kern w:val="2"/>
          <w:sz w:val="32"/>
          <w:szCs w:val="32"/>
          <w:highlight w:val="none"/>
          <w:lang w:val="en-US" w:eastAsia="zh-CN" w:bidi="ar-SA"/>
        </w:rPr>
        <w:t>、劳务费</w:t>
      </w:r>
      <w:r>
        <w:rPr>
          <w:rFonts w:hint="eastAsia" w:eastAsia="仿宋_GB2312" w:cs="仿宋_GB2312"/>
          <w:color w:val="auto"/>
          <w:kern w:val="2"/>
          <w:sz w:val="32"/>
          <w:szCs w:val="32"/>
          <w:highlight w:val="none"/>
          <w:lang w:val="en-US" w:eastAsia="zh-CN" w:bidi="ar-SA"/>
        </w:rPr>
        <w:t>3.63万元</w:t>
      </w:r>
      <w:r>
        <w:rPr>
          <w:rFonts w:hint="eastAsia" w:ascii="Times New Roman" w:hAnsi="Times New Roman" w:eastAsia="仿宋_GB2312" w:cs="仿宋_GB2312"/>
          <w:color w:val="auto"/>
          <w:kern w:val="2"/>
          <w:sz w:val="32"/>
          <w:szCs w:val="32"/>
          <w:highlight w:val="none"/>
          <w:lang w:val="en-US" w:eastAsia="zh-CN" w:bidi="ar-SA"/>
        </w:rPr>
        <w:t>、委托业务费</w:t>
      </w:r>
      <w:r>
        <w:rPr>
          <w:rFonts w:hint="eastAsia" w:eastAsia="仿宋_GB2312" w:cs="仿宋_GB2312"/>
          <w:color w:val="auto"/>
          <w:kern w:val="2"/>
          <w:sz w:val="32"/>
          <w:szCs w:val="32"/>
          <w:highlight w:val="none"/>
          <w:lang w:val="en-US" w:eastAsia="zh-CN" w:bidi="ar-SA"/>
        </w:rPr>
        <w:t>0.33万元</w:t>
      </w:r>
      <w:r>
        <w:rPr>
          <w:rFonts w:hint="eastAsia" w:ascii="Times New Roman" w:hAnsi="Times New Roman" w:eastAsia="仿宋_GB2312" w:cs="仿宋_GB2312"/>
          <w:color w:val="auto"/>
          <w:kern w:val="2"/>
          <w:sz w:val="32"/>
          <w:szCs w:val="32"/>
          <w:highlight w:val="none"/>
          <w:lang w:val="en-US" w:eastAsia="zh-CN" w:bidi="ar-SA"/>
        </w:rPr>
        <w:t>、工会经费</w:t>
      </w:r>
      <w:r>
        <w:rPr>
          <w:rFonts w:hint="eastAsia" w:eastAsia="仿宋_GB2312" w:cs="仿宋_GB2312"/>
          <w:color w:val="auto"/>
          <w:kern w:val="2"/>
          <w:sz w:val="32"/>
          <w:szCs w:val="32"/>
          <w:highlight w:val="none"/>
          <w:lang w:val="en-US" w:eastAsia="zh-CN" w:bidi="ar-SA"/>
        </w:rPr>
        <w:t>4.42万元</w:t>
      </w:r>
      <w:r>
        <w:rPr>
          <w:rFonts w:hint="eastAsia" w:ascii="Times New Roman" w:hAnsi="Times New Roman" w:eastAsia="仿宋_GB2312" w:cs="仿宋_GB2312"/>
          <w:color w:val="auto"/>
          <w:kern w:val="2"/>
          <w:sz w:val="32"/>
          <w:szCs w:val="32"/>
          <w:highlight w:val="none"/>
          <w:lang w:val="en-US" w:eastAsia="zh-CN" w:bidi="ar-SA"/>
        </w:rPr>
        <w:t>、福利费</w:t>
      </w:r>
      <w:r>
        <w:rPr>
          <w:rFonts w:hint="eastAsia" w:eastAsia="仿宋_GB2312" w:cs="仿宋_GB2312"/>
          <w:color w:val="auto"/>
          <w:kern w:val="2"/>
          <w:sz w:val="32"/>
          <w:szCs w:val="32"/>
          <w:highlight w:val="none"/>
          <w:lang w:val="en-US" w:eastAsia="zh-CN" w:bidi="ar-SA"/>
        </w:rPr>
        <w:t>7.32万元</w:t>
      </w:r>
      <w:r>
        <w:rPr>
          <w:rFonts w:hint="eastAsia" w:ascii="Times New Roman" w:hAnsi="Times New Roman" w:eastAsia="仿宋_GB2312" w:cs="仿宋_GB2312"/>
          <w:color w:val="auto"/>
          <w:kern w:val="2"/>
          <w:sz w:val="32"/>
          <w:szCs w:val="32"/>
          <w:highlight w:val="none"/>
          <w:lang w:val="en-US" w:eastAsia="zh-CN" w:bidi="ar-SA"/>
        </w:rPr>
        <w:t>、公务用车运行维护费</w:t>
      </w:r>
      <w:r>
        <w:rPr>
          <w:rFonts w:hint="eastAsia" w:eastAsia="仿宋_GB2312" w:cs="仿宋_GB2312"/>
          <w:color w:val="auto"/>
          <w:kern w:val="2"/>
          <w:sz w:val="32"/>
          <w:szCs w:val="32"/>
          <w:highlight w:val="none"/>
          <w:lang w:val="en-US" w:eastAsia="zh-CN" w:bidi="ar-SA"/>
        </w:rPr>
        <w:t>40.5万元</w:t>
      </w:r>
      <w:r>
        <w:rPr>
          <w:rFonts w:hint="eastAsia" w:ascii="Times New Roman" w:hAnsi="Times New Roman" w:eastAsia="仿宋_GB2312" w:cs="仿宋_GB2312"/>
          <w:color w:val="auto"/>
          <w:kern w:val="2"/>
          <w:sz w:val="32"/>
          <w:szCs w:val="32"/>
          <w:highlight w:val="none"/>
          <w:lang w:val="en-US" w:eastAsia="zh-CN" w:bidi="ar-SA"/>
        </w:rPr>
        <w:t>、其他商品和服务支出</w:t>
      </w:r>
      <w:r>
        <w:rPr>
          <w:rFonts w:hint="eastAsia" w:eastAsia="仿宋_GB2312" w:cs="仿宋_GB2312"/>
          <w:color w:val="auto"/>
          <w:kern w:val="2"/>
          <w:sz w:val="32"/>
          <w:szCs w:val="32"/>
          <w:highlight w:val="none"/>
          <w:lang w:val="en-US" w:eastAsia="zh-CN" w:bidi="ar-SA"/>
        </w:rPr>
        <w:t>5.18万元</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outlineLvl w:val="1"/>
        <w:rPr>
          <w:rStyle w:val="31"/>
          <w:rFonts w:ascii="Times New Roman" w:hAnsi="Times New Roman" w:eastAsia="黑体"/>
          <w:b w:val="0"/>
          <w:color w:val="auto"/>
          <w:highlight w:val="none"/>
        </w:rPr>
      </w:pPr>
      <w:bookmarkStart w:id="76" w:name="_Toc2844"/>
      <w:bookmarkStart w:id="77" w:name="_Toc15377215"/>
      <w:bookmarkStart w:id="78" w:name="_Toc15396609"/>
      <w:r>
        <w:rPr>
          <w:rFonts w:hint="eastAsia" w:ascii="Times New Roman" w:hAnsi="Times New Roman" w:eastAsia="黑体"/>
          <w:color w:val="auto"/>
          <w:sz w:val="32"/>
          <w:szCs w:val="32"/>
          <w:highlight w:val="none"/>
        </w:rPr>
        <w:t>七、</w:t>
      </w:r>
      <w:r>
        <w:rPr>
          <w:rStyle w:val="31"/>
          <w:rFonts w:hint="eastAsia" w:ascii="Times New Roman" w:hAnsi="Times New Roman" w:eastAsia="黑体"/>
          <w:b w:val="0"/>
          <w:color w:val="auto"/>
          <w:highlight w:val="none"/>
        </w:rPr>
        <w:t>财政拨款</w:t>
      </w:r>
      <w:r>
        <w:rPr>
          <w:rStyle w:val="31"/>
          <w:rFonts w:hint="eastAsia" w:ascii="Times New Roman" w:hAnsi="Times New Roman" w:eastAsia="黑体"/>
          <w:color w:val="auto"/>
          <w:highlight w:val="none"/>
        </w:rPr>
        <w:t>“</w:t>
      </w:r>
      <w:r>
        <w:rPr>
          <w:rStyle w:val="31"/>
          <w:rFonts w:hint="eastAsia" w:ascii="Times New Roman" w:hAnsi="Times New Roman" w:eastAsia="黑体"/>
          <w:b w:val="0"/>
          <w:color w:val="auto"/>
          <w:highlight w:val="none"/>
        </w:rPr>
        <w:t>三公”经费支出决算情况说明</w:t>
      </w:r>
      <w:bookmarkEnd w:id="76"/>
      <w:bookmarkEnd w:id="77"/>
      <w:bookmarkEnd w:id="78"/>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79" w:name="_Toc17695"/>
      <w:bookmarkStart w:id="80"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79"/>
      <w:bookmarkEnd w:id="80"/>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46.43</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99.42</w:t>
      </w:r>
      <w:r>
        <w:rPr>
          <w:rFonts w:hint="eastAsia" w:ascii="Times New Roman" w:hAnsi="Times New Roman" w:eastAsia="仿宋_GB2312" w:cs="仿宋_GB2312"/>
          <w:color w:val="auto"/>
          <w:kern w:val="2"/>
          <w:sz w:val="32"/>
          <w:szCs w:val="32"/>
          <w:highlight w:val="none"/>
          <w:lang w:val="en-US" w:eastAsia="zh-CN" w:bidi="ar-SA"/>
        </w:rPr>
        <w:t>%，较上年度</w:t>
      </w:r>
      <w:r>
        <w:rPr>
          <w:rFonts w:hint="eastAsia" w:eastAsia="仿宋_GB2312" w:cs="仿宋_GB2312"/>
          <w:color w:val="auto"/>
          <w:kern w:val="2"/>
          <w:sz w:val="32"/>
          <w:szCs w:val="32"/>
          <w:highlight w:val="none"/>
          <w:lang w:val="en-US" w:eastAsia="zh-CN" w:bidi="ar-SA"/>
        </w:rPr>
        <w:t>增加13.36</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增长40.40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小于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，主要原因为严格落实中央八项规定，厉行节约。</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81" w:name="_Toc25588"/>
      <w:bookmarkStart w:id="82"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81"/>
      <w:bookmarkEnd w:id="8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w:t>
      </w:r>
      <w:r>
        <w:rPr>
          <w:rFonts w:hint="eastAsia" w:ascii="仿宋_GB2312" w:hAnsi="仿宋_GB2312" w:eastAsia="仿宋_GB2312" w:cs="仿宋_GB2312"/>
          <w:sz w:val="32"/>
          <w:szCs w:val="32"/>
        </w:rPr>
        <w:t>46.3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99.72</w:t>
      </w:r>
      <w:r>
        <w:rPr>
          <w:rFonts w:hint="eastAsia" w:ascii="Times New Roman" w:hAnsi="Times New Roman" w:eastAsia="仿宋_GB2312" w:cs="仿宋_GB2312"/>
          <w:color w:val="auto"/>
          <w:kern w:val="2"/>
          <w:sz w:val="32"/>
          <w:szCs w:val="32"/>
          <w:highlight w:val="none"/>
          <w:lang w:val="en-US" w:eastAsia="zh-CN" w:bidi="ar-SA"/>
        </w:rPr>
        <w:t>%；公务接待费支出决算</w:t>
      </w:r>
      <w:r>
        <w:rPr>
          <w:rFonts w:hint="eastAsia" w:ascii="仿宋_GB2312" w:hAnsi="仿宋_GB2312" w:eastAsia="仿宋_GB2312" w:cs="仿宋_GB2312"/>
          <w:sz w:val="32"/>
          <w:szCs w:val="32"/>
        </w:rPr>
        <w:t>0.13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0.28</w:t>
      </w:r>
      <w:r>
        <w:rPr>
          <w:rFonts w:hint="eastAsia" w:ascii="Times New Roman" w:hAnsi="Times New Roman" w:eastAsia="仿宋_GB2312" w:cs="仿宋_GB2312"/>
          <w:color w:val="auto"/>
          <w:kern w:val="2"/>
          <w:sz w:val="32"/>
          <w:szCs w:val="32"/>
          <w:highlight w:val="none"/>
          <w:lang w:val="en-US" w:eastAsia="zh-CN" w:bidi="ar-SA"/>
        </w:rPr>
        <w:t>%。具体情况如下：</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pPr>
        <w:pStyle w:val="2"/>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eastAsia="仿宋_GB2312"/>
          <w:sz w:val="32"/>
          <w:szCs w:val="32"/>
          <w:lang w:eastAsia="zh-CN"/>
        </w:rPr>
        <w:drawing>
          <wp:anchor distT="0" distB="0" distL="114300" distR="114300" simplePos="0" relativeHeight="251665408" behindDoc="0" locked="0" layoutInCell="1" allowOverlap="1">
            <wp:simplePos x="0" y="0"/>
            <wp:positionH relativeFrom="column">
              <wp:posOffset>414020</wp:posOffset>
            </wp:positionH>
            <wp:positionV relativeFrom="paragraph">
              <wp:posOffset>186055</wp:posOffset>
            </wp:positionV>
            <wp:extent cx="3964940" cy="2377440"/>
            <wp:effectExtent l="4445" t="4445" r="12065" b="1841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rPr>
          <w:rFonts w:hint="eastAsia"/>
          <w:lang w:val="en-US" w:eastAsia="zh-CN"/>
        </w:rPr>
      </w:pP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仿宋_GB2312" w:eastAsia="仿宋_GB2312"/>
          <w:sz w:val="32"/>
          <w:szCs w:val="32"/>
        </w:rPr>
        <w:t>全年安排因公出国（境）团组</w:t>
      </w:r>
      <w:r>
        <w:rPr>
          <w:sz w:val="32"/>
          <w:szCs w:val="32"/>
        </w:rPr>
        <w:t>0</w:t>
      </w:r>
      <w:r>
        <w:rPr>
          <w:rFonts w:hint="eastAsia" w:ascii="仿宋_GB2312" w:eastAsia="仿宋_GB2312"/>
          <w:sz w:val="32"/>
          <w:szCs w:val="32"/>
        </w:rPr>
        <w:t>次，出国（境）</w:t>
      </w:r>
      <w:r>
        <w:rPr>
          <w:sz w:val="32"/>
          <w:szCs w:val="32"/>
        </w:rPr>
        <w:t>0</w:t>
      </w:r>
      <w:r>
        <w:rPr>
          <w:rFonts w:hint="eastAsia" w:ascii="仿宋_GB2312" w:eastAsia="仿宋_GB2312"/>
          <w:sz w:val="32"/>
          <w:szCs w:val="32"/>
        </w:rPr>
        <w:t>人。因公出国（境）支出决算</w:t>
      </w:r>
      <w:r>
        <w:rPr>
          <w:rFonts w:hint="eastAsia" w:ascii="仿宋_GB2312" w:eastAsia="仿宋_GB2312"/>
          <w:sz w:val="32"/>
          <w:szCs w:val="32"/>
          <w:lang w:val="en-US" w:eastAsia="zh-CN"/>
        </w:rPr>
        <w:t>与2024年持平</w:t>
      </w:r>
      <w:r>
        <w:rPr>
          <w:rFonts w:hint="eastAsia" w:ascii="仿宋_GB2312" w:eastAsia="仿宋_GB2312"/>
          <w:sz w:val="32"/>
          <w:szCs w:val="32"/>
        </w:rPr>
        <w:t>。主要原因是</w:t>
      </w:r>
      <w:r>
        <w:rPr>
          <w:rStyle w:val="19"/>
          <w:rFonts w:hint="eastAsia" w:ascii="仿宋" w:eastAsia="仿宋"/>
          <w:b w:val="0"/>
          <w:bCs/>
          <w:sz w:val="32"/>
          <w:szCs w:val="32"/>
        </w:rPr>
        <w:t>没有安排因公出国（境）。</w:t>
      </w:r>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46.3</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99.43</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上年度增加13.23</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40</w:t>
      </w:r>
      <w:r>
        <w:rPr>
          <w:rFonts w:hint="eastAsia" w:ascii="Times New Roman" w:hAnsi="Times New Roman" w:eastAsia="仿宋_GB2312" w:cs="仿宋_GB2312"/>
          <w:color w:val="auto"/>
          <w:kern w:val="2"/>
          <w:sz w:val="32"/>
          <w:szCs w:val="32"/>
          <w:highlight w:val="none"/>
          <w:lang w:val="en-US" w:eastAsia="zh-CN" w:bidi="ar-SA"/>
        </w:rPr>
        <w:t>%。主要原因</w:t>
      </w:r>
      <w:r>
        <w:rPr>
          <w:rFonts w:hint="eastAsia" w:eastAsia="仿宋_GB2312" w:cs="仿宋_GB2312"/>
          <w:color w:val="auto"/>
          <w:kern w:val="2"/>
          <w:sz w:val="32"/>
          <w:szCs w:val="32"/>
          <w:highlight w:val="none"/>
          <w:lang w:val="en-US" w:eastAsia="zh-CN" w:bidi="ar-SA"/>
        </w:rPr>
        <w:t>是本年度基层公务出行任务增加，车辆行驶里程增多，部分车辆使用年限较长，发生常规维修保养支出增加。</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辆，</w:t>
      </w:r>
      <w:r>
        <w:rPr>
          <w:rFonts w:hint="eastAsia" w:eastAsia="仿宋_GB2312" w:cs="仿宋_GB2312"/>
          <w:color w:val="auto"/>
          <w:kern w:val="2"/>
          <w:sz w:val="32"/>
          <w:szCs w:val="32"/>
          <w:highlight w:val="none"/>
          <w:lang w:val="en-US" w:eastAsia="zh-CN" w:bidi="ar-SA"/>
        </w:rPr>
        <w:t>均为</w:t>
      </w:r>
      <w:r>
        <w:rPr>
          <w:rFonts w:hint="eastAsia" w:ascii="Times New Roman" w:hAnsi="Times New Roman" w:eastAsia="仿宋_GB2312" w:cs="仿宋_GB2312"/>
          <w:color w:val="auto"/>
          <w:kern w:val="2"/>
          <w:sz w:val="32"/>
          <w:szCs w:val="32"/>
          <w:highlight w:val="none"/>
          <w:lang w:val="en-US" w:eastAsia="zh-CN" w:bidi="ar-SA"/>
        </w:rPr>
        <w:t>越野车</w:t>
      </w:r>
      <w:r>
        <w:rPr>
          <w:rFonts w:hint="eastAsia" w:eastAsia="仿宋_GB2312" w:cs="仿宋_GB2312"/>
          <w:color w:val="auto"/>
          <w:kern w:val="2"/>
          <w:sz w:val="32"/>
          <w:szCs w:val="32"/>
          <w:highlight w:val="none"/>
          <w:lang w:val="en-US" w:eastAsia="zh-CN" w:bidi="ar-SA"/>
        </w:rPr>
        <w:t>。</w:t>
      </w:r>
    </w:p>
    <w:p>
      <w:pPr>
        <w:spacing w:line="600" w:lineRule="exact"/>
        <w:ind w:firstLine="640"/>
        <w:rPr>
          <w:rFonts w:ascii="仿宋_GB2312" w:hAnsi="仿宋_GB2312" w:eastAsia="仿宋_GB2312" w:cs="仿宋_GB2312"/>
          <w:sz w:val="32"/>
          <w:szCs w:val="32"/>
          <w:shd w:val="clear" w:color="auto" w:fill="FFFFFF"/>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46.3</w:t>
      </w:r>
      <w:r>
        <w:rPr>
          <w:rFonts w:hint="eastAsia" w:ascii="Times New Roman" w:hAnsi="Times New Roman" w:eastAsia="仿宋_GB2312" w:cs="仿宋_GB2312"/>
          <w:color w:val="auto"/>
          <w:kern w:val="2"/>
          <w:sz w:val="32"/>
          <w:szCs w:val="32"/>
          <w:highlight w:val="none"/>
          <w:lang w:val="en-US" w:eastAsia="zh-CN" w:bidi="ar-SA"/>
        </w:rPr>
        <w:t>万元。主要用于</w:t>
      </w:r>
      <w:r>
        <w:rPr>
          <w:rFonts w:ascii="仿宋_GB2312" w:hAnsi="仿宋_GB2312" w:eastAsia="仿宋_GB2312" w:cs="仿宋_GB2312"/>
          <w:sz w:val="32"/>
          <w:szCs w:val="32"/>
          <w:shd w:val="clear" w:color="auto" w:fill="FFFFFF"/>
        </w:rPr>
        <w:t>开展调研视察、</w:t>
      </w:r>
      <w:r>
        <w:rPr>
          <w:rFonts w:hint="eastAsia" w:ascii="仿宋_GB2312" w:hAnsi="仿宋_GB2312" w:eastAsia="仿宋_GB2312" w:cs="仿宋_GB2312"/>
          <w:sz w:val="32"/>
          <w:szCs w:val="32"/>
          <w:shd w:val="clear" w:color="auto" w:fill="FFFFFF"/>
          <w:lang w:val="en-US" w:eastAsia="zh-CN"/>
        </w:rPr>
        <w:t>委员联络站</w:t>
      </w:r>
      <w:r>
        <w:rPr>
          <w:rFonts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lang w:val="en-US" w:eastAsia="zh-CN"/>
        </w:rPr>
        <w:t>参政议政等工作</w:t>
      </w:r>
      <w:r>
        <w:rPr>
          <w:rFonts w:ascii="仿宋_GB2312" w:hAnsi="仿宋_GB2312" w:eastAsia="仿宋_GB2312" w:cs="仿宋_GB2312"/>
          <w:sz w:val="32"/>
          <w:szCs w:val="32"/>
          <w:shd w:val="clear" w:color="auto" w:fill="FFFFFF"/>
        </w:rPr>
        <w:t>以及单位领导干部出差等所需的公务用车燃料费、维修费、过路过桥费、保险费等支出。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0.13</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年度减少</w:t>
      </w:r>
      <w:r>
        <w:rPr>
          <w:rFonts w:hint="eastAsia" w:eastAsia="仿宋_GB2312" w:cs="仿宋_GB2312"/>
          <w:color w:val="auto"/>
          <w:kern w:val="2"/>
          <w:sz w:val="32"/>
          <w:szCs w:val="32"/>
          <w:highlight w:val="none"/>
          <w:lang w:val="en-US" w:eastAsia="zh-CN" w:bidi="ar-SA"/>
        </w:rPr>
        <w:t>2.87</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95.66</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本年度减少了公务活动接待批次。</w:t>
      </w:r>
      <w:r>
        <w:rPr>
          <w:rFonts w:hint="eastAsia" w:ascii="Times New Roman" w:hAnsi="Times New Roman" w:eastAsia="仿宋_GB2312" w:cs="仿宋_GB2312"/>
          <w:color w:val="auto"/>
          <w:kern w:val="2"/>
          <w:sz w:val="32"/>
          <w:szCs w:val="32"/>
          <w:highlight w:val="none"/>
          <w:lang w:val="en-US" w:eastAsia="zh-CN" w:bidi="ar-SA"/>
        </w:rPr>
        <w:t>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0.13</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ascii="仿宋_GB2312" w:eastAsia="仿宋_GB2312"/>
          <w:sz w:val="32"/>
          <w:szCs w:val="32"/>
          <w:lang w:val="en-US" w:eastAsia="zh-CN"/>
        </w:rPr>
        <w:t>接待各市（县）兄弟政协</w:t>
      </w:r>
      <w:r>
        <w:rPr>
          <w:rFonts w:hint="eastAsia" w:ascii="仿宋_GB2312" w:eastAsia="仿宋_GB2312"/>
          <w:sz w:val="32"/>
          <w:szCs w:val="32"/>
        </w:rPr>
        <w:t>开展业务活动</w:t>
      </w:r>
      <w:r>
        <w:rPr>
          <w:rFonts w:hint="eastAsia" w:ascii="仿宋_GB2312" w:eastAsia="仿宋_GB2312"/>
          <w:sz w:val="32"/>
          <w:szCs w:val="32"/>
          <w:lang w:eastAsia="zh-CN"/>
        </w:rPr>
        <w:t>、</w:t>
      </w:r>
      <w:r>
        <w:rPr>
          <w:rFonts w:hint="eastAsia" w:ascii="仿宋_GB2312" w:eastAsia="仿宋_GB2312"/>
          <w:sz w:val="32"/>
          <w:szCs w:val="32"/>
          <w:lang w:val="en-US" w:eastAsia="zh-CN"/>
        </w:rPr>
        <w:t>调研视察等</w:t>
      </w:r>
      <w:r>
        <w:rPr>
          <w:rFonts w:hint="eastAsia" w:ascii="仿宋_GB2312" w:eastAsia="仿宋_GB2312"/>
          <w:sz w:val="32"/>
          <w:szCs w:val="32"/>
        </w:rPr>
        <w:t>开支的用餐费。</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22</w:t>
      </w:r>
      <w:r>
        <w:rPr>
          <w:rFonts w:hint="eastAsia" w:ascii="Times New Roman" w:hAnsi="Times New Roman" w:eastAsia="仿宋_GB2312" w:cs="仿宋_GB2312"/>
          <w:color w:val="auto"/>
          <w:kern w:val="2"/>
          <w:sz w:val="32"/>
          <w:szCs w:val="32"/>
          <w:highlight w:val="none"/>
          <w:lang w:val="en-US" w:eastAsia="zh-CN" w:bidi="ar-SA"/>
        </w:rPr>
        <w:t>人次（不包括陪同人员），共计支出</w:t>
      </w:r>
      <w:r>
        <w:rPr>
          <w:rFonts w:hint="eastAsia" w:eastAsia="仿宋_GB2312" w:cs="仿宋_GB2312"/>
          <w:color w:val="auto"/>
          <w:kern w:val="2"/>
          <w:sz w:val="32"/>
          <w:szCs w:val="32"/>
          <w:highlight w:val="none"/>
          <w:lang w:val="en-US" w:eastAsia="zh-CN" w:bidi="ar-SA"/>
        </w:rPr>
        <w:t>0.13</w:t>
      </w:r>
      <w:r>
        <w:rPr>
          <w:rFonts w:hint="eastAsia" w:ascii="Times New Roman" w:hAnsi="Times New Roman" w:eastAsia="仿宋_GB2312" w:cs="仿宋_GB2312"/>
          <w:color w:val="auto"/>
          <w:kern w:val="2"/>
          <w:sz w:val="32"/>
          <w:szCs w:val="32"/>
          <w:highlight w:val="none"/>
          <w:lang w:val="en-US" w:eastAsia="zh-CN" w:bidi="ar-SA"/>
        </w:rPr>
        <w:t>万元，具体内容包括：</w:t>
      </w:r>
      <w:r>
        <w:rPr>
          <w:rFonts w:hint="eastAsia" w:eastAsia="仿宋_GB2312" w:cs="仿宋_GB2312"/>
          <w:color w:val="auto"/>
          <w:kern w:val="2"/>
          <w:sz w:val="32"/>
          <w:szCs w:val="32"/>
          <w:highlight w:val="none"/>
          <w:lang w:val="en-US" w:eastAsia="zh-CN" w:bidi="ar-SA"/>
        </w:rPr>
        <w:t>州政协开展“一老一小”调研0.09万元；阿坝州政协开展红色文化调研0.04万元</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outlineLvl w:val="1"/>
        <w:rPr>
          <w:rStyle w:val="31"/>
          <w:rFonts w:ascii="Times New Roman" w:hAnsi="Times New Roman" w:eastAsia="黑体"/>
          <w:color w:val="auto"/>
          <w:highlight w:val="none"/>
        </w:rPr>
      </w:pPr>
      <w:bookmarkStart w:id="83" w:name="_Toc15377218"/>
      <w:bookmarkStart w:id="84" w:name="_Toc27784"/>
      <w:bookmarkStart w:id="85" w:name="_Toc15396610"/>
      <w:r>
        <w:rPr>
          <w:rFonts w:hint="eastAsia" w:ascii="Times New Roman" w:hAnsi="Times New Roman" w:eastAsia="黑体"/>
          <w:color w:val="auto"/>
          <w:sz w:val="32"/>
          <w:szCs w:val="32"/>
          <w:highlight w:val="none"/>
        </w:rPr>
        <w:t>八、</w:t>
      </w:r>
      <w:r>
        <w:rPr>
          <w:rStyle w:val="31"/>
          <w:rFonts w:hint="eastAsia" w:ascii="Times New Roman" w:hAnsi="Times New Roman" w:eastAsia="黑体"/>
          <w:b w:val="0"/>
          <w:color w:val="auto"/>
          <w:highlight w:val="none"/>
        </w:rPr>
        <w:t>政府性基金预算支出决算情况说明</w:t>
      </w:r>
      <w:bookmarkEnd w:id="83"/>
      <w:bookmarkEnd w:id="84"/>
      <w:bookmarkEnd w:id="8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p>
    <w:p>
      <w:pPr>
        <w:numPr>
          <w:ilvl w:val="0"/>
          <w:numId w:val="0"/>
        </w:numPr>
        <w:spacing w:line="600" w:lineRule="exact"/>
        <w:ind w:left="630" w:leftChars="0"/>
        <w:outlineLvl w:val="1"/>
        <w:rPr>
          <w:rStyle w:val="31"/>
          <w:rFonts w:ascii="Times New Roman" w:hAnsi="Times New Roman" w:eastAsia="黑体"/>
          <w:b w:val="0"/>
          <w:color w:val="auto"/>
          <w:highlight w:val="none"/>
        </w:rPr>
      </w:pPr>
      <w:bookmarkStart w:id="86" w:name="_Toc15396611"/>
      <w:bookmarkStart w:id="87" w:name="_Toc15377219"/>
      <w:bookmarkStart w:id="88" w:name="_Toc132"/>
      <w:r>
        <w:rPr>
          <w:rStyle w:val="31"/>
          <w:rFonts w:hint="eastAsia" w:ascii="Times New Roman" w:hAnsi="Times New Roman" w:eastAsia="黑体"/>
          <w:b w:val="0"/>
          <w:color w:val="auto"/>
          <w:highlight w:val="none"/>
          <w:lang w:eastAsia="zh-CN"/>
        </w:rPr>
        <w:t>九、</w:t>
      </w:r>
      <w:r>
        <w:rPr>
          <w:rStyle w:val="31"/>
          <w:rFonts w:hint="eastAsia" w:ascii="Times New Roman" w:hAnsi="Times New Roman" w:eastAsia="黑体"/>
          <w:b w:val="0"/>
          <w:color w:val="auto"/>
          <w:highlight w:val="none"/>
        </w:rPr>
        <w:t>国有资本经营预算支出决算情况说明</w:t>
      </w:r>
      <w:bookmarkEnd w:id="86"/>
      <w:bookmarkEnd w:id="87"/>
      <w:bookmarkEnd w:id="8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p>
    <w:p>
      <w:pPr>
        <w:numPr>
          <w:ilvl w:val="0"/>
          <w:numId w:val="0"/>
        </w:numPr>
        <w:spacing w:line="600" w:lineRule="exact"/>
        <w:ind w:left="630" w:leftChars="0"/>
        <w:outlineLvl w:val="1"/>
        <w:rPr>
          <w:rStyle w:val="31"/>
          <w:rFonts w:hint="eastAsia" w:ascii="Times New Roman" w:hAnsi="Times New Roman" w:eastAsia="黑体"/>
          <w:b w:val="0"/>
          <w:color w:val="auto"/>
          <w:highlight w:val="none"/>
        </w:rPr>
      </w:pPr>
      <w:bookmarkStart w:id="89" w:name="_Toc15396612"/>
      <w:bookmarkStart w:id="90" w:name="_Toc15377221"/>
      <w:bookmarkStart w:id="91" w:name="_Toc25750"/>
      <w:r>
        <w:rPr>
          <w:rStyle w:val="31"/>
          <w:rFonts w:hint="eastAsia" w:ascii="Times New Roman" w:hAnsi="Times New Roman" w:eastAsia="黑体"/>
          <w:b w:val="0"/>
          <w:color w:val="auto"/>
          <w:highlight w:val="none"/>
          <w:lang w:eastAsia="zh-CN"/>
        </w:rPr>
        <w:t>十、</w:t>
      </w:r>
      <w:r>
        <w:rPr>
          <w:rStyle w:val="31"/>
          <w:rFonts w:hint="eastAsia" w:ascii="Times New Roman" w:hAnsi="Times New Roman" w:eastAsia="黑体"/>
          <w:b w:val="0"/>
          <w:color w:val="auto"/>
          <w:highlight w:val="none"/>
        </w:rPr>
        <w:t>其他重要事项的情况说明</w:t>
      </w:r>
      <w:bookmarkEnd w:id="89"/>
      <w:bookmarkEnd w:id="90"/>
      <w:bookmarkEnd w:id="9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92" w:name="_Toc15377222"/>
      <w:bookmarkStart w:id="93" w:name="_Toc7358"/>
      <w:r>
        <w:rPr>
          <w:rFonts w:hint="eastAsia" w:ascii="Times New Roman" w:hAnsi="Times New Roman" w:eastAsia="楷体_GB2312" w:cs="楷体_GB2312"/>
          <w:b/>
          <w:color w:val="auto"/>
          <w:sz w:val="32"/>
          <w:szCs w:val="32"/>
          <w:highlight w:val="none"/>
        </w:rPr>
        <w:t>（一）机关运行经费支出情况</w:t>
      </w:r>
      <w:bookmarkEnd w:id="92"/>
      <w:bookmarkEnd w:id="93"/>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中国人民政治协商会议四川省红原县委员会办公室</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82.75</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32.16</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63.57</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日常履职工作量增加，会议、培训、调研等公务活动增多，办公、印刷、差旅等费用增加。</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94" w:name="_Toc15377223"/>
      <w:bookmarkStart w:id="95" w:name="_Toc14816"/>
      <w:r>
        <w:rPr>
          <w:rFonts w:hint="eastAsia" w:ascii="Times New Roman" w:hAnsi="Times New Roman" w:eastAsia="楷体_GB2312" w:cs="楷体_GB2312"/>
          <w:b/>
          <w:color w:val="auto"/>
          <w:sz w:val="32"/>
          <w:szCs w:val="32"/>
          <w:highlight w:val="none"/>
        </w:rPr>
        <w:t>（二）政府采购支出情况</w:t>
      </w:r>
      <w:bookmarkEnd w:id="94"/>
      <w:bookmarkEnd w:id="9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中国人民政治协商会议四川省红原县委员会办公室</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25.92</w:t>
      </w:r>
      <w:r>
        <w:rPr>
          <w:rFonts w:hint="eastAsia" w:ascii="Times New Roman" w:hAnsi="Times New Roman" w:eastAsia="仿宋_GB2312" w:cs="仿宋_GB2312"/>
          <w:color w:val="auto"/>
          <w:kern w:val="2"/>
          <w:sz w:val="32"/>
          <w:szCs w:val="32"/>
          <w:highlight w:val="none"/>
          <w:lang w:val="en-US" w:eastAsia="zh-CN" w:bidi="ar-SA"/>
        </w:rPr>
        <w:t>万元，其中：政府采购服务支出</w:t>
      </w:r>
      <w:r>
        <w:rPr>
          <w:rFonts w:hint="eastAsia" w:ascii="仿宋_GB2312" w:hAnsi="仿宋_GB2312" w:eastAsia="仿宋_GB2312" w:cs="仿宋_GB2312"/>
          <w:sz w:val="32"/>
          <w:szCs w:val="32"/>
        </w:rPr>
        <w:t>25.92</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公务用车维修、保养及购买保险支出</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96" w:name="_Toc15377224"/>
      <w:bookmarkStart w:id="97" w:name="_Toc31134"/>
      <w:r>
        <w:rPr>
          <w:rFonts w:hint="eastAsia" w:ascii="Times New Roman" w:hAnsi="Times New Roman" w:eastAsia="楷体_GB2312" w:cs="楷体_GB2312"/>
          <w:b/>
          <w:color w:val="auto"/>
          <w:sz w:val="32"/>
          <w:szCs w:val="32"/>
          <w:highlight w:val="none"/>
        </w:rPr>
        <w:t>（三）国有资产占有使用情况</w:t>
      </w:r>
      <w:bookmarkEnd w:id="96"/>
      <w:bookmarkEnd w:id="9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中国人民政治协商会议四川省红原县委员会办公室</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4</w:t>
      </w:r>
      <w:r>
        <w:rPr>
          <w:rFonts w:hint="eastAsia" w:ascii="Times New Roman" w:hAnsi="Times New Roman" w:eastAsia="仿宋_GB2312" w:cs="仿宋_GB2312"/>
          <w:color w:val="auto"/>
          <w:kern w:val="2"/>
          <w:sz w:val="32"/>
          <w:szCs w:val="32"/>
          <w:highlight w:val="none"/>
          <w:lang w:val="en-US" w:eastAsia="zh-CN" w:bidi="ar-SA"/>
        </w:rPr>
        <w:t>辆，</w:t>
      </w:r>
      <w:r>
        <w:rPr>
          <w:rFonts w:hint="eastAsia" w:eastAsia="仿宋_GB2312" w:cs="仿宋_GB2312"/>
          <w:color w:val="auto"/>
          <w:kern w:val="2"/>
          <w:sz w:val="32"/>
          <w:szCs w:val="32"/>
          <w:highlight w:val="none"/>
          <w:lang w:val="en-US" w:eastAsia="zh-CN" w:bidi="ar-SA"/>
        </w:rPr>
        <w:t>全部为应急保障用车。</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r>
        <w:rPr>
          <w:rFonts w:hint="eastAsia" w:eastAsia="仿宋_GB2312" w:cs="仿宋_GB2312"/>
          <w:color w:val="auto"/>
          <w:kern w:val="2"/>
          <w:sz w:val="32"/>
          <w:szCs w:val="32"/>
          <w:highlight w:val="none"/>
          <w:lang w:val="en-US" w:eastAsia="zh-CN" w:bidi="ar-SA"/>
        </w:rPr>
        <w:t>截止年底共有资产362.24万元（账面原值，下同），其中固定资产360.5万元，占比99.52%，无形资产1.74万元，占比0.48%。</w:t>
      </w:r>
    </w:p>
    <w:p>
      <w:pPr>
        <w:spacing w:line="600" w:lineRule="exact"/>
        <w:outlineLvl w:val="2"/>
        <w:rPr>
          <w:rFonts w:hint="eastAsia" w:ascii="Times New Roman" w:hAnsi="Times New Roman" w:eastAsia="楷体_GB2312" w:cs="楷体_GB2312"/>
          <w:b/>
          <w:color w:val="auto"/>
          <w:sz w:val="32"/>
          <w:szCs w:val="32"/>
          <w:highlight w:val="none"/>
        </w:rPr>
      </w:pPr>
      <w:bookmarkStart w:id="98" w:name="_Toc32038"/>
      <w:r>
        <w:rPr>
          <w:rFonts w:hint="eastAsia" w:eastAsia="楷体_GB2312" w:cs="楷体_GB2312"/>
          <w:b/>
          <w:color w:val="auto"/>
          <w:sz w:val="32"/>
          <w:szCs w:val="32"/>
          <w:highlight w:val="none"/>
          <w:lang w:eastAsia="zh-CN"/>
        </w:rPr>
        <w:t>（</w:t>
      </w:r>
      <w:r>
        <w:rPr>
          <w:rFonts w:hint="eastAsia" w:ascii="Times New Roman" w:hAnsi="Times New Roman" w:eastAsia="楷体_GB2312" w:cs="楷体_GB2312"/>
          <w:b/>
          <w:color w:val="auto"/>
          <w:sz w:val="32"/>
          <w:szCs w:val="32"/>
          <w:highlight w:val="none"/>
        </w:rPr>
        <w:t>四）预算绩效管理情况</w:t>
      </w:r>
      <w:bookmarkEnd w:id="9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本单位</w:t>
      </w:r>
      <w:r>
        <w:rPr>
          <w:rFonts w:hint="eastAsia" w:ascii="Times New Roman" w:hAnsi="Times New Roman" w:eastAsia="仿宋_GB2312" w:cs="仿宋_GB2312"/>
          <w:color w:val="auto"/>
          <w:kern w:val="2"/>
          <w:sz w:val="32"/>
          <w:szCs w:val="32"/>
          <w:highlight w:val="none"/>
          <w:lang w:val="en-US" w:eastAsia="zh-CN" w:bidi="ar-SA"/>
        </w:rPr>
        <w:t>在2025年度，组织对</w:t>
      </w:r>
      <w:r>
        <w:rPr>
          <w:rFonts w:hint="eastAsia" w:eastAsia="仿宋_GB2312" w:cs="仿宋_GB2312"/>
          <w:color w:val="auto"/>
          <w:kern w:val="2"/>
          <w:sz w:val="32"/>
          <w:szCs w:val="32"/>
          <w:highlight w:val="none"/>
          <w:lang w:val="en-US" w:eastAsia="zh-CN" w:bidi="ar-SA"/>
        </w:rPr>
        <w:t>政协会议、委员视察、参政议政</w:t>
      </w:r>
      <w:r>
        <w:rPr>
          <w:rFonts w:hint="eastAsia" w:ascii="Times New Roman" w:hAnsi="Times New Roman" w:eastAsia="仿宋_GB2312" w:cs="仿宋_GB2312"/>
          <w:color w:val="auto"/>
          <w:kern w:val="2"/>
          <w:sz w:val="32"/>
          <w:szCs w:val="32"/>
          <w:highlight w:val="none"/>
          <w:lang w:val="en-US" w:eastAsia="zh-CN" w:bidi="ar-SA"/>
        </w:rPr>
        <w:t>等</w:t>
      </w: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个项目开展了事前绩效评估，对</w:t>
      </w: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个项目编制了绩效目标，预算执行过程中，选取</w:t>
      </w: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个项目开展绩效监控。</w:t>
      </w:r>
    </w:p>
    <w:p>
      <w:pPr>
        <w:pageBreakBefore w:val="0"/>
        <w:widowControl w:val="0"/>
        <w:kinsoku/>
        <w:wordWrap w:val="0"/>
        <w:overflowPunct/>
        <w:topLinePunct w:val="0"/>
        <w:bidi w:val="0"/>
        <w:spacing w:line="572" w:lineRule="atLeas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组织对</w:t>
      </w: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年度一般公共预算、政府性基金预算、国有资本经营预算、社会保险基金预算以及资本资产、债券资金等全面开展绩效自评，形成</w:t>
      </w:r>
      <w:r>
        <w:rPr>
          <w:rFonts w:hint="eastAsia" w:ascii="仿宋_GB2312" w:hAnsi="仿宋_GB2312" w:eastAsia="仿宋_GB2312" w:cs="仿宋_GB2312"/>
          <w:sz w:val="32"/>
          <w:szCs w:val="32"/>
          <w:lang w:val="en-US" w:eastAsia="zh-CN"/>
        </w:rPr>
        <w:t>2024年</w:t>
      </w:r>
      <w:r>
        <w:rPr>
          <w:rFonts w:hint="eastAsia" w:ascii="仿宋_GB2312" w:hAnsi="仿宋_GB2312" w:eastAsia="仿宋_GB2312" w:cs="仿宋_GB2312"/>
          <w:sz w:val="32"/>
          <w:szCs w:val="32"/>
        </w:rPr>
        <w:t>部门整体（含部门预算项目）绩效自评报告、</w:t>
      </w:r>
      <w:r>
        <w:rPr>
          <w:rFonts w:hint="eastAsia" w:ascii="仿宋_GB2312" w:eastAsia="仿宋_GB2312" w:cs="仿宋_GB2312"/>
          <w:sz w:val="32"/>
          <w:szCs w:val="32"/>
          <w:lang w:val="en-US" w:eastAsia="zh-CN"/>
        </w:rPr>
        <w:t>政协红原县委员会办公室</w:t>
      </w:r>
      <w:r>
        <w:rPr>
          <w:rFonts w:hint="eastAsia" w:ascii="仿宋_GB2312" w:hAnsi="仿宋_GB2312" w:eastAsia="仿宋_GB2312" w:cs="仿宋_GB2312"/>
          <w:sz w:val="32"/>
          <w:szCs w:val="32"/>
        </w:rPr>
        <w:t>部门整体（含部门预算项目）绩效自评得分为</w:t>
      </w:r>
      <w:r>
        <w:rPr>
          <w:rFonts w:hint="eastAsia" w:ascii="仿宋_GB2312" w:hAnsi="仿宋_GB2312" w:eastAsia="仿宋_GB2312" w:cs="仿宋_GB2312"/>
          <w:sz w:val="32"/>
          <w:szCs w:val="32"/>
          <w:lang w:val="en-US" w:eastAsia="zh-CN"/>
        </w:rPr>
        <w:t>95.4</w:t>
      </w:r>
      <w:r>
        <w:rPr>
          <w:rFonts w:hint="eastAsia" w:ascii="仿宋_GB2312" w:hAnsi="仿宋_GB2312" w:eastAsia="仿宋_GB2312" w:cs="仿宋_GB2312"/>
          <w:sz w:val="32"/>
          <w:szCs w:val="32"/>
        </w:rPr>
        <w:t>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sz w:val="32"/>
          <w:szCs w:val="32"/>
        </w:rPr>
        <w:t>绩效自评综述：</w:t>
      </w:r>
      <w:r>
        <w:rPr>
          <w:rFonts w:hint="eastAsia" w:ascii="仿宋_GB2312" w:eastAsia="仿宋_GB2312" w:cs="仿宋_GB2312"/>
          <w:sz w:val="32"/>
          <w:szCs w:val="32"/>
          <w:lang w:val="en-US" w:eastAsia="zh-CN"/>
        </w:rPr>
        <w:t>我单位按要求对2025年部门整体支出开展绩效自评，从评价情况来看，本单位严格按照制定的目标绩效管理制度来开展绩效管理工作，专项经费全部用于开展专项工作，</w:t>
      </w:r>
      <w:r>
        <w:rPr>
          <w:rFonts w:hint="eastAsia" w:ascii="仿宋_GB2312" w:eastAsia="仿宋_GB2312" w:cs="仿宋_GB2312"/>
          <w:sz w:val="32"/>
          <w:szCs w:val="32"/>
        </w:rPr>
        <w:t>年终执行完毕后，对</w:t>
      </w:r>
      <w:r>
        <w:rPr>
          <w:rFonts w:hint="eastAsia" w:ascii="仿宋_GB2312" w:eastAsia="仿宋_GB2312" w:cs="仿宋_GB2312"/>
          <w:sz w:val="32"/>
          <w:szCs w:val="32"/>
          <w:lang w:val="en-US" w:eastAsia="zh-CN"/>
        </w:rPr>
        <w:t>12</w:t>
      </w:r>
      <w:r>
        <w:rPr>
          <w:rFonts w:hint="eastAsia" w:ascii="仿宋_GB2312" w:eastAsia="仿宋_GB2312" w:cs="仿宋_GB2312"/>
          <w:sz w:val="32"/>
          <w:szCs w:val="32"/>
        </w:rPr>
        <w:t>个项目开展了绩效自评，</w:t>
      </w:r>
      <w:r>
        <w:rPr>
          <w:rFonts w:hint="eastAsia" w:ascii="仿宋_GB2312" w:eastAsia="仿宋_GB2312" w:cs="仿宋_GB2312"/>
          <w:sz w:val="32"/>
          <w:szCs w:val="32"/>
          <w:lang w:val="en-US" w:eastAsia="zh-CN"/>
        </w:rPr>
        <w:t>整体支出完成情况良好。</w:t>
      </w:r>
      <w:r>
        <w:rPr>
          <w:rFonts w:hint="eastAsia" w:ascii="仿宋_GB2312" w:hAnsi="仿宋_GB2312" w:eastAsia="仿宋_GB2312" w:cs="仿宋_GB2312"/>
          <w:sz w:val="32"/>
          <w:szCs w:val="32"/>
        </w:rPr>
        <w:t>绩效自评报告详见附件。</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99" w:name="_Toc15377225"/>
      <w:bookmarkStart w:id="100" w:name="_Toc15396613"/>
      <w:bookmarkStart w:id="101" w:name="_Toc20916"/>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99"/>
      <w:bookmarkEnd w:id="100"/>
      <w:bookmarkEnd w:id="101"/>
    </w:p>
    <w:p>
      <w:pPr>
        <w:spacing w:line="600" w:lineRule="exact"/>
        <w:jc w:val="left"/>
        <w:rPr>
          <w:rFonts w:ascii="Times New Roman" w:hAnsi="Times New Roman"/>
          <w:b/>
          <w:color w:val="auto"/>
          <w:sz w:val="44"/>
          <w:szCs w:val="44"/>
          <w:highlight w:val="none"/>
        </w:rPr>
      </w:pPr>
    </w:p>
    <w:p>
      <w:pPr>
        <w:pStyle w:val="28"/>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r>
        <w:rPr>
          <w:rFonts w:ascii="仿宋_GB2312" w:eastAsia="仿宋_GB2312"/>
          <w:color w:val="auto"/>
          <w:sz w:val="32"/>
          <w:szCs w:val="32"/>
        </w:rPr>
        <w:t xml:space="preserve"> </w:t>
      </w:r>
    </w:p>
    <w:p>
      <w:pPr>
        <w:pStyle w:val="28"/>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hint="eastAsia" w:ascii="仿宋_GB2312" w:eastAsia="仿宋_GB2312"/>
          <w:color w:val="auto"/>
          <w:sz w:val="32"/>
          <w:szCs w:val="32"/>
          <w:lang w:val="en-US" w:eastAsia="zh-CN"/>
        </w:rPr>
        <w:t>2</w:t>
      </w:r>
      <w:r>
        <w:rPr>
          <w:rFonts w:ascii="仿宋_GB2312" w:eastAsia="仿宋_GB2312"/>
          <w:color w:val="auto"/>
          <w:sz w:val="32"/>
          <w:szCs w:val="32"/>
        </w:rPr>
        <w:t>.</w:t>
      </w:r>
      <w:r>
        <w:rPr>
          <w:rFonts w:hint="eastAsia" w:ascii="仿宋_GB2312" w:eastAsia="仿宋_GB2312"/>
          <w:color w:val="auto"/>
          <w:sz w:val="32"/>
          <w:szCs w:val="32"/>
        </w:rPr>
        <w:t>年初结转和结余：指以前年度尚未完成、结转到本年按有关规定继续使用的资金。</w:t>
      </w:r>
      <w:r>
        <w:rPr>
          <w:rFonts w:ascii="仿宋_GB2312" w:eastAsia="仿宋_GB2312"/>
          <w:color w:val="auto"/>
          <w:sz w:val="32"/>
          <w:szCs w:val="32"/>
        </w:rPr>
        <w:t xml:space="preserve"> </w:t>
      </w:r>
    </w:p>
    <w:p>
      <w:pPr>
        <w:pStyle w:val="28"/>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hint="eastAsia" w:ascii="仿宋_GB2312" w:eastAsia="仿宋_GB2312"/>
          <w:color w:val="auto"/>
          <w:sz w:val="32"/>
          <w:szCs w:val="32"/>
          <w:lang w:val="en-US" w:eastAsia="zh-CN"/>
        </w:rPr>
        <w:t>3</w:t>
      </w:r>
      <w:r>
        <w:rPr>
          <w:rFonts w:ascii="仿宋_GB2312" w:eastAsia="仿宋_GB2312"/>
          <w:color w:val="auto"/>
          <w:sz w:val="32"/>
          <w:szCs w:val="32"/>
        </w:rPr>
        <w:t>.</w:t>
      </w:r>
      <w:r>
        <w:rPr>
          <w:rFonts w:hint="eastAsia" w:ascii="仿宋_GB2312" w:eastAsia="仿宋_GB2312"/>
          <w:color w:val="auto"/>
          <w:sz w:val="32"/>
          <w:szCs w:val="32"/>
        </w:rPr>
        <w:t>结余分配：指事业单位按照会计制度规定缴纳的所得税、提取的专用结余以及转入非财政拨款结余的金额等。</w:t>
      </w:r>
    </w:p>
    <w:p>
      <w:pPr>
        <w:pStyle w:val="28"/>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hint="eastAsia" w:ascii="仿宋_GB2312" w:eastAsia="仿宋_GB2312"/>
          <w:color w:val="auto"/>
          <w:sz w:val="32"/>
          <w:szCs w:val="32"/>
          <w:lang w:val="en-US" w:eastAsia="zh-CN"/>
        </w:rPr>
        <w:t>4.</w:t>
      </w:r>
      <w:r>
        <w:rPr>
          <w:rFonts w:hint="eastAsia" w:ascii="仿宋_GB2312" w:eastAsia="仿宋_GB2312"/>
          <w:color w:val="auto"/>
          <w:sz w:val="32"/>
          <w:szCs w:val="32"/>
        </w:rPr>
        <w:t>年末结转和结余：指单位按有关规定结转到下年或以后年度继续使用的资金。</w:t>
      </w:r>
    </w:p>
    <w:p>
      <w:pPr>
        <w:pStyle w:val="37"/>
        <w:keepNext w:val="0"/>
        <w:keepLines w:val="0"/>
        <w:pageBreakBefore w:val="0"/>
        <w:widowControl w:val="0"/>
        <w:kinsoku/>
        <w:wordWrap/>
        <w:overflowPunct/>
        <w:topLinePunct w:val="0"/>
        <w:autoSpaceDE/>
        <w:autoSpaceDN/>
        <w:bidi w:val="0"/>
        <w:adjustRightInd/>
        <w:snapToGrid/>
        <w:spacing w:before="0" w:beforeAutospacing="0" w:afterAutospacing="0"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5</w:t>
      </w:r>
      <w:r>
        <w:rPr>
          <w:rFonts w:hint="eastAsia" w:ascii="仿宋_GB2312" w:hAnsi="仿宋_GB2312" w:eastAsia="仿宋_GB2312" w:cs="仿宋_GB2312"/>
          <w:sz w:val="32"/>
          <w:szCs w:val="32"/>
          <w:shd w:val="clear" w:color="auto" w:fill="FFFFFF"/>
        </w:rPr>
        <w:t>.一般公共服务支出（类）政协事务（款）：指各级政治协商会议的支出。</w:t>
      </w:r>
    </w:p>
    <w:p>
      <w:pPr>
        <w:pStyle w:val="37"/>
        <w:keepNext w:val="0"/>
        <w:keepLines w:val="0"/>
        <w:pageBreakBefore w:val="0"/>
        <w:widowControl w:val="0"/>
        <w:kinsoku/>
        <w:wordWrap/>
        <w:overflowPunct/>
        <w:topLinePunct w:val="0"/>
        <w:autoSpaceDE/>
        <w:autoSpaceDN/>
        <w:bidi w:val="0"/>
        <w:adjustRightInd/>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（1）行政运行（项）：指行政单位的基本支出。</w:t>
      </w:r>
    </w:p>
    <w:p>
      <w:pPr>
        <w:pStyle w:val="37"/>
        <w:keepNext w:val="0"/>
        <w:keepLines w:val="0"/>
        <w:pageBreakBefore w:val="0"/>
        <w:widowControl w:val="0"/>
        <w:kinsoku/>
        <w:wordWrap/>
        <w:overflowPunct/>
        <w:topLinePunct w:val="0"/>
        <w:autoSpaceDE/>
        <w:autoSpaceDN/>
        <w:bidi w:val="0"/>
        <w:adjustRightInd/>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（2）一般行政管理事务（项）：指行政单位未单独设置顶级科目的其他项目支出。</w:t>
      </w:r>
    </w:p>
    <w:p>
      <w:pPr>
        <w:pStyle w:val="37"/>
        <w:keepNext w:val="0"/>
        <w:keepLines w:val="0"/>
        <w:pageBreakBefore w:val="0"/>
        <w:widowControl w:val="0"/>
        <w:kinsoku/>
        <w:wordWrap/>
        <w:overflowPunct/>
        <w:topLinePunct w:val="0"/>
        <w:autoSpaceDE/>
        <w:autoSpaceDN/>
        <w:bidi w:val="0"/>
        <w:adjustRightInd/>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（3）政协会议（项）：指各级政协召开“政协会”等专门会议的支出。</w:t>
      </w:r>
    </w:p>
    <w:p>
      <w:pPr>
        <w:pStyle w:val="37"/>
        <w:keepNext w:val="0"/>
        <w:keepLines w:val="0"/>
        <w:pageBreakBefore w:val="0"/>
        <w:widowControl w:val="0"/>
        <w:kinsoku/>
        <w:wordWrap/>
        <w:overflowPunct/>
        <w:topLinePunct w:val="0"/>
        <w:autoSpaceDE/>
        <w:autoSpaceDN/>
        <w:bidi w:val="0"/>
        <w:adjustRightInd/>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（4）委员视察（项）：指政协委员开展各类视察的支出。</w:t>
      </w:r>
    </w:p>
    <w:p>
      <w:pPr>
        <w:pStyle w:val="37"/>
        <w:keepNext w:val="0"/>
        <w:keepLines w:val="0"/>
        <w:pageBreakBefore w:val="0"/>
        <w:widowControl w:val="0"/>
        <w:kinsoku/>
        <w:wordWrap/>
        <w:overflowPunct/>
        <w:topLinePunct w:val="0"/>
        <w:autoSpaceDE/>
        <w:autoSpaceDN/>
        <w:bidi w:val="0"/>
        <w:adjustRightInd/>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（5）参政议政（项）：指政协为参政议政进行调研、检查等方面的支出。</w:t>
      </w:r>
    </w:p>
    <w:p>
      <w:pPr>
        <w:pStyle w:val="37"/>
        <w:keepNext w:val="0"/>
        <w:keepLines w:val="0"/>
        <w:pageBreakBefore w:val="0"/>
        <w:widowControl w:val="0"/>
        <w:kinsoku/>
        <w:wordWrap/>
        <w:overflowPunct/>
        <w:topLinePunct w:val="0"/>
        <w:autoSpaceDE/>
        <w:autoSpaceDN/>
        <w:bidi w:val="0"/>
        <w:adjustRightInd/>
        <w:snapToGrid/>
        <w:spacing w:before="0" w:beforeAutospacing="0" w:afterAutospacing="0"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 </w:t>
      </w:r>
      <w:r>
        <w:rPr>
          <w:rFonts w:hint="eastAsia" w:ascii="仿宋_GB2312" w:hAnsi="仿宋_GB2312" w:eastAsia="仿宋_GB2312" w:cs="仿宋_GB2312"/>
          <w:sz w:val="32"/>
          <w:szCs w:val="32"/>
          <w:shd w:val="clear" w:color="auto" w:fill="FFFFFF"/>
          <w:lang w:val="en-US" w:eastAsia="zh-CN"/>
        </w:rPr>
        <w:t>6</w:t>
      </w:r>
      <w:r>
        <w:rPr>
          <w:rFonts w:hint="eastAsia" w:ascii="仿宋_GB2312" w:hAnsi="仿宋_GB2312" w:eastAsia="仿宋_GB2312" w:cs="仿宋_GB2312"/>
          <w:sz w:val="32"/>
          <w:szCs w:val="32"/>
          <w:shd w:val="clear" w:color="auto" w:fill="FFFFFF"/>
        </w:rPr>
        <w:t>.社会保障和就业支出（类）行政事业单位养老支出（款）：指行政事业单位养老方面的支出。</w:t>
      </w:r>
    </w:p>
    <w:p>
      <w:pPr>
        <w:pStyle w:val="37"/>
        <w:keepNext w:val="0"/>
        <w:keepLines w:val="0"/>
        <w:pageBreakBefore w:val="0"/>
        <w:widowControl w:val="0"/>
        <w:kinsoku/>
        <w:wordWrap/>
        <w:overflowPunct/>
        <w:topLinePunct w:val="0"/>
        <w:bidi w:val="0"/>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（1）机关事业单位基本养老保险缴费支出（项）：指机关事业单位实施养老保险制度由单位缴纳的基本养老保险费支出。</w:t>
      </w:r>
    </w:p>
    <w:p>
      <w:pPr>
        <w:pStyle w:val="37"/>
        <w:keepNext w:val="0"/>
        <w:keepLines w:val="0"/>
        <w:pageBreakBefore w:val="0"/>
        <w:widowControl w:val="0"/>
        <w:kinsoku/>
        <w:wordWrap/>
        <w:overflowPunct/>
        <w:topLinePunct w:val="0"/>
        <w:bidi w:val="0"/>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（2）机关事业单位职业年金缴费支出（项）：指机关事业单位实施养老保险制度由单位实际缴纳的职业年金支出。</w:t>
      </w:r>
    </w:p>
    <w:p>
      <w:pPr>
        <w:pStyle w:val="37"/>
        <w:keepNext w:val="0"/>
        <w:keepLines w:val="0"/>
        <w:pageBreakBefore w:val="0"/>
        <w:widowControl w:val="0"/>
        <w:kinsoku/>
        <w:wordWrap/>
        <w:overflowPunct/>
        <w:topLinePunct w:val="0"/>
        <w:bidi w:val="0"/>
        <w:snapToGrid/>
        <w:spacing w:before="0" w:beforeAutospacing="0" w:afterAutospacing="0"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7.</w:t>
      </w:r>
      <w:r>
        <w:rPr>
          <w:rFonts w:hint="eastAsia" w:ascii="仿宋_GB2312" w:hAnsi="仿宋_GB2312" w:eastAsia="仿宋_GB2312" w:cs="仿宋_GB2312"/>
          <w:sz w:val="32"/>
          <w:szCs w:val="32"/>
          <w:shd w:val="clear" w:color="auto" w:fill="FFFFFF"/>
        </w:rPr>
        <w:t>卫生健康支出（类）行政事业单位医疗（款）：指行政事业单位医疗方面的支出。</w:t>
      </w:r>
    </w:p>
    <w:p>
      <w:pPr>
        <w:pStyle w:val="37"/>
        <w:keepNext w:val="0"/>
        <w:keepLines w:val="0"/>
        <w:pageBreakBefore w:val="0"/>
        <w:widowControl w:val="0"/>
        <w:kinsoku/>
        <w:wordWrap/>
        <w:overflowPunct/>
        <w:topLinePunct w:val="0"/>
        <w:bidi w:val="0"/>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（1）行政单位医疗（项）：指财政部门集中安排的行政单位基本医疗保险缴费经费。</w:t>
      </w:r>
    </w:p>
    <w:p>
      <w:pPr>
        <w:pStyle w:val="37"/>
        <w:keepNext w:val="0"/>
        <w:keepLines w:val="0"/>
        <w:pageBreakBefore w:val="0"/>
        <w:widowControl w:val="0"/>
        <w:kinsoku/>
        <w:wordWrap/>
        <w:overflowPunct/>
        <w:topLinePunct w:val="0"/>
        <w:bidi w:val="0"/>
        <w:snapToGrid/>
        <w:spacing w:before="0" w:beforeAutospacing="0" w:afterAutospacing="0" w:line="560" w:lineRule="exact"/>
        <w:ind w:firstLine="320" w:firstLineChars="1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（2）公务员医疗补助（项）：指财政部门集中安排的公务员医疗补助经费。</w:t>
      </w:r>
    </w:p>
    <w:p>
      <w:pPr>
        <w:pStyle w:val="37"/>
        <w:keepNext w:val="0"/>
        <w:keepLines w:val="0"/>
        <w:pageBreakBefore w:val="0"/>
        <w:widowControl w:val="0"/>
        <w:kinsoku/>
        <w:wordWrap/>
        <w:overflowPunct/>
        <w:topLinePunct w:val="0"/>
        <w:bidi w:val="0"/>
        <w:snapToGrid/>
        <w:spacing w:before="0" w:beforeAutospacing="0" w:afterAutospacing="0"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val="en-US" w:eastAsia="zh-CN"/>
        </w:rPr>
        <w:t>8</w:t>
      </w:r>
      <w:r>
        <w:rPr>
          <w:rFonts w:hint="eastAsia" w:ascii="仿宋_GB2312" w:hAnsi="仿宋_GB2312" w:eastAsia="仿宋_GB2312" w:cs="仿宋_GB2312"/>
          <w:sz w:val="32"/>
          <w:szCs w:val="32"/>
          <w:shd w:val="clear" w:color="auto" w:fill="FFFFFF"/>
        </w:rPr>
        <w:t>.住房保障（类）住房改革支出（款）住房公积金（项）：指行政事业单位按人力资源和社会保障部、财政部规定的基本工资和津补贴一级规定比例为职工缴纳的住房公积金。</w:t>
      </w:r>
    </w:p>
    <w:p>
      <w:pPr>
        <w:ind w:firstLine="640" w:firstLineChars="200"/>
        <w:rPr>
          <w:rFonts w:ascii="仿宋_GB2312" w:eastAsia="仿宋_GB2312"/>
          <w:sz w:val="32"/>
          <w:szCs w:val="32"/>
        </w:rPr>
      </w:pPr>
      <w:r>
        <w:rPr>
          <w:rFonts w:hint="eastAsia" w:ascii="仿宋_GB2312" w:eastAsia="仿宋_GB2312"/>
          <w:sz w:val="32"/>
          <w:szCs w:val="32"/>
          <w:lang w:val="en-US" w:eastAsia="zh-CN"/>
        </w:rPr>
        <w:t>9</w:t>
      </w:r>
      <w:r>
        <w:rPr>
          <w:rFonts w:ascii="仿宋_GB2312" w:eastAsia="仿宋_GB2312"/>
          <w:sz w:val="32"/>
          <w:szCs w:val="32"/>
        </w:rPr>
        <w:t>.</w:t>
      </w:r>
      <w:r>
        <w:rPr>
          <w:rFonts w:hint="eastAsia" w:ascii="仿宋_GB2312" w:eastAsia="仿宋_GB2312"/>
          <w:sz w:val="32"/>
          <w:szCs w:val="32"/>
        </w:rPr>
        <w:t>基本支出：指为保障机构正常运转、完成日常工作任务而发生的人员支出和公用支出。</w:t>
      </w:r>
    </w:p>
    <w:p>
      <w:pPr>
        <w:ind w:firstLine="640" w:firstLineChars="200"/>
        <w:rPr>
          <w:rFonts w:ascii="仿宋_GB2312" w:eastAsia="仿宋_GB2312"/>
          <w:sz w:val="32"/>
          <w:szCs w:val="32"/>
        </w:rPr>
      </w:pPr>
      <w:r>
        <w:rPr>
          <w:rFonts w:hint="eastAsia" w:ascii="仿宋_GB2312" w:eastAsia="仿宋_GB2312"/>
          <w:sz w:val="32"/>
          <w:szCs w:val="32"/>
          <w:lang w:val="en-US" w:eastAsia="zh-CN"/>
        </w:rPr>
        <w:t>10</w:t>
      </w:r>
      <w:r>
        <w:rPr>
          <w:rFonts w:ascii="仿宋_GB2312" w:eastAsia="仿宋_GB2312"/>
          <w:sz w:val="32"/>
          <w:szCs w:val="32"/>
        </w:rPr>
        <w:t>.</w:t>
      </w:r>
      <w:r>
        <w:rPr>
          <w:rFonts w:hint="eastAsia" w:ascii="仿宋_GB2312" w:eastAsia="仿宋_GB2312"/>
          <w:sz w:val="32"/>
          <w:szCs w:val="32"/>
        </w:rPr>
        <w:t>项目支出：指在基本支出之外为完成特定行政任务和事业发展目标所发生的支出。</w:t>
      </w:r>
      <w:r>
        <w:rPr>
          <w:rFonts w:ascii="仿宋_GB2312" w:eastAsia="仿宋_GB2312"/>
          <w:sz w:val="32"/>
          <w:szCs w:val="32"/>
        </w:rPr>
        <w:t xml:space="preserve"> </w:t>
      </w:r>
    </w:p>
    <w:p>
      <w:pPr>
        <w:pStyle w:val="28"/>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11</w:t>
      </w:r>
      <w:r>
        <w:rPr>
          <w:rFonts w:ascii="仿宋_GB2312" w:eastAsia="仿宋_GB2312"/>
          <w:color w:val="auto"/>
          <w:sz w:val="32"/>
          <w:szCs w:val="32"/>
        </w:rPr>
        <w:t>.</w:t>
      </w:r>
      <w:r>
        <w:rPr>
          <w:rFonts w:hint="eastAsia" w:ascii="仿宋_GB2312" w:eastAsia="仿宋_GB2312"/>
          <w:color w:val="auto"/>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ind w:firstLine="640" w:firstLineChars="200"/>
        <w:rPr>
          <w:rFonts w:hint="eastAsia" w:ascii="黑体" w:hAnsi="黑体" w:eastAsia="黑体"/>
          <w:b w:val="0"/>
        </w:rPr>
      </w:pPr>
      <w:r>
        <w:rPr>
          <w:rFonts w:hint="eastAsia" w:ascii="仿宋_GB2312" w:hAnsi="Times New Roman" w:eastAsia="仿宋_GB2312" w:cs="仿宋"/>
          <w:color w:val="auto"/>
          <w:kern w:val="0"/>
          <w:sz w:val="32"/>
          <w:szCs w:val="32"/>
          <w:lang w:val="en-US" w:eastAsia="zh-CN" w:bidi="ar-SA"/>
        </w:rPr>
        <w:t>12.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费用。</w:t>
      </w:r>
    </w:p>
    <w:p>
      <w:pPr>
        <w:spacing w:line="600" w:lineRule="exact"/>
        <w:jc w:val="center"/>
        <w:outlineLvl w:val="0"/>
        <w:rPr>
          <w:rFonts w:hint="eastAsia" w:ascii="Times New Roman" w:hAnsi="Times New Roman" w:eastAsia="黑体"/>
          <w:color w:val="auto"/>
          <w:sz w:val="44"/>
          <w:szCs w:val="44"/>
          <w:highlight w:val="none"/>
        </w:rPr>
      </w:pPr>
      <w:bookmarkStart w:id="102" w:name="_Toc15396614"/>
      <w:bookmarkStart w:id="103" w:name="_Toc71"/>
      <w:bookmarkStart w:id="104" w:name="_Toc15377226"/>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102"/>
      <w:bookmarkEnd w:id="103"/>
    </w:p>
    <w:p>
      <w:pPr>
        <w:pStyle w:val="2"/>
        <w:rPr>
          <w:rFonts w:hint="default"/>
        </w:rPr>
      </w:pP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1"/>
        <w:rPr>
          <w:rFonts w:hint="default" w:ascii="Times New Roman" w:hAnsi="Times New Roman" w:eastAsia="方正小标宋简体" w:cs="Times New Roman"/>
          <w:b w:val="0"/>
          <w:bCs/>
          <w:sz w:val="44"/>
          <w:szCs w:val="44"/>
          <w:highlight w:val="none"/>
          <w:shd w:val="clear" w:color="auto" w:fill="FFFFFF"/>
        </w:rPr>
      </w:pPr>
      <w:bookmarkStart w:id="105" w:name="_Toc21193"/>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w:t>
      </w:r>
      <w:bookmarkEnd w:id="105"/>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0"/>
        <w:rPr>
          <w:rFonts w:hint="default" w:ascii="Times New Roman" w:hAnsi="Times New Roman" w:eastAsia="仿宋_GB2312" w:cs="Times New Roman"/>
          <w:sz w:val="32"/>
          <w:szCs w:val="32"/>
          <w:highlight w:val="none"/>
          <w:shd w:val="clear" w:color="auto" w:fill="FFFFFF"/>
        </w:rPr>
      </w:pPr>
      <w:bookmarkStart w:id="106" w:name="_Toc22463"/>
      <w:r>
        <w:rPr>
          <w:rFonts w:hint="default" w:ascii="Times New Roman" w:hAnsi="Times New Roman" w:eastAsia="仿宋_GB2312" w:cs="Times New Roman"/>
          <w:sz w:val="32"/>
          <w:szCs w:val="32"/>
          <w:highlight w:val="none"/>
          <w:shd w:val="clear" w:color="auto" w:fill="FFFFFF"/>
        </w:rPr>
        <w:t>（报告范围包括机关和下属单位）</w:t>
      </w:r>
      <w:bookmarkEnd w:id="106"/>
    </w:p>
    <w:p>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1"/>
        <w:rPr>
          <w:rFonts w:hint="default" w:ascii="Times New Roman" w:hAnsi="Times New Roman" w:eastAsia="仿宋_GB2312" w:cs="Times New Roman"/>
          <w:sz w:val="32"/>
          <w:szCs w:val="32"/>
        </w:rPr>
      </w:pPr>
      <w:bookmarkStart w:id="107" w:name="_Toc19929"/>
      <w:r>
        <w:rPr>
          <w:rFonts w:hint="default" w:ascii="Times New Roman" w:hAnsi="Times New Roman" w:eastAsia="黑体" w:cs="Times New Roman"/>
          <w:color w:val="000000"/>
          <w:kern w:val="0"/>
          <w:sz w:val="32"/>
          <w:szCs w:val="32"/>
          <w:highlight w:val="none"/>
          <w:shd w:val="clear" w:color="auto" w:fill="FFFFFF"/>
          <w:lang w:val="zh-CN"/>
        </w:rPr>
        <w:t>一、部门（单位）基本情况</w:t>
      </w:r>
      <w:bookmarkEnd w:id="107"/>
    </w:p>
    <w:p>
      <w:pPr>
        <w:keepNext w:val="0"/>
        <w:keepLines w:val="0"/>
        <w:pageBreakBefore w:val="0"/>
        <w:widowControl/>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eastAsia" w:ascii="仿宋_GB2312" w:hAnsi="仿宋_GB2312" w:eastAsia="仿宋_GB2312" w:cs="仿宋_GB2312"/>
          <w:i w:val="0"/>
          <w:caps w:val="0"/>
          <w:color w:val="auto"/>
          <w:spacing w:val="0"/>
          <w:sz w:val="32"/>
          <w:szCs w:val="32"/>
          <w:shd w:val="clear" w:color="auto" w:fill="FFFFFF"/>
        </w:rPr>
      </w:pPr>
      <w:r>
        <w:rPr>
          <w:rFonts w:hint="eastAsia" w:ascii="Times New Roman" w:hAnsi="Times New Roman" w:eastAsia="楷体_GB2312" w:cs="Times New Roman"/>
          <w:b/>
          <w:bCs/>
          <w:color w:val="000000"/>
          <w:kern w:val="0"/>
          <w:sz w:val="32"/>
          <w:szCs w:val="32"/>
          <w:highlight w:val="none"/>
          <w:shd w:val="clear" w:color="auto" w:fill="FFFFFF"/>
          <w:lang w:val="zh-CN"/>
        </w:rPr>
        <w:t>（一）</w:t>
      </w:r>
      <w:r>
        <w:rPr>
          <w:rFonts w:hint="default" w:ascii="Times New Roman" w:hAnsi="Times New Roman" w:eastAsia="楷体_GB2312" w:cs="Times New Roman"/>
          <w:b/>
          <w:bCs/>
          <w:color w:val="000000"/>
          <w:kern w:val="0"/>
          <w:sz w:val="32"/>
          <w:szCs w:val="32"/>
          <w:highlight w:val="none"/>
          <w:shd w:val="clear" w:color="auto" w:fill="FFFFFF"/>
          <w:lang w:val="zh-CN"/>
        </w:rPr>
        <w:t>机构组成。</w:t>
      </w:r>
      <w:r>
        <w:rPr>
          <w:rFonts w:hint="eastAsia" w:ascii="仿宋_GB2312" w:hAnsi="仿宋_GB2312" w:eastAsia="仿宋_GB2312" w:cs="仿宋_GB2312"/>
          <w:i w:val="0"/>
          <w:caps w:val="0"/>
          <w:color w:val="auto"/>
          <w:spacing w:val="0"/>
          <w:sz w:val="32"/>
          <w:szCs w:val="32"/>
          <w:shd w:val="clear" w:color="auto" w:fill="FFFFFF"/>
        </w:rPr>
        <w:t>政协红原县委员会办公室下设单位（股室）</w:t>
      </w: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rPr>
        <w:t>个，其中行政单位1个，其他事业单位</w:t>
      </w: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rPr>
        <w:t>个。</w:t>
      </w:r>
    </w:p>
    <w:p>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（二）机构职能</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负责政协红原县委员会全体会议、常委会议、主席会议和其他主要会议的组织和会务工作，并组织实施“三个例会”的决议、决定；组织委员视察参观、调查、座谈等日常活动以及各专门委员会的其他工作的组织和服务工作，负责县政协举办各种重大活动的组织、宣传工作；研究统一战线和人民政协的理论、政策，调查研究和了解有关我县各项事业及群众生活的重要问题提出解决办法，供党政机关参考；密切与县委、县人大、县政府有关部门的联系，搞好协调工作，做好上情下达、下情上报工作；负责政协工作的内外宣传、收集、反映各族各界人士的意见、建议；负责管理政协委员会机关行政、文秘、档案、信访、保密等工作；</w:t>
      </w:r>
      <w:r>
        <w:rPr>
          <w:rFonts w:hint="eastAsia" w:ascii="仿宋_GB2312" w:hAnsi="仿宋_GB2312" w:eastAsia="仿宋_GB2312" w:cs="仿宋_GB2312"/>
          <w:i w:val="0"/>
          <w:caps w:val="0"/>
          <w:color w:val="auto"/>
          <w:spacing w:val="0"/>
          <w:sz w:val="32"/>
          <w:szCs w:val="32"/>
          <w:shd w:val="clear" w:color="auto" w:fill="FFFFFF"/>
        </w:rPr>
        <w:t>承担县政协主席、副主席和州政协交办的其他工作。</w:t>
      </w:r>
    </w:p>
    <w:p>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rPr>
        <w:t>截至202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年末</w:t>
      </w:r>
      <w:r>
        <w:rPr>
          <w:rFonts w:hint="eastAsia" w:ascii="Times New Roman" w:hAnsi="Times New Roman" w:eastAsia="仿宋_GB2312" w:cs="Times New Roman"/>
          <w:sz w:val="32"/>
          <w:szCs w:val="32"/>
          <w:lang w:val="en-US" w:eastAsia="zh-CN"/>
        </w:rPr>
        <w:t>政协红原县委员会办公室</w:t>
      </w:r>
      <w:r>
        <w:rPr>
          <w:rFonts w:hint="default" w:ascii="Times New Roman" w:hAnsi="Times New Roman" w:eastAsia="仿宋_GB2312" w:cs="Times New Roman"/>
          <w:sz w:val="32"/>
          <w:szCs w:val="32"/>
          <w:lang w:eastAsia="zh-CN"/>
        </w:rPr>
        <w:t>共</w:t>
      </w:r>
      <w:r>
        <w:rPr>
          <w:rFonts w:hint="default" w:ascii="Times New Roman" w:hAnsi="Times New Roman" w:eastAsia="仿宋_GB2312" w:cs="Times New Roman"/>
          <w:sz w:val="32"/>
          <w:szCs w:val="32"/>
        </w:rPr>
        <w:t>有编制</w:t>
      </w:r>
      <w:r>
        <w:rPr>
          <w:rFonts w:hint="eastAsia" w:ascii="Times New Roman" w:hAnsi="Times New Roman" w:eastAsia="仿宋_GB2312" w:cs="Times New Roman"/>
          <w:sz w:val="32"/>
          <w:szCs w:val="32"/>
          <w:lang w:val="en-US" w:eastAsia="zh-CN"/>
        </w:rPr>
        <w:t>19</w:t>
      </w:r>
      <w:r>
        <w:rPr>
          <w:rFonts w:hint="default" w:ascii="Times New Roman" w:hAnsi="Times New Roman" w:eastAsia="仿宋_GB2312" w:cs="Times New Roman"/>
          <w:sz w:val="32"/>
          <w:szCs w:val="32"/>
        </w:rPr>
        <w:t>个，其中公务员编制</w:t>
      </w:r>
      <w:r>
        <w:rPr>
          <w:rFonts w:hint="eastAsia"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rPr>
        <w:t>个，行政工勤编制</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个，事业编制</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个，年末</w:t>
      </w:r>
      <w:r>
        <w:rPr>
          <w:rFonts w:hint="default" w:ascii="Times New Roman" w:hAnsi="Times New Roman" w:eastAsia="仿宋_GB2312" w:cs="Times New Roman"/>
          <w:sz w:val="32"/>
          <w:szCs w:val="32"/>
          <w:lang w:eastAsia="zh-CN"/>
        </w:rPr>
        <w:t>实有人数</w:t>
      </w:r>
      <w:r>
        <w:rPr>
          <w:rFonts w:hint="eastAsia" w:ascii="Times New Roman" w:hAnsi="Times New Roman" w:eastAsia="仿宋_GB2312" w:cs="Times New Roman"/>
          <w:sz w:val="32"/>
          <w:szCs w:val="32"/>
          <w:lang w:val="en-US" w:eastAsia="zh-CN"/>
        </w:rPr>
        <w:t>19</w:t>
      </w:r>
      <w:r>
        <w:rPr>
          <w:rFonts w:hint="default" w:ascii="Times New Roman" w:hAnsi="Times New Roman" w:eastAsia="仿宋_GB2312" w:cs="Times New Roman"/>
          <w:sz w:val="32"/>
          <w:szCs w:val="32"/>
        </w:rPr>
        <w:t>人，公务员</w:t>
      </w:r>
      <w:r>
        <w:rPr>
          <w:rFonts w:hint="eastAsia"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rPr>
        <w:t>人，行政工勤人员</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人，事业</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人。</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1"/>
        <w:rPr>
          <w:rFonts w:hint="default" w:ascii="Times New Roman" w:hAnsi="Times New Roman" w:eastAsia="黑体" w:cs="Times New Roman"/>
          <w:color w:val="000000"/>
          <w:kern w:val="0"/>
          <w:sz w:val="32"/>
          <w:szCs w:val="32"/>
          <w:highlight w:val="none"/>
          <w:shd w:val="clear" w:color="auto" w:fill="FFFFFF"/>
        </w:rPr>
      </w:pPr>
      <w:bookmarkStart w:id="108" w:name="_Toc11591"/>
      <w:r>
        <w:rPr>
          <w:rFonts w:hint="default" w:ascii="Times New Roman" w:hAnsi="Times New Roman" w:eastAsia="黑体" w:cs="Times New Roman"/>
          <w:color w:val="000000"/>
          <w:kern w:val="0"/>
          <w:sz w:val="32"/>
          <w:szCs w:val="32"/>
          <w:highlight w:val="none"/>
          <w:shd w:val="clear" w:color="auto" w:fill="FFFFFF"/>
        </w:rPr>
        <w:t>二、</w:t>
      </w:r>
      <w:r>
        <w:rPr>
          <w:rFonts w:hint="default" w:ascii="Times New Roman" w:hAnsi="Times New Roman" w:eastAsia="黑体" w:cs="Times New Roman"/>
          <w:color w:val="000000"/>
          <w:kern w:val="0"/>
          <w:sz w:val="32"/>
          <w:szCs w:val="32"/>
          <w:highlight w:val="none"/>
          <w:shd w:val="clear" w:color="auto" w:fill="FFFFFF"/>
          <w:lang w:eastAsia="zh-CN"/>
        </w:rPr>
        <w:t>部门</w:t>
      </w:r>
      <w:r>
        <w:rPr>
          <w:rFonts w:hint="default" w:ascii="Times New Roman" w:hAnsi="Times New Roman" w:eastAsia="黑体" w:cs="Times New Roman"/>
          <w:color w:val="000000"/>
          <w:kern w:val="0"/>
          <w:sz w:val="32"/>
          <w:szCs w:val="32"/>
          <w:highlight w:val="none"/>
          <w:shd w:val="clear" w:color="auto" w:fill="FFFFFF"/>
        </w:rPr>
        <w:t>资金收支情况</w:t>
      </w:r>
      <w:bookmarkEnd w:id="108"/>
    </w:p>
    <w:p>
      <w:pPr>
        <w:keepNext w:val="0"/>
        <w:keepLines w:val="0"/>
        <w:pageBreakBefore w:val="0"/>
        <w:widowControl/>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Times New Roman"/>
          <w:sz w:val="32"/>
          <w:szCs w:val="32"/>
          <w:lang w:val="en-US" w:eastAsia="zh-CN"/>
        </w:rPr>
        <w:t>政协红原县委员会办公室</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w:t>
      </w:r>
      <w:r>
        <w:rPr>
          <w:rFonts w:hint="eastAsia" w:ascii="Times New Roman" w:hAnsi="Times New Roman" w:eastAsia="仿宋_GB2312" w:cs="Times New Roman"/>
          <w:sz w:val="32"/>
          <w:szCs w:val="32"/>
          <w:lang w:val="en-US" w:eastAsia="zh-CN"/>
        </w:rPr>
        <w:t>收入合计880.15万元，</w:t>
      </w:r>
      <w:r>
        <w:rPr>
          <w:rFonts w:hint="default" w:ascii="Times New Roman" w:hAnsi="Times New Roman" w:eastAsia="仿宋_GB2312" w:cs="Times New Roman"/>
          <w:sz w:val="32"/>
          <w:szCs w:val="32"/>
        </w:rPr>
        <w:t>其中：一般公共预算财政拨款收入</w:t>
      </w:r>
      <w:r>
        <w:rPr>
          <w:rFonts w:hint="eastAsia" w:ascii="Times New Roman" w:hAnsi="Times New Roman" w:eastAsia="仿宋_GB2312" w:cs="Times New Roman"/>
          <w:sz w:val="32"/>
          <w:szCs w:val="32"/>
          <w:lang w:val="en-US" w:eastAsia="zh-CN"/>
        </w:rPr>
        <w:t>880.15万元</w:t>
      </w:r>
      <w:r>
        <w:rPr>
          <w:rFonts w:hint="default" w:ascii="Times New Roman" w:hAnsi="Times New Roman" w:eastAsia="仿宋_GB2312" w:cs="Times New Roman"/>
          <w:sz w:val="32"/>
          <w:szCs w:val="32"/>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3" w:firstLineChars="200"/>
        <w:jc w:val="both"/>
        <w:textAlignment w:val="auto"/>
        <w:outlineLvl w:val="1"/>
        <w:rPr>
          <w:rFonts w:hint="default" w:ascii="Times New Roman" w:hAnsi="Times New Roman" w:eastAsia="仿宋_GB2312" w:cs="Times New Roman"/>
          <w:sz w:val="32"/>
          <w:szCs w:val="32"/>
        </w:rPr>
      </w:pPr>
      <w:bookmarkStart w:id="109" w:name="_Toc6075"/>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Times New Roman"/>
          <w:sz w:val="32"/>
          <w:szCs w:val="32"/>
          <w:lang w:val="en-US" w:eastAsia="zh-CN"/>
        </w:rPr>
        <w:t>政协红原县委员会办公室</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年支出</w:t>
      </w:r>
      <w:r>
        <w:rPr>
          <w:rFonts w:hint="eastAsia" w:ascii="Times New Roman" w:hAnsi="Times New Roman" w:eastAsia="仿宋_GB2312" w:cs="Times New Roman"/>
          <w:sz w:val="32"/>
          <w:szCs w:val="32"/>
          <w:lang w:val="en-US" w:eastAsia="zh-CN"/>
        </w:rPr>
        <w:t>合计880.15万元，其中：</w:t>
      </w:r>
      <w:r>
        <w:rPr>
          <w:rFonts w:hint="default" w:ascii="Times New Roman" w:hAnsi="Times New Roman" w:eastAsia="仿宋_GB2312" w:cs="Times New Roman"/>
          <w:sz w:val="32"/>
          <w:szCs w:val="32"/>
        </w:rPr>
        <w:t>一般公共服务支出</w:t>
      </w:r>
      <w:r>
        <w:rPr>
          <w:rFonts w:hint="eastAsia" w:ascii="Times New Roman" w:hAnsi="Times New Roman" w:eastAsia="仿宋_GB2312" w:cs="Times New Roman"/>
          <w:sz w:val="32"/>
          <w:szCs w:val="32"/>
          <w:lang w:val="en-US" w:eastAsia="zh-CN"/>
        </w:rPr>
        <w:t>707.05万</w:t>
      </w:r>
      <w:r>
        <w:rPr>
          <w:rFonts w:hint="default" w:ascii="Times New Roman" w:hAnsi="Times New Roman" w:eastAsia="仿宋_GB2312" w:cs="Times New Roman"/>
          <w:sz w:val="32"/>
          <w:szCs w:val="32"/>
        </w:rPr>
        <w:t>元、社会保障和就业支出</w:t>
      </w:r>
      <w:r>
        <w:rPr>
          <w:rFonts w:hint="eastAsia" w:ascii="Times New Roman" w:hAnsi="Times New Roman" w:eastAsia="仿宋_GB2312" w:cs="Times New Roman"/>
          <w:sz w:val="32"/>
          <w:szCs w:val="32"/>
          <w:lang w:val="en-US" w:eastAsia="zh-CN"/>
        </w:rPr>
        <w:t>89.84万</w:t>
      </w:r>
      <w:r>
        <w:rPr>
          <w:rFonts w:hint="default" w:ascii="Times New Roman" w:hAnsi="Times New Roman" w:eastAsia="仿宋_GB2312" w:cs="Times New Roman"/>
          <w:sz w:val="32"/>
          <w:szCs w:val="32"/>
        </w:rPr>
        <w:t>元、卫生健康支出</w:t>
      </w:r>
      <w:r>
        <w:rPr>
          <w:rFonts w:hint="eastAsia" w:ascii="Times New Roman" w:hAnsi="Times New Roman" w:eastAsia="仿宋_GB2312" w:cs="Times New Roman"/>
          <w:sz w:val="32"/>
          <w:szCs w:val="32"/>
          <w:lang w:val="en-US" w:eastAsia="zh-CN"/>
        </w:rPr>
        <w:t>35.34万</w:t>
      </w:r>
      <w:r>
        <w:rPr>
          <w:rFonts w:hint="default" w:ascii="Times New Roman" w:hAnsi="Times New Roman" w:eastAsia="仿宋_GB2312" w:cs="Times New Roman"/>
          <w:sz w:val="32"/>
          <w:szCs w:val="32"/>
        </w:rPr>
        <w:t>元、住房保障支出</w:t>
      </w:r>
      <w:r>
        <w:rPr>
          <w:rFonts w:hint="eastAsia" w:ascii="Times New Roman" w:hAnsi="Times New Roman" w:eastAsia="仿宋_GB2312" w:cs="Times New Roman"/>
          <w:sz w:val="32"/>
          <w:szCs w:val="32"/>
          <w:lang w:val="en-US" w:eastAsia="zh-CN"/>
        </w:rPr>
        <w:t>47.91万</w:t>
      </w:r>
      <w:r>
        <w:rPr>
          <w:rFonts w:hint="default" w:ascii="Times New Roman" w:hAnsi="Times New Roman" w:eastAsia="仿宋_GB2312" w:cs="Times New Roman"/>
          <w:sz w:val="32"/>
          <w:szCs w:val="32"/>
        </w:rPr>
        <w:t>元。</w:t>
      </w:r>
      <w:bookmarkEnd w:id="109"/>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jc w:val="both"/>
        <w:textAlignment w:val="auto"/>
        <w:rPr>
          <w:rFonts w:hint="eastAsia" w:ascii="Times New Roman" w:hAnsi="Times New Roman" w:eastAsia="宋体" w:cs="Times New Roman"/>
          <w:kern w:val="2"/>
          <w:sz w:val="32"/>
          <w:szCs w:val="24"/>
          <w:lang w:val="en-US" w:eastAsia="zh-CN" w:bidi="ar-SA"/>
        </w:rPr>
      </w:pPr>
      <w:r>
        <w:rPr>
          <w:rFonts w:hint="eastAsia" w:ascii="仿宋_GB2312" w:hAnsi="仿宋_GB2312" w:eastAsia="仿宋_GB2312" w:cs="仿宋_GB2312"/>
          <w:kern w:val="2"/>
          <w:sz w:val="32"/>
          <w:szCs w:val="32"/>
          <w:lang w:val="en-US" w:eastAsia="zh-CN" w:bidi="ar-SA"/>
        </w:rPr>
        <w:t>整体支出主要完成任务在两个方面：</w:t>
      </w:r>
      <w:r>
        <w:rPr>
          <w:rFonts w:hint="eastAsia" w:ascii="仿宋_GB2312" w:hAnsi="仿宋_GB2312" w:eastAsia="仿宋_GB2312" w:cs="仿宋_GB2312"/>
          <w:b/>
          <w:bCs/>
          <w:kern w:val="2"/>
          <w:sz w:val="32"/>
          <w:szCs w:val="32"/>
          <w:lang w:val="en-US" w:eastAsia="zh-CN" w:bidi="ar-SA"/>
        </w:rPr>
        <w:t>一是</w:t>
      </w:r>
      <w:r>
        <w:rPr>
          <w:rFonts w:hint="eastAsia" w:ascii="仿宋_GB2312" w:hAnsi="仿宋_GB2312" w:eastAsia="仿宋_GB2312" w:cs="仿宋_GB2312"/>
          <w:kern w:val="2"/>
          <w:sz w:val="32"/>
          <w:szCs w:val="32"/>
          <w:lang w:val="en-US" w:eastAsia="zh-CN" w:bidi="ar-SA"/>
        </w:rPr>
        <w:t>保障机关基本正常运转。2025年度完成工资福利支出597.3万元、商品服务支出85.93万元，对家庭和个人的补助支出23.21万元。</w:t>
      </w:r>
      <w:r>
        <w:rPr>
          <w:rFonts w:hint="eastAsia" w:ascii="仿宋_GB2312" w:hAnsi="仿宋_GB2312" w:eastAsia="仿宋_GB2312" w:cs="仿宋_GB2312"/>
          <w:b/>
          <w:bCs/>
          <w:kern w:val="2"/>
          <w:sz w:val="32"/>
          <w:szCs w:val="32"/>
          <w:lang w:val="en-US" w:eastAsia="zh-CN" w:bidi="ar-SA"/>
        </w:rPr>
        <w:t>二是</w:t>
      </w:r>
      <w:r>
        <w:rPr>
          <w:rFonts w:hint="eastAsia" w:ascii="仿宋_GB2312" w:hAnsi="仿宋_GB2312" w:eastAsia="仿宋_GB2312" w:cs="仿宋_GB2312"/>
          <w:b w:val="0"/>
          <w:bCs w:val="0"/>
          <w:kern w:val="2"/>
          <w:sz w:val="32"/>
          <w:szCs w:val="32"/>
          <w:lang w:val="en-US" w:eastAsia="zh-CN" w:bidi="ar-SA"/>
        </w:rPr>
        <w:t>保障各专项工作持续有效开展</w:t>
      </w:r>
      <w:r>
        <w:rPr>
          <w:rFonts w:hint="eastAsia" w:ascii="仿宋_GB2312" w:hAnsi="仿宋_GB2312" w:eastAsia="仿宋_GB2312" w:cs="仿宋_GB2312"/>
          <w:b/>
          <w:bCs/>
          <w:kern w:val="2"/>
          <w:sz w:val="32"/>
          <w:szCs w:val="32"/>
          <w:lang w:val="en-US" w:eastAsia="zh-CN" w:bidi="ar-SA"/>
        </w:rPr>
        <w:t>。</w:t>
      </w:r>
      <w:r>
        <w:rPr>
          <w:rFonts w:hint="eastAsia" w:ascii="仿宋_GB2312" w:hAnsi="仿宋_GB2312" w:eastAsia="仿宋_GB2312" w:cs="仿宋_GB2312"/>
          <w:b w:val="0"/>
          <w:bCs w:val="0"/>
          <w:kern w:val="2"/>
          <w:sz w:val="32"/>
          <w:szCs w:val="32"/>
          <w:lang w:val="en-US" w:eastAsia="zh-CN" w:bidi="ar-SA"/>
        </w:rPr>
        <w:t>2025年度，</w:t>
      </w:r>
      <w:r>
        <w:rPr>
          <w:rFonts w:hint="default" w:ascii="Times New Roman" w:hAnsi="Times New Roman" w:eastAsia="方正仿宋_GB2312" w:cs="Times New Roman"/>
          <w:b w:val="0"/>
          <w:bCs w:val="0"/>
          <w:kern w:val="2"/>
          <w:sz w:val="32"/>
          <w:szCs w:val="32"/>
          <w:lang w:val="en-US" w:eastAsia="zh-CN" w:bidi="ar-SA"/>
        </w:rPr>
        <w:t>全年召开全体会议1场、专题议政性常委会议3场、专题协商会6场、界别协商会5场、对口协商会2场</w:t>
      </w:r>
      <w:r>
        <w:rPr>
          <w:rFonts w:hint="eastAsia" w:ascii="Times New Roman" w:hAnsi="Times New Roman" w:eastAsia="方正仿宋_GB2312" w:cs="Times New Roman"/>
          <w:b w:val="0"/>
          <w:bCs w:val="0"/>
          <w:kern w:val="2"/>
          <w:sz w:val="32"/>
          <w:szCs w:val="32"/>
          <w:lang w:val="en-US" w:eastAsia="zh-CN" w:bidi="ar-SA"/>
        </w:rPr>
        <w:t>。</w:t>
      </w:r>
      <w:r>
        <w:rPr>
          <w:rFonts w:hint="default" w:ascii="Times New Roman" w:hAnsi="Times New Roman" w:eastAsia="方正仿宋_GB2312" w:cs="Times New Roman"/>
          <w:b w:val="0"/>
          <w:bCs w:val="0"/>
          <w:kern w:val="2"/>
          <w:sz w:val="32"/>
          <w:szCs w:val="32"/>
          <w:lang w:val="en-US" w:eastAsia="zh-CN" w:bidi="ar-SA"/>
        </w:rPr>
        <w:t>按照省政协“同心共建现代化四川”专项行动部署，通过界别座谈、委员走访、调研视察等多元形式，广泛征集高质量建议67件，其中55件按程序转报州政协，为规划编制提供务实智力支撑。</w:t>
      </w:r>
      <w:r>
        <w:rPr>
          <w:rFonts w:hint="eastAsia" w:ascii="Times New Roman" w:hAnsi="Times New Roman" w:eastAsia="方正仿宋_GB2312" w:cs="Times New Roman"/>
          <w:b w:val="0"/>
          <w:bCs w:val="0"/>
          <w:kern w:val="2"/>
          <w:sz w:val="32"/>
          <w:szCs w:val="32"/>
          <w:lang w:val="en-US" w:eastAsia="zh-CN" w:bidi="ar-SA"/>
        </w:rPr>
        <w:t>广大政协</w:t>
      </w:r>
      <w:r>
        <w:rPr>
          <w:rFonts w:hint="default" w:ascii="Times New Roman" w:hAnsi="Times New Roman" w:eastAsia="方正仿宋_GB2312" w:cs="Times New Roman"/>
          <w:b w:val="0"/>
          <w:bCs w:val="0"/>
          <w:kern w:val="2"/>
          <w:sz w:val="32"/>
          <w:szCs w:val="32"/>
          <w:lang w:val="en-US" w:eastAsia="zh-CN" w:bidi="ar-SA"/>
        </w:rPr>
        <w:t>委员积极投身专项行动，办实事好事160余件，参与公益捐助60余万元。组织片区小微协商6次，精准回应企业诉求与群众期盼，成功转化协商成果13项</w:t>
      </w:r>
      <w:r>
        <w:rPr>
          <w:rFonts w:hint="eastAsia" w:ascii="Times New Roman" w:hAnsi="Times New Roman" w:eastAsia="方正仿宋_GB2312" w:cs="Times New Roman"/>
          <w:b w:val="0"/>
          <w:bCs w:val="0"/>
          <w:kern w:val="2"/>
          <w:sz w:val="32"/>
          <w:szCs w:val="32"/>
          <w:lang w:val="en-US" w:eastAsia="zh-CN" w:bidi="ar-SA"/>
        </w:rPr>
        <w:t>，</w:t>
      </w:r>
      <w:r>
        <w:rPr>
          <w:rFonts w:hint="default" w:ascii="Times New Roman" w:hAnsi="Times New Roman" w:eastAsia="方正仿宋_GB2312" w:cs="Times New Roman"/>
          <w:b w:val="0"/>
          <w:bCs w:val="0"/>
          <w:kern w:val="2"/>
          <w:sz w:val="32"/>
          <w:szCs w:val="32"/>
          <w:lang w:val="en-US" w:eastAsia="zh-CN" w:bidi="ar-SA"/>
        </w:rPr>
        <w:t>主席</w:t>
      </w:r>
      <w:r>
        <w:rPr>
          <w:rFonts w:hint="eastAsia" w:ascii="Times New Roman" w:hAnsi="Times New Roman" w:eastAsia="方正仿宋_GB2312" w:cs="Times New Roman"/>
          <w:b w:val="0"/>
          <w:bCs w:val="0"/>
          <w:kern w:val="2"/>
          <w:sz w:val="32"/>
          <w:szCs w:val="32"/>
          <w:lang w:val="en-US" w:eastAsia="zh-CN" w:bidi="ar-SA"/>
        </w:rPr>
        <w:t>会议</w:t>
      </w:r>
      <w:r>
        <w:rPr>
          <w:rFonts w:hint="default" w:ascii="Times New Roman" w:hAnsi="Times New Roman" w:eastAsia="方正仿宋_GB2312" w:cs="Times New Roman"/>
          <w:b w:val="0"/>
          <w:bCs w:val="0"/>
          <w:kern w:val="2"/>
          <w:sz w:val="32"/>
          <w:szCs w:val="32"/>
          <w:lang w:val="en-US" w:eastAsia="zh-CN" w:bidi="ar-SA"/>
        </w:rPr>
        <w:t>成员分片联系基层，下沉指导乡镇委员联络站开展小微协商18次，收集意见建议40余条，协调解决农村基础设施改善、矛盾纠纷化解等民生实事30余件</w:t>
      </w:r>
      <w:r>
        <w:rPr>
          <w:rFonts w:hint="eastAsia" w:ascii="Times New Roman" w:hAnsi="Times New Roman" w:eastAsia="方正仿宋_GB2312" w:cs="Times New Roman"/>
          <w:b w:val="0"/>
          <w:bCs w:val="0"/>
          <w:kern w:val="2"/>
          <w:sz w:val="32"/>
          <w:szCs w:val="32"/>
          <w:lang w:val="en-US" w:eastAsia="zh-CN" w:bidi="ar-SA"/>
        </w:rPr>
        <w:t>。开展“书香政协”活动，</w:t>
      </w:r>
      <w:r>
        <w:rPr>
          <w:rFonts w:hint="default" w:ascii="Times New Roman" w:hAnsi="Times New Roman" w:eastAsia="方正仿宋_GB2312" w:cs="Times New Roman"/>
          <w:b w:val="0"/>
          <w:bCs w:val="0"/>
          <w:kern w:val="2"/>
          <w:sz w:val="32"/>
          <w:szCs w:val="32"/>
          <w:lang w:val="en-US" w:eastAsia="zh-CN" w:bidi="ar-SA"/>
        </w:rPr>
        <w:t>组织专题读书分享、研讨交流活动11场，通过读书活动凝聚共识、碰撞思想，形成针对性强的履职建议20余条，为县域发展提供有益参考。组织35名委员及机关干部赴成都围绕县域经济高质量发展、产业转型升级等核心议题，开展履职能力提升专题培训</w:t>
      </w:r>
      <w:r>
        <w:rPr>
          <w:rFonts w:hint="eastAsia" w:ascii="Times New Roman" w:hAnsi="Times New Roman" w:eastAsia="方正仿宋_GB2312" w:cs="Times New Roman"/>
          <w:b w:val="0"/>
          <w:bCs w:val="0"/>
          <w:kern w:val="2"/>
          <w:sz w:val="32"/>
          <w:szCs w:val="32"/>
          <w:lang w:val="en-US" w:eastAsia="zh-CN" w:bidi="ar-SA"/>
        </w:rPr>
        <w:t>，</w:t>
      </w:r>
      <w:r>
        <w:rPr>
          <w:rFonts w:hint="default" w:ascii="Times New Roman" w:hAnsi="Times New Roman" w:eastAsia="方正仿宋_GB2312" w:cs="Times New Roman"/>
          <w:b w:val="0"/>
          <w:bCs w:val="0"/>
          <w:kern w:val="2"/>
          <w:sz w:val="32"/>
          <w:szCs w:val="32"/>
          <w:lang w:val="en-US" w:eastAsia="zh-CN" w:bidi="ar-SA"/>
        </w:rPr>
        <w:t>组织50名委员赴先进地区学习借鉴数字经济、乡村振兴、基层协商民主等领域成功经验，形成2份高质量考察报告，为县域发展提供可借鉴路径。</w:t>
      </w:r>
    </w:p>
    <w:p>
      <w:pPr>
        <w:keepNext w:val="0"/>
        <w:keepLines w:val="0"/>
        <w:pageBreakBefore w:val="0"/>
        <w:widowControl/>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sz w:val="32"/>
          <w:szCs w:val="32"/>
        </w:rPr>
        <w:t>结余分配和结转结余情况</w:t>
      </w:r>
      <w:r>
        <w:rPr>
          <w:rFonts w:hint="default" w:ascii="Times New Roman" w:hAnsi="Times New Roman" w:eastAsia="楷体_GB2312" w:cs="Times New Roman"/>
          <w:b/>
          <w:sz w:val="32"/>
          <w:szCs w:val="32"/>
          <w:lang w:eastAsia="zh-CN"/>
        </w:rPr>
        <w:t>。</w:t>
      </w:r>
      <w:r>
        <w:rPr>
          <w:rFonts w:hint="eastAsia" w:ascii="Times New Roman" w:hAnsi="Times New Roman" w:eastAsia="仿宋_GB2312" w:cs="Times New Roman"/>
          <w:sz w:val="32"/>
          <w:szCs w:val="32"/>
          <w:lang w:val="en-US" w:eastAsia="zh-CN"/>
        </w:rPr>
        <w:t>政协红原县委员会办公室</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w:t>
      </w:r>
      <w:r>
        <w:rPr>
          <w:rFonts w:hint="eastAsia" w:ascii="Times New Roman" w:hAnsi="Times New Roman" w:eastAsia="仿宋_GB2312" w:cs="Times New Roman"/>
          <w:sz w:val="32"/>
          <w:szCs w:val="32"/>
          <w:lang w:val="en-US" w:eastAsia="zh-CN"/>
        </w:rPr>
        <w:t>无</w:t>
      </w:r>
      <w:r>
        <w:rPr>
          <w:rFonts w:hint="default" w:ascii="Times New Roman" w:hAnsi="Times New Roman" w:eastAsia="仿宋_GB2312" w:cs="Times New Roman"/>
          <w:b w:val="0"/>
          <w:bCs w:val="0"/>
          <w:color w:val="000000"/>
          <w:kern w:val="0"/>
          <w:sz w:val="32"/>
          <w:szCs w:val="32"/>
          <w:highlight w:val="none"/>
          <w:shd w:val="clear" w:color="auto" w:fill="FFFFFF"/>
          <w:lang w:val="en-US" w:eastAsia="zh-CN"/>
        </w:rPr>
        <w:t>结转结余情况。</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1"/>
        <w:rPr>
          <w:rFonts w:hint="default" w:ascii="Times New Roman" w:hAnsi="Times New Roman" w:eastAsia="黑体" w:cs="Times New Roman"/>
          <w:color w:val="000000" w:themeColor="text1"/>
          <w:kern w:val="0"/>
          <w:sz w:val="32"/>
          <w:szCs w:val="32"/>
          <w:highlight w:val="none"/>
          <w:shd w:val="clear" w:color="auto" w:fill="FFFFFF"/>
          <w14:textFill>
            <w14:solidFill>
              <w14:schemeClr w14:val="tx1"/>
            </w14:solidFill>
          </w14:textFill>
        </w:rPr>
      </w:pPr>
      <w:bookmarkStart w:id="110" w:name="_Toc5201"/>
      <w:r>
        <w:rPr>
          <w:rFonts w:hint="default" w:ascii="Times New Roman" w:hAnsi="Times New Roman" w:eastAsia="黑体" w:cs="Times New Roman"/>
          <w:color w:val="000000"/>
          <w:kern w:val="0"/>
          <w:sz w:val="32"/>
          <w:szCs w:val="32"/>
          <w:highlight w:val="none"/>
          <w:shd w:val="clear" w:color="auto" w:fill="FFFFFF"/>
        </w:rPr>
        <w:t>三、</w:t>
      </w:r>
      <w:r>
        <w:rPr>
          <w:rFonts w:hint="default" w:ascii="Times New Roman" w:hAnsi="Times New Roman" w:eastAsia="黑体" w:cs="Times New Roman"/>
          <w:color w:val="000000"/>
          <w:kern w:val="0"/>
          <w:sz w:val="32"/>
          <w:szCs w:val="32"/>
          <w:highlight w:val="none"/>
          <w:u w:val="none"/>
          <w:shd w:val="clear" w:color="auto" w:fill="FFFFFF"/>
        </w:rPr>
        <w:t>部门</w:t>
      </w:r>
      <w:r>
        <w:rPr>
          <w:rFonts w:hint="default" w:ascii="Times New Roman" w:hAnsi="Times New Roman" w:eastAsia="黑体" w:cs="Times New Roman"/>
          <w:color w:val="000000"/>
          <w:kern w:val="0"/>
          <w:sz w:val="32"/>
          <w:szCs w:val="32"/>
          <w:highlight w:val="none"/>
          <w:u w:val="none"/>
          <w:shd w:val="clear" w:color="auto" w:fill="FFFFFF"/>
          <w:lang w:eastAsia="zh-CN"/>
        </w:rPr>
        <w:t>预算</w:t>
      </w:r>
      <w:r>
        <w:rPr>
          <w:rFonts w:hint="default" w:ascii="Times New Roman" w:hAnsi="Times New Roman" w:eastAsia="黑体" w:cs="Times New Roman"/>
          <w:color w:val="000000"/>
          <w:kern w:val="0"/>
          <w:sz w:val="32"/>
          <w:szCs w:val="32"/>
          <w:highlight w:val="none"/>
          <w:u w:val="none"/>
          <w:shd w:val="clear" w:color="auto" w:fill="FFFFFF"/>
        </w:rPr>
        <w:t>绩效</w:t>
      </w:r>
      <w:r>
        <w:rPr>
          <w:rFonts w:hint="default" w:ascii="Times New Roman" w:hAnsi="Times New Roman" w:eastAsia="黑体" w:cs="Times New Roman"/>
          <w:color w:val="000000"/>
          <w:kern w:val="0"/>
          <w:sz w:val="32"/>
          <w:szCs w:val="32"/>
          <w:highlight w:val="none"/>
          <w:u w:val="none"/>
          <w:shd w:val="clear" w:color="auto" w:fill="FFFFFF"/>
          <w:lang w:eastAsia="zh-CN"/>
        </w:rPr>
        <w:t>分析</w:t>
      </w:r>
      <w:bookmarkEnd w:id="110"/>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（一）部门预算总体绩效分析。</w:t>
      </w:r>
      <w:r>
        <w:rPr>
          <w:rFonts w:hint="default" w:ascii="Times New Roman" w:hAnsi="Times New Roman" w:eastAsia="仿宋_GB2312" w:cs="Times New Roman"/>
          <w:color w:val="000000"/>
          <w:kern w:val="0"/>
          <w:sz w:val="32"/>
          <w:szCs w:val="32"/>
          <w:highlight w:val="none"/>
          <w:shd w:val="clear" w:color="auto" w:fill="FFFFFF"/>
          <w:lang w:val="zh-CN"/>
        </w:rPr>
        <w:t>根据部门预算绩效评价指标体系</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围绕</w:t>
      </w:r>
      <w:r>
        <w:rPr>
          <w:rFonts w:hint="default" w:ascii="Times New Roman" w:hAnsi="Times New Roman" w:eastAsia="仿宋_GB2312" w:cs="Times New Roman"/>
          <w:color w:val="000000"/>
          <w:kern w:val="0"/>
          <w:sz w:val="32"/>
          <w:szCs w:val="32"/>
          <w:highlight w:val="none"/>
          <w:shd w:val="clear" w:color="auto" w:fill="FFFFFF"/>
          <w:lang w:val="zh-CN"/>
        </w:rPr>
        <w:t>履职效能、预算管理、财务管理、资产管理、采购管理等</w:t>
      </w:r>
      <w:r>
        <w:rPr>
          <w:rFonts w:hint="eastAsia" w:ascii="Times New Roman" w:hAnsi="Times New Roman" w:eastAsia="仿宋_GB2312" w:cs="Times New Roman"/>
          <w:color w:val="000000"/>
          <w:kern w:val="0"/>
          <w:sz w:val="32"/>
          <w:szCs w:val="32"/>
          <w:highlight w:val="none"/>
          <w:shd w:val="clear" w:color="auto" w:fill="FFFFFF"/>
          <w:lang w:val="en-US" w:eastAsia="zh-CN"/>
        </w:rPr>
        <w:t>方面进行逐项分析：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楷体_GB2312" w:cs="Times New Roman"/>
          <w:color w:val="000000"/>
          <w:kern w:val="0"/>
          <w:sz w:val="32"/>
          <w:szCs w:val="32"/>
          <w:highlight w:val="none"/>
          <w:shd w:val="clear" w:color="auto" w:fill="FFFFFF"/>
          <w:lang w:val="zh-CN"/>
        </w:rPr>
      </w:pPr>
      <w:r>
        <w:rPr>
          <w:rFonts w:hint="default" w:ascii="Times New Roman" w:hAnsi="Times New Roman" w:eastAsia="楷体_GB2312" w:cs="Times New Roman"/>
          <w:color w:val="000000"/>
          <w:kern w:val="0"/>
          <w:sz w:val="32"/>
          <w:szCs w:val="32"/>
          <w:highlight w:val="none"/>
          <w:shd w:val="clear" w:color="auto" w:fill="FFFFFF"/>
          <w:lang w:val="en-US" w:eastAsia="zh-CN"/>
        </w:rPr>
        <w:t>1.</w:t>
      </w:r>
      <w:r>
        <w:rPr>
          <w:rFonts w:hint="default" w:ascii="Times New Roman" w:hAnsi="Times New Roman" w:eastAsia="楷体_GB2312" w:cs="Times New Roman"/>
          <w:color w:val="000000"/>
          <w:kern w:val="0"/>
          <w:sz w:val="32"/>
          <w:szCs w:val="32"/>
          <w:highlight w:val="none"/>
          <w:shd w:val="clear" w:color="auto" w:fill="FFFFFF"/>
          <w:lang w:val="zh-CN"/>
        </w:rPr>
        <w:t>履职效能</w:t>
      </w:r>
      <w:r>
        <w:rPr>
          <w:rFonts w:hint="eastAsia" w:ascii="Times New Roman" w:hAnsi="Times New Roman" w:eastAsia="楷体_GB2312" w:cs="Times New Roman"/>
          <w:color w:val="000000"/>
          <w:kern w:val="0"/>
          <w:sz w:val="32"/>
          <w:szCs w:val="32"/>
          <w:highlight w:val="none"/>
          <w:shd w:val="clear" w:color="auto" w:fill="FFFFFF"/>
          <w:lang w:val="zh-CN"/>
        </w:rPr>
        <w:t>（</w:t>
      </w:r>
      <w:r>
        <w:rPr>
          <w:rFonts w:hint="eastAsia" w:ascii="Times New Roman" w:hAnsi="Times New Roman" w:eastAsia="楷体_GB2312" w:cs="Times New Roman"/>
          <w:color w:val="000000"/>
          <w:kern w:val="0"/>
          <w:sz w:val="32"/>
          <w:szCs w:val="32"/>
          <w:highlight w:val="none"/>
          <w:shd w:val="clear" w:color="auto" w:fill="FFFFFF"/>
          <w:lang w:val="en-US" w:eastAsia="zh-CN"/>
        </w:rPr>
        <w:t>15分</w:t>
      </w:r>
      <w:r>
        <w:rPr>
          <w:rFonts w:hint="eastAsia" w:ascii="Times New Roman" w:hAnsi="Times New Roman" w:eastAsia="楷体_GB2312" w:cs="Times New Roman"/>
          <w:color w:val="000000"/>
          <w:kern w:val="0"/>
          <w:sz w:val="32"/>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仿宋_GB2312" w:cs="Times New Roman"/>
          <w:color w:val="000000"/>
          <w:kern w:val="0"/>
          <w:sz w:val="32"/>
          <w:szCs w:val="32"/>
          <w:highlight w:val="none"/>
          <w:shd w:val="clear" w:color="auto" w:fill="FFFFFF"/>
          <w:lang w:val="en-US" w:eastAsia="zh-CN"/>
        </w:rPr>
      </w:pP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1</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召开会议（5分）</w:t>
      </w:r>
    </w:p>
    <w:p>
      <w:pPr>
        <w:keepNext w:val="0"/>
        <w:keepLines w:val="0"/>
        <w:pageBreakBefore w:val="0"/>
        <w:widowControl w:val="0"/>
        <w:kinsoku/>
        <w:wordWrap/>
        <w:overflowPunct/>
        <w:topLinePunct w:val="0"/>
        <w:autoSpaceDE/>
        <w:autoSpaceDN/>
        <w:bidi w:val="0"/>
        <w:spacing w:line="576" w:lineRule="exact"/>
        <w:ind w:left="0" w:leftChars="0" w:firstLine="640" w:firstLineChars="200"/>
        <w:jc w:val="both"/>
        <w:textAlignment w:val="auto"/>
        <w:outlineLvl w:val="9"/>
        <w:rPr>
          <w:rFonts w:hint="default" w:ascii="Times New Roman" w:hAnsi="Times New Roman" w:eastAsia="仿宋_GB2312" w:cs="Times New Roman"/>
          <w:color w:val="000000"/>
          <w:kern w:val="0"/>
          <w:sz w:val="32"/>
          <w:szCs w:val="32"/>
          <w:highlight w:val="none"/>
          <w:shd w:val="clear" w:color="auto" w:fill="FFFFFF"/>
          <w:lang w:val="en-US" w:eastAsia="zh-CN" w:bidi="ar-SA"/>
        </w:rPr>
      </w:pPr>
      <w:r>
        <w:rPr>
          <w:rFonts w:hint="eastAsia" w:ascii="Times New Roman" w:hAnsi="Times New Roman" w:eastAsia="仿宋_GB2312" w:cs="Times New Roman"/>
          <w:color w:val="000000"/>
          <w:kern w:val="0"/>
          <w:sz w:val="32"/>
          <w:szCs w:val="32"/>
          <w:highlight w:val="none"/>
          <w:shd w:val="clear" w:color="auto" w:fill="FFFFFF"/>
          <w:lang w:val="en-US" w:eastAsia="zh-CN" w:bidi="ar-SA"/>
        </w:rPr>
        <w:t>完成情况：</w:t>
      </w:r>
      <w:r>
        <w:rPr>
          <w:rFonts w:hint="default" w:ascii="Times New Roman" w:hAnsi="Times New Roman" w:eastAsia="方正仿宋_GB2312" w:cs="Times New Roman"/>
          <w:b w:val="0"/>
          <w:bCs w:val="0"/>
          <w:kern w:val="2"/>
          <w:sz w:val="32"/>
          <w:szCs w:val="32"/>
          <w:lang w:val="en-US" w:eastAsia="zh-CN" w:bidi="ar-SA"/>
        </w:rPr>
        <w:t>召开全体会议1场、专题议政性常委会议3场、专题协商会6场、界别协商会5场、对口协商会2场</w:t>
      </w:r>
      <w:r>
        <w:rPr>
          <w:rFonts w:hint="eastAsia" w:ascii="Times New Roman" w:hAnsi="Times New Roman" w:eastAsia="方正仿宋_GB2312" w:cs="Times New Roman"/>
          <w:b w:val="0"/>
          <w:bCs w:val="0"/>
          <w:kern w:val="2"/>
          <w:sz w:val="32"/>
          <w:szCs w:val="32"/>
          <w:lang w:val="en-US" w:eastAsia="zh-CN" w:bidi="ar-SA"/>
        </w:rPr>
        <w:t>，</w:t>
      </w:r>
      <w:r>
        <w:rPr>
          <w:rFonts w:hint="eastAsia" w:ascii="仿宋_GB2312" w:hAnsi="仿宋_GB2312" w:eastAsia="仿宋_GB2312" w:cs="仿宋_GB2312"/>
          <w:b w:val="0"/>
          <w:bCs w:val="0"/>
          <w:kern w:val="2"/>
          <w:sz w:val="32"/>
          <w:szCs w:val="32"/>
          <w:lang w:val="en-US" w:eastAsia="zh-CN" w:bidi="ar-SA"/>
        </w:rPr>
        <w:t>实现向委员报告政协工作、听取委员意见建议，审查委员提案的工作目标，满意度达90%。</w:t>
      </w:r>
    </w:p>
    <w:p>
      <w:pPr>
        <w:keepNext w:val="0"/>
        <w:keepLines w:val="0"/>
        <w:pageBreakBefore w:val="0"/>
        <w:widowControl w:val="0"/>
        <w:kinsoku/>
        <w:wordWrap/>
        <w:overflowPunct/>
        <w:topLinePunct w:val="0"/>
        <w:autoSpaceDE/>
        <w:autoSpaceDN/>
        <w:bidi w:val="0"/>
        <w:spacing w:line="576" w:lineRule="exact"/>
        <w:ind w:firstLine="640" w:firstLineChars="200"/>
        <w:textAlignment w:val="auto"/>
        <w:outlineLvl w:val="9"/>
        <w:rPr>
          <w:rFonts w:hint="default" w:ascii="Times New Roman" w:hAnsi="Times New Roman" w:eastAsia="仿宋_GB2312" w:cs="Times New Roman"/>
          <w:sz w:val="32"/>
          <w:lang w:val="en-US" w:eastAsia="zh-CN"/>
        </w:rPr>
      </w:pPr>
      <w:r>
        <w:rPr>
          <w:rFonts w:hint="eastAsia" w:ascii="Times New Roman" w:hAnsi="Times New Roman" w:eastAsia="仿宋_GB2312" w:cs="Times New Roman"/>
          <w:color w:val="000000"/>
          <w:kern w:val="0"/>
          <w:sz w:val="32"/>
          <w:szCs w:val="32"/>
          <w:highlight w:val="none"/>
          <w:shd w:val="clear" w:color="auto" w:fill="FFFFFF"/>
          <w:lang w:val="en-US" w:eastAsia="zh-CN"/>
        </w:rPr>
        <w:t>评分：5分</w:t>
      </w:r>
    </w:p>
    <w:p>
      <w:pPr>
        <w:keepNext w:val="0"/>
        <w:keepLines w:val="0"/>
        <w:pageBreakBefore w:val="0"/>
        <w:widowControl w:val="0"/>
        <w:numPr>
          <w:ilvl w:val="0"/>
          <w:numId w:val="0"/>
        </w:numPr>
        <w:kinsoku/>
        <w:wordWrap/>
        <w:overflowPunct/>
        <w:topLinePunct w:val="0"/>
        <w:autoSpaceDE/>
        <w:autoSpaceDN/>
        <w:bidi w:val="0"/>
        <w:spacing w:line="576" w:lineRule="exact"/>
        <w:ind w:left="420" w:leftChars="200" w:firstLine="640" w:firstLineChars="200"/>
        <w:jc w:val="both"/>
        <w:textAlignment w:val="auto"/>
        <w:outlineLvl w:val="9"/>
        <w:rPr>
          <w:rFonts w:hint="eastAsia" w:ascii="Times New Roman" w:hAnsi="Times New Roman" w:eastAsia="仿宋_GB2312" w:cs="Times New Roman"/>
          <w:color w:val="000000"/>
          <w:kern w:val="0"/>
          <w:sz w:val="32"/>
          <w:szCs w:val="32"/>
          <w:highlight w:val="none"/>
          <w:shd w:val="clear" w:color="auto" w:fill="FFFFFF"/>
          <w:lang w:val="en-US" w:eastAsia="zh-CN" w:bidi="ar-SA"/>
        </w:rPr>
      </w:pPr>
      <w:r>
        <w:rPr>
          <w:rFonts w:hint="eastAsia" w:ascii="Times New Roman" w:hAnsi="Times New Roman" w:eastAsia="仿宋_GB2312" w:cs="Times New Roman"/>
          <w:color w:val="000000"/>
          <w:kern w:val="0"/>
          <w:sz w:val="32"/>
          <w:szCs w:val="32"/>
          <w:highlight w:val="none"/>
          <w:shd w:val="clear" w:color="auto" w:fill="FFFFFF"/>
          <w:lang w:val="en-US" w:eastAsia="zh-CN" w:bidi="ar-SA"/>
        </w:rPr>
        <w:t>（2）调研视察（5分）</w:t>
      </w:r>
    </w:p>
    <w:p>
      <w:pPr>
        <w:keepNext w:val="0"/>
        <w:keepLines w:val="0"/>
        <w:pageBreakBefore w:val="0"/>
        <w:widowControl w:val="0"/>
        <w:kinsoku/>
        <w:wordWrap/>
        <w:overflowPunct/>
        <w:topLinePunct w:val="0"/>
        <w:autoSpaceDE/>
        <w:autoSpaceDN/>
        <w:bidi w:val="0"/>
        <w:spacing w:line="576" w:lineRule="exact"/>
        <w:ind w:left="0" w:leftChars="0" w:firstLine="640" w:firstLineChars="200"/>
        <w:jc w:val="both"/>
        <w:textAlignment w:val="auto"/>
        <w:outlineLvl w:val="9"/>
        <w:rPr>
          <w:rFonts w:hint="default" w:ascii="Times New Roman" w:hAnsi="Times New Roman" w:eastAsia="仿宋_GB2312" w:cs="Times New Roman"/>
          <w:color w:val="000000"/>
          <w:kern w:val="0"/>
          <w:sz w:val="32"/>
          <w:szCs w:val="32"/>
          <w:highlight w:val="none"/>
          <w:shd w:val="clear" w:color="auto" w:fill="FFFFFF"/>
          <w:lang w:val="en-US" w:eastAsia="zh-CN" w:bidi="ar-SA"/>
        </w:rPr>
      </w:pPr>
      <w:r>
        <w:rPr>
          <w:rFonts w:hint="eastAsia" w:ascii="Times New Roman" w:hAnsi="Times New Roman" w:eastAsia="仿宋_GB2312" w:cs="Times New Roman"/>
          <w:color w:val="000000"/>
          <w:kern w:val="0"/>
          <w:sz w:val="32"/>
          <w:szCs w:val="32"/>
          <w:highlight w:val="none"/>
          <w:shd w:val="clear" w:color="auto" w:fill="FFFFFF"/>
          <w:lang w:val="en-US" w:eastAsia="zh-CN" w:bidi="ar-SA"/>
        </w:rPr>
        <w:t>完成情况：</w:t>
      </w:r>
      <w:r>
        <w:rPr>
          <w:rFonts w:hint="eastAsia" w:ascii="Times New Roman" w:hAnsi="Times New Roman" w:eastAsia="仿宋_GB2312" w:cs="Times New Roman"/>
          <w:color w:val="000000"/>
          <w:kern w:val="0"/>
          <w:sz w:val="32"/>
          <w:szCs w:val="32"/>
          <w:highlight w:val="none"/>
          <w:u w:val="none"/>
          <w:shd w:val="clear" w:color="auto" w:fill="FFFFFF"/>
          <w:lang w:val="en-US" w:eastAsia="zh-CN" w:bidi="ar-SA"/>
        </w:rPr>
        <w:t>全年开展专题调研6次，</w:t>
      </w:r>
      <w:r>
        <w:rPr>
          <w:rFonts w:hint="eastAsia" w:ascii="Times New Roman" w:hAnsi="Times New Roman" w:eastAsia="仿宋_GB2312" w:cs="Times New Roman"/>
          <w:color w:val="000000"/>
          <w:kern w:val="0"/>
          <w:sz w:val="32"/>
          <w:szCs w:val="32"/>
          <w:highlight w:val="none"/>
          <w:shd w:val="clear" w:color="auto" w:fill="FFFFFF"/>
          <w:lang w:val="en-US" w:eastAsia="zh-CN" w:bidi="ar-SA"/>
        </w:rPr>
        <w:t>组织委员学习考察4次，</w:t>
      </w:r>
      <w:r>
        <w:rPr>
          <w:rFonts w:hint="eastAsia" w:ascii="仿宋_GB2312" w:hAnsi="仿宋_GB2312" w:eastAsia="仿宋_GB2312" w:cs="仿宋_GB2312"/>
          <w:b w:val="0"/>
          <w:bCs w:val="0"/>
          <w:kern w:val="2"/>
          <w:sz w:val="32"/>
          <w:szCs w:val="32"/>
          <w:lang w:val="en-US" w:eastAsia="zh-CN" w:bidi="ar-SA"/>
        </w:rPr>
        <w:t>通过调查研究，进一步提高了委员建言献策的质量，推动相关政策和决策的改进和完善，为经济社会发展提供有力支持。</w:t>
      </w:r>
    </w:p>
    <w:p>
      <w:pPr>
        <w:keepNext w:val="0"/>
        <w:keepLines w:val="0"/>
        <w:pageBreakBefore w:val="0"/>
        <w:widowControl w:val="0"/>
        <w:kinsoku/>
        <w:wordWrap/>
        <w:overflowPunct/>
        <w:topLinePunct w:val="0"/>
        <w:autoSpaceDE/>
        <w:autoSpaceDN/>
        <w:bidi w:val="0"/>
        <w:spacing w:line="576" w:lineRule="exact"/>
        <w:ind w:firstLine="640" w:firstLineChars="200"/>
        <w:textAlignment w:val="auto"/>
        <w:outlineLvl w:val="9"/>
        <w:rPr>
          <w:rFonts w:hint="default" w:ascii="Times New Roman" w:hAnsi="Times New Roman" w:eastAsia="仿宋_GB2312" w:cs="Times New Roman"/>
          <w:sz w:val="32"/>
          <w:lang w:val="en-US" w:eastAsia="zh-CN"/>
        </w:rPr>
      </w:pPr>
      <w:r>
        <w:rPr>
          <w:rFonts w:hint="eastAsia" w:ascii="Times New Roman" w:hAnsi="Times New Roman" w:eastAsia="仿宋_GB2312" w:cs="Times New Roman"/>
          <w:color w:val="000000"/>
          <w:kern w:val="0"/>
          <w:sz w:val="32"/>
          <w:szCs w:val="32"/>
          <w:highlight w:val="none"/>
          <w:shd w:val="clear" w:color="auto" w:fill="FFFFFF"/>
          <w:lang w:val="en-US" w:eastAsia="zh-CN"/>
        </w:rPr>
        <w:t>评分：5分</w:t>
      </w:r>
    </w:p>
    <w:p>
      <w:pPr>
        <w:keepNext w:val="0"/>
        <w:keepLines w:val="0"/>
        <w:pageBreakBefore w:val="0"/>
        <w:widowControl w:val="0"/>
        <w:numPr>
          <w:ilvl w:val="0"/>
          <w:numId w:val="0"/>
        </w:numPr>
        <w:kinsoku/>
        <w:wordWrap/>
        <w:overflowPunct/>
        <w:topLinePunct w:val="0"/>
        <w:autoSpaceDE/>
        <w:autoSpaceDN/>
        <w:bidi w:val="0"/>
        <w:spacing w:line="576" w:lineRule="exact"/>
        <w:ind w:firstLine="640" w:firstLineChars="200"/>
        <w:textAlignment w:val="auto"/>
        <w:outlineLvl w:val="9"/>
        <w:rPr>
          <w:rFonts w:hint="eastAsia" w:ascii="Times New Roman" w:hAnsi="Times New Roman" w:eastAsia="仿宋_GB2312" w:cs="Times New Roman"/>
          <w:color w:val="000000"/>
          <w:kern w:val="0"/>
          <w:sz w:val="32"/>
          <w:szCs w:val="32"/>
          <w:highlight w:val="none"/>
          <w:shd w:val="clear" w:color="auto" w:fill="FFFFFF"/>
          <w:lang w:val="en-US" w:eastAsia="zh-CN"/>
        </w:rPr>
      </w:pPr>
      <w:r>
        <w:rPr>
          <w:rFonts w:hint="eastAsia" w:ascii="Times New Roman" w:hAnsi="Times New Roman" w:eastAsia="仿宋_GB2312" w:cs="Times New Roman"/>
          <w:color w:val="000000"/>
          <w:kern w:val="0"/>
          <w:sz w:val="32"/>
          <w:szCs w:val="32"/>
          <w:highlight w:val="none"/>
          <w:shd w:val="clear" w:color="auto" w:fill="FFFFFF"/>
          <w:lang w:val="en-US" w:eastAsia="zh-CN"/>
        </w:rPr>
        <w:t>（3）参政议政（5分）</w:t>
      </w:r>
    </w:p>
    <w:p>
      <w:pPr>
        <w:keepNext w:val="0"/>
        <w:keepLines w:val="0"/>
        <w:pageBreakBefore w:val="0"/>
        <w:widowControl w:val="0"/>
        <w:kinsoku/>
        <w:wordWrap/>
        <w:overflowPunct/>
        <w:topLinePunct w:val="0"/>
        <w:autoSpaceDE/>
        <w:autoSpaceDN/>
        <w:bidi w:val="0"/>
        <w:spacing w:line="576" w:lineRule="exact"/>
        <w:ind w:left="0" w:leftChars="0" w:firstLine="640" w:firstLineChars="200"/>
        <w:jc w:val="both"/>
        <w:textAlignment w:val="auto"/>
        <w:outlineLvl w:val="9"/>
        <w:rPr>
          <w:rFonts w:hint="default" w:ascii="Times New Roman" w:hAnsi="Times New Roman" w:eastAsia="仿宋_GB2312" w:cs="Times New Roman"/>
          <w:color w:val="000000"/>
          <w:kern w:val="0"/>
          <w:sz w:val="32"/>
          <w:szCs w:val="32"/>
          <w:highlight w:val="none"/>
          <w:shd w:val="clear" w:color="auto" w:fill="FFFFFF"/>
          <w:lang w:val="en-US" w:eastAsia="zh-CN" w:bidi="ar-SA"/>
        </w:rPr>
      </w:pPr>
      <w:r>
        <w:rPr>
          <w:rFonts w:hint="eastAsia" w:ascii="Times New Roman" w:hAnsi="Times New Roman" w:eastAsia="仿宋_GB2312" w:cs="Times New Roman"/>
          <w:color w:val="000000"/>
          <w:kern w:val="0"/>
          <w:sz w:val="32"/>
          <w:szCs w:val="32"/>
          <w:highlight w:val="none"/>
          <w:shd w:val="clear" w:color="auto" w:fill="FFFFFF"/>
          <w:lang w:val="en-US" w:eastAsia="zh-CN" w:bidi="ar-SA"/>
        </w:rPr>
        <w:t>完成情况：广泛开展各种专题会议30余次，参加重点工作督导，坚持监督与协商为一体。收集各类意见建议，协调解决问题30余个，</w:t>
      </w:r>
      <w:r>
        <w:rPr>
          <w:rFonts w:hint="eastAsia" w:ascii="仿宋_GB2312" w:hAnsi="仿宋_GB2312" w:eastAsia="仿宋_GB2312" w:cs="仿宋_GB2312"/>
          <w:b w:val="0"/>
          <w:bCs w:val="0"/>
          <w:kern w:val="2"/>
          <w:sz w:val="32"/>
          <w:szCs w:val="32"/>
          <w:lang w:val="en-US" w:eastAsia="zh-CN" w:bidi="ar-SA"/>
        </w:rPr>
        <w:t>加强了政协委员的参与度和代表性，确保各团体和各族各界人士的声音得到充分表达，满意度达90%。</w:t>
      </w:r>
    </w:p>
    <w:p>
      <w:pPr>
        <w:keepNext w:val="0"/>
        <w:keepLines w:val="0"/>
        <w:pageBreakBefore w:val="0"/>
        <w:widowControl w:val="0"/>
        <w:kinsoku/>
        <w:wordWrap/>
        <w:overflowPunct/>
        <w:topLinePunct w:val="0"/>
        <w:autoSpaceDE/>
        <w:autoSpaceDN/>
        <w:bidi w:val="0"/>
        <w:spacing w:line="576" w:lineRule="exact"/>
        <w:ind w:firstLine="640" w:firstLineChars="200"/>
        <w:textAlignment w:val="auto"/>
        <w:outlineLvl w:val="9"/>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color w:val="000000"/>
          <w:kern w:val="0"/>
          <w:sz w:val="32"/>
          <w:szCs w:val="32"/>
          <w:highlight w:val="none"/>
          <w:shd w:val="clear" w:color="auto" w:fill="FFFFFF"/>
          <w:lang w:val="en-US" w:eastAsia="zh-CN"/>
        </w:rPr>
        <w:t>评分5分：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楷体_GB2312" w:cs="Times New Roman"/>
          <w:color w:val="000000"/>
          <w:kern w:val="0"/>
          <w:sz w:val="32"/>
          <w:szCs w:val="32"/>
          <w:highlight w:val="none"/>
          <w:shd w:val="clear" w:color="auto" w:fill="FFFFFF"/>
          <w:lang w:val="zh-CN"/>
        </w:rPr>
      </w:pPr>
      <w:r>
        <w:rPr>
          <w:rFonts w:hint="default" w:ascii="Times New Roman" w:hAnsi="Times New Roman" w:eastAsia="楷体_GB2312" w:cs="Times New Roman"/>
          <w:color w:val="000000"/>
          <w:kern w:val="0"/>
          <w:sz w:val="32"/>
          <w:szCs w:val="32"/>
          <w:highlight w:val="none"/>
          <w:shd w:val="clear" w:color="auto" w:fill="FFFFFF"/>
          <w:lang w:val="en-US" w:eastAsia="zh-CN"/>
        </w:rPr>
        <w:t>2.</w:t>
      </w:r>
      <w:r>
        <w:rPr>
          <w:rFonts w:hint="default" w:ascii="Times New Roman" w:hAnsi="Times New Roman" w:eastAsia="楷体_GB2312" w:cs="Times New Roman"/>
          <w:color w:val="000000"/>
          <w:kern w:val="0"/>
          <w:sz w:val="32"/>
          <w:szCs w:val="32"/>
          <w:highlight w:val="none"/>
          <w:shd w:val="clear" w:color="auto" w:fill="FFFFFF"/>
          <w:lang w:val="zh-CN"/>
        </w:rPr>
        <w:t>预算管理</w:t>
      </w:r>
      <w:r>
        <w:rPr>
          <w:rFonts w:hint="eastAsia" w:ascii="Times New Roman" w:hAnsi="Times New Roman" w:eastAsia="楷体_GB2312" w:cs="Times New Roman"/>
          <w:color w:val="000000"/>
          <w:kern w:val="0"/>
          <w:sz w:val="32"/>
          <w:szCs w:val="32"/>
          <w:highlight w:val="none"/>
          <w:shd w:val="clear" w:color="auto" w:fill="FFFFFF"/>
          <w:lang w:val="zh-CN"/>
        </w:rPr>
        <w:t>（</w:t>
      </w:r>
      <w:r>
        <w:rPr>
          <w:rFonts w:hint="eastAsia" w:ascii="Times New Roman" w:hAnsi="Times New Roman" w:eastAsia="楷体_GB2312" w:cs="Times New Roman"/>
          <w:color w:val="000000"/>
          <w:kern w:val="0"/>
          <w:sz w:val="32"/>
          <w:szCs w:val="32"/>
          <w:highlight w:val="none"/>
          <w:shd w:val="clear" w:color="auto" w:fill="FFFFFF"/>
          <w:lang w:val="en-US" w:eastAsia="zh-CN"/>
        </w:rPr>
        <w:t>25分</w:t>
      </w:r>
      <w:r>
        <w:rPr>
          <w:rFonts w:hint="eastAsia" w:ascii="Times New Roman" w:hAnsi="Times New Roman" w:eastAsia="楷体_GB2312" w:cs="Times New Roman"/>
          <w:color w:val="000000"/>
          <w:kern w:val="0"/>
          <w:sz w:val="32"/>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仿宋_GB2312" w:cs="Times New Roman"/>
          <w:color w:val="000000"/>
          <w:kern w:val="0"/>
          <w:sz w:val="32"/>
          <w:szCs w:val="32"/>
          <w:highlight w:val="none"/>
          <w:shd w:val="clear" w:color="auto" w:fill="FFFFFF"/>
          <w:lang w:val="en-US" w:eastAsia="zh-CN"/>
        </w:rPr>
      </w:pP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1</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default" w:ascii="Times New Roman" w:hAnsi="Times New Roman" w:eastAsia="仿宋_GB2312" w:cs="Times New Roman"/>
          <w:color w:val="000000"/>
          <w:kern w:val="0"/>
          <w:sz w:val="32"/>
          <w:szCs w:val="32"/>
          <w:highlight w:val="none"/>
          <w:shd w:val="clear" w:color="auto" w:fill="FFFFFF"/>
          <w:lang w:val="zh-CN"/>
        </w:rPr>
        <w:t>预算编制质量</w:t>
      </w:r>
      <w:r>
        <w:rPr>
          <w:rFonts w:hint="eastAsia" w:ascii="Times New Roman" w:hAnsi="Times New Roman" w:eastAsia="仿宋_GB2312" w:cs="Times New Roman"/>
          <w:color w:val="000000"/>
          <w:kern w:val="0"/>
          <w:sz w:val="32"/>
          <w:szCs w:val="32"/>
          <w:highlight w:val="none"/>
          <w:shd w:val="clear" w:color="auto" w:fill="FFFFFF"/>
          <w:lang w:val="en-US" w:eastAsia="zh-CN"/>
        </w:rPr>
        <w:t>（8分）</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分析：预算编制符合财政要求</w:t>
      </w:r>
      <w:r>
        <w:rPr>
          <w:rFonts w:hint="eastAsia" w:ascii="Times New Roman" w:hAnsi="Times New Roman" w:eastAsia="仿宋_GB2312" w:cs="Times New Roman"/>
          <w:kern w:val="2"/>
          <w:sz w:val="32"/>
          <w:szCs w:val="32"/>
          <w:lang w:val="zh-CN" w:eastAsia="zh-CN" w:bidi="ar-SA"/>
        </w:rPr>
        <w:t>。</w:t>
      </w:r>
    </w:p>
    <w:p>
      <w:pPr>
        <w:keepNext w:val="0"/>
        <w:keepLines w:val="0"/>
        <w:pageBreakBefore w:val="0"/>
        <w:widowControl w:val="0"/>
        <w:kinsoku/>
        <w:wordWrap/>
        <w:overflowPunct/>
        <w:topLinePunct w:val="0"/>
        <w:autoSpaceDE/>
        <w:autoSpaceDN/>
        <w:bidi w:val="0"/>
        <w:spacing w:line="576" w:lineRule="exact"/>
        <w:ind w:left="1060" w:leftChars="200" w:hanging="640" w:hangingChars="200"/>
        <w:jc w:val="both"/>
        <w:textAlignment w:val="auto"/>
        <w:outlineLvl w:val="9"/>
        <w:rPr>
          <w:rFonts w:hint="default" w:ascii="Times New Roman" w:hAnsi="Times New Roman" w:eastAsia="仿宋_GB2312" w:cs="Times New Roman"/>
          <w:kern w:val="2"/>
          <w:sz w:val="32"/>
          <w:szCs w:val="24"/>
          <w:lang w:val="en-US" w:eastAsia="zh-CN" w:bidi="ar-SA"/>
        </w:rPr>
      </w:pPr>
      <w:r>
        <w:rPr>
          <w:rFonts w:hint="default" w:ascii="Times New Roman" w:hAnsi="Times New Roman" w:eastAsia="仿宋_GB2312" w:cs="Times New Roman"/>
          <w:kern w:val="2"/>
          <w:sz w:val="32"/>
          <w:szCs w:val="24"/>
          <w:lang w:val="zh-CN" w:eastAsia="zh-CN" w:bidi="ar-SA"/>
        </w:rPr>
        <w:t>评分：</w:t>
      </w:r>
      <w:r>
        <w:rPr>
          <w:rFonts w:hint="default" w:ascii="Times New Roman" w:hAnsi="Times New Roman" w:eastAsia="仿宋_GB2312" w:cs="Times New Roman"/>
          <w:kern w:val="2"/>
          <w:sz w:val="32"/>
          <w:szCs w:val="24"/>
          <w:lang w:val="en-US" w:eastAsia="zh-CN" w:bidi="ar-SA"/>
        </w:rPr>
        <w:t>7</w:t>
      </w:r>
      <w:r>
        <w:rPr>
          <w:rFonts w:hint="default" w:ascii="Times New Roman" w:hAnsi="Times New Roman" w:eastAsia="仿宋_GB2312" w:cs="Times New Roman"/>
          <w:kern w:val="2"/>
          <w:sz w:val="32"/>
          <w:szCs w:val="24"/>
          <w:lang w:val="zh-CN" w:eastAsia="zh-CN" w:bidi="ar-SA"/>
        </w:rPr>
        <w:t xml:space="preserve">分  </w:t>
      </w:r>
    </w:p>
    <w:p>
      <w:pPr>
        <w:keepNext w:val="0"/>
        <w:keepLines w:val="0"/>
        <w:pageBreakBefore w:val="0"/>
        <w:widowControl w:val="0"/>
        <w:numPr>
          <w:ilvl w:val="0"/>
          <w:numId w:val="3"/>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仿宋_GB2312" w:cs="Times New Roman"/>
          <w:color w:val="000000"/>
          <w:kern w:val="0"/>
          <w:sz w:val="32"/>
          <w:szCs w:val="32"/>
          <w:highlight w:val="none"/>
          <w:shd w:val="clear" w:color="auto" w:fill="FFFFFF"/>
          <w:lang w:val="en-US" w:eastAsia="zh-CN"/>
        </w:rPr>
      </w:pPr>
      <w:r>
        <w:rPr>
          <w:rFonts w:hint="default" w:ascii="Times New Roman" w:hAnsi="Times New Roman" w:eastAsia="仿宋_GB2312" w:cs="Times New Roman"/>
          <w:color w:val="000000"/>
          <w:kern w:val="0"/>
          <w:sz w:val="32"/>
          <w:szCs w:val="32"/>
          <w:highlight w:val="none"/>
          <w:shd w:val="clear" w:color="auto" w:fill="FFFFFF"/>
          <w:lang w:val="zh-CN"/>
        </w:rPr>
        <w:t>单位收入统筹</w:t>
      </w:r>
      <w:r>
        <w:rPr>
          <w:rFonts w:hint="eastAsia" w:ascii="Times New Roman" w:hAnsi="Times New Roman" w:eastAsia="仿宋_GB2312" w:cs="Times New Roman"/>
          <w:color w:val="000000"/>
          <w:kern w:val="0"/>
          <w:sz w:val="32"/>
          <w:szCs w:val="32"/>
          <w:highlight w:val="none"/>
          <w:shd w:val="clear" w:color="auto" w:fill="FFFFFF"/>
          <w:lang w:val="en-US" w:eastAsia="zh-CN"/>
        </w:rPr>
        <w:t>（4分）</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分析：收入全部来自财政拨款，无其他收入来源，统筹效率较高。  </w:t>
      </w:r>
    </w:p>
    <w:p>
      <w:pPr>
        <w:keepNext w:val="0"/>
        <w:keepLines w:val="0"/>
        <w:pageBreakBefore w:val="0"/>
        <w:widowControl w:val="0"/>
        <w:numPr>
          <w:ilvl w:val="0"/>
          <w:numId w:val="0"/>
        </w:numPr>
        <w:kinsoku/>
        <w:wordWrap/>
        <w:overflowPunct/>
        <w:topLinePunct w:val="0"/>
        <w:autoSpaceDE/>
        <w:autoSpaceDN/>
        <w:bidi w:val="0"/>
        <w:spacing w:line="576" w:lineRule="exact"/>
        <w:ind w:left="420" w:leftChars="200" w:firstLine="640" w:firstLineChars="200"/>
        <w:jc w:val="both"/>
        <w:textAlignment w:val="auto"/>
        <w:outlineLvl w:val="9"/>
        <w:rPr>
          <w:rFonts w:hint="default" w:ascii="Times New Roman" w:hAnsi="Times New Roman" w:eastAsia="仿宋_GB2312" w:cs="Times New Roman"/>
          <w:kern w:val="2"/>
          <w:sz w:val="32"/>
          <w:szCs w:val="24"/>
          <w:lang w:val="zh-CN" w:eastAsia="zh-CN" w:bidi="ar-SA"/>
        </w:rPr>
      </w:pPr>
      <w:r>
        <w:rPr>
          <w:rFonts w:hint="default" w:ascii="Times New Roman" w:hAnsi="Times New Roman" w:eastAsia="仿宋_GB2312" w:cs="Times New Roman"/>
          <w:kern w:val="2"/>
          <w:sz w:val="32"/>
          <w:szCs w:val="24"/>
          <w:lang w:val="zh-CN" w:eastAsia="zh-CN" w:bidi="ar-SA"/>
        </w:rPr>
        <w:t>评分：</w:t>
      </w:r>
      <w:r>
        <w:rPr>
          <w:rFonts w:hint="eastAsia" w:ascii="Times New Roman" w:hAnsi="Times New Roman" w:eastAsia="仿宋_GB2312" w:cs="Times New Roman"/>
          <w:kern w:val="2"/>
          <w:sz w:val="32"/>
          <w:szCs w:val="24"/>
          <w:lang w:val="en-US" w:eastAsia="zh-CN" w:bidi="ar-SA"/>
        </w:rPr>
        <w:t>2</w:t>
      </w:r>
      <w:r>
        <w:rPr>
          <w:rFonts w:hint="default" w:ascii="Times New Roman" w:hAnsi="Times New Roman" w:eastAsia="仿宋_GB2312" w:cs="Times New Roman"/>
          <w:kern w:val="2"/>
          <w:sz w:val="32"/>
          <w:szCs w:val="24"/>
          <w:lang w:val="zh-CN" w:eastAsia="zh-CN" w:bidi="ar-SA"/>
        </w:rPr>
        <w:t>分</w:t>
      </w:r>
    </w:p>
    <w:p>
      <w:pPr>
        <w:keepNext w:val="0"/>
        <w:keepLines w:val="0"/>
        <w:pageBreakBefore w:val="0"/>
        <w:widowControl w:val="0"/>
        <w:numPr>
          <w:ilvl w:val="0"/>
          <w:numId w:val="3"/>
        </w:numPr>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eastAsia" w:ascii="Times New Roman" w:hAnsi="Times New Roman" w:eastAsia="仿宋_GB2312" w:cs="Times New Roman"/>
          <w:color w:val="000000"/>
          <w:kern w:val="0"/>
          <w:sz w:val="32"/>
          <w:szCs w:val="32"/>
          <w:highlight w:val="none"/>
          <w:shd w:val="clear" w:color="auto" w:fill="FFFFFF"/>
          <w:lang w:val="en-US" w:eastAsia="zh-CN"/>
        </w:rPr>
      </w:pPr>
      <w:r>
        <w:rPr>
          <w:rFonts w:hint="default" w:ascii="Times New Roman" w:hAnsi="Times New Roman" w:eastAsia="仿宋_GB2312" w:cs="Times New Roman"/>
          <w:color w:val="000000"/>
          <w:kern w:val="0"/>
          <w:sz w:val="32"/>
          <w:szCs w:val="32"/>
          <w:highlight w:val="none"/>
          <w:shd w:val="clear" w:color="auto" w:fill="FFFFFF"/>
          <w:lang w:val="zh-CN"/>
        </w:rPr>
        <w:t>支出执行进度</w:t>
      </w:r>
      <w:r>
        <w:rPr>
          <w:rFonts w:hint="eastAsia" w:ascii="Times New Roman" w:hAnsi="Times New Roman" w:eastAsia="仿宋_GB2312" w:cs="Times New Roman"/>
          <w:color w:val="000000"/>
          <w:kern w:val="0"/>
          <w:sz w:val="32"/>
          <w:szCs w:val="32"/>
          <w:highlight w:val="none"/>
          <w:shd w:val="clear" w:color="auto" w:fill="FFFFFF"/>
          <w:lang w:val="en-US" w:eastAsia="zh-CN"/>
        </w:rPr>
        <w:t>（6分）</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分析：全年支出进度</w:t>
      </w:r>
      <w:r>
        <w:rPr>
          <w:rFonts w:hint="eastAsia" w:ascii="Times New Roman" w:hAnsi="Times New Roman" w:eastAsia="仿宋_GB2312" w:cs="Times New Roman"/>
          <w:kern w:val="2"/>
          <w:sz w:val="32"/>
          <w:szCs w:val="32"/>
          <w:lang w:val="en-US" w:eastAsia="zh-CN" w:bidi="ar-SA"/>
        </w:rPr>
        <w:t>98.63</w:t>
      </w:r>
      <w:r>
        <w:rPr>
          <w:rFonts w:hint="default" w:ascii="Times New Roman" w:hAnsi="Times New Roman" w:eastAsia="仿宋_GB2312" w:cs="Times New Roman"/>
          <w:kern w:val="2"/>
          <w:sz w:val="32"/>
          <w:szCs w:val="32"/>
          <w:lang w:val="zh-CN" w:eastAsia="zh-CN" w:bidi="ar-SA"/>
        </w:rPr>
        <w:t xml:space="preserve">%，无滞后现象。  </w:t>
      </w:r>
    </w:p>
    <w:p>
      <w:pPr>
        <w:keepNext w:val="0"/>
        <w:keepLines w:val="0"/>
        <w:pageBreakBefore w:val="0"/>
        <w:widowControl w:val="0"/>
        <w:numPr>
          <w:ilvl w:val="0"/>
          <w:numId w:val="0"/>
        </w:numPr>
        <w:kinsoku/>
        <w:wordWrap/>
        <w:overflowPunct/>
        <w:topLinePunct w:val="0"/>
        <w:autoSpaceDE/>
        <w:autoSpaceDN/>
        <w:bidi w:val="0"/>
        <w:spacing w:line="576" w:lineRule="exact"/>
        <w:ind w:left="420" w:leftChars="200" w:firstLine="640" w:firstLineChars="200"/>
        <w:jc w:val="both"/>
        <w:textAlignment w:val="auto"/>
        <w:outlineLvl w:val="9"/>
        <w:rPr>
          <w:rFonts w:hint="default" w:ascii="Times New Roman" w:hAnsi="Times New Roman" w:eastAsia="仿宋_GB2312" w:cs="Times New Roman"/>
          <w:kern w:val="2"/>
          <w:sz w:val="32"/>
          <w:szCs w:val="24"/>
          <w:lang w:val="zh-CN" w:eastAsia="zh-CN" w:bidi="ar-SA"/>
        </w:rPr>
      </w:pPr>
      <w:r>
        <w:rPr>
          <w:rFonts w:hint="default" w:ascii="Times New Roman" w:hAnsi="Times New Roman" w:eastAsia="仿宋_GB2312" w:cs="Times New Roman"/>
          <w:kern w:val="2"/>
          <w:sz w:val="32"/>
          <w:szCs w:val="24"/>
          <w:lang w:val="zh-CN" w:eastAsia="zh-CN" w:bidi="ar-SA"/>
        </w:rPr>
        <w:t>评分：</w:t>
      </w:r>
      <w:r>
        <w:rPr>
          <w:rFonts w:hint="eastAsia" w:ascii="Times New Roman" w:hAnsi="Times New Roman" w:eastAsia="仿宋_GB2312" w:cs="Times New Roman"/>
          <w:kern w:val="2"/>
          <w:sz w:val="32"/>
          <w:szCs w:val="24"/>
          <w:lang w:val="en-US" w:eastAsia="zh-CN" w:bidi="ar-SA"/>
        </w:rPr>
        <w:t>5</w:t>
      </w:r>
      <w:r>
        <w:rPr>
          <w:rFonts w:hint="default" w:ascii="Times New Roman" w:hAnsi="Times New Roman" w:eastAsia="仿宋_GB2312" w:cs="Times New Roman"/>
          <w:kern w:val="2"/>
          <w:sz w:val="32"/>
          <w:szCs w:val="24"/>
          <w:lang w:val="zh-CN" w:eastAsia="zh-CN" w:bidi="ar-SA"/>
        </w:rPr>
        <w:t xml:space="preserve">分 </w:t>
      </w:r>
    </w:p>
    <w:p>
      <w:pPr>
        <w:keepNext w:val="0"/>
        <w:keepLines w:val="0"/>
        <w:pageBreakBefore w:val="0"/>
        <w:widowControl w:val="0"/>
        <w:numPr>
          <w:ilvl w:val="0"/>
          <w:numId w:val="3"/>
        </w:numPr>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eastAsia" w:ascii="Times New Roman" w:hAnsi="Times New Roman" w:eastAsia="仿宋_GB2312" w:cs="Times New Roman"/>
          <w:color w:val="000000"/>
          <w:kern w:val="0"/>
          <w:sz w:val="32"/>
          <w:szCs w:val="32"/>
          <w:highlight w:val="none"/>
          <w:shd w:val="clear" w:color="auto" w:fill="FFFFFF"/>
          <w:lang w:val="en-US" w:eastAsia="zh-CN"/>
        </w:rPr>
      </w:pPr>
      <w:r>
        <w:rPr>
          <w:rFonts w:hint="default" w:ascii="Times New Roman" w:hAnsi="Times New Roman" w:eastAsia="仿宋_GB2312" w:cs="Times New Roman"/>
          <w:color w:val="000000"/>
          <w:kern w:val="0"/>
          <w:sz w:val="32"/>
          <w:szCs w:val="32"/>
          <w:highlight w:val="none"/>
          <w:shd w:val="clear" w:color="auto" w:fill="FFFFFF"/>
          <w:lang w:val="zh-CN"/>
        </w:rPr>
        <w:t>预算年终结余</w:t>
      </w:r>
      <w:r>
        <w:rPr>
          <w:rFonts w:hint="eastAsia" w:ascii="Times New Roman" w:hAnsi="Times New Roman" w:eastAsia="仿宋_GB2312" w:cs="Times New Roman"/>
          <w:color w:val="000000"/>
          <w:kern w:val="0"/>
          <w:sz w:val="32"/>
          <w:szCs w:val="32"/>
          <w:highlight w:val="none"/>
          <w:shd w:val="clear" w:color="auto" w:fill="FFFFFF"/>
          <w:lang w:val="en-US" w:eastAsia="zh-CN"/>
        </w:rPr>
        <w:t>（2分）</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分析：收支平衡，</w:t>
      </w:r>
      <w:r>
        <w:rPr>
          <w:rFonts w:hint="eastAsia" w:ascii="Times New Roman" w:hAnsi="Times New Roman" w:eastAsia="仿宋_GB2312" w:cs="Times New Roman"/>
          <w:kern w:val="2"/>
          <w:sz w:val="32"/>
          <w:szCs w:val="32"/>
          <w:lang w:val="en-US" w:eastAsia="zh-CN" w:bidi="ar-SA"/>
        </w:rPr>
        <w:t>无结余</w:t>
      </w:r>
      <w:r>
        <w:rPr>
          <w:rFonts w:hint="default" w:ascii="Times New Roman" w:hAnsi="Times New Roman" w:eastAsia="仿宋_GB2312" w:cs="Times New Roman"/>
          <w:kern w:val="2"/>
          <w:sz w:val="32"/>
          <w:szCs w:val="32"/>
          <w:lang w:val="zh-CN" w:eastAsia="zh-CN" w:bidi="ar-SA"/>
        </w:rPr>
        <w:t xml:space="preserve">。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仿宋_GB2312"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评分：</w:t>
      </w:r>
      <w:r>
        <w:rPr>
          <w:rFonts w:hint="default" w:ascii="Times New Roman" w:hAnsi="Times New Roman" w:eastAsia="仿宋_GB2312" w:cs="Times New Roman"/>
          <w:kern w:val="2"/>
          <w:sz w:val="32"/>
          <w:szCs w:val="32"/>
          <w:lang w:val="en-US" w:eastAsia="zh-CN" w:bidi="ar-SA"/>
        </w:rPr>
        <w:t>2</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numPr>
          <w:ilvl w:val="0"/>
          <w:numId w:val="3"/>
        </w:numPr>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eastAsia" w:ascii="Times New Roman" w:hAnsi="Times New Roman" w:eastAsia="仿宋_GB2312" w:cs="Times New Roman"/>
          <w:color w:val="000000"/>
          <w:kern w:val="0"/>
          <w:sz w:val="32"/>
          <w:szCs w:val="32"/>
          <w:highlight w:val="none"/>
          <w:shd w:val="clear" w:color="auto" w:fill="FFFFFF"/>
          <w:lang w:val="en-US" w:eastAsia="zh-CN"/>
        </w:rPr>
      </w:pPr>
      <w:r>
        <w:rPr>
          <w:rFonts w:hint="default" w:ascii="Times New Roman" w:hAnsi="Times New Roman" w:eastAsia="仿宋_GB2312" w:cs="Times New Roman"/>
          <w:color w:val="000000"/>
          <w:kern w:val="0"/>
          <w:sz w:val="32"/>
          <w:szCs w:val="32"/>
          <w:highlight w:val="none"/>
          <w:shd w:val="clear" w:color="auto" w:fill="FFFFFF"/>
          <w:lang w:val="zh-CN"/>
        </w:rPr>
        <w:t>严控一般性支出</w:t>
      </w:r>
      <w:r>
        <w:rPr>
          <w:rFonts w:hint="eastAsia" w:ascii="Times New Roman" w:hAnsi="Times New Roman" w:eastAsia="仿宋_GB2312" w:cs="Times New Roman"/>
          <w:color w:val="000000"/>
          <w:kern w:val="0"/>
          <w:sz w:val="32"/>
          <w:szCs w:val="32"/>
          <w:highlight w:val="none"/>
          <w:shd w:val="clear" w:color="auto" w:fill="FFFFFF"/>
          <w:lang w:val="en-US" w:eastAsia="zh-CN"/>
        </w:rPr>
        <w:t>（5分）</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分析：商品服务支出占比</w:t>
      </w:r>
      <w:r>
        <w:rPr>
          <w:rFonts w:hint="eastAsia" w:ascii="Times New Roman" w:hAnsi="Times New Roman" w:eastAsia="仿宋_GB2312" w:cs="Times New Roman"/>
          <w:kern w:val="2"/>
          <w:sz w:val="32"/>
          <w:szCs w:val="32"/>
          <w:lang w:val="en-US" w:eastAsia="zh-CN" w:bidi="ar-SA"/>
        </w:rPr>
        <w:t>12.12</w:t>
      </w:r>
      <w:r>
        <w:rPr>
          <w:rFonts w:hint="default" w:ascii="Times New Roman" w:hAnsi="Times New Roman" w:eastAsia="仿宋_GB2312" w:cs="Times New Roman"/>
          <w:kern w:val="2"/>
          <w:sz w:val="32"/>
          <w:szCs w:val="32"/>
          <w:lang w:val="zh-CN" w:eastAsia="zh-CN" w:bidi="ar-SA"/>
        </w:rPr>
        <w:t xml:space="preserve">%，未超预算，符合厉行节约要求。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评分</w:t>
      </w:r>
      <w:r>
        <w:rPr>
          <w:rFonts w:hint="eastAsia" w:ascii="Times New Roman" w:hAnsi="Times New Roman" w:eastAsia="仿宋_GB2312" w:cs="Times New Roman"/>
          <w:kern w:val="2"/>
          <w:sz w:val="32"/>
          <w:szCs w:val="32"/>
          <w:lang w:val="zh-CN" w:eastAsia="zh-CN" w:bidi="ar-SA"/>
        </w:rPr>
        <w:t>：</w:t>
      </w:r>
      <w:r>
        <w:rPr>
          <w:rFonts w:hint="eastAsia" w:ascii="Times New Roman" w:hAnsi="Times New Roman" w:eastAsia="仿宋_GB2312" w:cs="Times New Roman"/>
          <w:kern w:val="2"/>
          <w:sz w:val="32"/>
          <w:szCs w:val="32"/>
          <w:lang w:val="en-US" w:eastAsia="zh-CN" w:bidi="ar-SA"/>
        </w:rPr>
        <w:t>3.4</w:t>
      </w:r>
      <w:r>
        <w:rPr>
          <w:rFonts w:hint="default" w:ascii="Times New Roman" w:hAnsi="Times New Roman" w:eastAsia="仿宋_GB2312" w:cs="Times New Roman"/>
          <w:kern w:val="2"/>
          <w:sz w:val="32"/>
          <w:szCs w:val="32"/>
          <w:lang w:val="zh-CN" w:eastAsia="zh-CN" w:bidi="ar-SA"/>
        </w:rPr>
        <w:t>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sz w:val="32"/>
          <w:lang w:val="en-US" w:eastAsia="zh-CN"/>
        </w:rPr>
      </w:pPr>
      <w:r>
        <w:rPr>
          <w:rFonts w:hint="eastAsia" w:ascii="Times New Roman" w:hAnsi="Times New Roman" w:eastAsia="楷体_GB2312" w:cs="Times New Roman"/>
          <w:color w:val="000000"/>
          <w:kern w:val="0"/>
          <w:sz w:val="32"/>
          <w:szCs w:val="32"/>
          <w:highlight w:val="none"/>
          <w:shd w:val="clear" w:color="auto" w:fill="FFFFFF"/>
          <w:lang w:val="en-US" w:eastAsia="zh-CN"/>
        </w:rPr>
        <w:t>3</w:t>
      </w:r>
      <w:r>
        <w:rPr>
          <w:rFonts w:hint="default" w:ascii="Times New Roman" w:hAnsi="Times New Roman" w:eastAsia="楷体_GB2312" w:cs="Times New Roman"/>
          <w:color w:val="000000"/>
          <w:kern w:val="0"/>
          <w:sz w:val="32"/>
          <w:szCs w:val="32"/>
          <w:highlight w:val="none"/>
          <w:shd w:val="clear" w:color="auto" w:fill="FFFFFF"/>
          <w:lang w:val="en-US" w:eastAsia="zh-CN"/>
        </w:rPr>
        <w:t>.</w:t>
      </w:r>
      <w:r>
        <w:rPr>
          <w:rFonts w:hint="eastAsia" w:ascii="Times New Roman" w:hAnsi="Times New Roman" w:eastAsia="楷体_GB2312" w:cs="Times New Roman"/>
          <w:color w:val="000000"/>
          <w:kern w:val="0"/>
          <w:sz w:val="32"/>
          <w:szCs w:val="32"/>
          <w:highlight w:val="none"/>
          <w:shd w:val="clear" w:color="auto" w:fill="FFFFFF"/>
          <w:lang w:val="en-US" w:eastAsia="zh-CN"/>
        </w:rPr>
        <w:t>财务</w:t>
      </w:r>
      <w:r>
        <w:rPr>
          <w:rFonts w:hint="default" w:ascii="Times New Roman" w:hAnsi="Times New Roman" w:eastAsia="楷体_GB2312" w:cs="Times New Roman"/>
          <w:color w:val="000000"/>
          <w:kern w:val="0"/>
          <w:sz w:val="32"/>
          <w:szCs w:val="32"/>
          <w:highlight w:val="none"/>
          <w:shd w:val="clear" w:color="auto" w:fill="FFFFFF"/>
          <w:lang w:val="zh-CN"/>
        </w:rPr>
        <w:t>管理</w:t>
      </w:r>
      <w:r>
        <w:rPr>
          <w:rFonts w:hint="eastAsia" w:ascii="Times New Roman" w:hAnsi="Times New Roman" w:eastAsia="楷体_GB2312" w:cs="Times New Roman"/>
          <w:color w:val="000000"/>
          <w:kern w:val="0"/>
          <w:sz w:val="32"/>
          <w:szCs w:val="32"/>
          <w:highlight w:val="none"/>
          <w:shd w:val="clear" w:color="auto" w:fill="FFFFFF"/>
          <w:lang w:val="zh-CN"/>
        </w:rPr>
        <w:t>（</w:t>
      </w:r>
      <w:r>
        <w:rPr>
          <w:rFonts w:hint="eastAsia" w:ascii="Times New Roman" w:hAnsi="Times New Roman" w:eastAsia="楷体_GB2312" w:cs="Times New Roman"/>
          <w:color w:val="000000"/>
          <w:kern w:val="0"/>
          <w:sz w:val="32"/>
          <w:szCs w:val="32"/>
          <w:highlight w:val="none"/>
          <w:shd w:val="clear" w:color="auto" w:fill="FFFFFF"/>
          <w:lang w:val="en-US" w:eastAsia="zh-CN"/>
        </w:rPr>
        <w:t>10分</w:t>
      </w:r>
      <w:r>
        <w:rPr>
          <w:rFonts w:hint="eastAsia" w:ascii="Times New Roman" w:hAnsi="Times New Roman" w:eastAsia="楷体_GB2312" w:cs="Times New Roman"/>
          <w:color w:val="000000"/>
          <w:kern w:val="0"/>
          <w:sz w:val="32"/>
          <w:szCs w:val="32"/>
          <w:highlight w:val="none"/>
          <w:shd w:val="clear" w:color="auto" w:fill="FFFFFF"/>
          <w:lang w:val="zh-CN"/>
        </w:rPr>
        <w:t>）</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（1）财务管理制度健全性（4分）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分析：内控制度完善，涵盖预算、收支、采购等环节。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评分：4分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（2）财务岗位设置合规性（</w:t>
      </w:r>
      <w:r>
        <w:rPr>
          <w:rFonts w:hint="default" w:ascii="Times New Roman" w:hAnsi="Times New Roman" w:eastAsia="仿宋_GB2312" w:cs="Times New Roman"/>
          <w:kern w:val="2"/>
          <w:sz w:val="32"/>
          <w:szCs w:val="32"/>
          <w:lang w:val="en-US" w:eastAsia="zh-CN" w:bidi="ar-SA"/>
        </w:rPr>
        <w:t>2</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分析：会计、出纳岗位分离，职责明确。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评分：</w:t>
      </w:r>
      <w:r>
        <w:rPr>
          <w:rFonts w:hint="default" w:ascii="Times New Roman" w:hAnsi="Times New Roman" w:eastAsia="仿宋_GB2312" w:cs="Times New Roman"/>
          <w:kern w:val="2"/>
          <w:sz w:val="32"/>
          <w:szCs w:val="32"/>
          <w:lang w:val="en-US" w:eastAsia="zh-CN" w:bidi="ar-SA"/>
        </w:rPr>
        <w:t>2</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（3）资金使用规范性（</w:t>
      </w:r>
      <w:r>
        <w:rPr>
          <w:rFonts w:hint="default" w:ascii="Times New Roman" w:hAnsi="Times New Roman" w:eastAsia="仿宋_GB2312" w:cs="Times New Roman"/>
          <w:kern w:val="2"/>
          <w:sz w:val="32"/>
          <w:szCs w:val="32"/>
          <w:lang w:val="en-US" w:eastAsia="zh-CN" w:bidi="ar-SA"/>
        </w:rPr>
        <w:t>4</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分析：支出分类清晰，无违规使用资金情况。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评分：</w:t>
      </w:r>
      <w:r>
        <w:rPr>
          <w:rFonts w:hint="default" w:ascii="Times New Roman" w:hAnsi="Times New Roman" w:eastAsia="仿宋_GB2312" w:cs="Times New Roman"/>
          <w:kern w:val="2"/>
          <w:sz w:val="32"/>
          <w:szCs w:val="32"/>
          <w:lang w:val="en-US" w:eastAsia="zh-CN" w:bidi="ar-SA"/>
        </w:rPr>
        <w:t>4</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3" w:firstLineChars="200"/>
        <w:jc w:val="both"/>
        <w:textAlignment w:val="auto"/>
        <w:outlineLvl w:val="9"/>
        <w:rPr>
          <w:rFonts w:hint="default" w:ascii="Times New Roman" w:hAnsi="Times New Roman" w:eastAsia="仿宋_GB2312" w:cs="Times New Roman"/>
          <w:b/>
          <w:bCs/>
          <w:kern w:val="2"/>
          <w:sz w:val="32"/>
          <w:szCs w:val="32"/>
          <w:lang w:val="zh-CN" w:eastAsia="zh-CN" w:bidi="ar-SA"/>
        </w:rPr>
      </w:pPr>
      <w:r>
        <w:rPr>
          <w:rFonts w:hint="default" w:ascii="Times New Roman" w:hAnsi="Times New Roman" w:eastAsia="仿宋_GB2312" w:cs="Times New Roman"/>
          <w:b/>
          <w:bCs/>
          <w:kern w:val="2"/>
          <w:sz w:val="32"/>
          <w:szCs w:val="32"/>
          <w:lang w:val="zh-CN" w:eastAsia="zh-CN" w:bidi="ar-SA"/>
        </w:rPr>
        <w:t>4. 资产管理（</w:t>
      </w:r>
      <w:r>
        <w:rPr>
          <w:rFonts w:hint="default" w:ascii="Times New Roman" w:hAnsi="Times New Roman" w:eastAsia="仿宋_GB2312" w:cs="Times New Roman"/>
          <w:b/>
          <w:bCs/>
          <w:kern w:val="2"/>
          <w:sz w:val="32"/>
          <w:szCs w:val="32"/>
          <w:lang w:val="en-US" w:eastAsia="zh-CN" w:bidi="ar-SA"/>
        </w:rPr>
        <w:t>9</w:t>
      </w:r>
      <w:r>
        <w:rPr>
          <w:rFonts w:hint="default" w:ascii="Times New Roman" w:hAnsi="Times New Roman" w:eastAsia="仿宋_GB2312" w:cs="Times New Roman"/>
          <w:b/>
          <w:bCs/>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（1）人均资产变化率（</w:t>
      </w:r>
      <w:r>
        <w:rPr>
          <w:rFonts w:hint="default" w:ascii="Times New Roman" w:hAnsi="Times New Roman" w:eastAsia="仿宋_GB2312" w:cs="Times New Roman"/>
          <w:kern w:val="2"/>
          <w:sz w:val="32"/>
          <w:szCs w:val="32"/>
          <w:lang w:val="en-US" w:eastAsia="zh-CN" w:bidi="ar-SA"/>
        </w:rPr>
        <w:t>3</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zh-CN" w:eastAsia="zh-CN" w:bidi="ar-SA"/>
        </w:rPr>
        <w:t>分析：新增资本性支出</w:t>
      </w:r>
      <w:r>
        <w:rPr>
          <w:rFonts w:hint="eastAsia" w:ascii="Times New Roman" w:hAnsi="Times New Roman" w:eastAsia="仿宋_GB2312" w:cs="Times New Roman"/>
          <w:kern w:val="2"/>
          <w:sz w:val="32"/>
          <w:szCs w:val="32"/>
          <w:lang w:val="en-US" w:eastAsia="zh-CN" w:bidi="ar-SA"/>
        </w:rPr>
        <w:t>8.86</w:t>
      </w:r>
      <w:r>
        <w:rPr>
          <w:rFonts w:hint="default" w:ascii="Times New Roman" w:hAnsi="Times New Roman" w:eastAsia="仿宋_GB2312" w:cs="Times New Roman"/>
          <w:kern w:val="2"/>
          <w:sz w:val="32"/>
          <w:szCs w:val="32"/>
          <w:lang w:val="zh-CN" w:eastAsia="zh-CN" w:bidi="ar-SA"/>
        </w:rPr>
        <w:t>万元，</w:t>
      </w:r>
      <w:r>
        <w:rPr>
          <w:rFonts w:hint="eastAsia" w:ascii="Times New Roman" w:hAnsi="Times New Roman" w:eastAsia="仿宋_GB2312" w:cs="Times New Roman"/>
          <w:kern w:val="2"/>
          <w:sz w:val="32"/>
          <w:szCs w:val="32"/>
          <w:lang w:val="en-US" w:eastAsia="zh-CN" w:bidi="ar-SA"/>
        </w:rPr>
        <w:t>人均资产变化率0.4%。</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评分：3分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（2）资产利用率（3分）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分析：办公设备、车辆等使用正常。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评分：3分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（3）资产盘活率（3分）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分析：</w:t>
      </w:r>
      <w:r>
        <w:rPr>
          <w:rFonts w:hint="eastAsia" w:ascii="Times New Roman" w:hAnsi="Times New Roman" w:eastAsia="仿宋_GB2312" w:cs="Times New Roman"/>
          <w:kern w:val="2"/>
          <w:sz w:val="32"/>
          <w:szCs w:val="32"/>
          <w:lang w:val="en-US" w:eastAsia="zh-CN" w:bidi="ar-SA"/>
        </w:rPr>
        <w:t>无闲置资产</w:t>
      </w:r>
      <w:r>
        <w:rPr>
          <w:rFonts w:hint="default" w:ascii="Times New Roman" w:hAnsi="Times New Roman" w:eastAsia="仿宋_GB2312" w:cs="Times New Roman"/>
          <w:kern w:val="2"/>
          <w:sz w:val="32"/>
          <w:szCs w:val="32"/>
          <w:lang w:val="zh-CN" w:eastAsia="zh-CN" w:bidi="ar-SA"/>
        </w:rPr>
        <w:t xml:space="preserve">。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评分：2分  </w:t>
      </w:r>
    </w:p>
    <w:p>
      <w:pPr>
        <w:keepNext w:val="0"/>
        <w:keepLines w:val="0"/>
        <w:pageBreakBefore w:val="0"/>
        <w:widowControl w:val="0"/>
        <w:kinsoku/>
        <w:wordWrap/>
        <w:overflowPunct/>
        <w:topLinePunct w:val="0"/>
        <w:autoSpaceDE/>
        <w:autoSpaceDN/>
        <w:bidi w:val="0"/>
        <w:spacing w:after="120" w:line="576" w:lineRule="exact"/>
        <w:ind w:left="0" w:leftChars="0" w:firstLine="643" w:firstLineChars="200"/>
        <w:jc w:val="both"/>
        <w:textAlignment w:val="auto"/>
        <w:outlineLvl w:val="9"/>
        <w:rPr>
          <w:rFonts w:hint="default" w:ascii="Times New Roman" w:hAnsi="Times New Roman" w:eastAsia="仿宋_GB2312" w:cs="Times New Roman"/>
          <w:b/>
          <w:bCs/>
          <w:kern w:val="2"/>
          <w:sz w:val="32"/>
          <w:szCs w:val="32"/>
          <w:lang w:val="zh-CN" w:eastAsia="zh-CN" w:bidi="ar-SA"/>
        </w:rPr>
      </w:pPr>
      <w:r>
        <w:rPr>
          <w:rFonts w:hint="default" w:ascii="Times New Roman" w:hAnsi="Times New Roman" w:eastAsia="仿宋_GB2312" w:cs="Times New Roman"/>
          <w:b/>
          <w:bCs/>
          <w:kern w:val="2"/>
          <w:sz w:val="32"/>
          <w:szCs w:val="32"/>
          <w:lang w:val="zh-CN" w:eastAsia="zh-CN" w:bidi="ar-SA"/>
        </w:rPr>
        <w:t>5. 采购管理（</w:t>
      </w:r>
      <w:r>
        <w:rPr>
          <w:rFonts w:hint="default" w:ascii="Times New Roman" w:hAnsi="Times New Roman" w:eastAsia="仿宋_GB2312" w:cs="Times New Roman"/>
          <w:b/>
          <w:bCs/>
          <w:kern w:val="2"/>
          <w:sz w:val="32"/>
          <w:szCs w:val="32"/>
          <w:lang w:val="en-US" w:eastAsia="zh-CN" w:bidi="ar-SA"/>
        </w:rPr>
        <w:t>6</w:t>
      </w:r>
      <w:r>
        <w:rPr>
          <w:rFonts w:hint="default" w:ascii="Times New Roman" w:hAnsi="Times New Roman" w:eastAsia="仿宋_GB2312" w:cs="Times New Roman"/>
          <w:b/>
          <w:bCs/>
          <w:kern w:val="2"/>
          <w:sz w:val="32"/>
          <w:szCs w:val="32"/>
          <w:lang w:val="zh-CN" w:eastAsia="zh-CN" w:bidi="ar-SA"/>
        </w:rPr>
        <w:t xml:space="preserve">分） </w:t>
      </w:r>
      <w:r>
        <w:rPr>
          <w:rFonts w:hint="default" w:ascii="Times New Roman" w:hAnsi="Times New Roman" w:eastAsia="仿宋_GB2312" w:cs="Times New Roman"/>
          <w:b/>
          <w:bCs/>
          <w:kern w:val="2"/>
          <w:sz w:val="32"/>
          <w:szCs w:val="32"/>
          <w:lang w:val="en-US" w:eastAsia="zh-CN" w:bidi="ar-SA"/>
        </w:rPr>
        <w:t xml:space="preserve">  </w:t>
      </w:r>
      <w:r>
        <w:rPr>
          <w:rFonts w:hint="default" w:ascii="Times New Roman" w:hAnsi="Times New Roman" w:eastAsia="仿宋_GB2312" w:cs="Times New Roman"/>
          <w:b/>
          <w:bCs/>
          <w:kern w:val="2"/>
          <w:sz w:val="32"/>
          <w:szCs w:val="32"/>
          <w:lang w:val="zh-CN" w:eastAsia="zh-CN" w:bidi="ar-SA"/>
        </w:rPr>
        <w:t xml:space="preserve">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（1）支持中小企业发展（3分）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分析：</w:t>
      </w:r>
      <w:r>
        <w:rPr>
          <w:rFonts w:hint="eastAsia" w:ascii="Times New Roman" w:hAnsi="Times New Roman" w:eastAsia="仿宋_GB2312" w:cs="Times New Roman"/>
          <w:kern w:val="2"/>
          <w:sz w:val="32"/>
          <w:szCs w:val="32"/>
          <w:lang w:val="en-US" w:eastAsia="zh-CN" w:bidi="ar-SA"/>
        </w:rPr>
        <w:t>严格执行政府采购促进中小企业发展相关管理办法，面相中小企业进行采购</w:t>
      </w:r>
      <w:r>
        <w:rPr>
          <w:rFonts w:hint="default" w:ascii="Times New Roman" w:hAnsi="Times New Roman" w:eastAsia="仿宋_GB2312" w:cs="Times New Roman"/>
          <w:kern w:val="2"/>
          <w:sz w:val="32"/>
          <w:szCs w:val="32"/>
          <w:lang w:val="zh-CN" w:eastAsia="zh-CN" w:bidi="ar-SA"/>
        </w:rPr>
        <w:t xml:space="preserve">。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评分：</w:t>
      </w:r>
      <w:r>
        <w:rPr>
          <w:rFonts w:hint="default" w:ascii="Times New Roman" w:hAnsi="Times New Roman" w:eastAsia="仿宋_GB2312" w:cs="Times New Roman"/>
          <w:kern w:val="2"/>
          <w:sz w:val="32"/>
          <w:szCs w:val="32"/>
          <w:lang w:val="en-US" w:eastAsia="zh-CN" w:bidi="ar-SA"/>
        </w:rPr>
        <w:t>3</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（2）采购执行</w:t>
      </w:r>
      <w:r>
        <w:rPr>
          <w:rFonts w:hint="eastAsia" w:ascii="Times New Roman" w:hAnsi="Times New Roman" w:eastAsia="仿宋_GB2312" w:cs="Times New Roman"/>
          <w:kern w:val="2"/>
          <w:sz w:val="32"/>
          <w:szCs w:val="32"/>
          <w:lang w:val="en-US" w:eastAsia="zh-CN" w:bidi="ar-SA"/>
        </w:rPr>
        <w:t>率</w:t>
      </w:r>
      <w:r>
        <w:rPr>
          <w:rFonts w:hint="default" w:ascii="Times New Roman" w:hAnsi="Times New Roman" w:eastAsia="仿宋_GB2312" w:cs="Times New Roman"/>
          <w:kern w:val="2"/>
          <w:sz w:val="32"/>
          <w:szCs w:val="32"/>
          <w:lang w:val="zh-CN" w:eastAsia="zh-CN" w:bidi="ar-SA"/>
        </w:rPr>
        <w:t>（</w:t>
      </w:r>
      <w:r>
        <w:rPr>
          <w:rFonts w:hint="default" w:ascii="Times New Roman" w:hAnsi="Times New Roman" w:eastAsia="仿宋_GB2312" w:cs="Times New Roman"/>
          <w:kern w:val="2"/>
          <w:sz w:val="32"/>
          <w:szCs w:val="32"/>
          <w:lang w:val="en-US" w:eastAsia="zh-CN" w:bidi="ar-SA"/>
        </w:rPr>
        <w:t>3</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分析：全年采购计划完成率100%，流程合规。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评分：</w:t>
      </w:r>
      <w:r>
        <w:rPr>
          <w:rFonts w:hint="default" w:ascii="Times New Roman" w:hAnsi="Times New Roman" w:eastAsia="仿宋_GB2312" w:cs="Times New Roman"/>
          <w:kern w:val="2"/>
          <w:sz w:val="32"/>
          <w:szCs w:val="32"/>
          <w:lang w:val="en-US" w:eastAsia="zh-CN" w:bidi="ar-SA"/>
        </w:rPr>
        <w:t>3</w:t>
      </w:r>
      <w:r>
        <w:rPr>
          <w:rFonts w:hint="default" w:ascii="Times New Roman" w:hAnsi="Times New Roman" w:eastAsia="仿宋_GB2312" w:cs="Times New Roman"/>
          <w:kern w:val="2"/>
          <w:sz w:val="32"/>
          <w:szCs w:val="32"/>
          <w:lang w:val="zh-CN" w:eastAsia="zh-CN" w:bidi="ar-SA"/>
        </w:rPr>
        <w:t xml:space="preserve">分  </w:t>
      </w:r>
    </w:p>
    <w:p>
      <w:pPr>
        <w:keepNext w:val="0"/>
        <w:keepLines w:val="0"/>
        <w:pageBreakBefore w:val="0"/>
        <w:widowControl w:val="0"/>
        <w:kinsoku/>
        <w:wordWrap/>
        <w:overflowPunct/>
        <w:topLinePunct w:val="0"/>
        <w:autoSpaceDE/>
        <w:autoSpaceDN/>
        <w:bidi w:val="0"/>
        <w:spacing w:after="120" w:line="576" w:lineRule="exact"/>
        <w:ind w:left="0" w:leftChars="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总体绩效自评得分汇总</w:t>
      </w:r>
    </w:p>
    <w:p>
      <w:pPr>
        <w:keepNext w:val="0"/>
        <w:keepLines w:val="0"/>
        <w:pageBreakBefore w:val="0"/>
        <w:widowControl w:val="0"/>
        <w:kinsoku/>
        <w:wordWrap/>
        <w:overflowPunct/>
        <w:topLinePunct w:val="0"/>
        <w:autoSpaceDE/>
        <w:autoSpaceDN/>
        <w:bidi w:val="0"/>
        <w:spacing w:after="120" w:line="576" w:lineRule="exact"/>
        <w:ind w:leftChars="20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一级指标 | 分值 | 自评得分 | 得分率 |</w:t>
      </w:r>
    </w:p>
    <w:p>
      <w:pPr>
        <w:keepNext w:val="0"/>
        <w:keepLines w:val="0"/>
        <w:pageBreakBefore w:val="0"/>
        <w:widowControl w:val="0"/>
        <w:kinsoku/>
        <w:wordWrap/>
        <w:overflowPunct/>
        <w:topLinePunct w:val="0"/>
        <w:autoSpaceDE/>
        <w:autoSpaceDN/>
        <w:bidi w:val="0"/>
        <w:spacing w:after="120" w:line="576" w:lineRule="exact"/>
        <w:ind w:leftChars="20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w:t>
      </w:r>
    </w:p>
    <w:p>
      <w:pPr>
        <w:keepNext w:val="0"/>
        <w:keepLines w:val="0"/>
        <w:pageBreakBefore w:val="0"/>
        <w:widowControl w:val="0"/>
        <w:kinsoku/>
        <w:wordWrap/>
        <w:overflowPunct/>
        <w:topLinePunct w:val="0"/>
        <w:autoSpaceDE/>
        <w:autoSpaceDN/>
        <w:bidi w:val="0"/>
        <w:spacing w:after="120" w:line="576" w:lineRule="exact"/>
        <w:ind w:leftChars="20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 履职效能 |  15  |    </w:t>
      </w:r>
      <w:r>
        <w:rPr>
          <w:rFonts w:hint="eastAsia" w:ascii="Times New Roman" w:hAnsi="Times New Roman" w:eastAsia="仿宋_GB2312" w:cs="Times New Roman"/>
          <w:kern w:val="2"/>
          <w:sz w:val="32"/>
          <w:szCs w:val="32"/>
          <w:lang w:val="en-US" w:eastAsia="zh-CN" w:bidi="ar-SA"/>
        </w:rPr>
        <w:t>15</w:t>
      </w:r>
      <w:r>
        <w:rPr>
          <w:rFonts w:hint="default" w:ascii="Times New Roman" w:hAnsi="Times New Roman" w:eastAsia="仿宋_GB2312" w:cs="Times New Roman"/>
          <w:kern w:val="2"/>
          <w:sz w:val="32"/>
          <w:szCs w:val="32"/>
          <w:lang w:val="zh-CN" w:eastAsia="zh-CN" w:bidi="ar-SA"/>
        </w:rPr>
        <w:t xml:space="preserve">   </w:t>
      </w:r>
      <w:r>
        <w:rPr>
          <w:rFonts w:hint="eastAsia"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w:t>
      </w:r>
      <w:r>
        <w:rPr>
          <w:rFonts w:hint="default" w:ascii="Times New Roman" w:hAnsi="Times New Roman" w:eastAsia="仿宋_GB2312" w:cs="Times New Roman"/>
          <w:kern w:val="2"/>
          <w:sz w:val="32"/>
          <w:szCs w:val="32"/>
          <w:lang w:val="en-US" w:eastAsia="zh-CN" w:bidi="ar-SA"/>
        </w:rPr>
        <w:t xml:space="preserve"> </w:t>
      </w:r>
      <w:r>
        <w:rPr>
          <w:rFonts w:hint="eastAsia" w:ascii="Times New Roman" w:hAnsi="Times New Roman" w:eastAsia="仿宋_GB2312" w:cs="Times New Roman"/>
          <w:kern w:val="2"/>
          <w:sz w:val="32"/>
          <w:szCs w:val="32"/>
          <w:lang w:val="en-US" w:eastAsia="zh-CN" w:bidi="ar-SA"/>
        </w:rPr>
        <w:t xml:space="preserve"> 100</w:t>
      </w:r>
      <w:r>
        <w:rPr>
          <w:rFonts w:hint="default" w:ascii="Times New Roman" w:hAnsi="Times New Roman" w:eastAsia="仿宋_GB2312" w:cs="Times New Roman"/>
          <w:kern w:val="2"/>
          <w:sz w:val="32"/>
          <w:szCs w:val="32"/>
          <w:lang w:val="zh-CN" w:eastAsia="zh-CN" w:bidi="ar-SA"/>
        </w:rPr>
        <w:t>%</w:t>
      </w:r>
      <w:r>
        <w:rPr>
          <w:rFonts w:hint="eastAsia"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w:t>
      </w:r>
    </w:p>
    <w:p>
      <w:pPr>
        <w:keepNext w:val="0"/>
        <w:keepLines w:val="0"/>
        <w:pageBreakBefore w:val="0"/>
        <w:widowControl w:val="0"/>
        <w:kinsoku/>
        <w:wordWrap/>
        <w:overflowPunct/>
        <w:topLinePunct w:val="0"/>
        <w:autoSpaceDE/>
        <w:autoSpaceDN/>
        <w:bidi w:val="0"/>
        <w:spacing w:after="120" w:line="576" w:lineRule="exact"/>
        <w:ind w:leftChars="20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 预算管理 |  25  |   </w:t>
      </w:r>
      <w:r>
        <w:rPr>
          <w:rFonts w:hint="eastAsia" w:ascii="Times New Roman" w:hAnsi="Times New Roman" w:eastAsia="仿宋_GB2312" w:cs="Times New Roman"/>
          <w:kern w:val="2"/>
          <w:sz w:val="32"/>
          <w:szCs w:val="32"/>
          <w:lang w:val="en-US" w:eastAsia="zh-CN" w:bidi="ar-SA"/>
        </w:rPr>
        <w:t>19.4</w:t>
      </w:r>
      <w:r>
        <w:rPr>
          <w:rFonts w:hint="default" w:ascii="Times New Roman" w:hAnsi="Times New Roman" w:eastAsia="仿宋_GB2312" w:cs="Times New Roman"/>
          <w:kern w:val="2"/>
          <w:sz w:val="32"/>
          <w:szCs w:val="32"/>
          <w:lang w:val="zh-CN" w:eastAsia="zh-CN" w:bidi="ar-SA"/>
        </w:rPr>
        <w:t xml:space="preserve">   | </w:t>
      </w:r>
      <w:r>
        <w:rPr>
          <w:rFonts w:hint="default" w:ascii="Times New Roman" w:hAnsi="Times New Roman" w:eastAsia="仿宋_GB2312" w:cs="Times New Roman"/>
          <w:kern w:val="2"/>
          <w:sz w:val="32"/>
          <w:szCs w:val="32"/>
          <w:lang w:val="en-US" w:eastAsia="zh-CN" w:bidi="ar-SA"/>
        </w:rPr>
        <w:t xml:space="preserve"> </w:t>
      </w:r>
      <w:r>
        <w:rPr>
          <w:rFonts w:hint="eastAsia" w:ascii="Times New Roman" w:hAnsi="Times New Roman" w:eastAsia="仿宋_GB2312" w:cs="Times New Roman"/>
          <w:kern w:val="2"/>
          <w:sz w:val="32"/>
          <w:szCs w:val="32"/>
          <w:lang w:val="en-US" w:eastAsia="zh-CN" w:bidi="ar-SA"/>
        </w:rPr>
        <w:t>77.6</w:t>
      </w:r>
      <w:r>
        <w:rPr>
          <w:rFonts w:hint="default" w:ascii="Times New Roman" w:hAnsi="Times New Roman" w:eastAsia="仿宋_GB2312" w:cs="Times New Roman"/>
          <w:kern w:val="2"/>
          <w:sz w:val="32"/>
          <w:szCs w:val="32"/>
          <w:lang w:val="zh-CN" w:eastAsia="zh-CN" w:bidi="ar-SA"/>
        </w:rPr>
        <w:t>%  |</w:t>
      </w:r>
    </w:p>
    <w:p>
      <w:pPr>
        <w:keepNext w:val="0"/>
        <w:keepLines w:val="0"/>
        <w:pageBreakBefore w:val="0"/>
        <w:widowControl w:val="0"/>
        <w:kinsoku/>
        <w:wordWrap/>
        <w:overflowPunct/>
        <w:topLinePunct w:val="0"/>
        <w:autoSpaceDE/>
        <w:autoSpaceDN/>
        <w:bidi w:val="0"/>
        <w:spacing w:after="120" w:line="576" w:lineRule="exact"/>
        <w:ind w:leftChars="20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0"/>
          <w:sz w:val="32"/>
          <w:szCs w:val="32"/>
          <w:lang w:val="zh-CN" w:eastAsia="zh-CN" w:bidi="ar-SA"/>
        </w:rPr>
        <w:t xml:space="preserve">| 财务管理 |  10  |    10   | </w:t>
      </w:r>
      <w:r>
        <w:rPr>
          <w:rFonts w:hint="default" w:ascii="Times New Roman" w:hAnsi="Times New Roman" w:eastAsia="仿宋_GB2312" w:cs="Times New Roman"/>
          <w:kern w:val="0"/>
          <w:sz w:val="32"/>
          <w:szCs w:val="32"/>
          <w:lang w:val="en-US" w:eastAsia="zh-CN" w:bidi="ar-SA"/>
        </w:rPr>
        <w:t xml:space="preserve"> </w:t>
      </w:r>
      <w:r>
        <w:rPr>
          <w:rFonts w:hint="default" w:ascii="Times New Roman" w:hAnsi="Times New Roman" w:eastAsia="仿宋_GB2312" w:cs="Times New Roman"/>
          <w:kern w:val="0"/>
          <w:sz w:val="32"/>
          <w:szCs w:val="32"/>
          <w:lang w:val="zh-CN" w:eastAsia="zh-CN" w:bidi="ar-SA"/>
        </w:rPr>
        <w:t>100%</w:t>
      </w:r>
      <w:r>
        <w:rPr>
          <w:rFonts w:hint="eastAsia" w:ascii="Times New Roman" w:hAnsi="Times New Roman" w:eastAsia="仿宋_GB2312" w:cs="Times New Roman"/>
          <w:kern w:val="0"/>
          <w:sz w:val="32"/>
          <w:szCs w:val="32"/>
          <w:lang w:val="en-US" w:eastAsia="zh-CN" w:bidi="ar-SA"/>
        </w:rPr>
        <w:t xml:space="preserve"> </w:t>
      </w:r>
      <w:r>
        <w:rPr>
          <w:rFonts w:hint="default" w:ascii="Times New Roman" w:hAnsi="Times New Roman" w:eastAsia="仿宋_GB2312" w:cs="Times New Roman"/>
          <w:kern w:val="0"/>
          <w:sz w:val="32"/>
          <w:szCs w:val="32"/>
          <w:lang w:val="zh-CN" w:eastAsia="zh-CN" w:bidi="ar-SA"/>
        </w:rPr>
        <w:t xml:space="preserve"> |</w:t>
      </w:r>
    </w:p>
    <w:p>
      <w:pPr>
        <w:keepNext w:val="0"/>
        <w:keepLines w:val="0"/>
        <w:pageBreakBefore w:val="0"/>
        <w:widowControl w:val="0"/>
        <w:kinsoku/>
        <w:wordWrap/>
        <w:overflowPunct/>
        <w:topLinePunct w:val="0"/>
        <w:autoSpaceDE/>
        <w:autoSpaceDN/>
        <w:bidi w:val="0"/>
        <w:spacing w:after="120" w:line="576" w:lineRule="exact"/>
        <w:ind w:leftChars="20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 资产管理 |  </w:t>
      </w:r>
      <w:r>
        <w:rPr>
          <w:rFonts w:hint="eastAsia" w:ascii="Times New Roman" w:hAnsi="Times New Roman" w:eastAsia="仿宋_GB2312" w:cs="Times New Roman"/>
          <w:kern w:val="2"/>
          <w:sz w:val="32"/>
          <w:szCs w:val="32"/>
          <w:lang w:val="en-US" w:eastAsia="zh-CN" w:bidi="ar-SA"/>
        </w:rPr>
        <w:t>9</w:t>
      </w:r>
      <w:r>
        <w:rPr>
          <w:rFonts w:hint="default"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 xml:space="preserve"> |    </w:t>
      </w:r>
      <w:r>
        <w:rPr>
          <w:rFonts w:hint="eastAsia" w:ascii="Times New Roman" w:hAnsi="Times New Roman" w:eastAsia="仿宋_GB2312" w:cs="Times New Roman"/>
          <w:kern w:val="2"/>
          <w:sz w:val="32"/>
          <w:szCs w:val="32"/>
          <w:lang w:val="en-US" w:eastAsia="zh-CN" w:bidi="ar-SA"/>
        </w:rPr>
        <w:t>9</w:t>
      </w:r>
      <w:r>
        <w:rPr>
          <w:rFonts w:hint="default" w:ascii="Times New Roman" w:hAnsi="Times New Roman" w:eastAsia="仿宋_GB2312" w:cs="Times New Roman"/>
          <w:kern w:val="2"/>
          <w:sz w:val="32"/>
          <w:szCs w:val="32"/>
          <w:lang w:val="zh-CN" w:eastAsia="zh-CN" w:bidi="ar-SA"/>
        </w:rPr>
        <w:t xml:space="preserve">    | </w:t>
      </w:r>
      <w:r>
        <w:rPr>
          <w:rFonts w:hint="default" w:ascii="Times New Roman" w:hAnsi="Times New Roman" w:eastAsia="仿宋_GB2312" w:cs="Times New Roman"/>
          <w:kern w:val="2"/>
          <w:sz w:val="32"/>
          <w:szCs w:val="32"/>
          <w:lang w:val="en-US" w:eastAsia="zh-CN" w:bidi="ar-SA"/>
        </w:rPr>
        <w:t xml:space="preserve"> 100</w:t>
      </w:r>
      <w:r>
        <w:rPr>
          <w:rFonts w:hint="default" w:ascii="Times New Roman" w:hAnsi="Times New Roman" w:eastAsia="仿宋_GB2312" w:cs="Times New Roman"/>
          <w:kern w:val="2"/>
          <w:sz w:val="32"/>
          <w:szCs w:val="32"/>
          <w:lang w:val="zh-CN" w:eastAsia="zh-CN" w:bidi="ar-SA"/>
        </w:rPr>
        <w:t>%</w:t>
      </w:r>
      <w:r>
        <w:rPr>
          <w:rFonts w:hint="eastAsia"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 xml:space="preserve"> |</w:t>
      </w:r>
    </w:p>
    <w:p>
      <w:pPr>
        <w:keepNext w:val="0"/>
        <w:keepLines w:val="0"/>
        <w:pageBreakBefore w:val="0"/>
        <w:widowControl w:val="0"/>
        <w:kinsoku/>
        <w:wordWrap/>
        <w:overflowPunct/>
        <w:topLinePunct w:val="0"/>
        <w:autoSpaceDE/>
        <w:autoSpaceDN/>
        <w:bidi w:val="0"/>
        <w:spacing w:after="120" w:line="576" w:lineRule="exact"/>
        <w:ind w:leftChars="20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 采购管理 |  </w:t>
      </w:r>
      <w:r>
        <w:rPr>
          <w:rFonts w:hint="default" w:ascii="Times New Roman" w:hAnsi="Times New Roman" w:eastAsia="仿宋_GB2312" w:cs="Times New Roman"/>
          <w:kern w:val="2"/>
          <w:sz w:val="32"/>
          <w:szCs w:val="32"/>
          <w:lang w:val="en-US" w:eastAsia="zh-CN" w:bidi="ar-SA"/>
        </w:rPr>
        <w:t>6</w:t>
      </w:r>
      <w:r>
        <w:rPr>
          <w:rFonts w:hint="default" w:ascii="Times New Roman" w:hAnsi="Times New Roman" w:eastAsia="仿宋_GB2312" w:cs="Times New Roman"/>
          <w:kern w:val="2"/>
          <w:sz w:val="32"/>
          <w:szCs w:val="32"/>
          <w:lang w:val="zh-CN" w:eastAsia="zh-CN" w:bidi="ar-SA"/>
        </w:rPr>
        <w:t xml:space="preserve">   |   </w:t>
      </w:r>
      <w:r>
        <w:rPr>
          <w:rFonts w:hint="eastAsia" w:ascii="Times New Roman" w:hAnsi="Times New Roman" w:eastAsia="仿宋_GB2312" w:cs="Times New Roman"/>
          <w:kern w:val="2"/>
          <w:sz w:val="32"/>
          <w:szCs w:val="32"/>
          <w:lang w:val="en-US" w:eastAsia="zh-CN" w:bidi="ar-SA"/>
        </w:rPr>
        <w:t xml:space="preserve"> 6</w:t>
      </w:r>
      <w:r>
        <w:rPr>
          <w:rFonts w:hint="default" w:ascii="Times New Roman" w:hAnsi="Times New Roman" w:eastAsia="仿宋_GB2312" w:cs="Times New Roman"/>
          <w:kern w:val="2"/>
          <w:sz w:val="32"/>
          <w:szCs w:val="32"/>
          <w:lang w:val="zh-CN" w:eastAsia="zh-CN" w:bidi="ar-SA"/>
        </w:rPr>
        <w:t xml:space="preserve"> </w:t>
      </w:r>
      <w:r>
        <w:rPr>
          <w:rFonts w:hint="eastAsia"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 xml:space="preserve"> | </w:t>
      </w:r>
      <w:r>
        <w:rPr>
          <w:rFonts w:hint="default" w:ascii="Times New Roman" w:hAnsi="Times New Roman" w:eastAsia="仿宋_GB2312" w:cs="Times New Roman"/>
          <w:kern w:val="2"/>
          <w:sz w:val="32"/>
          <w:szCs w:val="32"/>
          <w:lang w:val="en-US" w:eastAsia="zh-CN" w:bidi="ar-SA"/>
        </w:rPr>
        <w:t xml:space="preserve"> </w:t>
      </w:r>
      <w:r>
        <w:rPr>
          <w:rFonts w:hint="eastAsia" w:ascii="Times New Roman" w:hAnsi="Times New Roman" w:eastAsia="仿宋_GB2312" w:cs="Times New Roman"/>
          <w:kern w:val="2"/>
          <w:sz w:val="32"/>
          <w:szCs w:val="32"/>
          <w:lang w:val="en-US" w:eastAsia="zh-CN" w:bidi="ar-SA"/>
        </w:rPr>
        <w:t>100</w:t>
      </w:r>
      <w:r>
        <w:rPr>
          <w:rFonts w:hint="default" w:ascii="Times New Roman" w:hAnsi="Times New Roman" w:eastAsia="仿宋_GB2312" w:cs="Times New Roman"/>
          <w:kern w:val="2"/>
          <w:sz w:val="32"/>
          <w:szCs w:val="32"/>
          <w:lang w:val="zh-CN" w:eastAsia="zh-CN" w:bidi="ar-SA"/>
        </w:rPr>
        <w:t xml:space="preserve">% </w:t>
      </w:r>
      <w:r>
        <w:rPr>
          <w:rFonts w:hint="eastAsia"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w:t>
      </w:r>
    </w:p>
    <w:p>
      <w:pPr>
        <w:keepNext w:val="0"/>
        <w:keepLines w:val="0"/>
        <w:pageBreakBefore w:val="0"/>
        <w:widowControl w:val="0"/>
        <w:kinsoku/>
        <w:wordWrap/>
        <w:overflowPunct/>
        <w:topLinePunct w:val="0"/>
        <w:autoSpaceDE/>
        <w:autoSpaceDN/>
        <w:bidi w:val="0"/>
        <w:spacing w:after="120" w:line="576" w:lineRule="exact"/>
        <w:ind w:leftChars="200" w:firstLine="640" w:firstLineChars="200"/>
        <w:jc w:val="both"/>
        <w:textAlignment w:val="auto"/>
        <w:outlineLvl w:val="9"/>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 xml:space="preserve">| </w:t>
      </w:r>
      <w:r>
        <w:rPr>
          <w:rFonts w:hint="default"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合计</w:t>
      </w:r>
      <w:r>
        <w:rPr>
          <w:rFonts w:hint="default"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 xml:space="preserve">| </w:t>
      </w:r>
      <w:r>
        <w:rPr>
          <w:rFonts w:hint="default" w:ascii="Times New Roman" w:hAnsi="Times New Roman" w:eastAsia="仿宋_GB2312" w:cs="Times New Roman"/>
          <w:kern w:val="2"/>
          <w:sz w:val="32"/>
          <w:szCs w:val="32"/>
          <w:lang w:val="en-US" w:eastAsia="zh-CN" w:bidi="ar-SA"/>
        </w:rPr>
        <w:t xml:space="preserve"> </w:t>
      </w:r>
      <w:r>
        <w:rPr>
          <w:rFonts w:hint="eastAsia" w:ascii="Times New Roman" w:hAnsi="Times New Roman" w:eastAsia="仿宋_GB2312" w:cs="Times New Roman"/>
          <w:kern w:val="2"/>
          <w:sz w:val="32"/>
          <w:szCs w:val="32"/>
          <w:lang w:val="en-US" w:eastAsia="zh-CN" w:bidi="ar-SA"/>
        </w:rPr>
        <w:t>65</w:t>
      </w:r>
      <w:r>
        <w:rPr>
          <w:rFonts w:hint="default"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 xml:space="preserve"> | </w:t>
      </w:r>
      <w:r>
        <w:rPr>
          <w:rFonts w:hint="default" w:ascii="Times New Roman" w:hAnsi="Times New Roman" w:eastAsia="仿宋_GB2312" w:cs="Times New Roman"/>
          <w:kern w:val="2"/>
          <w:sz w:val="32"/>
          <w:szCs w:val="32"/>
          <w:lang w:val="en-US" w:eastAsia="zh-CN" w:bidi="ar-SA"/>
        </w:rPr>
        <w:t xml:space="preserve">   </w:t>
      </w:r>
      <w:r>
        <w:rPr>
          <w:rFonts w:hint="eastAsia" w:ascii="Times New Roman" w:hAnsi="Times New Roman" w:eastAsia="仿宋_GB2312" w:cs="Times New Roman"/>
          <w:kern w:val="2"/>
          <w:sz w:val="32"/>
          <w:szCs w:val="32"/>
          <w:lang w:val="en-US" w:eastAsia="zh-CN" w:bidi="ar-SA"/>
        </w:rPr>
        <w:t>59.4</w:t>
      </w:r>
      <w:r>
        <w:rPr>
          <w:rFonts w:hint="default"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 xml:space="preserve">| </w:t>
      </w:r>
      <w:r>
        <w:rPr>
          <w:rFonts w:hint="default" w:ascii="Times New Roman" w:hAnsi="Times New Roman" w:eastAsia="仿宋_GB2312" w:cs="Times New Roman"/>
          <w:kern w:val="2"/>
          <w:sz w:val="32"/>
          <w:szCs w:val="32"/>
          <w:lang w:val="en-US" w:eastAsia="zh-CN" w:bidi="ar-SA"/>
        </w:rPr>
        <w:t xml:space="preserve"> </w:t>
      </w:r>
      <w:r>
        <w:rPr>
          <w:rFonts w:hint="eastAsia" w:ascii="Times New Roman" w:hAnsi="Times New Roman" w:eastAsia="仿宋_GB2312" w:cs="Times New Roman"/>
          <w:kern w:val="2"/>
          <w:sz w:val="32"/>
          <w:szCs w:val="32"/>
          <w:lang w:val="en-US" w:eastAsia="zh-CN" w:bidi="ar-SA"/>
        </w:rPr>
        <w:t>91.38</w:t>
      </w:r>
      <w:r>
        <w:rPr>
          <w:rFonts w:hint="default" w:ascii="Times New Roman" w:hAnsi="Times New Roman" w:eastAsia="仿宋_GB2312" w:cs="Times New Roman"/>
          <w:kern w:val="2"/>
          <w:sz w:val="32"/>
          <w:szCs w:val="32"/>
          <w:lang w:val="zh-CN" w:eastAsia="zh-CN" w:bidi="ar-SA"/>
        </w:rPr>
        <w:t>%</w:t>
      </w:r>
      <w:r>
        <w:rPr>
          <w:rFonts w:hint="default" w:ascii="Times New Roman" w:hAnsi="Times New Roman" w:eastAsia="仿宋_GB2312" w:cs="Times New Roman"/>
          <w:kern w:val="2"/>
          <w:sz w:val="32"/>
          <w:szCs w:val="32"/>
          <w:lang w:val="en-US" w:eastAsia="zh-CN" w:bidi="ar-SA"/>
        </w:rPr>
        <w:t xml:space="preserve"> </w:t>
      </w:r>
      <w:r>
        <w:rPr>
          <w:rFonts w:hint="default" w:ascii="Times New Roman" w:hAnsi="Times New Roman" w:eastAsia="仿宋_GB2312" w:cs="Times New Roman"/>
          <w:kern w:val="2"/>
          <w:sz w:val="32"/>
          <w:szCs w:val="32"/>
          <w:lang w:val="zh-CN" w:eastAsia="zh-CN" w:bidi="ar-SA"/>
        </w:rPr>
        <w:t>|</w:t>
      </w:r>
    </w:p>
    <w:p>
      <w:pPr>
        <w:keepNext w:val="0"/>
        <w:keepLines w:val="0"/>
        <w:pageBreakBefore w:val="0"/>
        <w:widowControl/>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eastAsia="zh-CN"/>
        </w:rPr>
      </w:pPr>
      <w:r>
        <w:rPr>
          <w:rFonts w:hint="eastAsia" w:ascii="Times New Roman" w:hAnsi="Times New Roman" w:eastAsia="仿宋_GB2312" w:cs="Times New Roman"/>
          <w:b/>
          <w:bCs/>
          <w:color w:val="000000"/>
          <w:kern w:val="0"/>
          <w:sz w:val="32"/>
          <w:szCs w:val="32"/>
          <w:highlight w:val="none"/>
          <w:shd w:val="clear" w:color="auto" w:fill="FFFFFF"/>
          <w:lang w:val="en-US" w:eastAsia="zh-CN"/>
        </w:rPr>
        <w:t>1.</w:t>
      </w:r>
      <w:r>
        <w:rPr>
          <w:rFonts w:hint="default" w:ascii="Times New Roman" w:hAnsi="Times New Roman" w:eastAsia="仿宋_GB2312" w:cs="Times New Roman"/>
          <w:b/>
          <w:bCs/>
          <w:color w:val="000000"/>
          <w:kern w:val="0"/>
          <w:sz w:val="32"/>
          <w:szCs w:val="32"/>
          <w:highlight w:val="none"/>
          <w:shd w:val="clear" w:color="auto" w:fill="FFFFFF"/>
          <w:lang w:val="en-US" w:eastAsia="zh-CN"/>
        </w:rPr>
        <w:t>常年项目绩效分析。</w:t>
      </w:r>
      <w:r>
        <w:rPr>
          <w:rFonts w:hint="default" w:ascii="Times New Roman" w:hAnsi="Times New Roman" w:eastAsia="仿宋_GB2312" w:cs="Times New Roman"/>
          <w:color w:val="000000"/>
          <w:kern w:val="0"/>
          <w:sz w:val="32"/>
          <w:szCs w:val="32"/>
          <w:highlight w:val="none"/>
          <w:shd w:val="clear" w:color="auto" w:fill="FFFFFF"/>
          <w:lang w:val="zh-CN" w:eastAsia="zh-CN"/>
        </w:rPr>
        <w:t>该类项目总数</w:t>
      </w:r>
      <w:r>
        <w:rPr>
          <w:rFonts w:hint="eastAsia" w:ascii="Times New Roman" w:hAnsi="Times New Roman" w:eastAsia="仿宋_GB2312" w:cs="Times New Roman"/>
          <w:color w:val="000000"/>
          <w:kern w:val="0"/>
          <w:sz w:val="32"/>
          <w:szCs w:val="32"/>
          <w:highlight w:val="none"/>
          <w:shd w:val="clear" w:color="auto" w:fill="FFFFFF"/>
          <w:lang w:val="en-US" w:eastAsia="zh-CN"/>
        </w:rPr>
        <w:t>5</w:t>
      </w:r>
      <w:r>
        <w:rPr>
          <w:rFonts w:hint="default" w:ascii="Times New Roman" w:hAnsi="Times New Roman" w:eastAsia="仿宋_GB2312" w:cs="Times New Roman"/>
          <w:color w:val="000000"/>
          <w:kern w:val="0"/>
          <w:sz w:val="32"/>
          <w:szCs w:val="32"/>
          <w:highlight w:val="none"/>
          <w:shd w:val="clear" w:color="auto" w:fill="FFFFFF"/>
          <w:lang w:val="zh-CN" w:eastAsia="zh-CN"/>
        </w:rPr>
        <w:t>个，涉及预算总金额</w:t>
      </w:r>
      <w:r>
        <w:rPr>
          <w:rFonts w:hint="default" w:ascii="Times New Roman" w:hAnsi="Times New Roman" w:eastAsia="仿宋_GB2312" w:cs="Times New Roman"/>
          <w:color w:val="000000"/>
          <w:kern w:val="0"/>
          <w:sz w:val="32"/>
          <w:szCs w:val="32"/>
          <w:highlight w:val="none"/>
          <w:shd w:val="clear" w:color="auto" w:fill="FFFFFF"/>
          <w:lang w:val="en-US" w:eastAsia="zh-CN"/>
        </w:rPr>
        <w:t xml:space="preserve">   </w:t>
      </w:r>
      <w:r>
        <w:rPr>
          <w:rFonts w:hint="eastAsia" w:ascii="Times New Roman" w:hAnsi="Times New Roman" w:eastAsia="仿宋_GB2312" w:cs="Times New Roman"/>
          <w:color w:val="000000"/>
          <w:kern w:val="0"/>
          <w:sz w:val="32"/>
          <w:szCs w:val="32"/>
          <w:highlight w:val="none"/>
          <w:shd w:val="clear" w:color="auto" w:fill="FFFFFF"/>
          <w:lang w:val="en-US" w:eastAsia="zh-CN"/>
        </w:rPr>
        <w:t>129.56</w:t>
      </w:r>
      <w:r>
        <w:rPr>
          <w:rFonts w:hint="default" w:ascii="Times New Roman" w:hAnsi="Times New Roman" w:eastAsia="仿宋_GB2312" w:cs="Times New Roman"/>
          <w:color w:val="000000"/>
          <w:kern w:val="0"/>
          <w:sz w:val="32"/>
          <w:szCs w:val="32"/>
          <w:highlight w:val="none"/>
          <w:shd w:val="clear" w:color="auto" w:fill="FFFFFF"/>
          <w:lang w:val="zh-CN" w:eastAsia="zh-CN"/>
        </w:rPr>
        <w:t>万元，</w:t>
      </w:r>
      <w:r>
        <w:rPr>
          <w:rFonts w:hint="default" w:ascii="Times New Roman" w:hAnsi="Times New Roman" w:eastAsia="仿宋_GB2312" w:cs="Times New Roman"/>
          <w:color w:val="000000"/>
          <w:kern w:val="0"/>
          <w:sz w:val="32"/>
          <w:szCs w:val="32"/>
          <w:highlight w:val="none"/>
          <w:shd w:val="clear" w:color="auto" w:fill="FFFFFF"/>
          <w:lang w:val="zh-CN"/>
        </w:rPr>
        <w:t>1</w:t>
      </w:r>
      <w:r>
        <w:rPr>
          <w:rFonts w:hint="eastAsia" w:ascii="Times New Roman" w:hAnsi="Times New Roman" w:eastAsia="仿宋_GB2312" w:cs="Times New Roman"/>
          <w:color w:val="000000"/>
          <w:kern w:val="0"/>
          <w:sz w:val="32"/>
          <w:szCs w:val="32"/>
          <w:highlight w:val="none"/>
          <w:shd w:val="clear" w:color="auto" w:fill="FFFFFF"/>
          <w:lang w:val="zh-CN" w:eastAsia="zh-CN"/>
        </w:rPr>
        <w:t>—</w:t>
      </w:r>
      <w:r>
        <w:rPr>
          <w:rFonts w:hint="default" w:ascii="Times New Roman" w:hAnsi="Times New Roman" w:eastAsia="仿宋_GB2312" w:cs="Times New Roman"/>
          <w:color w:val="000000"/>
          <w:kern w:val="0"/>
          <w:sz w:val="32"/>
          <w:szCs w:val="32"/>
          <w:highlight w:val="none"/>
          <w:shd w:val="clear" w:color="auto" w:fill="FFFFFF"/>
          <w:lang w:val="zh-CN"/>
        </w:rPr>
        <w:t>1</w:t>
      </w:r>
      <w:r>
        <w:rPr>
          <w:rFonts w:hint="default" w:ascii="Times New Roman" w:hAnsi="Times New Roman" w:eastAsia="仿宋_GB2312" w:cs="Times New Roman"/>
          <w:color w:val="000000"/>
          <w:kern w:val="0"/>
          <w:sz w:val="32"/>
          <w:szCs w:val="32"/>
          <w:highlight w:val="none"/>
          <w:shd w:val="clear" w:color="auto" w:fill="FFFFFF"/>
          <w:lang w:val="en-US" w:eastAsia="zh-CN"/>
        </w:rPr>
        <w:t>2</w:t>
      </w:r>
      <w:r>
        <w:rPr>
          <w:rFonts w:hint="default" w:ascii="Times New Roman" w:hAnsi="Times New Roman" w:eastAsia="仿宋_GB2312" w:cs="Times New Roman"/>
          <w:color w:val="000000"/>
          <w:kern w:val="0"/>
          <w:sz w:val="32"/>
          <w:szCs w:val="32"/>
          <w:highlight w:val="none"/>
          <w:shd w:val="clear" w:color="auto" w:fill="FFFFFF"/>
          <w:lang w:val="zh-CN"/>
        </w:rPr>
        <w:t>月预算执行总体进度为</w:t>
      </w:r>
      <w:r>
        <w:rPr>
          <w:rFonts w:hint="eastAsia" w:ascii="Times New Roman" w:hAnsi="Times New Roman" w:eastAsia="仿宋_GB2312" w:cs="Times New Roman"/>
          <w:color w:val="000000"/>
          <w:kern w:val="0"/>
          <w:sz w:val="32"/>
          <w:szCs w:val="32"/>
          <w:highlight w:val="none"/>
          <w:shd w:val="clear" w:color="auto" w:fill="FFFFFF"/>
          <w:lang w:val="en-US" w:eastAsia="zh-CN"/>
        </w:rPr>
        <w:t>97.93</w:t>
      </w:r>
      <w:r>
        <w:rPr>
          <w:rFonts w:hint="default" w:ascii="Times New Roman" w:hAnsi="Times New Roman" w:eastAsia="仿宋_GB2312" w:cs="Times New Roman"/>
          <w:color w:val="000000"/>
          <w:kern w:val="0"/>
          <w:sz w:val="32"/>
          <w:szCs w:val="32"/>
          <w:highlight w:val="none"/>
          <w:shd w:val="clear" w:color="auto" w:fill="FFFFFF"/>
          <w:lang w:val="zh-CN"/>
        </w:rPr>
        <w:t>%，其中：</w:t>
      </w:r>
      <w:r>
        <w:rPr>
          <w:rFonts w:hint="default" w:ascii="Times New Roman" w:hAnsi="Times New Roman" w:eastAsia="仿宋_GB2312" w:cs="Times New Roman"/>
          <w:color w:val="000000"/>
          <w:kern w:val="0"/>
          <w:sz w:val="32"/>
          <w:szCs w:val="32"/>
          <w:highlight w:val="none"/>
          <w:shd w:val="clear" w:color="auto" w:fill="FFFFFF"/>
          <w:lang w:val="zh-CN" w:eastAsia="zh-CN"/>
        </w:rPr>
        <w:t>预算结余率大于</w:t>
      </w:r>
      <w:r>
        <w:rPr>
          <w:rFonts w:hint="default" w:ascii="Times New Roman" w:hAnsi="Times New Roman" w:eastAsia="仿宋_GB2312" w:cs="Times New Roman"/>
          <w:color w:val="000000"/>
          <w:kern w:val="0"/>
          <w:sz w:val="32"/>
          <w:szCs w:val="32"/>
          <w:highlight w:val="none"/>
          <w:shd w:val="clear" w:color="auto" w:fill="FFFFFF"/>
          <w:lang w:val="en-US" w:eastAsia="zh-CN"/>
        </w:rPr>
        <w:t>10%</w:t>
      </w:r>
      <w:r>
        <w:rPr>
          <w:rFonts w:hint="default" w:ascii="Times New Roman" w:hAnsi="Times New Roman" w:eastAsia="仿宋_GB2312" w:cs="Times New Roman"/>
          <w:color w:val="000000"/>
          <w:kern w:val="0"/>
          <w:sz w:val="32"/>
          <w:szCs w:val="32"/>
          <w:highlight w:val="none"/>
          <w:shd w:val="clear" w:color="auto" w:fill="FFFFFF"/>
          <w:lang w:val="zh-CN" w:eastAsia="zh-CN"/>
        </w:rPr>
        <w:t>的项目共计</w:t>
      </w:r>
      <w:r>
        <w:rPr>
          <w:rFonts w:hint="eastAsia" w:ascii="Times New Roman" w:hAnsi="Times New Roman" w:eastAsia="仿宋_GB2312" w:cs="Times New Roman"/>
          <w:color w:val="000000"/>
          <w:kern w:val="0"/>
          <w:sz w:val="32"/>
          <w:szCs w:val="32"/>
          <w:highlight w:val="none"/>
          <w:shd w:val="clear" w:color="auto" w:fill="FFFFFF"/>
          <w:lang w:val="en-US" w:eastAsia="zh-CN"/>
        </w:rPr>
        <w:t>0</w:t>
      </w:r>
      <w:r>
        <w:rPr>
          <w:rFonts w:hint="default" w:ascii="Times New Roman" w:hAnsi="Times New Roman" w:eastAsia="仿宋_GB2312" w:cs="Times New Roman"/>
          <w:color w:val="000000"/>
          <w:kern w:val="0"/>
          <w:sz w:val="32"/>
          <w:szCs w:val="32"/>
          <w:highlight w:val="none"/>
          <w:shd w:val="clear" w:color="auto" w:fill="FFFFFF"/>
          <w:lang w:val="zh-CN" w:eastAsia="zh-CN"/>
        </w:rPr>
        <w:t>个。</w:t>
      </w:r>
    </w:p>
    <w:p>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1</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default" w:ascii="Times New Roman" w:hAnsi="Times New Roman" w:eastAsia="仿宋_GB2312" w:cs="Times New Roman"/>
          <w:color w:val="000000"/>
          <w:kern w:val="0"/>
          <w:sz w:val="32"/>
          <w:szCs w:val="32"/>
          <w:highlight w:val="none"/>
          <w:shd w:val="clear" w:color="auto" w:fill="FFFFFF"/>
          <w:lang w:val="zh-CN"/>
        </w:rPr>
        <w:t>项目决策（</w:t>
      </w:r>
      <w:r>
        <w:rPr>
          <w:rFonts w:hint="eastAsia" w:ascii="Times New Roman" w:hAnsi="Times New Roman" w:eastAsia="仿宋_GB2312" w:cs="Times New Roman"/>
          <w:color w:val="000000"/>
          <w:kern w:val="0"/>
          <w:sz w:val="32"/>
          <w:szCs w:val="32"/>
          <w:highlight w:val="none"/>
          <w:shd w:val="clear" w:color="auto" w:fill="FFFFFF"/>
          <w:lang w:val="en-US" w:eastAsia="zh-CN"/>
        </w:rPr>
        <w:t>12分</w:t>
      </w:r>
      <w:r>
        <w:rPr>
          <w:rFonts w:hint="default" w:ascii="Times New Roman" w:hAnsi="Times New Roman" w:eastAsia="仿宋_GB2312" w:cs="Times New Roman"/>
          <w:color w:val="000000"/>
          <w:kern w:val="0"/>
          <w:sz w:val="32"/>
          <w:szCs w:val="32"/>
          <w:highlight w:val="none"/>
          <w:shd w:val="clear" w:color="auto" w:fill="FFFFFF"/>
          <w:lang w:val="zh-CN"/>
        </w:rPr>
        <w:t>）</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决策程序：项目立项符合部门规划，审批流程规范</w:t>
      </w:r>
      <w:r>
        <w:rPr>
          <w:rFonts w:hint="eastAsia" w:ascii="Times New Roman" w:hAnsi="Times New Roman" w:eastAsia="仿宋_GB2312" w:cs="Times New Roman"/>
          <w:color w:val="000000"/>
          <w:kern w:val="0"/>
          <w:sz w:val="32"/>
          <w:szCs w:val="32"/>
          <w:highlight w:val="none"/>
          <w:shd w:val="clear" w:color="auto" w:fill="FFFFFF"/>
          <w:lang w:val="zh-CN"/>
        </w:rPr>
        <w:t>。</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目标设置：绩效目标清晰，但需加强量化指标的细化。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项目入库：均纳入财政项目库管理，入库资料完整。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en-US"/>
        </w:rPr>
      </w:pPr>
      <w:r>
        <w:rPr>
          <w:rFonts w:hint="default" w:ascii="Times New Roman" w:hAnsi="Times New Roman" w:eastAsia="仿宋_GB2312" w:cs="Times New Roman"/>
          <w:color w:val="000000"/>
          <w:kern w:val="0"/>
          <w:sz w:val="32"/>
          <w:szCs w:val="32"/>
          <w:highlight w:val="none"/>
          <w:shd w:val="clear" w:color="auto" w:fill="FFFFFF"/>
          <w:lang w:val="zh-CN"/>
        </w:rPr>
        <w:t>评分：</w:t>
      </w:r>
      <w:r>
        <w:rPr>
          <w:rFonts w:hint="eastAsia" w:ascii="Times New Roman" w:hAnsi="Times New Roman" w:eastAsia="仿宋_GB2312" w:cs="Times New Roman"/>
          <w:color w:val="000000"/>
          <w:kern w:val="0"/>
          <w:sz w:val="32"/>
          <w:szCs w:val="32"/>
          <w:highlight w:val="none"/>
          <w:shd w:val="clear" w:color="auto" w:fill="FFFFFF"/>
          <w:lang w:val="en-US" w:eastAsia="zh-CN"/>
        </w:rPr>
        <w:t>11分</w:t>
      </w:r>
    </w:p>
    <w:p>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2</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default" w:ascii="Times New Roman" w:hAnsi="Times New Roman" w:eastAsia="仿宋_GB2312" w:cs="Times New Roman"/>
          <w:color w:val="000000"/>
          <w:kern w:val="0"/>
          <w:sz w:val="32"/>
          <w:szCs w:val="32"/>
          <w:highlight w:val="none"/>
          <w:shd w:val="clear" w:color="auto" w:fill="FFFFFF"/>
          <w:lang w:val="zh-CN"/>
        </w:rPr>
        <w:t>项目执行（</w:t>
      </w:r>
      <w:r>
        <w:rPr>
          <w:rFonts w:hint="eastAsia" w:ascii="Times New Roman" w:hAnsi="Times New Roman" w:eastAsia="仿宋_GB2312" w:cs="Times New Roman"/>
          <w:color w:val="000000"/>
          <w:kern w:val="0"/>
          <w:sz w:val="32"/>
          <w:szCs w:val="32"/>
          <w:highlight w:val="none"/>
          <w:shd w:val="clear" w:color="auto" w:fill="FFFFFF"/>
          <w:lang w:val="en-US" w:eastAsia="zh-CN"/>
        </w:rPr>
        <w:t>12分</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资金执行同向：资金使用与计划高度匹配。</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项目调整：无重大调整，个别项目因进度优化微调资金。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执行结果：完成预期产出，结余资金</w:t>
      </w:r>
      <w:r>
        <w:rPr>
          <w:rFonts w:hint="eastAsia" w:ascii="Times New Roman" w:hAnsi="Times New Roman" w:eastAsia="仿宋_GB2312" w:cs="Times New Roman"/>
          <w:color w:val="000000"/>
          <w:kern w:val="0"/>
          <w:sz w:val="32"/>
          <w:szCs w:val="32"/>
          <w:highlight w:val="none"/>
          <w:shd w:val="clear" w:color="auto" w:fill="FFFFFF"/>
          <w:lang w:val="en-US" w:eastAsia="zh-CN"/>
        </w:rPr>
        <w:t>2.68</w:t>
      </w:r>
      <w:r>
        <w:rPr>
          <w:rFonts w:hint="default" w:ascii="Times New Roman" w:hAnsi="Times New Roman" w:eastAsia="仿宋_GB2312" w:cs="Times New Roman"/>
          <w:color w:val="000000"/>
          <w:kern w:val="0"/>
          <w:sz w:val="32"/>
          <w:szCs w:val="32"/>
          <w:highlight w:val="none"/>
          <w:shd w:val="clear" w:color="auto" w:fill="FFFFFF"/>
          <w:lang w:val="zh-CN"/>
        </w:rPr>
        <w:t>万元（</w:t>
      </w:r>
      <w:r>
        <w:rPr>
          <w:rFonts w:hint="eastAsia" w:ascii="Times New Roman" w:hAnsi="Times New Roman" w:eastAsia="仿宋_GB2312" w:cs="Times New Roman"/>
          <w:color w:val="000000"/>
          <w:kern w:val="0"/>
          <w:sz w:val="32"/>
          <w:szCs w:val="32"/>
          <w:highlight w:val="none"/>
          <w:shd w:val="clear" w:color="auto" w:fill="FFFFFF"/>
          <w:lang w:val="en-US" w:eastAsia="zh-CN"/>
        </w:rPr>
        <w:t>2..06</w:t>
      </w:r>
      <w:r>
        <w:rPr>
          <w:rFonts w:hint="default" w:ascii="Times New Roman" w:hAnsi="Times New Roman" w:eastAsia="仿宋_GB2312" w:cs="Times New Roman"/>
          <w:color w:val="000000"/>
          <w:kern w:val="0"/>
          <w:sz w:val="32"/>
          <w:szCs w:val="32"/>
          <w:highlight w:val="none"/>
          <w:shd w:val="clear" w:color="auto" w:fill="FFFFFF"/>
          <w:lang w:val="zh-CN"/>
        </w:rPr>
        <w:t xml:space="preserve">%），符合规定。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评分：</w:t>
      </w:r>
      <w:r>
        <w:rPr>
          <w:rFonts w:hint="eastAsia" w:ascii="Times New Roman" w:hAnsi="Times New Roman" w:eastAsia="仿宋_GB2312" w:cs="Times New Roman"/>
          <w:color w:val="000000"/>
          <w:kern w:val="0"/>
          <w:sz w:val="32"/>
          <w:szCs w:val="32"/>
          <w:highlight w:val="none"/>
          <w:shd w:val="clear" w:color="auto" w:fill="FFFFFF"/>
          <w:lang w:val="en-US" w:eastAsia="zh-CN"/>
        </w:rPr>
        <w:t>12分</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3</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default" w:ascii="Times New Roman" w:hAnsi="Times New Roman" w:eastAsia="仿宋_GB2312" w:cs="Times New Roman"/>
          <w:color w:val="000000"/>
          <w:kern w:val="0"/>
          <w:sz w:val="32"/>
          <w:szCs w:val="32"/>
          <w:highlight w:val="none"/>
          <w:shd w:val="clear" w:color="auto" w:fill="FFFFFF"/>
          <w:lang w:val="zh-CN"/>
        </w:rPr>
        <w:t>目标实现（</w:t>
      </w:r>
      <w:r>
        <w:rPr>
          <w:rFonts w:hint="eastAsia" w:ascii="Times New Roman" w:hAnsi="Times New Roman" w:eastAsia="仿宋_GB2312" w:cs="Times New Roman"/>
          <w:color w:val="000000"/>
          <w:kern w:val="0"/>
          <w:sz w:val="32"/>
          <w:szCs w:val="32"/>
          <w:highlight w:val="none"/>
          <w:shd w:val="clear" w:color="auto" w:fill="FFFFFF"/>
          <w:lang w:val="en-US" w:eastAsia="zh-CN"/>
        </w:rPr>
        <w:t>11分</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目标完成：</w:t>
      </w:r>
      <w:r>
        <w:rPr>
          <w:rFonts w:hint="eastAsia" w:ascii="Times New Roman" w:hAnsi="Times New Roman" w:eastAsia="仿宋_GB2312" w:cs="Times New Roman"/>
          <w:color w:val="000000"/>
          <w:kern w:val="0"/>
          <w:sz w:val="32"/>
          <w:szCs w:val="32"/>
          <w:highlight w:val="none"/>
          <w:shd w:val="clear" w:color="auto" w:fill="FFFFFF"/>
          <w:lang w:val="en-US" w:eastAsia="zh-CN"/>
        </w:rPr>
        <w:t>5</w:t>
      </w:r>
      <w:r>
        <w:rPr>
          <w:rFonts w:hint="default" w:ascii="Times New Roman" w:hAnsi="Times New Roman" w:eastAsia="仿宋_GB2312" w:cs="Times New Roman"/>
          <w:color w:val="000000"/>
          <w:kern w:val="0"/>
          <w:sz w:val="32"/>
          <w:szCs w:val="32"/>
          <w:highlight w:val="none"/>
          <w:shd w:val="clear" w:color="auto" w:fill="FFFFFF"/>
          <w:lang w:val="zh-CN"/>
        </w:rPr>
        <w:t>个项目均完成核心绩效指标</w:t>
      </w:r>
      <w:r>
        <w:rPr>
          <w:rFonts w:hint="eastAsia" w:ascii="Times New Roman" w:hAnsi="Times New Roman" w:eastAsia="仿宋_GB2312" w:cs="Times New Roman"/>
          <w:color w:val="000000"/>
          <w:kern w:val="0"/>
          <w:sz w:val="32"/>
          <w:szCs w:val="32"/>
          <w:highlight w:val="none"/>
          <w:shd w:val="clear" w:color="auto" w:fill="FFFFFF"/>
          <w:lang w:val="zh-CN"/>
        </w:rPr>
        <w:t>。</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目标偏离：</w:t>
      </w:r>
      <w:r>
        <w:rPr>
          <w:rFonts w:hint="eastAsia" w:ascii="Times New Roman" w:hAnsi="Times New Roman" w:eastAsia="仿宋_GB2312" w:cs="Times New Roman"/>
          <w:color w:val="000000"/>
          <w:kern w:val="0"/>
          <w:sz w:val="32"/>
          <w:szCs w:val="32"/>
          <w:highlight w:val="none"/>
          <w:shd w:val="clear" w:color="auto" w:fill="FFFFFF"/>
          <w:lang w:val="en-US" w:eastAsia="zh-CN"/>
        </w:rPr>
        <w:t>1</w:t>
      </w:r>
      <w:r>
        <w:rPr>
          <w:rFonts w:hint="default" w:ascii="Times New Roman" w:hAnsi="Times New Roman" w:eastAsia="仿宋_GB2312" w:cs="Times New Roman"/>
          <w:color w:val="000000"/>
          <w:kern w:val="0"/>
          <w:sz w:val="32"/>
          <w:szCs w:val="32"/>
          <w:highlight w:val="none"/>
          <w:shd w:val="clear" w:color="auto" w:fill="FFFFFF"/>
          <w:lang w:val="zh-CN"/>
        </w:rPr>
        <w:t>个项目因外部因素</w:t>
      </w:r>
      <w:r>
        <w:rPr>
          <w:rFonts w:hint="eastAsia" w:ascii="Times New Roman" w:hAnsi="Times New Roman" w:eastAsia="仿宋_GB2312" w:cs="Times New Roman"/>
          <w:color w:val="000000"/>
          <w:kern w:val="0"/>
          <w:sz w:val="32"/>
          <w:szCs w:val="32"/>
          <w:highlight w:val="none"/>
          <w:shd w:val="clear" w:color="auto" w:fill="FFFFFF"/>
          <w:lang w:val="en-US" w:eastAsia="zh-CN"/>
        </w:rPr>
        <w:t>降低成本指标，</w:t>
      </w:r>
      <w:r>
        <w:rPr>
          <w:rFonts w:hint="default" w:ascii="Times New Roman" w:hAnsi="Times New Roman" w:eastAsia="仿宋_GB2312" w:cs="Times New Roman"/>
          <w:color w:val="000000"/>
          <w:kern w:val="0"/>
          <w:sz w:val="32"/>
          <w:szCs w:val="32"/>
          <w:highlight w:val="none"/>
          <w:shd w:val="clear" w:color="auto" w:fill="FFFFFF"/>
          <w:lang w:val="zh-CN"/>
        </w:rPr>
        <w:t xml:space="preserve">偏差率&lt;5%。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实现效果：社会效益显著，但需加强满意度调查。  </w:t>
      </w:r>
    </w:p>
    <w:p>
      <w:pPr>
        <w:keepNext w:val="0"/>
        <w:keepLines w:val="0"/>
        <w:pageBreakBefore w:val="0"/>
        <w:widowControl w:val="0"/>
        <w:kinsoku/>
        <w:wordWrap/>
        <w:overflowPunct/>
        <w:topLinePunct w:val="0"/>
        <w:autoSpaceDE/>
        <w:autoSpaceDN/>
        <w:bidi w:val="0"/>
        <w:spacing w:line="576" w:lineRule="exact"/>
        <w:ind w:left="1060" w:leftChars="200" w:hanging="640" w:hangingChars="200"/>
        <w:jc w:val="both"/>
        <w:textAlignment w:val="auto"/>
        <w:outlineLvl w:val="9"/>
        <w:rPr>
          <w:rFonts w:hint="default" w:ascii="Times New Roman" w:hAnsi="Times New Roman" w:eastAsia="仿宋_GB2312" w:cs="Times New Roman"/>
          <w:kern w:val="2"/>
          <w:sz w:val="32"/>
          <w:szCs w:val="24"/>
          <w:lang w:val="en-US" w:eastAsia="zh-CN" w:bidi="ar-SA"/>
        </w:rPr>
      </w:pPr>
      <w:r>
        <w:rPr>
          <w:rFonts w:hint="default" w:ascii="Times New Roman" w:hAnsi="Times New Roman" w:eastAsia="仿宋_GB2312" w:cs="Times New Roman"/>
          <w:color w:val="000000"/>
          <w:kern w:val="0"/>
          <w:sz w:val="32"/>
          <w:szCs w:val="32"/>
          <w:highlight w:val="none"/>
          <w:shd w:val="clear" w:color="auto" w:fill="FFFFFF"/>
          <w:lang w:val="zh-CN" w:eastAsia="zh-CN" w:bidi="ar-SA"/>
        </w:rPr>
        <w:t>评分：</w:t>
      </w:r>
      <w:r>
        <w:rPr>
          <w:rFonts w:hint="eastAsia" w:ascii="Times New Roman" w:hAnsi="Times New Roman" w:eastAsia="仿宋_GB2312" w:cs="Times New Roman"/>
          <w:color w:val="000000"/>
          <w:kern w:val="0"/>
          <w:sz w:val="32"/>
          <w:szCs w:val="32"/>
          <w:highlight w:val="none"/>
          <w:shd w:val="clear" w:color="auto" w:fill="FFFFFF"/>
          <w:lang w:val="en-US" w:eastAsia="zh-CN" w:bidi="ar-SA"/>
        </w:rPr>
        <w:t>11分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eastAsia="zh-CN"/>
        </w:rPr>
      </w:pPr>
      <w:r>
        <w:rPr>
          <w:rFonts w:hint="eastAsia" w:ascii="Times New Roman" w:hAnsi="Times New Roman" w:eastAsia="仿宋_GB2312" w:cs="Times New Roman"/>
          <w:b/>
          <w:bCs/>
          <w:color w:val="000000"/>
          <w:kern w:val="0"/>
          <w:sz w:val="32"/>
          <w:szCs w:val="32"/>
          <w:highlight w:val="none"/>
          <w:shd w:val="clear" w:color="auto" w:fill="FFFFFF"/>
          <w:lang w:val="en-US" w:eastAsia="zh-CN"/>
        </w:rPr>
        <w:t>2.</w:t>
      </w:r>
      <w:r>
        <w:rPr>
          <w:rFonts w:hint="default" w:ascii="Times New Roman" w:hAnsi="Times New Roman" w:eastAsia="仿宋_GB2312" w:cs="Times New Roman"/>
          <w:b/>
          <w:bCs/>
          <w:color w:val="000000"/>
          <w:kern w:val="0"/>
          <w:sz w:val="32"/>
          <w:szCs w:val="32"/>
          <w:highlight w:val="none"/>
          <w:shd w:val="clear" w:color="auto" w:fill="FFFFFF"/>
          <w:lang w:val="en-US" w:eastAsia="zh-CN"/>
        </w:rPr>
        <w:t>阶段（</w:t>
      </w:r>
      <w:r>
        <w:rPr>
          <w:rFonts w:hint="eastAsia" w:ascii="Times New Roman" w:hAnsi="Times New Roman" w:eastAsia="仿宋_GB2312" w:cs="Times New Roman"/>
          <w:b/>
          <w:bCs/>
          <w:color w:val="000000"/>
          <w:kern w:val="0"/>
          <w:sz w:val="32"/>
          <w:szCs w:val="32"/>
          <w:highlight w:val="none"/>
          <w:shd w:val="clear" w:color="auto" w:fill="FFFFFF"/>
          <w:lang w:val="en-US" w:eastAsia="zh-CN"/>
        </w:rPr>
        <w:t>含</w:t>
      </w:r>
      <w:r>
        <w:rPr>
          <w:rFonts w:hint="default" w:ascii="Times New Roman" w:hAnsi="Times New Roman" w:eastAsia="仿宋_GB2312" w:cs="Times New Roman"/>
          <w:b/>
          <w:bCs/>
          <w:color w:val="000000"/>
          <w:kern w:val="0"/>
          <w:sz w:val="32"/>
          <w:szCs w:val="32"/>
          <w:highlight w:val="none"/>
          <w:shd w:val="clear" w:color="auto" w:fill="FFFFFF"/>
          <w:lang w:val="en-US" w:eastAsia="zh-CN"/>
        </w:rPr>
        <w:t>一次性）项目绩效分析。</w:t>
      </w:r>
      <w:r>
        <w:rPr>
          <w:rFonts w:hint="default" w:ascii="Times New Roman" w:hAnsi="Times New Roman" w:eastAsia="仿宋_GB2312" w:cs="Times New Roman"/>
          <w:color w:val="000000"/>
          <w:kern w:val="0"/>
          <w:sz w:val="32"/>
          <w:szCs w:val="32"/>
          <w:highlight w:val="none"/>
          <w:shd w:val="clear" w:color="auto" w:fill="FFFFFF"/>
          <w:lang w:val="zh-CN" w:eastAsia="zh-CN"/>
        </w:rPr>
        <w:t>该类项目总数</w:t>
      </w:r>
      <w:r>
        <w:rPr>
          <w:rFonts w:hint="eastAsia" w:ascii="Times New Roman" w:hAnsi="Times New Roman" w:eastAsia="仿宋_GB2312" w:cs="Times New Roman"/>
          <w:color w:val="000000"/>
          <w:kern w:val="0"/>
          <w:sz w:val="32"/>
          <w:szCs w:val="32"/>
          <w:highlight w:val="none"/>
          <w:shd w:val="clear" w:color="auto" w:fill="FFFFFF"/>
          <w:lang w:val="en-US" w:eastAsia="zh-CN"/>
        </w:rPr>
        <w:t>2</w:t>
      </w:r>
      <w:r>
        <w:rPr>
          <w:rFonts w:hint="default" w:ascii="Times New Roman" w:hAnsi="Times New Roman" w:eastAsia="仿宋_GB2312" w:cs="Times New Roman"/>
          <w:color w:val="000000"/>
          <w:kern w:val="0"/>
          <w:sz w:val="32"/>
          <w:szCs w:val="32"/>
          <w:highlight w:val="none"/>
          <w:shd w:val="clear" w:color="auto" w:fill="FFFFFF"/>
          <w:lang w:val="zh-CN" w:eastAsia="zh-CN"/>
        </w:rPr>
        <w:t>个，涉及预算总金额</w:t>
      </w:r>
      <w:r>
        <w:rPr>
          <w:rFonts w:hint="eastAsia" w:ascii="Times New Roman" w:hAnsi="Times New Roman" w:eastAsia="仿宋_GB2312" w:cs="Times New Roman"/>
          <w:color w:val="000000"/>
          <w:kern w:val="0"/>
          <w:sz w:val="32"/>
          <w:szCs w:val="32"/>
          <w:highlight w:val="none"/>
          <w:shd w:val="clear" w:color="auto" w:fill="FFFFFF"/>
          <w:lang w:val="en-US" w:eastAsia="zh-CN"/>
        </w:rPr>
        <w:t>52.9</w:t>
      </w:r>
      <w:r>
        <w:rPr>
          <w:rFonts w:hint="default" w:ascii="Times New Roman" w:hAnsi="Times New Roman" w:eastAsia="仿宋_GB2312" w:cs="Times New Roman"/>
          <w:color w:val="000000"/>
          <w:kern w:val="0"/>
          <w:sz w:val="32"/>
          <w:szCs w:val="32"/>
          <w:highlight w:val="none"/>
          <w:shd w:val="clear" w:color="auto" w:fill="FFFFFF"/>
          <w:lang w:val="zh-CN" w:eastAsia="zh-CN"/>
        </w:rPr>
        <w:t>万元，</w:t>
      </w:r>
      <w:r>
        <w:rPr>
          <w:rFonts w:hint="default" w:ascii="Times New Roman" w:hAnsi="Times New Roman" w:eastAsia="仿宋_GB2312" w:cs="Times New Roman"/>
          <w:color w:val="000000"/>
          <w:kern w:val="0"/>
          <w:sz w:val="32"/>
          <w:szCs w:val="32"/>
          <w:highlight w:val="none"/>
          <w:shd w:val="clear" w:color="auto" w:fill="FFFFFF"/>
          <w:lang w:val="zh-CN"/>
        </w:rPr>
        <w:t>1</w:t>
      </w:r>
      <w:r>
        <w:rPr>
          <w:rFonts w:hint="eastAsia" w:ascii="Times New Roman" w:hAnsi="Times New Roman" w:eastAsia="仿宋_GB2312" w:cs="Times New Roman"/>
          <w:color w:val="000000"/>
          <w:kern w:val="0"/>
          <w:sz w:val="32"/>
          <w:szCs w:val="32"/>
          <w:highlight w:val="none"/>
          <w:shd w:val="clear" w:color="auto" w:fill="FFFFFF"/>
          <w:lang w:val="zh-CN" w:eastAsia="zh-CN"/>
        </w:rPr>
        <w:t>—</w:t>
      </w:r>
      <w:r>
        <w:rPr>
          <w:rFonts w:hint="default" w:ascii="Times New Roman" w:hAnsi="Times New Roman" w:eastAsia="仿宋_GB2312" w:cs="Times New Roman"/>
          <w:color w:val="000000"/>
          <w:kern w:val="0"/>
          <w:sz w:val="32"/>
          <w:szCs w:val="32"/>
          <w:highlight w:val="none"/>
          <w:shd w:val="clear" w:color="auto" w:fill="FFFFFF"/>
          <w:lang w:val="zh-CN"/>
        </w:rPr>
        <w:t>1</w:t>
      </w:r>
      <w:r>
        <w:rPr>
          <w:rFonts w:hint="default" w:ascii="Times New Roman" w:hAnsi="Times New Roman" w:eastAsia="仿宋_GB2312" w:cs="Times New Roman"/>
          <w:color w:val="000000"/>
          <w:kern w:val="0"/>
          <w:sz w:val="32"/>
          <w:szCs w:val="32"/>
          <w:highlight w:val="none"/>
          <w:shd w:val="clear" w:color="auto" w:fill="FFFFFF"/>
          <w:lang w:val="en-US" w:eastAsia="zh-CN"/>
        </w:rPr>
        <w:t>2</w:t>
      </w:r>
      <w:r>
        <w:rPr>
          <w:rFonts w:hint="default" w:ascii="Times New Roman" w:hAnsi="Times New Roman" w:eastAsia="仿宋_GB2312" w:cs="Times New Roman"/>
          <w:color w:val="000000"/>
          <w:kern w:val="0"/>
          <w:sz w:val="32"/>
          <w:szCs w:val="32"/>
          <w:highlight w:val="none"/>
          <w:shd w:val="clear" w:color="auto" w:fill="FFFFFF"/>
          <w:lang w:val="zh-CN"/>
        </w:rPr>
        <w:t>月预算执行总体进度为</w:t>
      </w:r>
      <w:r>
        <w:rPr>
          <w:rFonts w:hint="eastAsia" w:ascii="Times New Roman" w:hAnsi="Times New Roman" w:eastAsia="仿宋_GB2312" w:cs="Times New Roman"/>
          <w:color w:val="000000"/>
          <w:kern w:val="0"/>
          <w:sz w:val="32"/>
          <w:szCs w:val="32"/>
          <w:highlight w:val="none"/>
          <w:shd w:val="clear" w:color="auto" w:fill="FFFFFF"/>
          <w:lang w:val="en-US" w:eastAsia="zh-CN"/>
        </w:rPr>
        <w:t>99.62</w:t>
      </w:r>
      <w:r>
        <w:rPr>
          <w:rFonts w:hint="default" w:ascii="Times New Roman" w:hAnsi="Times New Roman" w:eastAsia="仿宋_GB2312" w:cs="Times New Roman"/>
          <w:color w:val="000000"/>
          <w:kern w:val="0"/>
          <w:sz w:val="32"/>
          <w:szCs w:val="32"/>
          <w:highlight w:val="none"/>
          <w:shd w:val="clear" w:color="auto" w:fill="FFFFFF"/>
          <w:lang w:val="zh-CN"/>
        </w:rPr>
        <w:t>%，其中：</w:t>
      </w:r>
      <w:r>
        <w:rPr>
          <w:rFonts w:hint="default" w:ascii="Times New Roman" w:hAnsi="Times New Roman" w:eastAsia="仿宋_GB2312" w:cs="Times New Roman"/>
          <w:color w:val="000000"/>
          <w:kern w:val="0"/>
          <w:sz w:val="32"/>
          <w:szCs w:val="32"/>
          <w:highlight w:val="none"/>
          <w:shd w:val="clear" w:color="auto" w:fill="FFFFFF"/>
          <w:lang w:val="zh-CN" w:eastAsia="zh-CN"/>
        </w:rPr>
        <w:t>预算结余率大于</w:t>
      </w:r>
      <w:r>
        <w:rPr>
          <w:rFonts w:hint="default" w:ascii="Times New Roman" w:hAnsi="Times New Roman" w:eastAsia="仿宋_GB2312" w:cs="Times New Roman"/>
          <w:color w:val="000000"/>
          <w:kern w:val="0"/>
          <w:sz w:val="32"/>
          <w:szCs w:val="32"/>
          <w:highlight w:val="none"/>
          <w:shd w:val="clear" w:color="auto" w:fill="FFFFFF"/>
          <w:lang w:val="en-US" w:eastAsia="zh-CN"/>
        </w:rPr>
        <w:t>10%</w:t>
      </w:r>
      <w:r>
        <w:rPr>
          <w:rFonts w:hint="default" w:ascii="Times New Roman" w:hAnsi="Times New Roman" w:eastAsia="仿宋_GB2312" w:cs="Times New Roman"/>
          <w:color w:val="000000"/>
          <w:kern w:val="0"/>
          <w:sz w:val="32"/>
          <w:szCs w:val="32"/>
          <w:highlight w:val="none"/>
          <w:shd w:val="clear" w:color="auto" w:fill="FFFFFF"/>
          <w:lang w:val="zh-CN" w:eastAsia="zh-CN"/>
        </w:rPr>
        <w:t>的项目共计</w:t>
      </w:r>
      <w:r>
        <w:rPr>
          <w:rFonts w:hint="eastAsia" w:ascii="Times New Roman" w:hAnsi="Times New Roman" w:eastAsia="仿宋_GB2312" w:cs="Times New Roman"/>
          <w:color w:val="000000"/>
          <w:kern w:val="0"/>
          <w:sz w:val="32"/>
          <w:szCs w:val="32"/>
          <w:highlight w:val="none"/>
          <w:shd w:val="clear" w:color="auto" w:fill="FFFFFF"/>
          <w:lang w:val="en-US" w:eastAsia="zh-CN"/>
        </w:rPr>
        <w:t>0</w:t>
      </w:r>
      <w:r>
        <w:rPr>
          <w:rFonts w:hint="default" w:ascii="Times New Roman" w:hAnsi="Times New Roman" w:eastAsia="仿宋_GB2312" w:cs="Times New Roman"/>
          <w:color w:val="000000"/>
          <w:kern w:val="0"/>
          <w:sz w:val="32"/>
          <w:szCs w:val="32"/>
          <w:highlight w:val="none"/>
          <w:shd w:val="clear" w:color="auto" w:fill="FFFFFF"/>
          <w:lang w:val="zh-CN" w:eastAsia="zh-CN"/>
        </w:rPr>
        <w:t>个。</w:t>
      </w:r>
    </w:p>
    <w:p>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1. 项目决策（</w:t>
      </w:r>
      <w:r>
        <w:rPr>
          <w:rFonts w:hint="eastAsia" w:ascii="Times New Roman" w:hAnsi="Times New Roman" w:eastAsia="仿宋_GB2312" w:cs="Times New Roman"/>
          <w:color w:val="000000"/>
          <w:kern w:val="0"/>
          <w:sz w:val="32"/>
          <w:szCs w:val="32"/>
          <w:highlight w:val="none"/>
          <w:shd w:val="clear" w:color="auto" w:fill="FFFFFF"/>
          <w:lang w:val="en-US" w:eastAsia="zh-CN"/>
        </w:rPr>
        <w:t>12分</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决策程序：均为紧急或专项任务，程序合规但前期论证可加强。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目标设置：目标明确。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项目入库：纳入动态库管理，审批及时。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评分：</w:t>
      </w:r>
      <w:r>
        <w:rPr>
          <w:rFonts w:hint="eastAsia" w:ascii="Times New Roman" w:hAnsi="Times New Roman" w:eastAsia="仿宋_GB2312" w:cs="Times New Roman"/>
          <w:color w:val="000000"/>
          <w:kern w:val="0"/>
          <w:sz w:val="32"/>
          <w:szCs w:val="32"/>
          <w:highlight w:val="none"/>
          <w:shd w:val="clear" w:color="auto" w:fill="FFFFFF"/>
          <w:lang w:val="en-US" w:eastAsia="zh-CN"/>
        </w:rPr>
        <w:t>12分</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2. 项目执行（</w:t>
      </w:r>
      <w:r>
        <w:rPr>
          <w:rFonts w:hint="eastAsia" w:ascii="Times New Roman" w:hAnsi="Times New Roman" w:eastAsia="仿宋_GB2312" w:cs="Times New Roman"/>
          <w:color w:val="000000"/>
          <w:kern w:val="0"/>
          <w:sz w:val="32"/>
          <w:szCs w:val="32"/>
          <w:highlight w:val="none"/>
          <w:shd w:val="clear" w:color="auto" w:fill="FFFFFF"/>
          <w:lang w:val="en-US" w:eastAsia="zh-CN"/>
        </w:rPr>
        <w:t>12分</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资金执行同向：执行率100%，资金拨付与实施进度完全同步。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 xml:space="preserve">项目调整：无调整，按计划完成。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执行结果：全部按期</w:t>
      </w:r>
      <w:r>
        <w:rPr>
          <w:rFonts w:hint="eastAsia" w:ascii="Times New Roman" w:hAnsi="Times New Roman" w:eastAsia="仿宋_GB2312" w:cs="Times New Roman"/>
          <w:color w:val="000000"/>
          <w:kern w:val="0"/>
          <w:sz w:val="32"/>
          <w:szCs w:val="32"/>
          <w:highlight w:val="none"/>
          <w:shd w:val="clear" w:color="auto" w:fill="FFFFFF"/>
          <w:lang w:val="en-US" w:eastAsia="zh-CN"/>
        </w:rPr>
        <w:t>完成</w:t>
      </w:r>
      <w:r>
        <w:rPr>
          <w:rFonts w:hint="default" w:ascii="Times New Roman" w:hAnsi="Times New Roman" w:eastAsia="仿宋_GB2312" w:cs="Times New Roman"/>
          <w:color w:val="000000"/>
          <w:kern w:val="0"/>
          <w:sz w:val="32"/>
          <w:szCs w:val="32"/>
          <w:highlight w:val="none"/>
          <w:shd w:val="clear" w:color="auto" w:fill="FFFFFF"/>
          <w:lang w:val="zh-CN"/>
        </w:rPr>
        <w:t>，结余资金</w:t>
      </w:r>
      <w:r>
        <w:rPr>
          <w:rFonts w:hint="eastAsia" w:ascii="Times New Roman" w:hAnsi="Times New Roman" w:eastAsia="仿宋_GB2312" w:cs="Times New Roman"/>
          <w:color w:val="000000"/>
          <w:kern w:val="0"/>
          <w:sz w:val="32"/>
          <w:szCs w:val="32"/>
          <w:highlight w:val="none"/>
          <w:shd w:val="clear" w:color="auto" w:fill="FFFFFF"/>
          <w:lang w:val="en-US" w:eastAsia="zh-CN"/>
        </w:rPr>
        <w:t>0.2万</w:t>
      </w:r>
      <w:r>
        <w:rPr>
          <w:rFonts w:hint="default" w:ascii="Times New Roman" w:hAnsi="Times New Roman" w:eastAsia="仿宋_GB2312" w:cs="Times New Roman"/>
          <w:color w:val="000000"/>
          <w:kern w:val="0"/>
          <w:sz w:val="32"/>
          <w:szCs w:val="32"/>
          <w:highlight w:val="none"/>
          <w:shd w:val="clear" w:color="auto" w:fill="FFFFFF"/>
          <w:lang w:val="zh-CN"/>
        </w:rPr>
        <w:t>元</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0.38%</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eastAsia" w:ascii="Times New Roman" w:hAnsi="Times New Roman" w:eastAsia="仿宋_GB2312" w:cs="Times New Roman"/>
          <w:color w:val="000000"/>
          <w:kern w:val="0"/>
          <w:sz w:val="32"/>
          <w:szCs w:val="32"/>
          <w:highlight w:val="none"/>
          <w:shd w:val="clear" w:color="auto" w:fill="FFFFFF"/>
          <w:lang w:val="en-US" w:eastAsia="zh-CN"/>
        </w:rPr>
        <w:t>符合规定。</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en-US"/>
        </w:rPr>
      </w:pPr>
      <w:r>
        <w:rPr>
          <w:rFonts w:hint="default" w:ascii="Times New Roman" w:hAnsi="Times New Roman" w:eastAsia="仿宋_GB2312" w:cs="Times New Roman"/>
          <w:color w:val="000000"/>
          <w:kern w:val="0"/>
          <w:sz w:val="32"/>
          <w:szCs w:val="32"/>
          <w:highlight w:val="none"/>
          <w:shd w:val="clear" w:color="auto" w:fill="FFFFFF"/>
          <w:lang w:val="zh-CN"/>
        </w:rPr>
        <w:t>评分：</w:t>
      </w:r>
      <w:r>
        <w:rPr>
          <w:rFonts w:hint="eastAsia" w:ascii="Times New Roman" w:hAnsi="Times New Roman" w:eastAsia="仿宋_GB2312" w:cs="Times New Roman"/>
          <w:color w:val="000000"/>
          <w:kern w:val="0"/>
          <w:sz w:val="32"/>
          <w:szCs w:val="32"/>
          <w:highlight w:val="none"/>
          <w:shd w:val="clear" w:color="auto" w:fill="FFFFFF"/>
          <w:lang w:val="en-US" w:eastAsia="zh-CN"/>
        </w:rPr>
        <w:t>12分</w:t>
      </w:r>
    </w:p>
    <w:p>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3. 目标实现（</w:t>
      </w:r>
      <w:r>
        <w:rPr>
          <w:rFonts w:hint="eastAsia" w:ascii="Times New Roman" w:hAnsi="Times New Roman" w:eastAsia="仿宋_GB2312" w:cs="Times New Roman"/>
          <w:color w:val="000000"/>
          <w:kern w:val="0"/>
          <w:sz w:val="32"/>
          <w:szCs w:val="32"/>
          <w:highlight w:val="none"/>
          <w:shd w:val="clear" w:color="auto" w:fill="FFFFFF"/>
          <w:lang w:val="en-US" w:eastAsia="zh-CN"/>
        </w:rPr>
        <w:t>11分</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目标完成：</w:t>
      </w:r>
      <w:r>
        <w:rPr>
          <w:rFonts w:hint="eastAsia" w:ascii="Times New Roman" w:hAnsi="Times New Roman" w:eastAsia="仿宋_GB2312" w:cs="Times New Roman"/>
          <w:color w:val="000000"/>
          <w:kern w:val="0"/>
          <w:sz w:val="32"/>
          <w:szCs w:val="32"/>
          <w:highlight w:val="none"/>
          <w:shd w:val="clear" w:color="auto" w:fill="FFFFFF"/>
          <w:lang w:val="en-US" w:eastAsia="zh-CN"/>
        </w:rPr>
        <w:t>2</w:t>
      </w:r>
      <w:r>
        <w:rPr>
          <w:rFonts w:hint="default" w:ascii="Times New Roman" w:hAnsi="Times New Roman" w:eastAsia="仿宋_GB2312" w:cs="Times New Roman"/>
          <w:color w:val="000000"/>
          <w:kern w:val="0"/>
          <w:sz w:val="32"/>
          <w:szCs w:val="32"/>
          <w:highlight w:val="none"/>
          <w:shd w:val="clear" w:color="auto" w:fill="FFFFFF"/>
          <w:lang w:val="zh-CN"/>
        </w:rPr>
        <w:t>个项目均达成预期成果</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目标偏离：</w:t>
      </w:r>
      <w:r>
        <w:rPr>
          <w:rFonts w:hint="eastAsia" w:ascii="Times New Roman" w:hAnsi="Times New Roman" w:eastAsia="仿宋_GB2312" w:cs="Times New Roman"/>
          <w:color w:val="000000"/>
          <w:kern w:val="0"/>
          <w:sz w:val="32"/>
          <w:szCs w:val="32"/>
          <w:highlight w:val="none"/>
          <w:shd w:val="clear" w:color="auto" w:fill="FFFFFF"/>
          <w:lang w:val="en-US" w:eastAsia="zh-CN"/>
        </w:rPr>
        <w:t>1</w:t>
      </w:r>
      <w:r>
        <w:rPr>
          <w:rFonts w:hint="default" w:ascii="Times New Roman" w:hAnsi="Times New Roman" w:eastAsia="仿宋_GB2312" w:cs="Times New Roman"/>
          <w:color w:val="000000"/>
          <w:kern w:val="0"/>
          <w:sz w:val="32"/>
          <w:szCs w:val="32"/>
          <w:highlight w:val="none"/>
          <w:shd w:val="clear" w:color="auto" w:fill="FFFFFF"/>
          <w:lang w:val="zh-CN"/>
        </w:rPr>
        <w:t>个项目因外部因素</w:t>
      </w:r>
      <w:r>
        <w:rPr>
          <w:rFonts w:hint="eastAsia" w:ascii="Times New Roman" w:hAnsi="Times New Roman" w:eastAsia="仿宋_GB2312" w:cs="Times New Roman"/>
          <w:color w:val="000000"/>
          <w:kern w:val="0"/>
          <w:sz w:val="32"/>
          <w:szCs w:val="32"/>
          <w:highlight w:val="none"/>
          <w:shd w:val="clear" w:color="auto" w:fill="FFFFFF"/>
          <w:lang w:val="en-US" w:eastAsia="zh-CN"/>
        </w:rPr>
        <w:t>降低成本指标，</w:t>
      </w:r>
      <w:r>
        <w:rPr>
          <w:rFonts w:hint="default" w:ascii="Times New Roman" w:hAnsi="Times New Roman" w:eastAsia="仿宋_GB2312" w:cs="Times New Roman"/>
          <w:color w:val="000000"/>
          <w:kern w:val="0"/>
          <w:sz w:val="32"/>
          <w:szCs w:val="32"/>
          <w:highlight w:val="none"/>
          <w:shd w:val="clear" w:color="auto" w:fill="FFFFFF"/>
          <w:lang w:val="zh-CN"/>
        </w:rPr>
        <w:t>偏差率&lt;5%</w:t>
      </w:r>
      <w:r>
        <w:rPr>
          <w:rFonts w:hint="eastAsia" w:ascii="Times New Roman" w:hAnsi="Times New Roman" w:eastAsia="仿宋_GB2312" w:cs="Times New Roman"/>
          <w:color w:val="000000"/>
          <w:kern w:val="0"/>
          <w:sz w:val="32"/>
          <w:szCs w:val="32"/>
          <w:highlight w:val="none"/>
          <w:shd w:val="clear" w:color="auto" w:fill="FFFFFF"/>
          <w:lang w:val="zh-CN"/>
        </w:rPr>
        <w:t>。</w:t>
      </w:r>
      <w:r>
        <w:rPr>
          <w:rFonts w:hint="default" w:ascii="Times New Roman" w:hAnsi="Times New Roman" w:eastAsia="仿宋_GB2312" w:cs="Times New Roman"/>
          <w:color w:val="000000"/>
          <w:kern w:val="0"/>
          <w:sz w:val="32"/>
          <w:szCs w:val="32"/>
          <w:highlight w:val="none"/>
          <w:shd w:val="clear" w:color="auto" w:fill="FFFFFF"/>
          <w:lang w:val="zh-CN"/>
        </w:rPr>
        <w:t xml:space="preserve">  </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实现效果：短期效益显著，长期效果待跟踪。</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仿宋_GB2312" w:cs="Times New Roman"/>
          <w:color w:val="000000"/>
          <w:kern w:val="0"/>
          <w:sz w:val="32"/>
          <w:szCs w:val="32"/>
          <w:highlight w:val="none"/>
          <w:shd w:val="clear" w:color="auto" w:fill="FFFFFF"/>
          <w:lang w:val="zh-CN"/>
        </w:rPr>
      </w:pPr>
      <w:r>
        <w:rPr>
          <w:rFonts w:hint="default" w:ascii="Times New Roman" w:hAnsi="Times New Roman" w:eastAsia="仿宋_GB2312" w:cs="Times New Roman"/>
          <w:color w:val="000000"/>
          <w:kern w:val="0"/>
          <w:sz w:val="32"/>
          <w:szCs w:val="32"/>
          <w:highlight w:val="none"/>
          <w:shd w:val="clear" w:color="auto" w:fill="FFFFFF"/>
          <w:lang w:val="zh-CN"/>
        </w:rPr>
        <w:t>评分：</w:t>
      </w:r>
      <w:r>
        <w:rPr>
          <w:rFonts w:hint="eastAsia" w:ascii="Times New Roman" w:hAnsi="Times New Roman" w:eastAsia="仿宋_GB2312" w:cs="Times New Roman"/>
          <w:color w:val="000000"/>
          <w:kern w:val="0"/>
          <w:sz w:val="32"/>
          <w:szCs w:val="32"/>
          <w:highlight w:val="none"/>
          <w:shd w:val="clear" w:color="auto" w:fill="FFFFFF"/>
          <w:lang w:val="en-US" w:eastAsia="zh-CN"/>
        </w:rPr>
        <w:t>11分</w:t>
      </w:r>
    </w:p>
    <w:p>
      <w:pPr>
        <w:keepNext w:val="0"/>
        <w:keepLines w:val="0"/>
        <w:pageBreakBefore w:val="0"/>
        <w:widowControl w:val="0"/>
        <w:numPr>
          <w:ilvl w:val="0"/>
          <w:numId w:val="4"/>
        </w:numPr>
        <w:kinsoku/>
        <w:wordWrap/>
        <w:overflowPunct/>
        <w:topLinePunct w:val="0"/>
        <w:autoSpaceDE/>
        <w:autoSpaceDN/>
        <w:bidi w:val="0"/>
        <w:adjustRightInd/>
        <w:snapToGrid w:val="0"/>
        <w:spacing w:line="576" w:lineRule="exact"/>
        <w:ind w:firstLine="643" w:firstLineChars="200"/>
        <w:textAlignment w:val="auto"/>
        <w:outlineLvl w:val="9"/>
        <w:rPr>
          <w:rFonts w:hint="default" w:ascii="Times New Roman" w:hAnsi="Times New Roman" w:eastAsia="仿宋_GB2312" w:cs="Times New Roman"/>
          <w:b/>
          <w:bCs w:val="0"/>
          <w:sz w:val="32"/>
          <w:szCs w:val="32"/>
          <w:lang w:val="en-US"/>
        </w:rPr>
      </w:pPr>
      <w:r>
        <w:rPr>
          <w:rFonts w:hint="default" w:ascii="Times New Roman" w:hAnsi="Times New Roman" w:eastAsia="楷体_GB2312" w:cs="Times New Roman"/>
          <w:b/>
          <w:bCs/>
          <w:sz w:val="32"/>
          <w:szCs w:val="32"/>
          <w:lang w:val="zh-CN"/>
        </w:rPr>
        <w:t>绩效结果应用情况。</w:t>
      </w:r>
      <w:r>
        <w:rPr>
          <w:rFonts w:hint="eastAsia" w:ascii="Times New Roman" w:hAnsi="Times New Roman" w:eastAsia="仿宋_GB2312" w:cs="Times New Roman"/>
          <w:color w:val="000000"/>
          <w:kern w:val="0"/>
          <w:sz w:val="32"/>
          <w:szCs w:val="32"/>
          <w:highlight w:val="none"/>
          <w:shd w:val="clear" w:color="auto" w:fill="FFFFFF"/>
          <w:lang w:val="en-US" w:eastAsia="zh-CN"/>
        </w:rPr>
        <w:t xml:space="preserve">                    </w:t>
      </w:r>
    </w:p>
    <w:p>
      <w:pPr>
        <w:keepNext w:val="0"/>
        <w:keepLines w:val="0"/>
        <w:pageBreakBefore w:val="0"/>
        <w:widowControl w:val="0"/>
        <w:kinsoku/>
        <w:wordWrap/>
        <w:overflowPunct/>
        <w:topLinePunct w:val="0"/>
        <w:autoSpaceDE/>
        <w:autoSpaceDN/>
        <w:bidi w:val="0"/>
        <w:adjustRightInd/>
        <w:spacing w:line="576" w:lineRule="exact"/>
        <w:ind w:left="0" w:leftChars="0" w:firstLine="640" w:firstLineChars="200"/>
        <w:jc w:val="both"/>
        <w:textAlignment w:val="auto"/>
        <w:rPr>
          <w:rFonts w:hint="default" w:ascii="Times New Roman" w:hAnsi="Times New Roman" w:eastAsia="仿宋_GB2312" w:cs="Times New Roman"/>
          <w:color w:val="000000"/>
          <w:kern w:val="0"/>
          <w:sz w:val="32"/>
          <w:szCs w:val="32"/>
          <w:highlight w:val="none"/>
          <w:shd w:val="clear" w:color="auto" w:fill="FFFFFF"/>
          <w:lang w:val="en-US" w:eastAsia="zh-CN" w:bidi="ar-SA"/>
        </w:rPr>
      </w:pPr>
      <w:r>
        <w:rPr>
          <w:rFonts w:hint="eastAsia" w:ascii="Times New Roman" w:hAnsi="Times New Roman" w:eastAsia="仿宋_GB2312" w:cs="Times New Roman"/>
          <w:color w:val="000000"/>
          <w:kern w:val="0"/>
          <w:sz w:val="32"/>
          <w:szCs w:val="32"/>
          <w:highlight w:val="none"/>
          <w:shd w:val="clear" w:color="auto" w:fill="FFFFFF"/>
          <w:lang w:val="en-US" w:eastAsia="zh-CN" w:bidi="ar-SA"/>
        </w:rPr>
        <w:t>将绩效评价结果与预算分配挂钩，对执行率不足或目标偏离项目实施预算核减，动态调整项目经费分配比例，从而</w:t>
      </w:r>
      <w:r>
        <w:rPr>
          <w:rFonts w:hint="eastAsia" w:ascii="仿宋_GB2312" w:hAnsi="宋体" w:eastAsia="仿宋_GB2312" w:cs="宋体"/>
          <w:color w:val="000000"/>
          <w:kern w:val="0"/>
          <w:sz w:val="32"/>
          <w:szCs w:val="32"/>
          <w:shd w:val="clear" w:color="auto" w:fill="FFFFFF"/>
          <w:lang w:val="en-US" w:eastAsia="zh-CN" w:bidi="ar-SA"/>
        </w:rPr>
        <w:t>有效发挥财政资金的使用效率。</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outlineLvl w:val="1"/>
        <w:rPr>
          <w:rFonts w:hint="default" w:ascii="Times New Roman" w:hAnsi="Times New Roman" w:eastAsia="黑体" w:cs="Times New Roman"/>
          <w:color w:val="000000"/>
          <w:kern w:val="0"/>
          <w:sz w:val="32"/>
          <w:szCs w:val="32"/>
          <w:highlight w:val="none"/>
          <w:shd w:val="clear" w:color="auto" w:fill="FFFFFF"/>
        </w:rPr>
      </w:pPr>
      <w:bookmarkStart w:id="111" w:name="_Toc10286"/>
      <w:r>
        <w:rPr>
          <w:rFonts w:hint="default" w:ascii="Times New Roman" w:hAnsi="Times New Roman" w:eastAsia="黑体" w:cs="Times New Roman"/>
          <w:color w:val="000000"/>
          <w:kern w:val="0"/>
          <w:sz w:val="32"/>
          <w:szCs w:val="32"/>
          <w:highlight w:val="none"/>
          <w:shd w:val="clear" w:color="auto" w:fill="FFFFFF"/>
          <w:lang w:eastAsia="zh-CN"/>
        </w:rPr>
        <w:t>四、</w:t>
      </w:r>
      <w:r>
        <w:rPr>
          <w:rFonts w:hint="default" w:ascii="Times New Roman" w:hAnsi="Times New Roman" w:eastAsia="黑体" w:cs="Times New Roman"/>
          <w:color w:val="000000"/>
          <w:kern w:val="0"/>
          <w:sz w:val="32"/>
          <w:szCs w:val="32"/>
          <w:highlight w:val="none"/>
          <w:shd w:val="clear" w:color="auto" w:fill="FFFFFF"/>
        </w:rPr>
        <w:t>评价结论及建议</w:t>
      </w:r>
      <w:bookmarkEnd w:id="111"/>
    </w:p>
    <w:p>
      <w:pPr>
        <w:keepNext w:val="0"/>
        <w:keepLines w:val="0"/>
        <w:pageBreakBefore w:val="0"/>
        <w:widowControl/>
        <w:kinsoku/>
        <w:wordWrap/>
        <w:overflowPunct/>
        <w:topLinePunct w:val="0"/>
        <w:autoSpaceDE/>
        <w:autoSpaceDN/>
        <w:bidi w:val="0"/>
        <w:adjustRightInd w:val="0"/>
        <w:snapToGrid w:val="0"/>
        <w:spacing w:line="576" w:lineRule="exact"/>
        <w:ind w:firstLine="720"/>
        <w:jc w:val="both"/>
        <w:textAlignment w:val="auto"/>
        <w:rPr>
          <w:rFonts w:hint="default" w:ascii="Times New Roman" w:hAnsi="Times New Roman" w:eastAsia="仿宋_GB2312" w:cs="Times New Roman"/>
          <w:b/>
          <w:bCs/>
          <w:color w:val="000000"/>
          <w:kern w:val="0"/>
          <w:sz w:val="32"/>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default" w:ascii="Times New Roman" w:hAnsi="Times New Roman" w:eastAsia="仿宋_GB2312" w:cs="Times New Roman"/>
          <w:color w:val="000000"/>
          <w:sz w:val="32"/>
          <w:szCs w:val="32"/>
        </w:rPr>
        <w:t>根据《红原县部门整体支出绩效评价指标体系》自查</w:t>
      </w:r>
      <w:r>
        <w:rPr>
          <w:rFonts w:hint="eastAsia" w:ascii="Times New Roman" w:hAnsi="Times New Roman" w:eastAsia="仿宋_GB2312" w:cs="Times New Roman"/>
          <w:color w:val="000000"/>
          <w:sz w:val="32"/>
          <w:szCs w:val="32"/>
          <w:lang w:val="en-US" w:eastAsia="zh-CN"/>
        </w:rPr>
        <w:t>得</w:t>
      </w:r>
      <w:r>
        <w:rPr>
          <w:rFonts w:hint="default" w:ascii="Times New Roman" w:hAnsi="Times New Roman" w:eastAsia="仿宋_GB2312" w:cs="Times New Roman"/>
          <w:color w:val="000000"/>
          <w:sz w:val="32"/>
          <w:szCs w:val="32"/>
        </w:rPr>
        <w:t>分</w:t>
      </w:r>
      <w:r>
        <w:rPr>
          <w:rFonts w:hint="eastAsia" w:ascii="Times New Roman" w:hAnsi="Times New Roman" w:eastAsia="仿宋_GB2312" w:cs="Times New Roman"/>
          <w:sz w:val="32"/>
          <w:szCs w:val="32"/>
          <w:lang w:val="en-US" w:eastAsia="zh-CN"/>
        </w:rPr>
        <w:t>95.4</w:t>
      </w:r>
      <w:r>
        <w:rPr>
          <w:rFonts w:hint="default" w:ascii="Times New Roman" w:hAnsi="Times New Roman" w:eastAsia="仿宋_GB2312" w:cs="Times New Roman"/>
          <w:color w:val="000000"/>
          <w:sz w:val="32"/>
          <w:szCs w:val="32"/>
        </w:rPr>
        <w:t>分，总体评价较好。</w:t>
      </w:r>
    </w:p>
    <w:p>
      <w:pPr>
        <w:keepNext w:val="0"/>
        <w:keepLines w:val="0"/>
        <w:pageBreakBefore w:val="0"/>
        <w:widowControl w:val="0"/>
        <w:kinsoku/>
        <w:wordWrap/>
        <w:overflowPunct/>
        <w:topLinePunct w:val="0"/>
        <w:autoSpaceDE/>
        <w:autoSpaceDN/>
        <w:bidi w:val="0"/>
        <w:adjustRightInd/>
        <w:snapToGrid/>
        <w:spacing w:after="0" w:line="576" w:lineRule="exact"/>
        <w:ind w:left="0" w:leftChars="0" w:firstLine="643" w:firstLineChars="200"/>
        <w:jc w:val="both"/>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bidi="ar-SA"/>
        </w:rPr>
        <w:t>（二）存在问题。</w:t>
      </w:r>
      <w:r>
        <w:rPr>
          <w:rFonts w:hint="eastAsia" w:ascii="仿宋_GB2312" w:hAnsi="仿宋_GB2312" w:eastAsia="仿宋_GB2312" w:cs="仿宋_GB2312"/>
          <w:color w:val="auto"/>
          <w:kern w:val="0"/>
          <w:sz w:val="32"/>
          <w:szCs w:val="32"/>
          <w:lang w:val="en-US" w:eastAsia="zh-CN" w:bidi="ar-SA"/>
        </w:rPr>
        <w:t>一是资金使用效益有待进一步提高。二是绩效目标设立不够明确、细化和量化。</w:t>
      </w:r>
    </w:p>
    <w:p>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3" w:firstLineChars="200"/>
        <w:jc w:val="left"/>
        <w:textAlignment w:val="auto"/>
        <w:outlineLvl w:val="1"/>
        <w:rPr>
          <w:rFonts w:hint="eastAsia" w:ascii="Times New Roman" w:hAnsi="Times New Roman" w:eastAsia="仿宋_GB2312" w:cs="Times New Roman"/>
          <w:kern w:val="2"/>
          <w:sz w:val="32"/>
          <w:szCs w:val="32"/>
          <w:u w:val="none"/>
          <w:lang w:val="zh-CN" w:eastAsia="zh-CN" w:bidi="ar"/>
        </w:rPr>
      </w:pPr>
      <w:bookmarkStart w:id="112" w:name="_Toc22380"/>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default" w:ascii="Times New Roman" w:hAnsi="Times New Roman" w:eastAsia="楷体_GB2312" w:cs="Times New Roman"/>
          <w:b/>
          <w:bCs/>
          <w:color w:val="000000"/>
          <w:kern w:val="0"/>
          <w:sz w:val="32"/>
          <w:szCs w:val="32"/>
          <w:highlight w:val="none"/>
          <w:shd w:val="clear" w:color="auto" w:fill="FFFFFF"/>
          <w:lang w:val="zh-CN" w:eastAsia="zh-CN"/>
        </w:rPr>
        <w:t>改进建议。</w:t>
      </w:r>
      <w:r>
        <w:rPr>
          <w:rFonts w:hint="eastAsia" w:ascii="仿宋_GB2312" w:hAnsi="仿宋_GB2312" w:eastAsia="仿宋_GB2312" w:cs="仿宋_GB2312"/>
          <w:color w:val="auto"/>
          <w:kern w:val="0"/>
          <w:sz w:val="32"/>
          <w:szCs w:val="32"/>
          <w:lang w:val="en-US" w:eastAsia="zh-CN"/>
        </w:rPr>
        <w:t>进一步完善项目绩效管理工作，严格落实专项经费使用管理规定，防止前紧后松，保证计划的有效性。</w:t>
      </w:r>
      <w:bookmarkEnd w:id="112"/>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1"/>
        <w:rPr>
          <w:rFonts w:hint="eastAsia" w:ascii="Times New Roman" w:hAnsi="Times New Roman" w:eastAsia="方正小标宋简体" w:cs="Times New Roman"/>
          <w:i w:val="0"/>
          <w:color w:val="000000"/>
          <w:kern w:val="0"/>
          <w:sz w:val="44"/>
          <w:szCs w:val="44"/>
          <w:u w:val="none"/>
          <w:lang w:val="en-US" w:eastAsia="zh-CN" w:bidi="ar"/>
        </w:rPr>
      </w:pPr>
      <w:bookmarkStart w:id="113" w:name="_Toc12835"/>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bookmarkEnd w:id="113"/>
    </w:p>
    <w:tbl>
      <w:tblPr>
        <w:tblStyle w:val="17"/>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4"/>
        <w:gridCol w:w="1462"/>
        <w:gridCol w:w="1665"/>
        <w:gridCol w:w="720"/>
        <w:gridCol w:w="4734"/>
        <w:gridCol w:w="756"/>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85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绩效评价指标指标分值</w:t>
            </w:r>
          </w:p>
        </w:tc>
        <w:tc>
          <w:tcPr>
            <w:tcW w:w="47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7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47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7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履职效能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履职效果</w:t>
            </w:r>
          </w:p>
        </w:tc>
        <w:tc>
          <w:tcPr>
            <w:tcW w:w="7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15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部门整体绩效目标中选定3-5个核心职能目标，反映该项职能目标完成效果情况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预算编制质量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部门是否严格按要求编制年初部门预算，年初预算编制的科学性和准确性</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7</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单位收入统筹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部门统筹自有收入程度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支出执行进度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部门1至6月、1至10月预算执行情况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预算年终结余</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部门整体年终预算结余情况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严控一般性支出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财务管理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财务管理制度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部门财务管理制度建立情况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财务岗位设置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部门财务岗位设置是否符合相关财务管理制度要求</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资金使用规范</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部门资金使用是否符合相关财务管理制度规定</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人均资产变化率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部门人均资产变化情况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资产利用率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部门资产超最低使用年限情况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资产盘活率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部门闲置一年以上的资产盘活情况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采购管理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支持中小企业发展</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部门是否严格执行政府采购促进中小企业发展相关管理办法</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采购执行率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部门政府采购项目资金支付比例情况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部门预算项目设立是否按规定履行评估论证、申报程序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项目入库</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部门预算项目是否在规定时间完成项目入库</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项目执行</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执行同向</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部门预算项目实际列支内容是否与绩效目标设置方向相符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项目调整</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部门预算项目是否采取对应调整措施</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执行结果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目标实现</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部门预算项目绩效目标数量指标完成情况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目标偏离</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部门预算项目绩效目标数量指标实现程度与预期目标的偏离情况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实现效果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部门预算项目绩效目标效益指标实施效果</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被评价部门配合度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0</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widowControl/>
        <w:jc w:val="both"/>
        <w:rPr>
          <w:rFonts w:hint="eastAsia" w:ascii="Times New Roman" w:hAnsi="Times New Roman" w:eastAsia="黑体"/>
          <w:color w:val="auto"/>
          <w:sz w:val="44"/>
          <w:szCs w:val="44"/>
          <w:highlight w:val="none"/>
        </w:rPr>
      </w:pPr>
      <w:bookmarkStart w:id="114" w:name="_Toc15396618"/>
    </w:p>
    <w:p>
      <w:pPr>
        <w:widowControl/>
        <w:jc w:val="both"/>
        <w:rPr>
          <w:rFonts w:hint="eastAsia" w:ascii="Times New Roman" w:hAnsi="Times New Roman" w:eastAsia="黑体"/>
          <w:color w:val="auto"/>
          <w:sz w:val="44"/>
          <w:szCs w:val="44"/>
          <w:highlight w:val="none"/>
        </w:rPr>
      </w:pPr>
    </w:p>
    <w:p>
      <w:pPr>
        <w:widowControl/>
        <w:ind w:firstLine="2640" w:firstLineChars="600"/>
        <w:jc w:val="both"/>
        <w:outlineLvl w:val="0"/>
        <w:rPr>
          <w:rFonts w:hint="eastAsia" w:ascii="Times New Roman" w:hAnsi="Times New Roman" w:eastAsia="仿宋"/>
          <w:b w:val="0"/>
          <w:color w:val="auto"/>
          <w:highlight w:val="none"/>
        </w:rPr>
      </w:pPr>
      <w:bookmarkStart w:id="115" w:name="_Toc11742"/>
      <w:r>
        <w:rPr>
          <w:rFonts w:hint="eastAsia" w:ascii="Times New Roman" w:hAnsi="Times New Roman" w:eastAsia="黑体"/>
          <w:color w:val="auto"/>
          <w:sz w:val="44"/>
          <w:szCs w:val="44"/>
          <w:highlight w:val="none"/>
        </w:rPr>
        <w:t>第</w:t>
      </w:r>
      <w:r>
        <w:rPr>
          <w:rStyle w:val="30"/>
          <w:rFonts w:hint="eastAsia" w:ascii="Times New Roman" w:hAnsi="Times New Roman" w:eastAsia="黑体"/>
          <w:b w:val="0"/>
          <w:color w:val="auto"/>
          <w:highlight w:val="none"/>
        </w:rPr>
        <w:t>五部分 附表</w:t>
      </w:r>
      <w:bookmarkEnd w:id="104"/>
      <w:bookmarkEnd w:id="114"/>
      <w:bookmarkEnd w:id="115"/>
      <w:bookmarkStart w:id="116" w:name="_Toc15396619"/>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116"/>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7" w:name="_Toc15396620"/>
      <w:r>
        <w:rPr>
          <w:rFonts w:hint="eastAsia" w:ascii="Times New Roman" w:hAnsi="Times New Roman" w:eastAsia="仿宋_GB2312" w:cs="仿宋_GB2312"/>
          <w:color w:val="auto"/>
          <w:sz w:val="32"/>
          <w:szCs w:val="32"/>
          <w:highlight w:val="none"/>
        </w:rPr>
        <w:t>二、收入决算表</w:t>
      </w:r>
      <w:bookmarkEnd w:id="117"/>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8" w:name="_Toc15396621"/>
      <w:r>
        <w:rPr>
          <w:rFonts w:hint="eastAsia" w:ascii="Times New Roman" w:hAnsi="Times New Roman" w:eastAsia="仿宋_GB2312" w:cs="仿宋_GB2312"/>
          <w:color w:val="auto"/>
          <w:sz w:val="32"/>
          <w:szCs w:val="32"/>
          <w:highlight w:val="none"/>
        </w:rPr>
        <w:t>三、支出决算表</w:t>
      </w:r>
      <w:bookmarkEnd w:id="118"/>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19" w:name="_Toc15396622"/>
      <w:r>
        <w:rPr>
          <w:rFonts w:hint="eastAsia" w:ascii="Times New Roman" w:hAnsi="Times New Roman" w:eastAsia="仿宋_GB2312" w:cs="仿宋_GB2312"/>
          <w:color w:val="auto"/>
          <w:sz w:val="32"/>
          <w:szCs w:val="32"/>
          <w:highlight w:val="none"/>
        </w:rPr>
        <w:t>四、财政拨款收入支出决算总表</w:t>
      </w:r>
      <w:bookmarkEnd w:id="119"/>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0" w:name="_Toc15396623"/>
      <w:r>
        <w:rPr>
          <w:rFonts w:hint="eastAsia" w:ascii="Times New Roman" w:hAnsi="Times New Roman" w:eastAsia="仿宋_GB2312" w:cs="仿宋_GB2312"/>
          <w:color w:val="auto"/>
          <w:sz w:val="32"/>
          <w:szCs w:val="32"/>
          <w:highlight w:val="none"/>
        </w:rPr>
        <w:t>五、财政拨款支出决算明细表</w:t>
      </w:r>
      <w:bookmarkEnd w:id="120"/>
      <w:bookmarkStart w:id="121" w:name="_Toc15396624"/>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121"/>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2" w:name="_Toc15396625"/>
      <w:r>
        <w:rPr>
          <w:rFonts w:hint="eastAsia" w:ascii="Times New Roman" w:hAnsi="Times New Roman" w:eastAsia="仿宋_GB2312" w:cs="仿宋_GB2312"/>
          <w:color w:val="auto"/>
          <w:sz w:val="32"/>
          <w:szCs w:val="32"/>
          <w:highlight w:val="none"/>
        </w:rPr>
        <w:t>七、一般公共预算财政拨款支出决算明细表</w:t>
      </w:r>
      <w:bookmarkEnd w:id="122"/>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3" w:name="_Toc15396626"/>
      <w:r>
        <w:rPr>
          <w:rFonts w:hint="eastAsia" w:ascii="Times New Roman" w:hAnsi="Times New Roman" w:eastAsia="仿宋_GB2312" w:cs="仿宋_GB2312"/>
          <w:color w:val="auto"/>
          <w:sz w:val="32"/>
          <w:szCs w:val="32"/>
          <w:highlight w:val="none"/>
        </w:rPr>
        <w:t>八、一般公共预算财政拨款基本支出决算表</w:t>
      </w:r>
      <w:bookmarkEnd w:id="123"/>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4" w:name="_Toc15396627"/>
      <w:r>
        <w:rPr>
          <w:rFonts w:hint="eastAsia" w:ascii="Times New Roman" w:hAnsi="Times New Roman" w:eastAsia="仿宋_GB2312" w:cs="仿宋_GB2312"/>
          <w:color w:val="auto"/>
          <w:sz w:val="32"/>
          <w:szCs w:val="32"/>
          <w:highlight w:val="none"/>
        </w:rPr>
        <w:t>九、一般公共预算财政拨款项目支出决算表</w:t>
      </w:r>
      <w:bookmarkEnd w:id="124"/>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5" w:name="_Toc15396628"/>
      <w:r>
        <w:rPr>
          <w:rFonts w:hint="eastAsia" w:ascii="Times New Roman" w:hAnsi="Times New Roman" w:eastAsia="仿宋_GB2312" w:cs="仿宋_GB2312"/>
          <w:color w:val="auto"/>
          <w:sz w:val="32"/>
          <w:szCs w:val="32"/>
          <w:highlight w:val="none"/>
        </w:rPr>
        <w:t>十、</w:t>
      </w:r>
      <w:bookmarkEnd w:id="125"/>
      <w:r>
        <w:rPr>
          <w:rFonts w:hint="eastAsia" w:ascii="Times New Roman" w:hAnsi="Times New Roman" w:eastAsia="仿宋_GB2312" w:cs="仿宋_GB2312"/>
          <w:color w:val="auto"/>
          <w:sz w:val="32"/>
          <w:szCs w:val="32"/>
          <w:highlight w:val="none"/>
        </w:rPr>
        <w:t>政府性基金预算财政拨款收入支出决算表</w:t>
      </w:r>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6" w:name="_Toc15396629"/>
      <w:r>
        <w:rPr>
          <w:rFonts w:hint="eastAsia" w:ascii="Times New Roman" w:hAnsi="Times New Roman" w:eastAsia="仿宋_GB2312" w:cs="仿宋_GB2312"/>
          <w:color w:val="auto"/>
          <w:sz w:val="32"/>
          <w:szCs w:val="32"/>
          <w:highlight w:val="none"/>
        </w:rPr>
        <w:t>十一、</w:t>
      </w:r>
      <w:bookmarkEnd w:id="126"/>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7" w:name="_Toc15396630"/>
      <w:r>
        <w:rPr>
          <w:rFonts w:hint="eastAsia" w:ascii="Times New Roman" w:hAnsi="Times New Roman" w:eastAsia="仿宋_GB2312" w:cs="仿宋_GB2312"/>
          <w:color w:val="auto"/>
          <w:sz w:val="32"/>
          <w:szCs w:val="32"/>
          <w:highlight w:val="none"/>
        </w:rPr>
        <w:t>十二、</w:t>
      </w:r>
      <w:bookmarkEnd w:id="127"/>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6"/>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128" w:name="_Toc15396631"/>
      <w:r>
        <w:rPr>
          <w:rFonts w:hint="eastAsia" w:ascii="Times New Roman" w:hAnsi="Times New Roman" w:eastAsia="仿宋_GB2312" w:cs="仿宋_GB2312"/>
          <w:color w:val="auto"/>
          <w:sz w:val="32"/>
          <w:szCs w:val="32"/>
          <w:highlight w:val="none"/>
        </w:rPr>
        <w:t>十三、</w:t>
      </w:r>
      <w:bookmarkEnd w:id="128"/>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21BAD"/>
    <w:multiLevelType w:val="singleLevel"/>
    <w:tmpl w:val="87721BAD"/>
    <w:lvl w:ilvl="0" w:tentative="0">
      <w:start w:val="1"/>
      <w:numFmt w:val="chineseCounting"/>
      <w:suff w:val="nothing"/>
      <w:lvlText w:val="%1、"/>
      <w:lvlJc w:val="left"/>
      <w:rPr>
        <w:rFonts w:hint="eastAsia"/>
      </w:rPr>
    </w:lvl>
  </w:abstractNum>
  <w:abstractNum w:abstractNumId="1">
    <w:nsid w:val="CEDF185E"/>
    <w:multiLevelType w:val="singleLevel"/>
    <w:tmpl w:val="CEDF185E"/>
    <w:lvl w:ilvl="0" w:tentative="0">
      <w:start w:val="1"/>
      <w:numFmt w:val="decimal"/>
      <w:lvlText w:val="%1."/>
      <w:lvlJc w:val="left"/>
      <w:pPr>
        <w:tabs>
          <w:tab w:val="left" w:pos="312"/>
        </w:tabs>
      </w:pPr>
    </w:lvl>
  </w:abstractNum>
  <w:abstractNum w:abstractNumId="2">
    <w:nsid w:val="2E8CF73F"/>
    <w:multiLevelType w:val="singleLevel"/>
    <w:tmpl w:val="2E8CF73F"/>
    <w:lvl w:ilvl="0" w:tentative="0">
      <w:start w:val="3"/>
      <w:numFmt w:val="chineseCounting"/>
      <w:suff w:val="nothing"/>
      <w:lvlText w:val="（%1）"/>
      <w:lvlJc w:val="left"/>
      <w:rPr>
        <w:rFonts w:hint="eastAsia"/>
      </w:rPr>
    </w:lvl>
  </w:abstractNum>
  <w:abstractNum w:abstractNumId="3">
    <w:nsid w:val="4A03AEB6"/>
    <w:multiLevelType w:val="singleLevel"/>
    <w:tmpl w:val="4A03AEB6"/>
    <w:lvl w:ilvl="0" w:tentative="0">
      <w:start w:val="2"/>
      <w:numFmt w:val="decimal"/>
      <w:suff w:val="nothing"/>
      <w:lvlText w:val="（%1）"/>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0ZDRjNzUxNmI4YWUyNWUxMjhlNDNjYWNjNDEzMjAifQ=="/>
  </w:docVars>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E05BE"/>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1AD39A9"/>
    <w:rsid w:val="01B6046E"/>
    <w:rsid w:val="02317B1B"/>
    <w:rsid w:val="023C5239"/>
    <w:rsid w:val="024E06A7"/>
    <w:rsid w:val="02FEBE30"/>
    <w:rsid w:val="036F2FCB"/>
    <w:rsid w:val="04090D29"/>
    <w:rsid w:val="04485C72"/>
    <w:rsid w:val="04DA6989"/>
    <w:rsid w:val="050D4849"/>
    <w:rsid w:val="055F0D07"/>
    <w:rsid w:val="05DD1F63"/>
    <w:rsid w:val="06007F0A"/>
    <w:rsid w:val="061E35DE"/>
    <w:rsid w:val="065B3392"/>
    <w:rsid w:val="066E0107"/>
    <w:rsid w:val="07996F6E"/>
    <w:rsid w:val="07DFD8BA"/>
    <w:rsid w:val="08381BDD"/>
    <w:rsid w:val="087D3A94"/>
    <w:rsid w:val="08872B64"/>
    <w:rsid w:val="08DB07E4"/>
    <w:rsid w:val="09867E8F"/>
    <w:rsid w:val="09FE29B2"/>
    <w:rsid w:val="0A2032A3"/>
    <w:rsid w:val="0A4800D1"/>
    <w:rsid w:val="0AA277E2"/>
    <w:rsid w:val="0C6C4794"/>
    <w:rsid w:val="0CA8290A"/>
    <w:rsid w:val="0D35B1ED"/>
    <w:rsid w:val="0DB8731C"/>
    <w:rsid w:val="0DE07E2B"/>
    <w:rsid w:val="0E2A1FC8"/>
    <w:rsid w:val="0EE52393"/>
    <w:rsid w:val="0F17027A"/>
    <w:rsid w:val="0F98263C"/>
    <w:rsid w:val="0FAB7138"/>
    <w:rsid w:val="101860EC"/>
    <w:rsid w:val="106F63B8"/>
    <w:rsid w:val="10C055FF"/>
    <w:rsid w:val="10E02E12"/>
    <w:rsid w:val="110F33C7"/>
    <w:rsid w:val="11772AA4"/>
    <w:rsid w:val="118107EC"/>
    <w:rsid w:val="12D76496"/>
    <w:rsid w:val="12EC1F42"/>
    <w:rsid w:val="13957196"/>
    <w:rsid w:val="13D50BC4"/>
    <w:rsid w:val="14022904"/>
    <w:rsid w:val="146A2995"/>
    <w:rsid w:val="14A27D77"/>
    <w:rsid w:val="14C34F24"/>
    <w:rsid w:val="152F2A07"/>
    <w:rsid w:val="157306F8"/>
    <w:rsid w:val="158C5316"/>
    <w:rsid w:val="159D5775"/>
    <w:rsid w:val="16142713"/>
    <w:rsid w:val="165E0673"/>
    <w:rsid w:val="16BB723D"/>
    <w:rsid w:val="16EF0253"/>
    <w:rsid w:val="16F13FCB"/>
    <w:rsid w:val="171750B3"/>
    <w:rsid w:val="17E21B65"/>
    <w:rsid w:val="18155A97"/>
    <w:rsid w:val="184E71FB"/>
    <w:rsid w:val="186504BB"/>
    <w:rsid w:val="1938089F"/>
    <w:rsid w:val="199C7AF2"/>
    <w:rsid w:val="19A445FC"/>
    <w:rsid w:val="1A085187"/>
    <w:rsid w:val="1A501008"/>
    <w:rsid w:val="1B7D550C"/>
    <w:rsid w:val="1B961960"/>
    <w:rsid w:val="1BE614F8"/>
    <w:rsid w:val="1BE8440E"/>
    <w:rsid w:val="1BFE6842"/>
    <w:rsid w:val="1C006A5E"/>
    <w:rsid w:val="1CA76EDA"/>
    <w:rsid w:val="1D155CEE"/>
    <w:rsid w:val="1DE178F3"/>
    <w:rsid w:val="1E740ACF"/>
    <w:rsid w:val="1FF35744"/>
    <w:rsid w:val="1FF6BC77"/>
    <w:rsid w:val="201258C9"/>
    <w:rsid w:val="207812B9"/>
    <w:rsid w:val="21962A9E"/>
    <w:rsid w:val="21AE7C77"/>
    <w:rsid w:val="220B3A67"/>
    <w:rsid w:val="22BC3C41"/>
    <w:rsid w:val="230B6675"/>
    <w:rsid w:val="23115054"/>
    <w:rsid w:val="23860B96"/>
    <w:rsid w:val="240371BF"/>
    <w:rsid w:val="24297E89"/>
    <w:rsid w:val="24382BC8"/>
    <w:rsid w:val="246C6A51"/>
    <w:rsid w:val="24A3267C"/>
    <w:rsid w:val="24D26ABE"/>
    <w:rsid w:val="24F42ED8"/>
    <w:rsid w:val="25643BBA"/>
    <w:rsid w:val="260F557C"/>
    <w:rsid w:val="27E45486"/>
    <w:rsid w:val="281408E2"/>
    <w:rsid w:val="29543F45"/>
    <w:rsid w:val="29D86924"/>
    <w:rsid w:val="29FD04D3"/>
    <w:rsid w:val="2A241B69"/>
    <w:rsid w:val="2BAE4AC7"/>
    <w:rsid w:val="2BFF7BC6"/>
    <w:rsid w:val="2C8A61B5"/>
    <w:rsid w:val="2C8D7E9A"/>
    <w:rsid w:val="2CC633AC"/>
    <w:rsid w:val="2D2E01CF"/>
    <w:rsid w:val="2D9B0395"/>
    <w:rsid w:val="2DC86CB0"/>
    <w:rsid w:val="2DF04E50"/>
    <w:rsid w:val="2E6115DE"/>
    <w:rsid w:val="2E6C1D31"/>
    <w:rsid w:val="2E9545B0"/>
    <w:rsid w:val="2F0138CA"/>
    <w:rsid w:val="2F040D46"/>
    <w:rsid w:val="2FAE5751"/>
    <w:rsid w:val="2FB1A395"/>
    <w:rsid w:val="2FB83480"/>
    <w:rsid w:val="2FBB7B31"/>
    <w:rsid w:val="2FD9A7D8"/>
    <w:rsid w:val="302723B3"/>
    <w:rsid w:val="30A30DFF"/>
    <w:rsid w:val="31741628"/>
    <w:rsid w:val="319F7F4E"/>
    <w:rsid w:val="31C00746"/>
    <w:rsid w:val="321B2544"/>
    <w:rsid w:val="3304709D"/>
    <w:rsid w:val="335F3C12"/>
    <w:rsid w:val="34281836"/>
    <w:rsid w:val="3490763B"/>
    <w:rsid w:val="349D6851"/>
    <w:rsid w:val="34CA77B1"/>
    <w:rsid w:val="351D5B33"/>
    <w:rsid w:val="3528253D"/>
    <w:rsid w:val="35BA6CAF"/>
    <w:rsid w:val="35BB5A78"/>
    <w:rsid w:val="35D37231"/>
    <w:rsid w:val="364D14C1"/>
    <w:rsid w:val="36AA5135"/>
    <w:rsid w:val="36BE0DA7"/>
    <w:rsid w:val="376B6AA6"/>
    <w:rsid w:val="376D39B2"/>
    <w:rsid w:val="37E16F03"/>
    <w:rsid w:val="37F53A3B"/>
    <w:rsid w:val="389B6C89"/>
    <w:rsid w:val="38D469F0"/>
    <w:rsid w:val="38F60B75"/>
    <w:rsid w:val="39627CCD"/>
    <w:rsid w:val="397BAF1F"/>
    <w:rsid w:val="3995213C"/>
    <w:rsid w:val="3AB79AF3"/>
    <w:rsid w:val="3B7EF35A"/>
    <w:rsid w:val="3B9FDB6C"/>
    <w:rsid w:val="3BCF4307"/>
    <w:rsid w:val="3BF5BC2F"/>
    <w:rsid w:val="3C1063F2"/>
    <w:rsid w:val="3CBC4741"/>
    <w:rsid w:val="3CEB41A5"/>
    <w:rsid w:val="3CEBA265"/>
    <w:rsid w:val="3D0D2931"/>
    <w:rsid w:val="3D98207C"/>
    <w:rsid w:val="3D9B0D99"/>
    <w:rsid w:val="3DEE7CF3"/>
    <w:rsid w:val="3DF02244"/>
    <w:rsid w:val="3E05686D"/>
    <w:rsid w:val="3E78745D"/>
    <w:rsid w:val="3FF4CAE0"/>
    <w:rsid w:val="3FF7B227"/>
    <w:rsid w:val="40D479EE"/>
    <w:rsid w:val="40E54C45"/>
    <w:rsid w:val="41313393"/>
    <w:rsid w:val="438356FB"/>
    <w:rsid w:val="43A407DF"/>
    <w:rsid w:val="443C2B2F"/>
    <w:rsid w:val="44515BEA"/>
    <w:rsid w:val="44E268DA"/>
    <w:rsid w:val="453F7E5B"/>
    <w:rsid w:val="456B7D77"/>
    <w:rsid w:val="45815C6A"/>
    <w:rsid w:val="45EE0BFD"/>
    <w:rsid w:val="46416AD6"/>
    <w:rsid w:val="471825FE"/>
    <w:rsid w:val="475233E9"/>
    <w:rsid w:val="476B6BD2"/>
    <w:rsid w:val="47CA2E28"/>
    <w:rsid w:val="47CD163B"/>
    <w:rsid w:val="48054931"/>
    <w:rsid w:val="486A6C7A"/>
    <w:rsid w:val="48F86243"/>
    <w:rsid w:val="49042E3A"/>
    <w:rsid w:val="49176D9B"/>
    <w:rsid w:val="494006BD"/>
    <w:rsid w:val="4A627F82"/>
    <w:rsid w:val="4B0E749A"/>
    <w:rsid w:val="4B4F25DA"/>
    <w:rsid w:val="4BDA0CFB"/>
    <w:rsid w:val="4BE068DB"/>
    <w:rsid w:val="4C4579F1"/>
    <w:rsid w:val="4D3C0CCC"/>
    <w:rsid w:val="4D577224"/>
    <w:rsid w:val="4DBF1CEB"/>
    <w:rsid w:val="4E577EB0"/>
    <w:rsid w:val="4EAB630A"/>
    <w:rsid w:val="4ECE2238"/>
    <w:rsid w:val="4F4977F9"/>
    <w:rsid w:val="4F833267"/>
    <w:rsid w:val="4FE9BD67"/>
    <w:rsid w:val="4FF63749"/>
    <w:rsid w:val="4FFB052F"/>
    <w:rsid w:val="502142D2"/>
    <w:rsid w:val="50E61077"/>
    <w:rsid w:val="518D37EC"/>
    <w:rsid w:val="51D535C6"/>
    <w:rsid w:val="53083A92"/>
    <w:rsid w:val="537E6D0A"/>
    <w:rsid w:val="53AF27A2"/>
    <w:rsid w:val="53F74C96"/>
    <w:rsid w:val="54CA13DC"/>
    <w:rsid w:val="562431B2"/>
    <w:rsid w:val="56E47B74"/>
    <w:rsid w:val="56FB1D20"/>
    <w:rsid w:val="57B95737"/>
    <w:rsid w:val="57BD3DD4"/>
    <w:rsid w:val="581806B0"/>
    <w:rsid w:val="5954396A"/>
    <w:rsid w:val="5A0C5FF2"/>
    <w:rsid w:val="5AF92295"/>
    <w:rsid w:val="5BDD79E6"/>
    <w:rsid w:val="5BF561CA"/>
    <w:rsid w:val="5BFF5DFC"/>
    <w:rsid w:val="5CD71FC4"/>
    <w:rsid w:val="5D1F11B5"/>
    <w:rsid w:val="5DAE1B18"/>
    <w:rsid w:val="5DE7D9E5"/>
    <w:rsid w:val="5DFC012C"/>
    <w:rsid w:val="5E226FBC"/>
    <w:rsid w:val="5E473A9D"/>
    <w:rsid w:val="5E677792"/>
    <w:rsid w:val="5E912F6A"/>
    <w:rsid w:val="5EBD78BB"/>
    <w:rsid w:val="5ECEC941"/>
    <w:rsid w:val="5EFD0600"/>
    <w:rsid w:val="5F493CB7"/>
    <w:rsid w:val="5FBF9FF3"/>
    <w:rsid w:val="5FCD4E2C"/>
    <w:rsid w:val="5FD15F49"/>
    <w:rsid w:val="5FEF394A"/>
    <w:rsid w:val="5FF67715"/>
    <w:rsid w:val="606F6C7A"/>
    <w:rsid w:val="60DB671F"/>
    <w:rsid w:val="61A92379"/>
    <w:rsid w:val="62BF3928"/>
    <w:rsid w:val="62FB4E56"/>
    <w:rsid w:val="62FE04A2"/>
    <w:rsid w:val="63E43B3C"/>
    <w:rsid w:val="643248A8"/>
    <w:rsid w:val="645A392E"/>
    <w:rsid w:val="647F5392"/>
    <w:rsid w:val="650B1CF5"/>
    <w:rsid w:val="65AD68DC"/>
    <w:rsid w:val="664B1D71"/>
    <w:rsid w:val="66682803"/>
    <w:rsid w:val="668B7F72"/>
    <w:rsid w:val="66A31A8D"/>
    <w:rsid w:val="67655FA1"/>
    <w:rsid w:val="67AA3209"/>
    <w:rsid w:val="67AC2BC3"/>
    <w:rsid w:val="680D3662"/>
    <w:rsid w:val="681C4F0D"/>
    <w:rsid w:val="68694610"/>
    <w:rsid w:val="69046D0F"/>
    <w:rsid w:val="691813E2"/>
    <w:rsid w:val="69676DA1"/>
    <w:rsid w:val="698D0931"/>
    <w:rsid w:val="6A2C1D99"/>
    <w:rsid w:val="6A993CED"/>
    <w:rsid w:val="6AD62431"/>
    <w:rsid w:val="6B053271"/>
    <w:rsid w:val="6B924F89"/>
    <w:rsid w:val="6BCE6674"/>
    <w:rsid w:val="6BD83C28"/>
    <w:rsid w:val="6C4A05C8"/>
    <w:rsid w:val="6C4F5FC2"/>
    <w:rsid w:val="6C8742B8"/>
    <w:rsid w:val="6C8A170F"/>
    <w:rsid w:val="6C930666"/>
    <w:rsid w:val="6C9A123C"/>
    <w:rsid w:val="6CB54609"/>
    <w:rsid w:val="6D342E96"/>
    <w:rsid w:val="6DBF5E93"/>
    <w:rsid w:val="6DFF077E"/>
    <w:rsid w:val="6E7E3605"/>
    <w:rsid w:val="6E7FDCC7"/>
    <w:rsid w:val="6ED6A62E"/>
    <w:rsid w:val="6EE00B15"/>
    <w:rsid w:val="6F544B20"/>
    <w:rsid w:val="6F63000B"/>
    <w:rsid w:val="6F6FB3EB"/>
    <w:rsid w:val="6F742218"/>
    <w:rsid w:val="6F784160"/>
    <w:rsid w:val="6F8731EA"/>
    <w:rsid w:val="6F9208F0"/>
    <w:rsid w:val="6FCE6052"/>
    <w:rsid w:val="6FD57C00"/>
    <w:rsid w:val="6FEFFFD8"/>
    <w:rsid w:val="6FF5CC65"/>
    <w:rsid w:val="6FFB47EC"/>
    <w:rsid w:val="6FFF034A"/>
    <w:rsid w:val="70433998"/>
    <w:rsid w:val="70496804"/>
    <w:rsid w:val="706525CA"/>
    <w:rsid w:val="70815067"/>
    <w:rsid w:val="70B36D70"/>
    <w:rsid w:val="70D70CB1"/>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0D6F22"/>
    <w:rsid w:val="76636B42"/>
    <w:rsid w:val="76E060E7"/>
    <w:rsid w:val="76E3355F"/>
    <w:rsid w:val="76F0487A"/>
    <w:rsid w:val="76FF5125"/>
    <w:rsid w:val="776F6FFA"/>
    <w:rsid w:val="778769C8"/>
    <w:rsid w:val="77DC22F5"/>
    <w:rsid w:val="78654DF4"/>
    <w:rsid w:val="78770683"/>
    <w:rsid w:val="78CC6C21"/>
    <w:rsid w:val="78DD0E2E"/>
    <w:rsid w:val="78E51A91"/>
    <w:rsid w:val="79086DAD"/>
    <w:rsid w:val="795B7FA5"/>
    <w:rsid w:val="79974F09"/>
    <w:rsid w:val="79D7FD79"/>
    <w:rsid w:val="79EE5BA4"/>
    <w:rsid w:val="79FF063F"/>
    <w:rsid w:val="7A6D61E2"/>
    <w:rsid w:val="7A894339"/>
    <w:rsid w:val="7AFF7572"/>
    <w:rsid w:val="7B4B6523"/>
    <w:rsid w:val="7B6C7DFB"/>
    <w:rsid w:val="7BBFBED0"/>
    <w:rsid w:val="7BC3E394"/>
    <w:rsid w:val="7BE4337B"/>
    <w:rsid w:val="7C1F3737"/>
    <w:rsid w:val="7C2D79D7"/>
    <w:rsid w:val="7C921F30"/>
    <w:rsid w:val="7CBFC87B"/>
    <w:rsid w:val="7CFE0F48"/>
    <w:rsid w:val="7D7EC23E"/>
    <w:rsid w:val="7D916348"/>
    <w:rsid w:val="7DC205F3"/>
    <w:rsid w:val="7DE92023"/>
    <w:rsid w:val="7E094473"/>
    <w:rsid w:val="7E8ADEBF"/>
    <w:rsid w:val="7EBE700C"/>
    <w:rsid w:val="7EEF11D3"/>
    <w:rsid w:val="7F005876"/>
    <w:rsid w:val="7F0971A6"/>
    <w:rsid w:val="7F1C4F25"/>
    <w:rsid w:val="7F3F679B"/>
    <w:rsid w:val="7F4FC4EF"/>
    <w:rsid w:val="7F5E4D54"/>
    <w:rsid w:val="7F6E0135"/>
    <w:rsid w:val="7F82628B"/>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qFormat/>
    <w:uiPriority w:val="0"/>
    <w:rPr>
      <w:rFonts w:ascii="Times New Roman" w:hAnsi="Times New Roman" w:eastAsia="宋体" w:cs="Times New Roman"/>
    </w:rPr>
  </w:style>
  <w:style w:type="paragraph" w:styleId="6">
    <w:name w:val="Body Text"/>
    <w:basedOn w:val="1"/>
    <w:next w:val="1"/>
    <w:link w:val="27"/>
    <w:qFormat/>
    <w:uiPriority w:val="99"/>
    <w:pPr>
      <w:spacing w:beforeLines="30"/>
    </w:pPr>
    <w:rPr>
      <w:rFonts w:ascii="仿宋_GB2312" w:eastAsia="仿宋_GB2312"/>
      <w:kern w:val="0"/>
      <w:sz w:val="30"/>
    </w:rPr>
  </w:style>
  <w:style w:type="paragraph" w:styleId="7">
    <w:name w:val="Body Text Indent"/>
    <w:basedOn w:val="1"/>
    <w:next w:val="8"/>
    <w:qFormat/>
    <w:uiPriority w:val="0"/>
    <w:pPr>
      <w:spacing w:after="120"/>
      <w:ind w:leftChars="200"/>
    </w:pPr>
    <w:rPr>
      <w:rFonts w:ascii="仿宋_GB2312"/>
      <w:szCs w:val="32"/>
    </w:rPr>
  </w:style>
  <w:style w:type="paragraph" w:styleId="8">
    <w:name w:val="Body Text First Indent 2"/>
    <w:basedOn w:val="7"/>
    <w:next w:val="1"/>
    <w:unhideWhenUsed/>
    <w:qFormat/>
    <w:uiPriority w:val="99"/>
    <w:pPr>
      <w:ind w:firstLine="420" w:firstLineChars="200"/>
    </w:p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3"/>
    <w:semiHidden/>
    <w:unhideWhenUsed/>
    <w:qFormat/>
    <w:uiPriority w:val="99"/>
    <w:rPr>
      <w:sz w:val="18"/>
      <w:szCs w:val="18"/>
    </w:rPr>
  </w:style>
  <w:style w:type="paragraph" w:styleId="11">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8"/>
    <w:semiHidden/>
    <w:qFormat/>
    <w:uiPriority w:val="0"/>
    <w:pPr>
      <w:snapToGrid w:val="0"/>
      <w:jc w:val="left"/>
    </w:pPr>
    <w:rPr>
      <w:sz w:val="18"/>
      <w:szCs w:val="18"/>
    </w:rPr>
  </w:style>
  <w:style w:type="paragraph" w:styleId="15">
    <w:name w:val="table of figures"/>
    <w:basedOn w:val="1"/>
    <w:next w:val="1"/>
    <w:qFormat/>
    <w:uiPriority w:val="0"/>
    <w:pPr>
      <w:ind w:left="400" w:leftChars="200" w:hanging="200" w:hangingChars="200"/>
    </w:pPr>
  </w:style>
  <w:style w:type="paragraph" w:styleId="16">
    <w:name w:val="toc 2"/>
    <w:basedOn w:val="1"/>
    <w:next w:val="1"/>
    <w:unhideWhenUsed/>
    <w:qFormat/>
    <w:uiPriority w:val="39"/>
    <w:pPr>
      <w:tabs>
        <w:tab w:val="right" w:leader="dot" w:pos="8296"/>
      </w:tabs>
      <w:ind w:left="420" w:leftChars="200"/>
    </w:pPr>
  </w:style>
  <w:style w:type="character" w:styleId="19">
    <w:name w:val="Strong"/>
    <w:basedOn w:val="18"/>
    <w:qFormat/>
    <w:uiPriority w:val="99"/>
    <w:rPr>
      <w:b/>
    </w:rPr>
  </w:style>
  <w:style w:type="character" w:styleId="20">
    <w:name w:val="Hyperlink"/>
    <w:basedOn w:val="18"/>
    <w:unhideWhenUsed/>
    <w:qFormat/>
    <w:uiPriority w:val="99"/>
    <w:rPr>
      <w:color w:val="0000FF" w:themeColor="hyperlink"/>
      <w:u w:val="single"/>
      <w14:textFill>
        <w14:solidFill>
          <w14:schemeClr w14:val="hlink"/>
        </w14:solidFill>
      </w14:textFill>
    </w:rPr>
  </w:style>
  <w:style w:type="paragraph" w:customStyle="1" w:styleId="21">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2">
    <w:name w:val="Header Char"/>
    <w:basedOn w:val="18"/>
    <w:semiHidden/>
    <w:qFormat/>
    <w:uiPriority w:val="99"/>
    <w:rPr>
      <w:rFonts w:ascii="Times New Roman" w:hAnsi="Times New Roman"/>
      <w:sz w:val="18"/>
      <w:szCs w:val="18"/>
    </w:rPr>
  </w:style>
  <w:style w:type="character" w:customStyle="1" w:styleId="23">
    <w:name w:val="页眉 Char"/>
    <w:link w:val="12"/>
    <w:semiHidden/>
    <w:qFormat/>
    <w:locked/>
    <w:uiPriority w:val="99"/>
    <w:rPr>
      <w:sz w:val="18"/>
    </w:rPr>
  </w:style>
  <w:style w:type="character" w:customStyle="1" w:styleId="24">
    <w:name w:val="Footer Char"/>
    <w:basedOn w:val="18"/>
    <w:semiHidden/>
    <w:qFormat/>
    <w:uiPriority w:val="99"/>
    <w:rPr>
      <w:rFonts w:ascii="Times New Roman" w:hAnsi="Times New Roman"/>
      <w:sz w:val="18"/>
      <w:szCs w:val="18"/>
    </w:rPr>
  </w:style>
  <w:style w:type="character" w:customStyle="1" w:styleId="25">
    <w:name w:val="页脚 Char"/>
    <w:link w:val="11"/>
    <w:qFormat/>
    <w:locked/>
    <w:uiPriority w:val="99"/>
    <w:rPr>
      <w:sz w:val="18"/>
    </w:rPr>
  </w:style>
  <w:style w:type="character" w:customStyle="1" w:styleId="26">
    <w:name w:val="Body Text Char"/>
    <w:basedOn w:val="18"/>
    <w:semiHidden/>
    <w:qFormat/>
    <w:uiPriority w:val="99"/>
    <w:rPr>
      <w:rFonts w:ascii="Times New Roman" w:hAnsi="Times New Roman"/>
      <w:szCs w:val="24"/>
    </w:rPr>
  </w:style>
  <w:style w:type="character" w:customStyle="1" w:styleId="27">
    <w:name w:val="正文文本 Char"/>
    <w:link w:val="6"/>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8"/>
    <w:link w:val="3"/>
    <w:qFormat/>
    <w:uiPriority w:val="9"/>
    <w:rPr>
      <w:rFonts w:ascii="Times New Roman" w:hAnsi="Times New Roman"/>
      <w:b/>
      <w:bCs/>
      <w:kern w:val="44"/>
      <w:sz w:val="44"/>
      <w:szCs w:val="44"/>
    </w:rPr>
  </w:style>
  <w:style w:type="character" w:customStyle="1" w:styleId="31">
    <w:name w:val="标题 2 Char"/>
    <w:basedOn w:val="18"/>
    <w:link w:val="4"/>
    <w:qFormat/>
    <w:uiPriority w:val="9"/>
    <w:rPr>
      <w:rFonts w:asciiTheme="majorHAnsi" w:hAnsiTheme="majorHAnsi" w:eastAsiaTheme="majorEastAsia" w:cstheme="majorBidi"/>
      <w:b/>
      <w:bCs/>
      <w:kern w:val="2"/>
      <w:sz w:val="32"/>
      <w:szCs w:val="32"/>
    </w:rPr>
  </w:style>
  <w:style w:type="paragraph" w:customStyle="1" w:styleId="32">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8"/>
    <w:link w:val="10"/>
    <w:semiHidden/>
    <w:qFormat/>
    <w:uiPriority w:val="99"/>
    <w:rPr>
      <w:rFonts w:ascii="Times New Roman" w:hAnsi="Times New Roman"/>
      <w:kern w:val="2"/>
      <w:sz w:val="18"/>
      <w:szCs w:val="18"/>
    </w:rPr>
  </w:style>
  <w:style w:type="character" w:customStyle="1" w:styleId="34">
    <w:name w:val="标题 3 Char"/>
    <w:basedOn w:val="18"/>
    <w:link w:val="5"/>
    <w:qFormat/>
    <w:uiPriority w:val="9"/>
    <w:rPr>
      <w:rFonts w:ascii="Times New Roman" w:hAnsi="Times New Roman"/>
      <w:b/>
      <w:bCs/>
      <w:kern w:val="2"/>
      <w:sz w:val="32"/>
      <w:szCs w:val="32"/>
    </w:rPr>
  </w:style>
  <w:style w:type="paragraph" w:customStyle="1" w:styleId="35">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7">
    <w:name w:val="普通(网站)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38">
    <w:name w:val="WPSOffice手动目录 1"/>
    <w:uiPriority w:val="0"/>
    <w:pPr>
      <w:ind w:leftChars="0"/>
    </w:pPr>
    <w:rPr>
      <w:rFonts w:ascii="Times New Roman" w:hAnsi="Times New Roman" w:eastAsia="宋体" w:cs="Times New Roman"/>
      <w:sz w:val="20"/>
      <w:szCs w:val="20"/>
    </w:rPr>
  </w:style>
  <w:style w:type="paragraph" w:customStyle="1" w:styleId="39">
    <w:name w:val="WPSOffice手动目录 2"/>
    <w:uiPriority w:val="0"/>
    <w:pPr>
      <w:ind w:leftChars="200"/>
    </w:pPr>
    <w:rPr>
      <w:rFonts w:ascii="Times New Roman" w:hAnsi="Times New Roman" w:eastAsia="宋体" w:cs="Times New Roman"/>
      <w:sz w:val="20"/>
      <w:szCs w:val="20"/>
    </w:rPr>
  </w:style>
  <w:style w:type="paragraph" w:customStyle="1" w:styleId="40">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7.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7.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7.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896428078886"/>
          <c:y val="0.101085209003215"/>
          <c:w val="0.873314025651634"/>
          <c:h val="0.727773311897106"/>
        </c:manualLayout>
      </c:layout>
      <c:barChart>
        <c:barDir val="col"/>
        <c:grouping val="clustered"/>
        <c:varyColors val="0"/>
        <c:ser>
          <c:idx val="0"/>
          <c:order val="0"/>
          <c:tx>
            <c:strRef>
              <c:f>Sheet1!$B$1</c:f>
              <c:strCache>
                <c:ptCount val="1"/>
                <c:pt idx="0">
                  <c:v>2025年</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delete val="1"/>
          </c:dLbls>
          <c:cat>
            <c:strRef>
              <c:f>Sheet1!$A$3:$A$6</c:f>
              <c:strCache>
                <c:ptCount val="4"/>
                <c:pt idx="0">
                  <c:v>支出</c:v>
                </c:pt>
              </c:strCache>
            </c:strRef>
          </c:cat>
          <c:val>
            <c:numRef>
              <c:f>Sheet1!$B$3:$B$6</c:f>
              <c:numCache>
                <c:formatCode>General</c:formatCode>
                <c:ptCount val="4"/>
                <c:pt idx="0">
                  <c:v>880.15</c:v>
                </c:pt>
              </c:numCache>
            </c:numRef>
          </c:val>
        </c:ser>
        <c:ser>
          <c:idx val="1"/>
          <c:order val="1"/>
          <c:tx>
            <c:strRef>
              <c:f>Sheet1!$C$1</c:f>
              <c:strCache>
                <c:ptCount val="1"/>
                <c:pt idx="0">
                  <c:v>2024年</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Pt>
            <c:idx val="1"/>
            <c:invertIfNegative val="0"/>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dPt>
          <c:dLbls>
            <c:delete val="1"/>
          </c:dLbls>
          <c:cat>
            <c:strRef>
              <c:f>Sheet1!$A$3:$A$6</c:f>
              <c:strCache>
                <c:ptCount val="4"/>
                <c:pt idx="0">
                  <c:v>支出</c:v>
                </c:pt>
              </c:strCache>
            </c:strRef>
          </c:cat>
          <c:val>
            <c:numRef>
              <c:f>Sheet1!$C$3:$C$6</c:f>
              <c:numCache>
                <c:formatCode>General</c:formatCode>
                <c:ptCount val="4"/>
                <c:pt idx="0">
                  <c:v>843.25</c:v>
                </c:pt>
              </c:numCache>
            </c:numRef>
          </c:val>
        </c:ser>
        <c:ser>
          <c:idx val="2"/>
          <c:order val="2"/>
          <c:tx>
            <c:strRef>
              <c:f>Sheet1!$D$1</c:f>
              <c:strCache>
                <c:ptCount val="1"/>
                <c:pt idx="0">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delete val="1"/>
          </c:dLbls>
          <c:cat>
            <c:strRef>
              <c:f>Sheet1!$A$3:$A$6</c:f>
              <c:strCache>
                <c:ptCount val="4"/>
                <c:pt idx="0">
                  <c:v>支出</c:v>
                </c:pt>
              </c:strCache>
            </c:strRef>
          </c:cat>
          <c:val>
            <c:numRef>
              <c:f>Sheet1!$D$3:$D$6</c:f>
              <c:numCache>
                <c:formatCode>General</c:formatCode>
                <c:ptCount val="4"/>
              </c:numCache>
            </c:numRef>
          </c:val>
        </c:ser>
        <c:dLbls>
          <c:showLegendKey val="0"/>
          <c:showVal val="0"/>
          <c:showCatName val="0"/>
          <c:showSerName val="0"/>
          <c:showPercent val="0"/>
          <c:showBubbleSize val="0"/>
        </c:dLbls>
        <c:gapWidth val="100"/>
        <c:overlap val="-24"/>
        <c:axId val="642215252"/>
        <c:axId val="30948704"/>
      </c:barChart>
      <c:catAx>
        <c:axId val="642215252"/>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crossAx val="30948704"/>
        <c:crosses val="autoZero"/>
        <c:auto val="1"/>
        <c:lblAlgn val="ctr"/>
        <c:lblOffset val="100"/>
        <c:noMultiLvlLbl val="0"/>
      </c:catAx>
      <c:valAx>
        <c:axId val="309487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crossAx val="642215252"/>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988377058032"/>
          <c:y val="0.098971812403657"/>
          <c:w val="0.570625"/>
          <c:h val="0.760833333333333"/>
        </c:manualLayout>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Lbl>
              <c:idx val="0"/>
              <c:layout>
                <c:manualLayout>
                  <c:x val="0.00734280374307864"/>
                  <c:y val="-0.223236001297522"/>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100%</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0915275994865212"/>
                      <c:h val="0.114161849710983"/>
                    </c:manualLayout>
                  </c15:layout>
                </c:ext>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2.</a:t>
                    </a:r>
                    <a:r>
                      <a:rPr lang="en-US" altLang="zh-CN"/>
                      <a:t>04%</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101394169835234"/>
                      <c:h val="0.0783754116355653"/>
                    </c:manualLayout>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一般公共预算财政拨款收入</c:v>
                </c:pt>
              </c:strCache>
            </c:strRef>
          </c:cat>
          <c:val>
            <c:numRef>
              <c:f>Sheet1!$B$2:$B$4</c:f>
              <c:numCache>
                <c:formatCode>General</c:formatCode>
                <c:ptCount val="3"/>
                <c:pt idx="0">
                  <c:v>945.1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
        <c:rich>
          <a:bodyPr/>
          <a:lstStyle/>
          <a:p>
            <a:pPr>
              <a:defRPr/>
            </a:pPr>
          </a:p>
        </c:rich>
      </c:tx>
    </c:title>
    <c:autoTitleDeleted val="0"/>
    <c:view3D>
      <c:rotX val="30"/>
      <c:rotY val="0"/>
      <c:depthPercent val="100"/>
      <c:rAngAx val="0"/>
    </c:view3D>
    <c:floor>
      <c:thickness val="0"/>
    </c:floor>
    <c:sideWall>
      <c:thickness val="0"/>
    </c:sideWall>
    <c:backWall>
      <c:thickness val="0"/>
    </c:backWall>
    <c:plotArea>
      <c:layout/>
      <c:pie3DChart>
        <c:varyColors val="1"/>
        <c:ser>
          <c:idx val="0"/>
          <c:order val="0"/>
          <c:tx>
            <c:strRef>
              <c:f>Sheet1!$B$1</c:f>
              <c:strCache>
                <c:ptCount val="1"/>
                <c:pt idx="0">
                  <c:v>列1</c:v>
                </c:pt>
              </c:strCache>
            </c:strRef>
          </c:tx>
          <c:explosion val="0"/>
          <c:dPt>
            <c:idx val="0"/>
            <c:bubble3D val="0"/>
            <c:spPr>
              <a:solidFill>
                <a:schemeClr val="accent6"/>
              </a:solidFill>
              <a:ln w="25400">
                <a:solidFill>
                  <a:schemeClr val="lt1"/>
                </a:solidFill>
              </a:ln>
              <a:effectLst/>
            </c:spPr>
          </c:dPt>
          <c:dPt>
            <c:idx val="1"/>
            <c:bubble3D val="0"/>
            <c:spPr>
              <a:solidFill>
                <a:schemeClr val="accent5"/>
              </a:solidFill>
              <a:ln w="25400">
                <a:solidFill>
                  <a:schemeClr val="lt1"/>
                </a:solidFill>
              </a:ln>
              <a:effectLst/>
            </c:spPr>
          </c:dPt>
          <c:dPt>
            <c:idx val="2"/>
            <c:bubble3D val="0"/>
            <c:spPr>
              <a:solidFill>
                <a:schemeClr val="accent4"/>
              </a:solidFill>
              <a:ln w="25400">
                <a:solidFill>
                  <a:schemeClr val="lt1"/>
                </a:solidFill>
              </a:ln>
              <a:effectLst/>
            </c:spPr>
          </c:dPt>
          <c:dPt>
            <c:idx val="3"/>
            <c:bubble3D val="0"/>
            <c:spPr>
              <a:solidFill>
                <a:schemeClr val="accent6">
                  <a:lumMod val="60000"/>
                </a:schemeClr>
              </a:solidFill>
              <a:ln w="2540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基本支出</c:v>
                </c:pt>
                <c:pt idx="1">
                  <c:v>项目支出</c:v>
                </c:pt>
              </c:strCache>
            </c:strRef>
          </c:cat>
          <c:val>
            <c:numRef>
              <c:f>Sheet1!$B$2:$B$5</c:f>
              <c:numCache>
                <c:formatCode>General</c:formatCode>
                <c:ptCount val="4"/>
                <c:pt idx="0">
                  <c:v>708.73</c:v>
                </c:pt>
                <c:pt idx="1">
                  <c:v>171.41</c:v>
                </c:pt>
              </c:numCache>
            </c:numRef>
          </c:val>
        </c:ser>
        <c:dLbls>
          <c:showLegendKey val="0"/>
          <c:showVal val="1"/>
          <c:showCatName val="0"/>
          <c:showSerName val="0"/>
          <c:showPercent val="0"/>
          <c:showBubbleSize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3013177753338"/>
          <c:y val="0.141218920826365"/>
          <c:w val="0.870726388189901"/>
          <c:h val="0.66831370295892"/>
        </c:manualLayout>
      </c:layout>
      <c:barChart>
        <c:barDir val="col"/>
        <c:grouping val="clustered"/>
        <c:varyColors val="0"/>
        <c:ser>
          <c:idx val="0"/>
          <c:order val="0"/>
          <c:tx>
            <c:strRef>
              <c:f>Sheet1!$B$1</c:f>
              <c:strCache>
                <c:ptCount val="1"/>
                <c:pt idx="0">
                  <c:v>2024年</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delete val="1"/>
          </c:dLbls>
          <c:cat>
            <c:strRef>
              <c:f>Sheet1!$A$2:$A$5</c:f>
              <c:strCache>
                <c:ptCount val="4"/>
                <c:pt idx="0">
                  <c:v>收入</c:v>
                </c:pt>
                <c:pt idx="1">
                  <c:v>支出</c:v>
                </c:pt>
              </c:strCache>
            </c:strRef>
          </c:cat>
          <c:val>
            <c:numRef>
              <c:f>Sheet1!$B$2:$B$5</c:f>
              <c:numCache>
                <c:formatCode>General</c:formatCode>
                <c:ptCount val="4"/>
                <c:pt idx="0">
                  <c:v>843.25</c:v>
                </c:pt>
                <c:pt idx="1">
                  <c:v>843.25</c:v>
                </c:pt>
              </c:numCache>
            </c:numRef>
          </c:val>
        </c:ser>
        <c:ser>
          <c:idx val="1"/>
          <c:order val="1"/>
          <c:tx>
            <c:strRef>
              <c:f>Sheet1!$C$1</c:f>
              <c:strCache>
                <c:ptCount val="1"/>
                <c:pt idx="0">
                  <c:v>2025年</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delete val="1"/>
          </c:dLbls>
          <c:cat>
            <c:strRef>
              <c:f>Sheet1!$A$2:$A$5</c:f>
              <c:strCache>
                <c:ptCount val="4"/>
                <c:pt idx="0">
                  <c:v>收入</c:v>
                </c:pt>
                <c:pt idx="1">
                  <c:v>支出</c:v>
                </c:pt>
              </c:strCache>
            </c:strRef>
          </c:cat>
          <c:val>
            <c:numRef>
              <c:f>Sheet1!$C$2:$C$5</c:f>
              <c:numCache>
                <c:formatCode>General</c:formatCode>
                <c:ptCount val="4"/>
                <c:pt idx="0">
                  <c:v>880.15</c:v>
                </c:pt>
                <c:pt idx="1">
                  <c:v>880.15</c:v>
                </c:pt>
              </c:numCache>
            </c:numRef>
          </c:val>
        </c:ser>
        <c:ser>
          <c:idx val="2"/>
          <c:order val="2"/>
          <c:tx>
            <c:strRef>
              <c:f>Sheet1!$D$1</c:f>
              <c:strCache>
                <c:ptCount val="1"/>
                <c:pt idx="0">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delete val="1"/>
          </c:dLbls>
          <c:cat>
            <c:strRef>
              <c:f>Sheet1!$A$2:$A$5</c:f>
              <c:strCache>
                <c:ptCount val="4"/>
                <c:pt idx="0">
                  <c:v>收入</c:v>
                </c:pt>
                <c:pt idx="1">
                  <c:v>支出</c:v>
                </c:pt>
              </c:strCache>
            </c:strRef>
          </c:cat>
          <c:val>
            <c:numRef>
              <c:f>Sheet1!$D$2:$D$5</c:f>
              <c:numCache>
                <c:formatCode>General</c:formatCode>
                <c:ptCount val="4"/>
              </c:numCache>
            </c:numRef>
          </c:val>
        </c:ser>
        <c:dLbls>
          <c:showLegendKey val="0"/>
          <c:showVal val="0"/>
          <c:showCatName val="0"/>
          <c:showSerName val="0"/>
          <c:showPercent val="0"/>
          <c:showBubbleSize val="0"/>
        </c:dLbls>
        <c:gapWidth val="100"/>
        <c:overlap val="-24"/>
        <c:axId val="642215252"/>
        <c:axId val="30948704"/>
      </c:barChart>
      <c:catAx>
        <c:axId val="642215252"/>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crossAx val="30948704"/>
        <c:crosses val="autoZero"/>
        <c:auto val="1"/>
        <c:lblAlgn val="ctr"/>
        <c:lblOffset val="100"/>
        <c:noMultiLvlLbl val="0"/>
      </c:catAx>
      <c:valAx>
        <c:axId val="309487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crossAx val="642215252"/>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0546478197344"/>
          <c:y val="0.141218920826365"/>
          <c:w val="0.870726388189901"/>
          <c:h val="0.66831370295892"/>
        </c:manualLayout>
      </c:layout>
      <c:barChart>
        <c:barDir val="col"/>
        <c:grouping val="clustered"/>
        <c:varyColors val="0"/>
        <c:ser>
          <c:idx val="0"/>
          <c:order val="0"/>
          <c:tx>
            <c:strRef>
              <c:f>Sheet1!$B$1</c:f>
              <c:strCache>
                <c:ptCount val="1"/>
                <c:pt idx="0">
                  <c:v>2024年</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delete val="1"/>
          </c:dLbls>
          <c:cat>
            <c:numRef>
              <c:f>Sheet1!$A$2:$A$4</c:f>
              <c:numCache>
                <c:formatCode>General</c:formatCode>
                <c:ptCount val="3"/>
              </c:numCache>
            </c:numRef>
          </c:cat>
          <c:val>
            <c:numRef>
              <c:f>Sheet1!$B$2:$B$4</c:f>
              <c:numCache>
                <c:formatCode>General</c:formatCode>
                <c:ptCount val="3"/>
                <c:pt idx="0">
                  <c:v>843.25</c:v>
                </c:pt>
              </c:numCache>
            </c:numRef>
          </c:val>
        </c:ser>
        <c:ser>
          <c:idx val="1"/>
          <c:order val="1"/>
          <c:tx>
            <c:strRef>
              <c:f>Sheet1!$C$1</c:f>
              <c:strCache>
                <c:ptCount val="1"/>
                <c:pt idx="0">
                  <c:v>2025年</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delete val="1"/>
          </c:dLbls>
          <c:cat>
            <c:numRef>
              <c:f>Sheet1!$A$2:$A$4</c:f>
              <c:numCache>
                <c:formatCode>General</c:formatCode>
                <c:ptCount val="3"/>
              </c:numCache>
            </c:numRef>
          </c:cat>
          <c:val>
            <c:numRef>
              <c:f>Sheet1!$C$2:$C$4</c:f>
              <c:numCache>
                <c:formatCode>General</c:formatCode>
                <c:ptCount val="3"/>
                <c:pt idx="0">
                  <c:v>880.15</c:v>
                </c:pt>
              </c:numCache>
            </c:numRef>
          </c:val>
        </c:ser>
        <c:ser>
          <c:idx val="2"/>
          <c:order val="2"/>
          <c:tx>
            <c:strRef>
              <c:f>Sheet1!$D$1</c:f>
              <c:strCache>
                <c:ptCount val="1"/>
                <c:pt idx="0">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delete val="1"/>
          </c:dLbls>
          <c:cat>
            <c:numRef>
              <c:f>Sheet1!$A$2:$A$4</c:f>
              <c:numCache>
                <c:formatCode>General</c:formatCode>
                <c:ptCount val="3"/>
              </c:numCache>
            </c:numRef>
          </c:cat>
          <c:val>
            <c:numRef>
              <c:f>Sheet1!$D$2:$D$4</c:f>
              <c:numCache>
                <c:formatCode>General</c:formatCode>
                <c:ptCount val="3"/>
              </c:numCache>
            </c:numRef>
          </c:val>
        </c:ser>
        <c:dLbls>
          <c:showLegendKey val="0"/>
          <c:showVal val="0"/>
          <c:showCatName val="0"/>
          <c:showSerName val="0"/>
          <c:showPercent val="0"/>
          <c:showBubbleSize val="0"/>
        </c:dLbls>
        <c:gapWidth val="100"/>
        <c:overlap val="-24"/>
        <c:axId val="642215252"/>
        <c:axId val="30948704"/>
      </c:barChart>
      <c:catAx>
        <c:axId val="642215252"/>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crossAx val="30948704"/>
        <c:crosses val="autoZero"/>
        <c:auto val="1"/>
        <c:lblAlgn val="ctr"/>
        <c:lblOffset val="100"/>
        <c:noMultiLvlLbl val="0"/>
      </c:catAx>
      <c:valAx>
        <c:axId val="309487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crossAx val="642215252"/>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
        <c:rich>
          <a:bodyPr/>
          <a:lstStyle/>
          <a:p>
            <a:pPr>
              <a:defRPr/>
            </a:pPr>
          </a:p>
        </c:rich>
      </c:tx>
    </c:title>
    <c:autoTitleDeleted val="0"/>
    <c:plotArea>
      <c:layout/>
      <c:pieChart>
        <c:varyColors val="1"/>
        <c:ser>
          <c:idx val="0"/>
          <c:order val="0"/>
          <c:tx>
            <c:strRef>
              <c:f>Sheet1!$B$1</c:f>
              <c:strCache>
                <c:ptCount val="1"/>
                <c:pt idx="0">
                  <c:v>列1</c:v>
                </c:pt>
              </c:strCache>
            </c:strRef>
          </c:tx>
          <c:explosion val="0"/>
          <c:dPt>
            <c:idx val="0"/>
            <c:bubble3D val="0"/>
            <c:spPr>
              <a:solidFill>
                <a:schemeClr val="accent1"/>
              </a:solidFill>
              <a:ln>
                <a:noFill/>
              </a:ln>
              <a:effectLst>
                <a:outerShdw blurRad="63500" sx="102000" sy="102000" algn="ctr" rotWithShape="0">
                  <a:prstClr val="black">
                    <a:alpha val="20000"/>
                  </a:prstClr>
                </a:outerShdw>
              </a:effectLst>
            </c:spPr>
          </c:dPt>
          <c:dPt>
            <c:idx val="1"/>
            <c:bubble3D val="0"/>
            <c:spPr>
              <a:solidFill>
                <a:schemeClr val="accent2"/>
              </a:solidFill>
              <a:ln>
                <a:noFill/>
              </a:ln>
              <a:effectLst>
                <a:outerShdw blurRad="63500" sx="102000" sy="102000" algn="ctr" rotWithShape="0">
                  <a:prstClr val="black">
                    <a:alpha val="20000"/>
                  </a:prstClr>
                </a:outerShdw>
              </a:effectLst>
            </c:spPr>
          </c:dPt>
          <c:dPt>
            <c:idx val="2"/>
            <c:bubble3D val="0"/>
            <c:spPr>
              <a:solidFill>
                <a:schemeClr val="accent3"/>
              </a:solidFill>
              <a:ln>
                <a:noFill/>
              </a:ln>
              <a:effectLst>
                <a:outerShdw blurRad="63500" sx="102000" sy="102000" algn="ctr" rotWithShape="0">
                  <a:prstClr val="black">
                    <a:alpha val="20000"/>
                  </a:prstClr>
                </a:outerShdw>
              </a:effectLst>
            </c:spPr>
          </c:dPt>
          <c:dPt>
            <c:idx val="3"/>
            <c:bubble3D val="0"/>
            <c:spPr>
              <a:solidFill>
                <a:schemeClr val="accent4"/>
              </a:solidFill>
              <a:ln>
                <a:noFill/>
              </a:ln>
              <a:effectLst>
                <a:outerShdw blurRad="63500" sx="102000" sy="102000" algn="ctr" rotWithShape="0">
                  <a:prstClr val="black">
                    <a:alpha val="20000"/>
                  </a:prstClr>
                </a:outerShdw>
              </a:effectLst>
            </c:spPr>
          </c:dPt>
          <c:dLbls>
            <c:dLbl>
              <c:idx val="0"/>
              <c:layout>
                <c:manualLayout>
                  <c:x val="0.0687397708674304"/>
                  <c:y val="-0.0401606425702811"/>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bestFit"/>
              <c:showLegendKey val="0"/>
              <c:showVal val="1"/>
              <c:showCatName val="1"/>
              <c:showSerName val="0"/>
              <c:showPercent val="1"/>
              <c:showBubbleSize val="0"/>
              <c:extLst>
                <c:ext xmlns:c15="http://schemas.microsoft.com/office/drawing/2012/chart" uri="{CE6537A1-D6FC-4f65-9D91-7224C49458BB}">
                  <c15:layout/>
                </c:ext>
              </c:extLst>
            </c:dLbl>
            <c:dLbl>
              <c:idx val="1"/>
              <c:layout>
                <c:manualLayout>
                  <c:x val="-0.0171849427168576"/>
                  <c:y val="0.0562248995983936"/>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2"/>
                      </a:solidFill>
                      <a:latin typeface="+mn-lt"/>
                      <a:ea typeface="+mn-ea"/>
                      <a:cs typeface="+mn-cs"/>
                    </a:defRPr>
                  </a:pPr>
                </a:p>
              </c:txPr>
              <c:dLblPos val="bestFit"/>
              <c:showLegendKey val="0"/>
              <c:showVal val="1"/>
              <c:showCatName val="1"/>
              <c:showSerName val="0"/>
              <c:showPercent val="1"/>
              <c:showBubbleSize val="0"/>
              <c:extLst>
                <c:ext xmlns:c15="http://schemas.microsoft.com/office/drawing/2012/chart" uri="{CE6537A1-D6FC-4f65-9D91-7224C49458BB}">
                  <c15:layout/>
                </c:ext>
              </c:extLst>
            </c:dLbl>
            <c:dLbl>
              <c:idx val="2"/>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3"/>
                      </a:solidFill>
                      <a:latin typeface="+mn-lt"/>
                      <a:ea typeface="+mn-ea"/>
                      <a:cs typeface="+mn-cs"/>
                    </a:defRPr>
                  </a:pPr>
                </a:p>
              </c:txPr>
              <c:dLblPos val="outEnd"/>
              <c:showLegendKey val="0"/>
              <c:showVal val="1"/>
              <c:showCatName val="1"/>
              <c:showSerName val="0"/>
              <c:showPercent val="1"/>
              <c:showBubbleSize val="0"/>
              <c:extLst>
                <c:ext xmlns:c15="http://schemas.microsoft.com/office/drawing/2012/chart" uri="{CE6537A1-D6FC-4f65-9D91-7224C49458BB}"/>
              </c:extLst>
            </c:dLbl>
            <c:dLbl>
              <c:idx val="3"/>
              <c:layout>
                <c:manualLayout>
                  <c:x val="0.0490998363338789"/>
                  <c:y val="-0.036144578313253"/>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4"/>
                      </a:solidFill>
                      <a:latin typeface="+mn-lt"/>
                      <a:ea typeface="+mn-ea"/>
                      <a:cs typeface="+mn-cs"/>
                    </a:defRPr>
                  </a:pPr>
                </a:p>
              </c:txPr>
              <c:dLblPos val="bestFit"/>
              <c:showLegendKey val="0"/>
              <c:showVal val="1"/>
              <c:showCatName val="1"/>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1"/>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一般公共服务</c:v>
                </c:pt>
                <c:pt idx="1">
                  <c:v>社会保障和就业</c:v>
                </c:pt>
                <c:pt idx="2">
                  <c:v>卫生健康</c:v>
                </c:pt>
                <c:pt idx="3">
                  <c:v>住房保障</c:v>
                </c:pt>
              </c:strCache>
            </c:strRef>
          </c:cat>
          <c:val>
            <c:numRef>
              <c:f>Sheet1!$B$2:$B$5</c:f>
              <c:numCache>
                <c:formatCode>0.00_ </c:formatCode>
                <c:ptCount val="4"/>
                <c:pt idx="0">
                  <c:v>707.05</c:v>
                </c:pt>
                <c:pt idx="1">
                  <c:v>89.84</c:v>
                </c:pt>
                <c:pt idx="2">
                  <c:v>35.34</c:v>
                </c:pt>
                <c:pt idx="3">
                  <c:v>47.91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3575565509468"/>
          <c:y val="0.111582096686516"/>
          <c:w val="0.570625"/>
          <c:h val="0.760833333333333"/>
        </c:manualLayout>
      </c:layout>
      <c:pieChart>
        <c:varyColors val="1"/>
        <c:ser>
          <c:idx val="0"/>
          <c:order val="0"/>
          <c:tx>
            <c:strRef>
              <c:f>Sheet1!$B$1</c:f>
              <c:strCache>
                <c:ptCount val="1"/>
                <c:pt idx="0">
                  <c:v>列1</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3"/>
              </a:solidFill>
              <a:ln>
                <a:noFill/>
              </a:ln>
              <a:effectLst>
                <a:outerShdw blurRad="254000" sx="102000" sy="102000" algn="ctr" rotWithShape="0">
                  <a:prstClr val="black">
                    <a:alpha val="20000"/>
                  </a:prstClr>
                </a:outerShdw>
              </a:effectLst>
            </c:spPr>
          </c:dPt>
          <c:dLbls>
            <c:dLbl>
              <c:idx val="0"/>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46.30, </a:t>
                    </a:r>
                    <a:r>
                      <a:rPr lang="en-US" altLang="zh-CN"/>
                      <a:t>99.72</a:t>
                    </a:r>
                    <a:r>
                      <a:t>%</a:t>
                    </a:r>
                  </a:p>
                </c:rich>
              </c:tx>
              <c:dLblPos val="ctr"/>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lt1"/>
                        </a:solidFill>
                        <a:latin typeface="+mn-lt"/>
                        <a:ea typeface="+mn-ea"/>
                        <a:cs typeface="+mn-cs"/>
                      </a:defRPr>
                    </a:pPr>
                    <a:r>
                      <a:t>0.13, 0</a:t>
                    </a:r>
                    <a:r>
                      <a:rPr lang="en-US" altLang="zh-CN"/>
                      <a:t>.28</a:t>
                    </a:r>
                    <a:r>
                      <a:t>%</a:t>
                    </a:r>
                  </a:p>
                </c:rich>
              </c:tx>
              <c:dLblPos val="ctr"/>
              <c:showLegendKey val="0"/>
              <c:showVal val="1"/>
              <c:showCatName val="0"/>
              <c:showSerName val="0"/>
              <c:showPercent val="1"/>
              <c:showBubbleSize val="0"/>
              <c:extLst>
                <c:ext xmlns:c15="http://schemas.microsoft.com/office/drawing/2012/chart" uri="{CE6537A1-D6FC-4f65-9D91-7224C49458BB}"/>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Sheet1!$A$2:$A$3</c:f>
              <c:strCache>
                <c:ptCount val="2"/>
                <c:pt idx="0">
                  <c:v>公务用车购置及运行维护费</c:v>
                </c:pt>
                <c:pt idx="1">
                  <c:v>公务接待费</c:v>
                </c:pt>
              </c:strCache>
            </c:strRef>
          </c:cat>
          <c:val>
            <c:numRef>
              <c:f>Sheet1!$B$2:$B$3</c:f>
              <c:numCache>
                <c:formatCode>0.00_ </c:formatCode>
                <c:ptCount val="2"/>
                <c:pt idx="0">
                  <c:v>46.3</c:v>
                </c:pt>
                <c:pt idx="1">
                  <c:v>0.13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27</Pages>
  <Words>9657</Words>
  <Characters>10535</Characters>
  <Lines>61</Lines>
  <Paragraphs>17</Paragraphs>
  <TotalTime>9</TotalTime>
  <ScaleCrop>false</ScaleCrop>
  <LinksUpToDate>false</LinksUpToDate>
  <CharactersWithSpaces>10917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oO月影子熙。</cp:lastModifiedBy>
  <cp:lastPrinted>2026-08-03T09:27:00Z</cp:lastPrinted>
  <dcterms:modified xsi:type="dcterms:W3CDTF">2026-10-13T08:12:24Z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400D301575C74348A5277D00A7902E06</vt:lpwstr>
  </property>
</Properties>
</file>