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Extensions/webExtension1.xml" ContentType="application/vnd.wps-officedocument.webExtension+xml"/>
  <Override PartName="/word/webExtensions/webExtension2.xml" ContentType="application/vnd.wps-officedocument.webExtension+xml"/>
  <Override PartName="/word/webExtensions/webExtension3.xml" ContentType="application/vnd.wps-officedocument.webExtension+xml"/>
  <Override PartName="/word/webExtensions/webExtension4.xml" ContentType="application/vnd.wps-officedocument.webExtension+xml"/>
  <Override PartName="/word/webExtensions/webExtension5.xml" ContentType="application/vnd.wps-officedocument.webExtension+xml"/>
  <Override PartName="/word/webExtensions/webExtension6.xml" ContentType="application/vnd.wps-officedocument.webExtension+xml"/>
  <Override PartName="/word/webExtensions/webExtension7.xml" ContentType="application/vnd.wps-officedocument.webExtension+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DE0407F">
      <w:pPr>
        <w:pageBreakBefore w:val="0"/>
        <w:kinsoku/>
        <w:wordWrap/>
        <w:overflowPunct/>
        <w:topLinePunct w:val="0"/>
        <w:bidi w:val="0"/>
        <w:spacing w:line="240" w:lineRule="auto"/>
        <w:jc w:val="center"/>
        <w:outlineLvl w:val="9"/>
        <w:rPr>
          <w:rFonts w:ascii="方正小标宋简体" w:eastAsia="方正小标宋简体"/>
          <w:sz w:val="72"/>
          <w:szCs w:val="72"/>
        </w:rPr>
      </w:pPr>
      <w:bookmarkStart w:id="0" w:name="_Toc15306267"/>
    </w:p>
    <w:p w14:paraId="6FCF9981">
      <w:pPr>
        <w:pageBreakBefore w:val="0"/>
        <w:kinsoku/>
        <w:wordWrap/>
        <w:overflowPunct/>
        <w:topLinePunct w:val="0"/>
        <w:bidi w:val="0"/>
        <w:spacing w:line="240" w:lineRule="auto"/>
        <w:jc w:val="center"/>
        <w:outlineLvl w:val="9"/>
        <w:rPr>
          <w:rFonts w:ascii="方正小标宋简体" w:eastAsia="方正小标宋简体"/>
          <w:sz w:val="72"/>
          <w:szCs w:val="72"/>
        </w:rPr>
      </w:pPr>
    </w:p>
    <w:p w14:paraId="5FC064E1">
      <w:pPr>
        <w:pageBreakBefore w:val="0"/>
        <w:kinsoku/>
        <w:wordWrap/>
        <w:overflowPunct/>
        <w:topLinePunct w:val="0"/>
        <w:bidi w:val="0"/>
        <w:spacing w:line="240" w:lineRule="auto"/>
        <w:jc w:val="center"/>
        <w:outlineLvl w:val="9"/>
        <w:rPr>
          <w:rFonts w:ascii="方正小标宋简体" w:eastAsia="方正小标宋简体"/>
          <w:sz w:val="72"/>
          <w:szCs w:val="72"/>
        </w:rPr>
      </w:pPr>
    </w:p>
    <w:p w14:paraId="1EFD4A86">
      <w:pPr>
        <w:pageBreakBefore w:val="0"/>
        <w:kinsoku/>
        <w:wordWrap/>
        <w:overflowPunct/>
        <w:topLinePunct w:val="0"/>
        <w:bidi w:val="0"/>
        <w:spacing w:line="240" w:lineRule="auto"/>
        <w:jc w:val="center"/>
        <w:outlineLvl w:val="9"/>
        <w:rPr>
          <w:rFonts w:ascii="方正小标宋简体" w:eastAsia="方正小标宋简体"/>
          <w:sz w:val="72"/>
          <w:szCs w:val="72"/>
        </w:rPr>
      </w:pPr>
    </w:p>
    <w:p w14:paraId="76E48A2A">
      <w:pPr>
        <w:pageBreakBefore w:val="0"/>
        <w:kinsoku/>
        <w:wordWrap/>
        <w:overflowPunct/>
        <w:topLinePunct w:val="0"/>
        <w:bidi w:val="0"/>
        <w:adjustRightInd w:val="0"/>
        <w:snapToGrid w:val="0"/>
        <w:spacing w:line="240" w:lineRule="auto"/>
        <w:jc w:val="center"/>
        <w:outlineLvl w:val="0"/>
        <w:rPr>
          <w:rFonts w:ascii="方正小标宋简体" w:eastAsia="方正小标宋简体" w:cs="方正小标宋简体"/>
          <w:sz w:val="72"/>
          <w:szCs w:val="72"/>
        </w:rPr>
      </w:pPr>
      <w:bookmarkStart w:id="1" w:name="_Toc15378441"/>
      <w:bookmarkStart w:id="2" w:name="_Toc15377193"/>
      <w:bookmarkStart w:id="3" w:name="_Toc15396597"/>
      <w:bookmarkStart w:id="4" w:name="_Toc7368"/>
      <w:bookmarkStart w:id="5" w:name="_Toc15396475"/>
      <w:bookmarkStart w:id="6" w:name="_Toc15377425"/>
      <w:r>
        <w:rPr>
          <w:rFonts w:hint="eastAsia" w:ascii="方正小标宋简体" w:eastAsia="方正小标宋简体" w:cs="方正小标宋简体"/>
          <w:sz w:val="72"/>
          <w:szCs w:val="72"/>
          <w:lang w:eastAsia="zh-CN"/>
        </w:rPr>
        <w:t>2025</w:t>
      </w:r>
      <w:r>
        <w:rPr>
          <w:rFonts w:hint="eastAsia" w:ascii="方正小标宋简体" w:eastAsia="方正小标宋简体" w:cs="方正小标宋简体"/>
          <w:sz w:val="72"/>
          <w:szCs w:val="72"/>
        </w:rPr>
        <w:t>年度</w:t>
      </w:r>
      <w:bookmarkEnd w:id="1"/>
      <w:bookmarkEnd w:id="2"/>
      <w:bookmarkEnd w:id="3"/>
      <w:bookmarkEnd w:id="4"/>
      <w:bookmarkEnd w:id="5"/>
      <w:bookmarkEnd w:id="6"/>
    </w:p>
    <w:bookmarkEnd w:id="0"/>
    <w:p w14:paraId="165AA4C9">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ascii="方正小标宋简体" w:eastAsia="方正小标宋简体" w:cs="方正小标宋简体"/>
          <w:w w:val="95"/>
          <w:sz w:val="72"/>
          <w:szCs w:val="72"/>
        </w:rPr>
      </w:pPr>
      <w:bookmarkStart w:id="7" w:name="_Toc15396598"/>
      <w:bookmarkStart w:id="8" w:name="_Toc15306268"/>
      <w:bookmarkStart w:id="9" w:name="_Toc15377426"/>
      <w:bookmarkStart w:id="10" w:name="_Toc21725"/>
      <w:bookmarkStart w:id="11" w:name="_Toc15378442"/>
      <w:bookmarkStart w:id="12" w:name="_Toc15396476"/>
      <w:bookmarkStart w:id="13" w:name="_Toc15377194"/>
      <w:r>
        <w:rPr>
          <w:rFonts w:hint="eastAsia" w:ascii="方正小标宋简体" w:eastAsia="方正小标宋简体" w:cs="方正小标宋简体"/>
          <w:w w:val="95"/>
          <w:sz w:val="72"/>
          <w:szCs w:val="72"/>
          <w:lang w:eastAsia="zh-CN"/>
        </w:rPr>
        <w:t>中共红原县委办公室</w:t>
      </w:r>
      <w:r>
        <w:rPr>
          <w:rFonts w:hint="eastAsia" w:ascii="方正小标宋简体" w:eastAsia="方正小标宋简体" w:cs="方正小标宋简体"/>
          <w:w w:val="95"/>
          <w:sz w:val="72"/>
          <w:szCs w:val="72"/>
        </w:rPr>
        <w:t>决算</w:t>
      </w:r>
      <w:bookmarkEnd w:id="7"/>
      <w:bookmarkEnd w:id="8"/>
      <w:bookmarkEnd w:id="9"/>
      <w:bookmarkEnd w:id="10"/>
      <w:bookmarkEnd w:id="11"/>
      <w:bookmarkEnd w:id="12"/>
      <w:bookmarkEnd w:id="13"/>
    </w:p>
    <w:p w14:paraId="37B02956">
      <w:pPr>
        <w:keepNext w:val="0"/>
        <w:keepLines w:val="0"/>
        <w:pageBreakBefore w:val="0"/>
        <w:widowControl w:val="0"/>
        <w:kinsoku/>
        <w:wordWrap/>
        <w:overflowPunct/>
        <w:topLinePunct w:val="0"/>
        <w:autoSpaceDE/>
        <w:autoSpaceDN/>
        <w:bidi w:val="0"/>
        <w:adjustRightInd w:val="0"/>
        <w:snapToGrid w:val="0"/>
        <w:spacing w:line="240" w:lineRule="auto"/>
        <w:jc w:val="center"/>
        <w:textAlignment w:val="auto"/>
        <w:outlineLvl w:val="0"/>
        <w:rPr>
          <w:rFonts w:hint="eastAsia" w:eastAsia="方正小标宋简体"/>
          <w:lang w:eastAsia="zh-CN"/>
        </w:rPr>
      </w:pPr>
      <w:r>
        <w:rPr>
          <w:rFonts w:hint="eastAsia" w:ascii="方正小标宋简体" w:eastAsia="方正小标宋简体" w:cs="方正小标宋简体"/>
          <w:w w:val="95"/>
          <w:sz w:val="72"/>
          <w:szCs w:val="72"/>
          <w:lang w:eastAsia="zh-CN"/>
        </w:rPr>
        <w:t>编制说明</w:t>
      </w:r>
    </w:p>
    <w:p w14:paraId="565BBFDC">
      <w:pPr>
        <w:pStyle w:val="6"/>
        <w:pageBreakBefore w:val="0"/>
        <w:kinsoku/>
        <w:wordWrap/>
        <w:overflowPunct/>
        <w:topLinePunct w:val="0"/>
        <w:bidi w:val="0"/>
        <w:spacing w:before="93" w:line="240" w:lineRule="auto"/>
      </w:pPr>
    </w:p>
    <w:p w14:paraId="4132A67C">
      <w:pPr>
        <w:pStyle w:val="6"/>
        <w:pageBreakBefore w:val="0"/>
        <w:kinsoku/>
        <w:wordWrap/>
        <w:overflowPunct/>
        <w:topLinePunct w:val="0"/>
        <w:bidi w:val="0"/>
        <w:spacing w:before="93" w:line="240" w:lineRule="auto"/>
      </w:pPr>
    </w:p>
    <w:p w14:paraId="340BADAA">
      <w:pPr>
        <w:pStyle w:val="6"/>
        <w:pageBreakBefore w:val="0"/>
        <w:kinsoku/>
        <w:wordWrap/>
        <w:overflowPunct/>
        <w:topLinePunct w:val="0"/>
        <w:bidi w:val="0"/>
        <w:spacing w:before="93" w:line="240" w:lineRule="auto"/>
      </w:pPr>
    </w:p>
    <w:p w14:paraId="5DADBF4F">
      <w:pPr>
        <w:pStyle w:val="6"/>
        <w:pageBreakBefore w:val="0"/>
        <w:kinsoku/>
        <w:wordWrap/>
        <w:overflowPunct/>
        <w:topLinePunct w:val="0"/>
        <w:bidi w:val="0"/>
        <w:spacing w:before="93" w:line="240" w:lineRule="auto"/>
      </w:pPr>
    </w:p>
    <w:p w14:paraId="54FE99B6">
      <w:pPr>
        <w:pStyle w:val="6"/>
        <w:pageBreakBefore w:val="0"/>
        <w:kinsoku/>
        <w:wordWrap/>
        <w:overflowPunct/>
        <w:topLinePunct w:val="0"/>
        <w:bidi w:val="0"/>
        <w:spacing w:before="93" w:line="240" w:lineRule="auto"/>
      </w:pPr>
    </w:p>
    <w:p w14:paraId="125D42C2">
      <w:pPr>
        <w:pStyle w:val="6"/>
        <w:pageBreakBefore w:val="0"/>
        <w:kinsoku/>
        <w:wordWrap/>
        <w:overflowPunct/>
        <w:topLinePunct w:val="0"/>
        <w:bidi w:val="0"/>
        <w:spacing w:before="93" w:line="240" w:lineRule="auto"/>
      </w:pPr>
    </w:p>
    <w:p w14:paraId="20E16231">
      <w:pPr>
        <w:pStyle w:val="15"/>
        <w:keepNext w:val="0"/>
        <w:keepLines w:val="0"/>
        <w:pageBreakBefore w:val="0"/>
        <w:widowControl/>
        <w:suppressLineNumbers w:val="0"/>
        <w:kinsoku/>
        <w:wordWrap/>
        <w:overflowPunct/>
        <w:topLinePunct w:val="0"/>
        <w:bidi w:val="0"/>
        <w:snapToGrid w:val="0"/>
        <w:spacing w:before="0" w:beforeAutospacing="0" w:after="100" w:afterAutospacing="1" w:line="240" w:lineRule="auto"/>
        <w:ind w:right="0"/>
        <w:jc w:val="both"/>
        <w:rPr>
          <w:rFonts w:hint="eastAsia" w:cs="宋体"/>
          <w:kern w:val="0"/>
          <w:sz w:val="32"/>
          <w:szCs w:val="32"/>
          <w:shd w:val="clear" w:color="auto" w:fill="FFFFFF"/>
          <w:lang w:val="en-US" w:eastAsia="zh-CN" w:bidi="ar"/>
        </w:rPr>
      </w:pPr>
    </w:p>
    <w:p w14:paraId="48FA03C2">
      <w:pPr>
        <w:pStyle w:val="15"/>
        <w:keepNext w:val="0"/>
        <w:keepLines w:val="0"/>
        <w:pageBreakBefore w:val="0"/>
        <w:widowControl/>
        <w:suppressLineNumbers w:val="0"/>
        <w:kinsoku/>
        <w:wordWrap/>
        <w:overflowPunct/>
        <w:topLinePunct w:val="0"/>
        <w:bidi w:val="0"/>
        <w:snapToGrid w:val="0"/>
        <w:spacing w:before="0" w:beforeAutospacing="0" w:after="100" w:afterAutospacing="1" w:line="240" w:lineRule="auto"/>
        <w:ind w:right="0"/>
        <w:jc w:val="center"/>
        <w:rPr>
          <w:rFonts w:ascii="方正小标宋简体" w:eastAsia="方正小标宋简体"/>
          <w:sz w:val="36"/>
          <w:szCs w:val="36"/>
        </w:rPr>
      </w:pPr>
      <w:r>
        <w:rPr>
          <w:rFonts w:hint="eastAsia" w:cs="宋体"/>
          <w:kern w:val="0"/>
          <w:sz w:val="32"/>
          <w:szCs w:val="32"/>
          <w:shd w:val="clear" w:color="auto" w:fill="FFFFFF"/>
          <w:lang w:val="en-US" w:eastAsia="zh-CN" w:bidi="ar"/>
        </w:rPr>
        <w:t>已经</w:t>
      </w:r>
      <w:r>
        <w:rPr>
          <w:rFonts w:hint="eastAsia" w:ascii="宋体" w:hAnsi="宋体" w:eastAsia="宋体" w:cs="宋体"/>
          <w:kern w:val="0"/>
          <w:sz w:val="32"/>
          <w:szCs w:val="32"/>
          <w:shd w:val="clear" w:color="auto" w:fill="FFFFFF"/>
          <w:lang w:val="en-US" w:eastAsia="zh-CN" w:bidi="ar"/>
        </w:rPr>
        <w:t>保密审查</w:t>
      </w:r>
      <w:r>
        <w:rPr>
          <w:rFonts w:hint="eastAsia" w:cs="宋体"/>
          <w:kern w:val="0"/>
          <w:sz w:val="32"/>
          <w:szCs w:val="32"/>
          <w:shd w:val="clear" w:color="auto" w:fill="FFFFFF"/>
          <w:lang w:val="en-US" w:eastAsia="zh-CN" w:bidi="ar"/>
        </w:rPr>
        <w:t>、</w:t>
      </w:r>
      <w:r>
        <w:rPr>
          <w:rFonts w:hint="eastAsia" w:ascii="宋体" w:hAnsi="宋体" w:eastAsia="宋体" w:cs="宋体"/>
          <w:kern w:val="0"/>
          <w:sz w:val="32"/>
          <w:szCs w:val="32"/>
          <w:shd w:val="clear" w:color="auto" w:fill="FFFFFF"/>
          <w:lang w:val="en-US" w:eastAsia="zh-CN" w:bidi="ar"/>
        </w:rPr>
        <w:t>内容审定</w:t>
      </w:r>
      <w:r>
        <w:rPr>
          <w:rFonts w:hint="eastAsia" w:cs="宋体"/>
          <w:kern w:val="0"/>
          <w:sz w:val="32"/>
          <w:szCs w:val="32"/>
          <w:shd w:val="clear" w:color="auto" w:fill="FFFFFF"/>
          <w:lang w:val="en-US" w:eastAsia="zh-CN" w:bidi="ar"/>
        </w:rPr>
        <w:t>，同意对外公开</w:t>
      </w:r>
    </w:p>
    <w:sdt>
      <w:sdtPr>
        <w:rPr>
          <w:rFonts w:ascii="宋体" w:hAnsi="宋体" w:eastAsia="宋体" w:cs="Times New Roman"/>
          <w:kern w:val="2"/>
          <w:sz w:val="21"/>
          <w:szCs w:val="24"/>
          <w:lang w:val="en-US" w:eastAsia="zh-CN" w:bidi="ar-SA"/>
        </w:rPr>
        <w:id w:val="147454174"/>
        <w15:color w:val="DBDBDB"/>
        <w:docPartObj>
          <w:docPartGallery w:val="Table of Contents"/>
          <w:docPartUnique/>
        </w:docPartObj>
      </w:sdtPr>
      <w:sdtEndPr>
        <w:rPr>
          <w:rFonts w:hint="eastAsia" w:ascii="黑体" w:hAnsi="Times New Roman" w:eastAsia="黑体" w:cs="Times New Roman"/>
          <w:b/>
          <w:bCs/>
          <w:kern w:val="44"/>
          <w:sz w:val="24"/>
          <w:szCs w:val="24"/>
          <w:lang w:val="en-US" w:eastAsia="zh-CN" w:bidi="ar-SA"/>
        </w:rPr>
      </w:sdtEndPr>
      <w:sdtContent>
        <w:p w14:paraId="11A77B84">
          <w:pPr>
            <w:spacing w:before="0" w:beforeLines="0" w:after="0" w:afterLines="0" w:line="240" w:lineRule="auto"/>
            <w:ind w:left="0" w:leftChars="0" w:right="0" w:rightChars="0" w:firstLine="0" w:firstLineChars="0"/>
            <w:jc w:val="center"/>
          </w:pPr>
          <w:r>
            <w:rPr>
              <w:rFonts w:ascii="宋体" w:hAnsi="宋体" w:eastAsia="宋体"/>
              <w:sz w:val="21"/>
            </w:rPr>
            <w:t>目录</w:t>
          </w:r>
        </w:p>
        <w:p w14:paraId="601CACCA">
          <w:pPr>
            <w:pStyle w:val="29"/>
            <w:tabs>
              <w:tab w:val="right" w:leader="dot" w:pos="8306"/>
            </w:tabs>
            <w:rPr>
              <w:b w:val="0"/>
              <w:bCs/>
              <w:sz w:val="24"/>
              <w:szCs w:val="24"/>
            </w:rPr>
          </w:pPr>
          <w:r>
            <w:rPr>
              <w:rFonts w:hint="eastAsia" w:ascii="黑体" w:eastAsia="黑体"/>
              <w:b w:val="0"/>
              <w:sz w:val="24"/>
              <w:szCs w:val="24"/>
            </w:rPr>
            <w:fldChar w:fldCharType="begin"/>
          </w:r>
          <w:r>
            <w:rPr>
              <w:rFonts w:hint="eastAsia" w:ascii="黑体" w:eastAsia="黑体"/>
              <w:b w:val="0"/>
              <w:sz w:val="24"/>
              <w:szCs w:val="24"/>
            </w:rPr>
            <w:instrText xml:space="preserve">TOC \o "1-2" \h \u </w:instrText>
          </w:r>
          <w:r>
            <w:rPr>
              <w:rFonts w:hint="eastAsia" w:ascii="黑体" w:eastAsia="黑体"/>
              <w:b w:val="0"/>
              <w:sz w:val="24"/>
              <w:szCs w:val="24"/>
            </w:rPr>
            <w:fldChar w:fldCharType="separate"/>
          </w:r>
          <w:r>
            <w:rPr>
              <w:rFonts w:hint="eastAsia" w:ascii="黑体" w:eastAsia="黑体"/>
              <w:b w:val="0"/>
              <w:bCs/>
              <w:sz w:val="24"/>
              <w:szCs w:val="24"/>
            </w:rPr>
            <w:fldChar w:fldCharType="begin"/>
          </w:r>
          <w:r>
            <w:rPr>
              <w:rFonts w:hint="eastAsia" w:ascii="黑体" w:eastAsia="黑体"/>
              <w:b w:val="0"/>
              <w:bCs/>
              <w:sz w:val="24"/>
              <w:szCs w:val="24"/>
            </w:rPr>
            <w:instrText xml:space="preserve"> HYPERLINK \l _Toc4867 </w:instrText>
          </w:r>
          <w:r>
            <w:rPr>
              <w:rFonts w:hint="eastAsia" w:ascii="黑体" w:eastAsia="黑体"/>
              <w:b w:val="0"/>
              <w:bCs/>
              <w:sz w:val="24"/>
              <w:szCs w:val="24"/>
            </w:rPr>
            <w:fldChar w:fldCharType="separate"/>
          </w:r>
          <w:r>
            <w:rPr>
              <w:rFonts w:hint="eastAsia" w:ascii="黑体" w:eastAsia="黑体"/>
              <w:b w:val="0"/>
              <w:bCs/>
              <w:sz w:val="24"/>
              <w:szCs w:val="24"/>
            </w:rPr>
            <w:t>第一部分 单位概况</w:t>
          </w:r>
          <w:r>
            <w:rPr>
              <w:b w:val="0"/>
              <w:bCs/>
              <w:sz w:val="24"/>
              <w:szCs w:val="24"/>
            </w:rPr>
            <w:tab/>
          </w:r>
          <w:r>
            <w:rPr>
              <w:b w:val="0"/>
              <w:bCs/>
              <w:sz w:val="24"/>
              <w:szCs w:val="24"/>
            </w:rPr>
            <w:fldChar w:fldCharType="begin"/>
          </w:r>
          <w:r>
            <w:rPr>
              <w:b w:val="0"/>
              <w:bCs/>
              <w:sz w:val="24"/>
              <w:szCs w:val="24"/>
            </w:rPr>
            <w:instrText xml:space="preserve"> PAGEREF _Toc4867 \h </w:instrText>
          </w:r>
          <w:r>
            <w:rPr>
              <w:b w:val="0"/>
              <w:bCs/>
              <w:sz w:val="24"/>
              <w:szCs w:val="24"/>
            </w:rPr>
            <w:fldChar w:fldCharType="separate"/>
          </w:r>
          <w:r>
            <w:rPr>
              <w:b w:val="0"/>
              <w:bCs/>
              <w:sz w:val="24"/>
              <w:szCs w:val="24"/>
            </w:rPr>
            <w:t>3</w:t>
          </w:r>
          <w:r>
            <w:rPr>
              <w:b w:val="0"/>
              <w:bCs/>
              <w:sz w:val="24"/>
              <w:szCs w:val="24"/>
            </w:rPr>
            <w:fldChar w:fldCharType="end"/>
          </w:r>
          <w:r>
            <w:rPr>
              <w:rFonts w:hint="eastAsia" w:ascii="黑体" w:eastAsia="黑体"/>
              <w:b w:val="0"/>
              <w:bCs/>
              <w:sz w:val="24"/>
              <w:szCs w:val="24"/>
            </w:rPr>
            <w:fldChar w:fldCharType="end"/>
          </w:r>
        </w:p>
        <w:p w14:paraId="02681E4E">
          <w:pPr>
            <w:pStyle w:val="30"/>
            <w:tabs>
              <w:tab w:val="right" w:leader="dot" w:pos="8306"/>
            </w:tabs>
            <w:rPr>
              <w:rFonts w:hint="eastAsia" w:ascii="仿宋" w:hAnsi="仿宋" w:eastAsia="仿宋" w:cs="仿宋"/>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_Toc32459 </w:instrText>
          </w:r>
          <w:r>
            <w:rPr>
              <w:rFonts w:hint="eastAsia" w:ascii="仿宋" w:hAnsi="仿宋" w:eastAsia="仿宋" w:cs="仿宋"/>
              <w:sz w:val="24"/>
              <w:szCs w:val="24"/>
            </w:rPr>
            <w:fldChar w:fldCharType="separate"/>
          </w:r>
          <w:r>
            <w:rPr>
              <w:rFonts w:hint="eastAsia" w:ascii="仿宋" w:hAnsi="仿宋" w:eastAsia="仿宋" w:cs="仿宋"/>
              <w:sz w:val="24"/>
              <w:szCs w:val="24"/>
            </w:rPr>
            <w:t>一、职能简介</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_Toc32459 \h </w:instrText>
          </w:r>
          <w:r>
            <w:rPr>
              <w:rFonts w:hint="eastAsia" w:ascii="仿宋" w:hAnsi="仿宋" w:eastAsia="仿宋" w:cs="仿宋"/>
              <w:sz w:val="24"/>
              <w:szCs w:val="24"/>
            </w:rPr>
            <w:fldChar w:fldCharType="separate"/>
          </w:r>
          <w:r>
            <w:rPr>
              <w:rFonts w:hint="eastAsia" w:ascii="仿宋" w:hAnsi="仿宋" w:eastAsia="仿宋" w:cs="仿宋"/>
              <w:sz w:val="24"/>
              <w:szCs w:val="24"/>
            </w:rPr>
            <w:t>3</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36FEE183">
          <w:pPr>
            <w:pStyle w:val="30"/>
            <w:tabs>
              <w:tab w:val="right" w:leader="dot" w:pos="8306"/>
            </w:tabs>
            <w:rPr>
              <w:b w:val="0"/>
              <w:bCs/>
              <w:sz w:val="24"/>
              <w:szCs w:val="24"/>
            </w:rPr>
          </w:pP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\l _Toc31866 </w:instrText>
          </w:r>
          <w:r>
            <w:rPr>
              <w:rFonts w:hint="eastAsia" w:ascii="仿宋" w:hAnsi="仿宋" w:eastAsia="仿宋" w:cs="仿宋"/>
              <w:sz w:val="24"/>
              <w:szCs w:val="24"/>
            </w:rPr>
            <w:fldChar w:fldCharType="separate"/>
          </w:r>
          <w:r>
            <w:rPr>
              <w:rFonts w:hint="eastAsia" w:ascii="仿宋" w:hAnsi="仿宋" w:eastAsia="仿宋" w:cs="仿宋"/>
              <w:sz w:val="24"/>
              <w:szCs w:val="24"/>
            </w:rPr>
            <w:t>二、</w:t>
          </w:r>
          <w:r>
            <w:rPr>
              <w:rFonts w:hint="eastAsia" w:ascii="仿宋" w:hAnsi="仿宋" w:eastAsia="仿宋" w:cs="仿宋"/>
              <w:sz w:val="24"/>
              <w:szCs w:val="24"/>
              <w:lang w:eastAsia="zh-CN"/>
            </w:rPr>
            <w:t>2025</w:t>
          </w:r>
          <w:r>
            <w:rPr>
              <w:rFonts w:hint="eastAsia" w:ascii="仿宋" w:hAnsi="仿宋" w:eastAsia="仿宋" w:cs="仿宋"/>
              <w:sz w:val="24"/>
              <w:szCs w:val="24"/>
            </w:rPr>
            <w:t>年重点工作完成情况</w:t>
          </w:r>
          <w:r>
            <w:rPr>
              <w:rFonts w:hint="eastAsia" w:ascii="仿宋" w:hAnsi="仿宋" w:eastAsia="仿宋" w:cs="仿宋"/>
              <w:sz w:val="24"/>
              <w:szCs w:val="24"/>
            </w:rPr>
            <w:tab/>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PAGEREF _Toc31866 \h </w:instrText>
          </w:r>
          <w:r>
            <w:rPr>
              <w:rFonts w:hint="eastAsia" w:ascii="仿宋" w:hAnsi="仿宋" w:eastAsia="仿宋" w:cs="仿宋"/>
              <w:sz w:val="24"/>
              <w:szCs w:val="24"/>
            </w:rPr>
            <w:fldChar w:fldCharType="separate"/>
          </w:r>
          <w:r>
            <w:rPr>
              <w:rFonts w:hint="eastAsia" w:ascii="仿宋" w:hAnsi="仿宋" w:eastAsia="仿宋" w:cs="仿宋"/>
              <w:sz w:val="24"/>
              <w:szCs w:val="24"/>
            </w:rPr>
            <w:t>4</w:t>
          </w:r>
          <w:r>
            <w:rPr>
              <w:rFonts w:hint="eastAsia" w:ascii="仿宋" w:hAnsi="仿宋" w:eastAsia="仿宋" w:cs="仿宋"/>
              <w:sz w:val="24"/>
              <w:szCs w:val="24"/>
            </w:rPr>
            <w:fldChar w:fldCharType="end"/>
          </w:r>
          <w:r>
            <w:rPr>
              <w:rFonts w:hint="eastAsia" w:ascii="仿宋" w:hAnsi="仿宋" w:eastAsia="仿宋" w:cs="仿宋"/>
              <w:sz w:val="24"/>
              <w:szCs w:val="24"/>
            </w:rPr>
            <w:fldChar w:fldCharType="end"/>
          </w:r>
        </w:p>
        <w:p w14:paraId="1920E0FB">
          <w:pPr>
            <w:pStyle w:val="29"/>
            <w:tabs>
              <w:tab w:val="right" w:leader="dot" w:pos="8306"/>
            </w:tabs>
            <w:rPr>
              <w:b w:val="0"/>
              <w:bCs/>
              <w:sz w:val="24"/>
              <w:szCs w:val="24"/>
            </w:rPr>
          </w:pPr>
          <w:r>
            <w:rPr>
              <w:rFonts w:hint="eastAsia" w:ascii="黑体" w:eastAsia="黑体"/>
              <w:b w:val="0"/>
              <w:bCs/>
              <w:sz w:val="24"/>
              <w:szCs w:val="24"/>
            </w:rPr>
            <w:fldChar w:fldCharType="begin"/>
          </w:r>
          <w:r>
            <w:rPr>
              <w:rFonts w:hint="eastAsia" w:ascii="黑体" w:eastAsia="黑体"/>
              <w:b w:val="0"/>
              <w:bCs/>
              <w:sz w:val="24"/>
              <w:szCs w:val="24"/>
            </w:rPr>
            <w:instrText xml:space="preserve"> HYPERLINK \l _Toc25935 </w:instrText>
          </w:r>
          <w:r>
            <w:rPr>
              <w:rFonts w:hint="eastAsia" w:ascii="黑体" w:eastAsia="黑体"/>
              <w:b w:val="0"/>
              <w:bCs/>
              <w:sz w:val="24"/>
              <w:szCs w:val="24"/>
            </w:rPr>
            <w:fldChar w:fldCharType="separate"/>
          </w:r>
          <w:r>
            <w:rPr>
              <w:rFonts w:hint="eastAsia" w:ascii="黑体" w:eastAsia="黑体"/>
              <w:b w:val="0"/>
              <w:bCs/>
              <w:sz w:val="24"/>
              <w:szCs w:val="24"/>
            </w:rPr>
            <w:t xml:space="preserve">第二部分 </w:t>
          </w:r>
          <w:r>
            <w:rPr>
              <w:rFonts w:hint="eastAsia" w:ascii="黑体" w:eastAsia="黑体"/>
              <w:b w:val="0"/>
              <w:bCs/>
              <w:sz w:val="24"/>
              <w:szCs w:val="24"/>
              <w:lang w:eastAsia="zh-CN"/>
            </w:rPr>
            <w:t>2025</w:t>
          </w:r>
          <w:r>
            <w:rPr>
              <w:rFonts w:hint="eastAsia" w:ascii="黑体" w:eastAsia="黑体"/>
              <w:b w:val="0"/>
              <w:bCs/>
              <w:sz w:val="24"/>
              <w:szCs w:val="24"/>
            </w:rPr>
            <w:t>年度单位决算情况说明</w:t>
          </w:r>
          <w:r>
            <w:rPr>
              <w:b w:val="0"/>
              <w:bCs/>
              <w:sz w:val="24"/>
              <w:szCs w:val="24"/>
            </w:rPr>
            <w:tab/>
          </w:r>
          <w:r>
            <w:rPr>
              <w:b w:val="0"/>
              <w:bCs/>
              <w:sz w:val="24"/>
              <w:szCs w:val="24"/>
            </w:rPr>
            <w:fldChar w:fldCharType="begin"/>
          </w:r>
          <w:r>
            <w:rPr>
              <w:b w:val="0"/>
              <w:bCs/>
              <w:sz w:val="24"/>
              <w:szCs w:val="24"/>
            </w:rPr>
            <w:instrText xml:space="preserve"> PAGEREF _Toc25935 \h </w:instrText>
          </w:r>
          <w:r>
            <w:rPr>
              <w:b w:val="0"/>
              <w:bCs/>
              <w:sz w:val="24"/>
              <w:szCs w:val="24"/>
            </w:rPr>
            <w:fldChar w:fldCharType="separate"/>
          </w:r>
          <w:r>
            <w:rPr>
              <w:b w:val="0"/>
              <w:bCs/>
              <w:sz w:val="24"/>
              <w:szCs w:val="24"/>
            </w:rPr>
            <w:t>7</w:t>
          </w:r>
          <w:r>
            <w:rPr>
              <w:b w:val="0"/>
              <w:bCs/>
              <w:sz w:val="24"/>
              <w:szCs w:val="24"/>
            </w:rPr>
            <w:fldChar w:fldCharType="end"/>
          </w:r>
          <w:r>
            <w:rPr>
              <w:rFonts w:hint="eastAsia" w:ascii="黑体" w:eastAsia="黑体"/>
              <w:b w:val="0"/>
              <w:bCs/>
              <w:sz w:val="24"/>
              <w:szCs w:val="24"/>
            </w:rPr>
            <w:fldChar w:fldCharType="end"/>
          </w:r>
        </w:p>
        <w:p w14:paraId="53357C85">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_Toc22104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一、 收入支出决算总体情况说明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_Toc22104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7</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77240CF4">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_Toc19732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二、 收入决算情况说明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_Toc19732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7</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40DAEEF9">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_Toc21399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三、 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_Toc21399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8</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1F056F27">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_Toc29146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四、财政拨款收入支出决算总体情况说明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_Toc29146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9</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4EA9F40F">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_Toc13113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五、一般公共预算财政拨款支出决算情况说明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_Toc13113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10</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3D2CC335">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_Toc30148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六、一般公共预算财政拨款基本支出决算情况说明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_Toc30148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13</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237408FF">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_Toc22882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七、“三公”经费财政拨款支出决算情况说明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_Toc22882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14</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68D05A45">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_Toc12094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八、政府性基金预算支出决算情况说明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_Toc12094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16</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0A439A2E">
          <w:pPr>
            <w:pStyle w:val="30"/>
            <w:tabs>
              <w:tab w:val="right" w:leader="dot" w:pos="8306"/>
            </w:tabs>
            <w:rPr>
              <w:rFonts w:hint="eastAsia" w:ascii="仿宋" w:hAnsi="仿宋" w:eastAsia="仿宋" w:cs="仿宋"/>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_Toc25654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九、 国有资本经营预算支出决算情况说明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_Toc25654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16</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7590C600">
          <w:pPr>
            <w:pStyle w:val="30"/>
            <w:tabs>
              <w:tab w:val="right" w:leader="dot" w:pos="8306"/>
            </w:tabs>
            <w:rPr>
              <w:b w:val="0"/>
              <w:bCs/>
              <w:sz w:val="24"/>
              <w:szCs w:val="24"/>
            </w:rPr>
          </w:pP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HYPERLINK \l _Toc14233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十、 其他重要事项的情况说明</w:t>
          </w:r>
          <w:r>
            <w:rPr>
              <w:rFonts w:hint="eastAsia" w:ascii="仿宋" w:hAnsi="仿宋" w:eastAsia="仿宋" w:cs="仿宋"/>
              <w:b w:val="0"/>
              <w:bCs/>
              <w:sz w:val="24"/>
              <w:szCs w:val="24"/>
            </w:rPr>
            <w:tab/>
          </w:r>
          <w:r>
            <w:rPr>
              <w:rFonts w:hint="eastAsia" w:ascii="仿宋" w:hAnsi="仿宋" w:eastAsia="仿宋" w:cs="仿宋"/>
              <w:b w:val="0"/>
              <w:bCs/>
              <w:sz w:val="24"/>
              <w:szCs w:val="24"/>
            </w:rPr>
            <w:fldChar w:fldCharType="begin"/>
          </w:r>
          <w:r>
            <w:rPr>
              <w:rFonts w:hint="eastAsia" w:ascii="仿宋" w:hAnsi="仿宋" w:eastAsia="仿宋" w:cs="仿宋"/>
              <w:b w:val="0"/>
              <w:bCs/>
              <w:sz w:val="24"/>
              <w:szCs w:val="24"/>
            </w:rPr>
            <w:instrText xml:space="preserve"> PAGEREF _Toc14233 \h </w:instrText>
          </w:r>
          <w:r>
            <w:rPr>
              <w:rFonts w:hint="eastAsia" w:ascii="仿宋" w:hAnsi="仿宋" w:eastAsia="仿宋" w:cs="仿宋"/>
              <w:b w:val="0"/>
              <w:bCs/>
              <w:sz w:val="24"/>
              <w:szCs w:val="24"/>
            </w:rPr>
            <w:fldChar w:fldCharType="separate"/>
          </w:r>
          <w:r>
            <w:rPr>
              <w:rFonts w:hint="eastAsia" w:ascii="仿宋" w:hAnsi="仿宋" w:eastAsia="仿宋" w:cs="仿宋"/>
              <w:b w:val="0"/>
              <w:bCs/>
              <w:sz w:val="24"/>
              <w:szCs w:val="24"/>
            </w:rPr>
            <w:t>16</w:t>
          </w:r>
          <w:r>
            <w:rPr>
              <w:rFonts w:hint="eastAsia" w:ascii="仿宋" w:hAnsi="仿宋" w:eastAsia="仿宋" w:cs="仿宋"/>
              <w:b w:val="0"/>
              <w:bCs/>
              <w:sz w:val="24"/>
              <w:szCs w:val="24"/>
            </w:rPr>
            <w:fldChar w:fldCharType="end"/>
          </w:r>
          <w:r>
            <w:rPr>
              <w:rFonts w:hint="eastAsia" w:ascii="仿宋" w:hAnsi="仿宋" w:eastAsia="仿宋" w:cs="仿宋"/>
              <w:b w:val="0"/>
              <w:bCs/>
              <w:sz w:val="24"/>
              <w:szCs w:val="24"/>
            </w:rPr>
            <w:fldChar w:fldCharType="end"/>
          </w:r>
        </w:p>
        <w:p w14:paraId="4D2C5A08">
          <w:pPr>
            <w:pStyle w:val="29"/>
            <w:tabs>
              <w:tab w:val="right" w:leader="dot" w:pos="8306"/>
            </w:tabs>
            <w:rPr>
              <w:b w:val="0"/>
              <w:bCs/>
              <w:sz w:val="24"/>
              <w:szCs w:val="24"/>
            </w:rPr>
          </w:pPr>
          <w:r>
            <w:rPr>
              <w:rFonts w:hint="eastAsia" w:ascii="黑体" w:eastAsia="黑体"/>
              <w:b w:val="0"/>
              <w:bCs/>
              <w:sz w:val="24"/>
              <w:szCs w:val="24"/>
            </w:rPr>
            <w:fldChar w:fldCharType="begin"/>
          </w:r>
          <w:r>
            <w:rPr>
              <w:rFonts w:hint="eastAsia" w:ascii="黑体" w:eastAsia="黑体"/>
              <w:b w:val="0"/>
              <w:bCs/>
              <w:sz w:val="24"/>
              <w:szCs w:val="24"/>
            </w:rPr>
            <w:instrText xml:space="preserve"> HYPERLINK \l _Toc25794 </w:instrText>
          </w:r>
          <w:r>
            <w:rPr>
              <w:rFonts w:hint="eastAsia" w:ascii="黑体" w:eastAsia="黑体"/>
              <w:b w:val="0"/>
              <w:bCs/>
              <w:sz w:val="24"/>
              <w:szCs w:val="24"/>
            </w:rPr>
            <w:fldChar w:fldCharType="separate"/>
          </w:r>
          <w:r>
            <w:rPr>
              <w:rFonts w:hint="eastAsia" w:ascii="黑体" w:hAnsi="黑体" w:eastAsia="黑体" w:cs="黑体"/>
              <w:b w:val="0"/>
              <w:bCs/>
              <w:sz w:val="24"/>
              <w:szCs w:val="24"/>
            </w:rPr>
            <w:t xml:space="preserve">第三部分 </w:t>
          </w:r>
          <w:r>
            <w:rPr>
              <w:rFonts w:hint="eastAsia" w:ascii="黑体" w:eastAsia="黑体"/>
              <w:b w:val="0"/>
              <w:bCs/>
              <w:sz w:val="24"/>
              <w:szCs w:val="24"/>
            </w:rPr>
            <w:t>名词解释</w:t>
          </w:r>
          <w:r>
            <w:rPr>
              <w:b w:val="0"/>
              <w:bCs/>
              <w:sz w:val="24"/>
              <w:szCs w:val="24"/>
            </w:rPr>
            <w:tab/>
          </w:r>
          <w:r>
            <w:rPr>
              <w:b w:val="0"/>
              <w:bCs/>
              <w:sz w:val="24"/>
              <w:szCs w:val="24"/>
            </w:rPr>
            <w:fldChar w:fldCharType="begin"/>
          </w:r>
          <w:r>
            <w:rPr>
              <w:b w:val="0"/>
              <w:bCs/>
              <w:sz w:val="24"/>
              <w:szCs w:val="24"/>
            </w:rPr>
            <w:instrText xml:space="preserve"> PAGEREF _Toc25794 \h </w:instrText>
          </w:r>
          <w:r>
            <w:rPr>
              <w:b w:val="0"/>
              <w:bCs/>
              <w:sz w:val="24"/>
              <w:szCs w:val="24"/>
            </w:rPr>
            <w:fldChar w:fldCharType="separate"/>
          </w:r>
          <w:r>
            <w:rPr>
              <w:b w:val="0"/>
              <w:bCs/>
              <w:sz w:val="24"/>
              <w:szCs w:val="24"/>
            </w:rPr>
            <w:t>18</w:t>
          </w:r>
          <w:r>
            <w:rPr>
              <w:b w:val="0"/>
              <w:bCs/>
              <w:sz w:val="24"/>
              <w:szCs w:val="24"/>
            </w:rPr>
            <w:fldChar w:fldCharType="end"/>
          </w:r>
          <w:r>
            <w:rPr>
              <w:rFonts w:hint="eastAsia" w:ascii="黑体" w:eastAsia="黑体"/>
              <w:b w:val="0"/>
              <w:bCs/>
              <w:sz w:val="24"/>
              <w:szCs w:val="24"/>
            </w:rPr>
            <w:fldChar w:fldCharType="end"/>
          </w:r>
        </w:p>
        <w:p w14:paraId="5F1A4122">
          <w:pPr>
            <w:pStyle w:val="29"/>
            <w:tabs>
              <w:tab w:val="right" w:leader="dot" w:pos="8306"/>
            </w:tabs>
            <w:rPr>
              <w:b w:val="0"/>
              <w:bCs/>
              <w:sz w:val="24"/>
              <w:szCs w:val="24"/>
            </w:rPr>
          </w:pPr>
          <w:r>
            <w:rPr>
              <w:rFonts w:hint="eastAsia" w:ascii="黑体" w:eastAsia="黑体"/>
              <w:b w:val="0"/>
              <w:bCs/>
              <w:sz w:val="24"/>
              <w:szCs w:val="24"/>
            </w:rPr>
            <w:fldChar w:fldCharType="begin"/>
          </w:r>
          <w:r>
            <w:rPr>
              <w:rFonts w:hint="eastAsia" w:ascii="黑体" w:eastAsia="黑体"/>
              <w:b w:val="0"/>
              <w:bCs/>
              <w:sz w:val="24"/>
              <w:szCs w:val="24"/>
            </w:rPr>
            <w:instrText xml:space="preserve"> HYPERLINK \l _Toc22033 </w:instrText>
          </w:r>
          <w:r>
            <w:rPr>
              <w:rFonts w:hint="eastAsia" w:ascii="黑体" w:eastAsia="黑体"/>
              <w:b w:val="0"/>
              <w:bCs/>
              <w:sz w:val="24"/>
              <w:szCs w:val="24"/>
            </w:rPr>
            <w:fldChar w:fldCharType="separate"/>
          </w:r>
          <w:r>
            <w:rPr>
              <w:rFonts w:hint="eastAsia" w:ascii="黑体" w:eastAsia="黑体"/>
              <w:b w:val="0"/>
              <w:bCs/>
              <w:sz w:val="24"/>
              <w:szCs w:val="24"/>
            </w:rPr>
            <w:t>第四部分 附件</w:t>
          </w:r>
          <w:r>
            <w:rPr>
              <w:b w:val="0"/>
              <w:bCs/>
              <w:sz w:val="24"/>
              <w:szCs w:val="24"/>
            </w:rPr>
            <w:tab/>
          </w:r>
          <w:r>
            <w:rPr>
              <w:b w:val="0"/>
              <w:bCs/>
              <w:sz w:val="24"/>
              <w:szCs w:val="24"/>
            </w:rPr>
            <w:fldChar w:fldCharType="begin"/>
          </w:r>
          <w:r>
            <w:rPr>
              <w:b w:val="0"/>
              <w:bCs/>
              <w:sz w:val="24"/>
              <w:szCs w:val="24"/>
            </w:rPr>
            <w:instrText xml:space="preserve"> PAGEREF _Toc22033 \h </w:instrText>
          </w:r>
          <w:r>
            <w:rPr>
              <w:b w:val="0"/>
              <w:bCs/>
              <w:sz w:val="24"/>
              <w:szCs w:val="24"/>
            </w:rPr>
            <w:fldChar w:fldCharType="separate"/>
          </w:r>
          <w:r>
            <w:rPr>
              <w:b w:val="0"/>
              <w:bCs/>
              <w:sz w:val="24"/>
              <w:szCs w:val="24"/>
            </w:rPr>
            <w:t>21</w:t>
          </w:r>
          <w:r>
            <w:rPr>
              <w:b w:val="0"/>
              <w:bCs/>
              <w:sz w:val="24"/>
              <w:szCs w:val="24"/>
            </w:rPr>
            <w:fldChar w:fldCharType="end"/>
          </w:r>
          <w:r>
            <w:rPr>
              <w:rFonts w:hint="eastAsia" w:ascii="黑体" w:eastAsia="黑体"/>
              <w:b w:val="0"/>
              <w:bCs/>
              <w:sz w:val="24"/>
              <w:szCs w:val="24"/>
            </w:rPr>
            <w:fldChar w:fldCharType="end"/>
          </w:r>
        </w:p>
        <w:p w14:paraId="65B9AE1B">
          <w:pPr>
            <w:pStyle w:val="29"/>
            <w:tabs>
              <w:tab w:val="right" w:leader="dot" w:pos="8306"/>
            </w:tabs>
            <w:rPr>
              <w:b w:val="0"/>
              <w:bCs/>
              <w:sz w:val="24"/>
              <w:szCs w:val="24"/>
            </w:rPr>
          </w:pPr>
          <w:r>
            <w:rPr>
              <w:rFonts w:hint="eastAsia" w:ascii="黑体" w:eastAsia="黑体"/>
              <w:b w:val="0"/>
              <w:bCs/>
              <w:sz w:val="24"/>
              <w:szCs w:val="24"/>
            </w:rPr>
            <w:fldChar w:fldCharType="begin"/>
          </w:r>
          <w:r>
            <w:rPr>
              <w:rFonts w:hint="eastAsia" w:ascii="黑体" w:eastAsia="黑体"/>
              <w:b w:val="0"/>
              <w:bCs/>
              <w:sz w:val="24"/>
              <w:szCs w:val="24"/>
            </w:rPr>
            <w:instrText xml:space="preserve"> HYPERLINK \l _Toc6576 </w:instrText>
          </w:r>
          <w:r>
            <w:rPr>
              <w:rFonts w:hint="eastAsia" w:ascii="黑体" w:eastAsia="黑体"/>
              <w:b w:val="0"/>
              <w:bCs/>
              <w:sz w:val="24"/>
              <w:szCs w:val="24"/>
            </w:rPr>
            <w:fldChar w:fldCharType="separate"/>
          </w:r>
          <w:r>
            <w:rPr>
              <w:rFonts w:hint="eastAsia" w:ascii="黑体" w:eastAsia="黑体"/>
              <w:b w:val="0"/>
              <w:bCs/>
              <w:sz w:val="24"/>
              <w:szCs w:val="24"/>
            </w:rPr>
            <w:t>第五部分 附表</w:t>
          </w:r>
          <w:r>
            <w:rPr>
              <w:b w:val="0"/>
              <w:bCs/>
              <w:sz w:val="24"/>
              <w:szCs w:val="24"/>
            </w:rPr>
            <w:tab/>
          </w:r>
          <w:r>
            <w:rPr>
              <w:b w:val="0"/>
              <w:bCs/>
              <w:sz w:val="24"/>
              <w:szCs w:val="24"/>
            </w:rPr>
            <w:fldChar w:fldCharType="begin"/>
          </w:r>
          <w:r>
            <w:rPr>
              <w:b w:val="0"/>
              <w:bCs/>
              <w:sz w:val="24"/>
              <w:szCs w:val="24"/>
            </w:rPr>
            <w:instrText xml:space="preserve"> PAGEREF _Toc6576 \h </w:instrText>
          </w:r>
          <w:r>
            <w:rPr>
              <w:b w:val="0"/>
              <w:bCs/>
              <w:sz w:val="24"/>
              <w:szCs w:val="24"/>
            </w:rPr>
            <w:fldChar w:fldCharType="separate"/>
          </w:r>
          <w:r>
            <w:rPr>
              <w:b w:val="0"/>
              <w:bCs/>
              <w:sz w:val="24"/>
              <w:szCs w:val="24"/>
            </w:rPr>
            <w:t>23</w:t>
          </w:r>
          <w:r>
            <w:rPr>
              <w:b w:val="0"/>
              <w:bCs/>
              <w:sz w:val="24"/>
              <w:szCs w:val="24"/>
            </w:rPr>
            <w:fldChar w:fldCharType="end"/>
          </w:r>
          <w:r>
            <w:rPr>
              <w:rFonts w:hint="eastAsia" w:ascii="黑体" w:eastAsia="黑体"/>
              <w:b w:val="0"/>
              <w:bCs/>
              <w:sz w:val="24"/>
              <w:szCs w:val="24"/>
            </w:rPr>
            <w:fldChar w:fldCharType="end"/>
          </w:r>
        </w:p>
        <w:p w14:paraId="3A43BD7D">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_Toc10494 </w:instrText>
          </w:r>
          <w:r>
            <w:rPr>
              <w:rFonts w:hint="eastAsia" w:ascii="黑体" w:eastAsia="黑体"/>
              <w:sz w:val="24"/>
              <w:szCs w:val="24"/>
            </w:rPr>
            <w:fldChar w:fldCharType="separate"/>
          </w:r>
          <w:r>
            <w:rPr>
              <w:rFonts w:hint="eastAsia" w:ascii="仿宋" w:eastAsia="仿宋"/>
              <w:sz w:val="24"/>
              <w:szCs w:val="24"/>
            </w:rPr>
            <w:t>一、收</w:t>
          </w:r>
          <w:r>
            <w:rPr>
              <w:rFonts w:hint="eastAsia" w:ascii="仿宋" w:eastAsia="仿宋"/>
              <w:bCs w:val="0"/>
              <w:sz w:val="24"/>
              <w:szCs w:val="24"/>
            </w:rPr>
            <w:t>入支出决算总表</w:t>
          </w:r>
          <w:r>
            <w:rPr>
              <w:sz w:val="24"/>
              <w:szCs w:val="24"/>
            </w:rPr>
            <w:tab/>
          </w:r>
          <w:r>
            <w:rPr>
              <w:sz w:val="24"/>
              <w:szCs w:val="24"/>
            </w:rPr>
            <w:fldChar w:fldCharType="begin"/>
          </w:r>
          <w:r>
            <w:rPr>
              <w:sz w:val="24"/>
              <w:szCs w:val="24"/>
            </w:rPr>
            <w:instrText xml:space="preserve"> PAGEREF _Toc10494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46BDD59A">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_Toc15730 </w:instrText>
          </w:r>
          <w:r>
            <w:rPr>
              <w:rFonts w:hint="eastAsia" w:ascii="黑体" w:eastAsia="黑体"/>
              <w:sz w:val="24"/>
              <w:szCs w:val="24"/>
            </w:rPr>
            <w:fldChar w:fldCharType="separate"/>
          </w:r>
          <w:r>
            <w:rPr>
              <w:rFonts w:hint="eastAsia" w:ascii="仿宋" w:eastAsia="仿宋"/>
              <w:sz w:val="24"/>
              <w:szCs w:val="24"/>
            </w:rPr>
            <w:t>二、收</w:t>
          </w:r>
          <w:r>
            <w:rPr>
              <w:rFonts w:hint="eastAsia" w:ascii="仿宋" w:eastAsia="仿宋"/>
              <w:bCs w:val="0"/>
              <w:sz w:val="24"/>
              <w:szCs w:val="24"/>
            </w:rPr>
            <w:t>入决算表</w:t>
          </w:r>
          <w:r>
            <w:rPr>
              <w:sz w:val="24"/>
              <w:szCs w:val="24"/>
            </w:rPr>
            <w:tab/>
          </w:r>
          <w:r>
            <w:rPr>
              <w:sz w:val="24"/>
              <w:szCs w:val="24"/>
            </w:rPr>
            <w:fldChar w:fldCharType="begin"/>
          </w:r>
          <w:r>
            <w:rPr>
              <w:sz w:val="24"/>
              <w:szCs w:val="24"/>
            </w:rPr>
            <w:instrText xml:space="preserve"> PAGEREF _Toc15730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76697AB2">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_Toc29932 </w:instrText>
          </w:r>
          <w:r>
            <w:rPr>
              <w:rFonts w:hint="eastAsia" w:ascii="黑体" w:eastAsia="黑体"/>
              <w:sz w:val="24"/>
              <w:szCs w:val="24"/>
            </w:rPr>
            <w:fldChar w:fldCharType="separate"/>
          </w:r>
          <w:r>
            <w:rPr>
              <w:rFonts w:hint="eastAsia" w:ascii="仿宋" w:eastAsia="仿宋"/>
              <w:bCs w:val="0"/>
              <w:sz w:val="24"/>
              <w:szCs w:val="24"/>
            </w:rPr>
            <w:t>三、</w:t>
          </w:r>
          <w:r>
            <w:rPr>
              <w:rFonts w:hint="eastAsia" w:ascii="仿宋" w:eastAsia="仿宋"/>
              <w:sz w:val="24"/>
              <w:szCs w:val="24"/>
            </w:rPr>
            <w:t>支</w:t>
          </w:r>
          <w:r>
            <w:rPr>
              <w:rFonts w:hint="eastAsia" w:ascii="仿宋" w:eastAsia="仿宋"/>
              <w:bCs w:val="0"/>
              <w:sz w:val="24"/>
              <w:szCs w:val="24"/>
            </w:rPr>
            <w:t>出决算表</w:t>
          </w:r>
          <w:r>
            <w:rPr>
              <w:sz w:val="24"/>
              <w:szCs w:val="24"/>
            </w:rPr>
            <w:tab/>
          </w:r>
          <w:r>
            <w:rPr>
              <w:sz w:val="24"/>
              <w:szCs w:val="24"/>
            </w:rPr>
            <w:fldChar w:fldCharType="begin"/>
          </w:r>
          <w:r>
            <w:rPr>
              <w:sz w:val="24"/>
              <w:szCs w:val="24"/>
            </w:rPr>
            <w:instrText xml:space="preserve"> PAGEREF _Toc29932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4D53C458">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_Toc31790 </w:instrText>
          </w:r>
          <w:r>
            <w:rPr>
              <w:rFonts w:hint="eastAsia" w:ascii="黑体" w:eastAsia="黑体"/>
              <w:sz w:val="24"/>
              <w:szCs w:val="24"/>
            </w:rPr>
            <w:fldChar w:fldCharType="separate"/>
          </w:r>
          <w:r>
            <w:rPr>
              <w:rFonts w:hint="eastAsia" w:ascii="仿宋" w:eastAsia="仿宋"/>
              <w:bCs w:val="0"/>
              <w:sz w:val="24"/>
              <w:szCs w:val="24"/>
            </w:rPr>
            <w:t>四、</w:t>
          </w:r>
          <w:r>
            <w:rPr>
              <w:rFonts w:hint="eastAsia" w:ascii="仿宋" w:eastAsia="仿宋"/>
              <w:sz w:val="24"/>
              <w:szCs w:val="24"/>
            </w:rPr>
            <w:t>财</w:t>
          </w:r>
          <w:r>
            <w:rPr>
              <w:rFonts w:hint="eastAsia" w:ascii="仿宋" w:eastAsia="仿宋"/>
              <w:bCs w:val="0"/>
              <w:sz w:val="24"/>
              <w:szCs w:val="24"/>
            </w:rPr>
            <w:t>政拨款收入支出决算总表</w:t>
          </w:r>
          <w:r>
            <w:rPr>
              <w:sz w:val="24"/>
              <w:szCs w:val="24"/>
            </w:rPr>
            <w:tab/>
          </w:r>
          <w:r>
            <w:rPr>
              <w:sz w:val="24"/>
              <w:szCs w:val="24"/>
            </w:rPr>
            <w:fldChar w:fldCharType="begin"/>
          </w:r>
          <w:r>
            <w:rPr>
              <w:sz w:val="24"/>
              <w:szCs w:val="24"/>
            </w:rPr>
            <w:instrText xml:space="preserve"> PAGEREF _Toc31790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698B4FC5">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_Toc30920 </w:instrText>
          </w:r>
          <w:r>
            <w:rPr>
              <w:rFonts w:hint="eastAsia" w:ascii="黑体" w:eastAsia="黑体"/>
              <w:sz w:val="24"/>
              <w:szCs w:val="24"/>
            </w:rPr>
            <w:fldChar w:fldCharType="separate"/>
          </w:r>
          <w:r>
            <w:rPr>
              <w:rFonts w:hint="eastAsia" w:ascii="仿宋" w:eastAsia="仿宋"/>
              <w:bCs w:val="0"/>
              <w:sz w:val="24"/>
              <w:szCs w:val="24"/>
            </w:rPr>
            <w:t>五、</w:t>
          </w:r>
          <w:r>
            <w:rPr>
              <w:rFonts w:hint="eastAsia" w:ascii="仿宋" w:eastAsia="仿宋"/>
              <w:sz w:val="24"/>
              <w:szCs w:val="24"/>
            </w:rPr>
            <w:t>财</w:t>
          </w:r>
          <w:r>
            <w:rPr>
              <w:rFonts w:hint="eastAsia" w:ascii="仿宋" w:eastAsia="仿宋"/>
              <w:bCs w:val="0"/>
              <w:sz w:val="24"/>
              <w:szCs w:val="24"/>
            </w:rPr>
            <w:t>政拨款支出决算明细表</w:t>
          </w:r>
          <w:r>
            <w:rPr>
              <w:sz w:val="24"/>
              <w:szCs w:val="24"/>
            </w:rPr>
            <w:tab/>
          </w:r>
          <w:r>
            <w:rPr>
              <w:sz w:val="24"/>
              <w:szCs w:val="24"/>
            </w:rPr>
            <w:fldChar w:fldCharType="begin"/>
          </w:r>
          <w:r>
            <w:rPr>
              <w:sz w:val="24"/>
              <w:szCs w:val="24"/>
            </w:rPr>
            <w:instrText xml:space="preserve"> PAGEREF _Toc30920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7FF67A34">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_Toc14731 </w:instrText>
          </w:r>
          <w:r>
            <w:rPr>
              <w:rFonts w:hint="eastAsia" w:ascii="黑体" w:eastAsia="黑体"/>
              <w:sz w:val="24"/>
              <w:szCs w:val="24"/>
            </w:rPr>
            <w:fldChar w:fldCharType="separate"/>
          </w:r>
          <w:r>
            <w:rPr>
              <w:rFonts w:hint="eastAsia" w:ascii="仿宋" w:eastAsia="仿宋"/>
              <w:bCs w:val="0"/>
              <w:sz w:val="24"/>
              <w:szCs w:val="24"/>
            </w:rPr>
            <w:t>六、</w:t>
          </w:r>
          <w:r>
            <w:rPr>
              <w:rFonts w:hint="eastAsia" w:ascii="仿宋" w:eastAsia="仿宋"/>
              <w:sz w:val="24"/>
              <w:szCs w:val="24"/>
            </w:rPr>
            <w:t>一</w:t>
          </w:r>
          <w:r>
            <w:rPr>
              <w:rFonts w:hint="eastAsia" w:ascii="仿宋" w:eastAsia="仿宋"/>
              <w:bCs w:val="0"/>
              <w:sz w:val="24"/>
              <w:szCs w:val="24"/>
            </w:rPr>
            <w:t>般公共预算财政拨款支出决算表</w:t>
          </w:r>
          <w:r>
            <w:rPr>
              <w:sz w:val="24"/>
              <w:szCs w:val="24"/>
            </w:rPr>
            <w:tab/>
          </w:r>
          <w:r>
            <w:rPr>
              <w:sz w:val="24"/>
              <w:szCs w:val="24"/>
            </w:rPr>
            <w:fldChar w:fldCharType="begin"/>
          </w:r>
          <w:r>
            <w:rPr>
              <w:sz w:val="24"/>
              <w:szCs w:val="24"/>
            </w:rPr>
            <w:instrText xml:space="preserve"> PAGEREF _Toc14731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18542DE3">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_Toc19072 </w:instrText>
          </w:r>
          <w:r>
            <w:rPr>
              <w:rFonts w:hint="eastAsia" w:ascii="黑体" w:eastAsia="黑体"/>
              <w:sz w:val="24"/>
              <w:szCs w:val="24"/>
            </w:rPr>
            <w:fldChar w:fldCharType="separate"/>
          </w:r>
          <w:r>
            <w:rPr>
              <w:rFonts w:hint="eastAsia" w:ascii="仿宋" w:eastAsia="仿宋"/>
              <w:bCs w:val="0"/>
              <w:sz w:val="24"/>
              <w:szCs w:val="24"/>
            </w:rPr>
            <w:t>七、</w:t>
          </w:r>
          <w:r>
            <w:rPr>
              <w:rFonts w:hint="eastAsia" w:ascii="仿宋" w:eastAsia="仿宋"/>
              <w:sz w:val="24"/>
              <w:szCs w:val="24"/>
            </w:rPr>
            <w:t>一</w:t>
          </w:r>
          <w:r>
            <w:rPr>
              <w:rFonts w:hint="eastAsia" w:ascii="仿宋" w:eastAsia="仿宋"/>
              <w:bCs w:val="0"/>
              <w:sz w:val="24"/>
              <w:szCs w:val="24"/>
            </w:rPr>
            <w:t>般公共预算财政拨款支出决算明细表</w:t>
          </w:r>
          <w:r>
            <w:rPr>
              <w:sz w:val="24"/>
              <w:szCs w:val="24"/>
            </w:rPr>
            <w:tab/>
          </w:r>
          <w:r>
            <w:rPr>
              <w:sz w:val="24"/>
              <w:szCs w:val="24"/>
            </w:rPr>
            <w:fldChar w:fldCharType="begin"/>
          </w:r>
          <w:r>
            <w:rPr>
              <w:sz w:val="24"/>
              <w:szCs w:val="24"/>
            </w:rPr>
            <w:instrText xml:space="preserve"> PAGEREF _Toc19072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36557097">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_Toc31002 </w:instrText>
          </w:r>
          <w:r>
            <w:rPr>
              <w:rFonts w:hint="eastAsia" w:ascii="黑体" w:eastAsia="黑体"/>
              <w:sz w:val="24"/>
              <w:szCs w:val="24"/>
            </w:rPr>
            <w:fldChar w:fldCharType="separate"/>
          </w:r>
          <w:r>
            <w:rPr>
              <w:rFonts w:hint="eastAsia" w:ascii="仿宋" w:eastAsia="仿宋"/>
              <w:bCs w:val="0"/>
              <w:sz w:val="24"/>
              <w:szCs w:val="24"/>
            </w:rPr>
            <w:t>八、</w:t>
          </w:r>
          <w:r>
            <w:rPr>
              <w:rFonts w:hint="eastAsia" w:ascii="仿宋" w:eastAsia="仿宋"/>
              <w:sz w:val="24"/>
              <w:szCs w:val="24"/>
            </w:rPr>
            <w:t>一</w:t>
          </w:r>
          <w:r>
            <w:rPr>
              <w:rFonts w:hint="eastAsia" w:ascii="仿宋" w:eastAsia="仿宋"/>
              <w:bCs w:val="0"/>
              <w:sz w:val="24"/>
              <w:szCs w:val="24"/>
            </w:rPr>
            <w:t>般公共预算财政拨款基本支出决算表</w:t>
          </w:r>
          <w:r>
            <w:rPr>
              <w:sz w:val="24"/>
              <w:szCs w:val="24"/>
            </w:rPr>
            <w:tab/>
          </w:r>
          <w:r>
            <w:rPr>
              <w:sz w:val="24"/>
              <w:szCs w:val="24"/>
            </w:rPr>
            <w:fldChar w:fldCharType="begin"/>
          </w:r>
          <w:r>
            <w:rPr>
              <w:sz w:val="24"/>
              <w:szCs w:val="24"/>
            </w:rPr>
            <w:instrText xml:space="preserve"> PAGEREF _Toc31002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21D75C3C">
          <w:pPr>
            <w:pStyle w:val="30"/>
            <w:tabs>
              <w:tab w:val="right" w:leader="dot" w:pos="8306"/>
            </w:tabs>
            <w:rPr>
              <w:sz w:val="24"/>
              <w:szCs w:val="24"/>
            </w:rPr>
          </w:pPr>
          <w:r>
            <w:rPr>
              <w:rFonts w:hint="eastAsia" w:ascii="黑体" w:eastAsia="黑体"/>
              <w:sz w:val="24"/>
              <w:szCs w:val="24"/>
            </w:rPr>
            <w:fldChar w:fldCharType="begin"/>
          </w:r>
          <w:r>
            <w:rPr>
              <w:rFonts w:hint="eastAsia" w:ascii="黑体" w:eastAsia="黑体"/>
              <w:sz w:val="24"/>
              <w:szCs w:val="24"/>
            </w:rPr>
            <w:instrText xml:space="preserve"> HYPERLINK \l _Toc30545 </w:instrText>
          </w:r>
          <w:r>
            <w:rPr>
              <w:rFonts w:hint="eastAsia" w:ascii="黑体" w:eastAsia="黑体"/>
              <w:sz w:val="24"/>
              <w:szCs w:val="24"/>
            </w:rPr>
            <w:fldChar w:fldCharType="separate"/>
          </w:r>
          <w:r>
            <w:rPr>
              <w:rFonts w:hint="eastAsia" w:ascii="仿宋" w:eastAsia="仿宋"/>
              <w:bCs w:val="0"/>
              <w:sz w:val="24"/>
              <w:szCs w:val="24"/>
            </w:rPr>
            <w:t>九、</w:t>
          </w:r>
          <w:r>
            <w:rPr>
              <w:rFonts w:hint="eastAsia" w:ascii="仿宋" w:eastAsia="仿宋"/>
              <w:sz w:val="24"/>
              <w:szCs w:val="24"/>
            </w:rPr>
            <w:t>一</w:t>
          </w:r>
          <w:r>
            <w:rPr>
              <w:rFonts w:hint="eastAsia" w:ascii="仿宋" w:eastAsia="仿宋"/>
              <w:bCs w:val="0"/>
              <w:sz w:val="24"/>
              <w:szCs w:val="24"/>
            </w:rPr>
            <w:t>般公共预算财政拨款项目支出决算表</w:t>
          </w:r>
          <w:r>
            <w:rPr>
              <w:sz w:val="24"/>
              <w:szCs w:val="24"/>
            </w:rPr>
            <w:tab/>
          </w:r>
          <w:r>
            <w:rPr>
              <w:sz w:val="24"/>
              <w:szCs w:val="24"/>
            </w:rPr>
            <w:fldChar w:fldCharType="begin"/>
          </w:r>
          <w:r>
            <w:rPr>
              <w:sz w:val="24"/>
              <w:szCs w:val="24"/>
            </w:rPr>
            <w:instrText xml:space="preserve"> PAGEREF _Toc30545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5784925E">
          <w:pPr>
            <w:pStyle w:val="30"/>
            <w:tabs>
              <w:tab w:val="right" w:leader="dot" w:pos="8306"/>
            </w:tabs>
            <w:rPr>
              <w:sz w:val="24"/>
              <w:szCs w:val="24"/>
            </w:rPr>
          </w:pPr>
          <w:r>
            <w:rPr>
              <w:rFonts w:hint="eastAsia" w:ascii="仿宋" w:eastAsia="仿宋"/>
              <w:bCs w:val="0"/>
              <w:sz w:val="24"/>
              <w:szCs w:val="24"/>
              <w:lang w:eastAsia="zh-CN"/>
            </w:rPr>
            <w:t>十、</w:t>
          </w:r>
          <w:r>
            <w:rPr>
              <w:rFonts w:hint="eastAsia" w:ascii="黑体" w:eastAsia="黑体"/>
              <w:sz w:val="24"/>
              <w:szCs w:val="24"/>
            </w:rPr>
            <w:fldChar w:fldCharType="begin"/>
          </w:r>
          <w:r>
            <w:rPr>
              <w:rFonts w:hint="eastAsia" w:ascii="黑体" w:eastAsia="黑体"/>
              <w:sz w:val="24"/>
              <w:szCs w:val="24"/>
            </w:rPr>
            <w:instrText xml:space="preserve"> HYPERLINK \l _Toc4939 </w:instrText>
          </w:r>
          <w:r>
            <w:rPr>
              <w:rFonts w:hint="eastAsia" w:ascii="黑体" w:eastAsia="黑体"/>
              <w:sz w:val="24"/>
              <w:szCs w:val="24"/>
            </w:rPr>
            <w:fldChar w:fldCharType="separate"/>
          </w:r>
          <w:r>
            <w:rPr>
              <w:rFonts w:hint="eastAsia" w:ascii="黑体" w:eastAsia="黑体"/>
              <w:sz w:val="24"/>
              <w:szCs w:val="24"/>
            </w:rPr>
            <w:fldChar w:fldCharType="end"/>
          </w:r>
          <w:r>
            <w:rPr>
              <w:rFonts w:hint="eastAsia" w:ascii="黑体" w:eastAsia="黑体"/>
              <w:sz w:val="24"/>
              <w:szCs w:val="24"/>
            </w:rPr>
            <w:fldChar w:fldCharType="begin"/>
          </w:r>
          <w:r>
            <w:rPr>
              <w:rFonts w:hint="eastAsia" w:ascii="黑体" w:eastAsia="黑体"/>
              <w:sz w:val="24"/>
              <w:szCs w:val="24"/>
            </w:rPr>
            <w:instrText xml:space="preserve"> HYPERLINK \l _Toc7534 </w:instrText>
          </w:r>
          <w:r>
            <w:rPr>
              <w:rFonts w:hint="eastAsia" w:ascii="黑体" w:eastAsia="黑体"/>
              <w:sz w:val="24"/>
              <w:szCs w:val="24"/>
            </w:rPr>
            <w:fldChar w:fldCharType="separate"/>
          </w:r>
          <w:r>
            <w:rPr>
              <w:rFonts w:hint="eastAsia" w:ascii="仿宋" w:eastAsia="仿宋"/>
              <w:sz w:val="24"/>
              <w:szCs w:val="24"/>
            </w:rPr>
            <w:t>政</w:t>
          </w:r>
          <w:r>
            <w:rPr>
              <w:rFonts w:hint="eastAsia" w:ascii="仿宋" w:eastAsia="仿宋"/>
              <w:bCs w:val="0"/>
              <w:sz w:val="24"/>
              <w:szCs w:val="24"/>
            </w:rPr>
            <w:t>府性基金预算财政拨款收入支出决算表</w:t>
          </w:r>
          <w:r>
            <w:rPr>
              <w:sz w:val="24"/>
              <w:szCs w:val="24"/>
            </w:rPr>
            <w:tab/>
          </w:r>
          <w:r>
            <w:rPr>
              <w:sz w:val="24"/>
              <w:szCs w:val="24"/>
            </w:rPr>
            <w:fldChar w:fldCharType="begin"/>
          </w:r>
          <w:r>
            <w:rPr>
              <w:sz w:val="24"/>
              <w:szCs w:val="24"/>
            </w:rPr>
            <w:instrText xml:space="preserve"> PAGEREF _Toc7534 \h </w:instrText>
          </w:r>
          <w:r>
            <w:rPr>
              <w:sz w:val="24"/>
              <w:szCs w:val="24"/>
            </w:rPr>
            <w:fldChar w:fldCharType="separate"/>
          </w:r>
          <w:r>
            <w:rPr>
              <w:sz w:val="24"/>
              <w:szCs w:val="24"/>
            </w:rPr>
            <w:t>23</w:t>
          </w:r>
          <w:r>
            <w:rPr>
              <w:sz w:val="24"/>
              <w:szCs w:val="24"/>
            </w:rPr>
            <w:fldChar w:fldCharType="end"/>
          </w:r>
          <w:r>
            <w:rPr>
              <w:rFonts w:hint="eastAsia" w:ascii="黑体" w:eastAsia="黑体"/>
              <w:sz w:val="24"/>
              <w:szCs w:val="24"/>
            </w:rPr>
            <w:fldChar w:fldCharType="end"/>
          </w:r>
        </w:p>
        <w:p w14:paraId="705BA06F">
          <w:pPr>
            <w:pStyle w:val="30"/>
            <w:tabs>
              <w:tab w:val="right" w:leader="dot" w:pos="8306"/>
            </w:tabs>
            <w:rPr>
              <w:rFonts w:hint="eastAsia" w:ascii="仿宋" w:eastAsia="仿宋"/>
              <w:bCs w:val="0"/>
              <w:sz w:val="24"/>
              <w:szCs w:val="24"/>
              <w:lang w:eastAsia="zh-CN"/>
            </w:rPr>
          </w:pPr>
          <w:r>
            <w:rPr>
              <w:rFonts w:hint="eastAsia" w:ascii="仿宋" w:eastAsia="仿宋"/>
              <w:bCs w:val="0"/>
              <w:sz w:val="24"/>
              <w:szCs w:val="24"/>
              <w:lang w:eastAsia="zh-CN"/>
            </w:rPr>
            <w:fldChar w:fldCharType="begin"/>
          </w:r>
          <w:r>
            <w:rPr>
              <w:rFonts w:hint="eastAsia" w:ascii="仿宋" w:eastAsia="仿宋"/>
              <w:bCs w:val="0"/>
              <w:sz w:val="24"/>
              <w:szCs w:val="24"/>
              <w:lang w:eastAsia="zh-CN"/>
            </w:rPr>
            <w:instrText xml:space="preserve"> HYPERLINK \l _Toc19390 </w:instrText>
          </w:r>
          <w:r>
            <w:rPr>
              <w:rFonts w:hint="eastAsia" w:ascii="仿宋" w:eastAsia="仿宋"/>
              <w:bCs w:val="0"/>
              <w:sz w:val="24"/>
              <w:szCs w:val="24"/>
              <w:lang w:eastAsia="zh-CN"/>
            </w:rPr>
            <w:fldChar w:fldCharType="separate"/>
          </w:r>
          <w:r>
            <w:rPr>
              <w:rFonts w:hint="eastAsia" w:ascii="仿宋" w:eastAsia="仿宋"/>
              <w:bCs w:val="0"/>
              <w:sz w:val="24"/>
              <w:szCs w:val="24"/>
              <w:lang w:eastAsia="zh-CN"/>
            </w:rPr>
            <w:t>十一、国有资本经营预算财政拨款收入支出决算表</w:t>
          </w:r>
          <w:r>
            <w:rPr>
              <w:rFonts w:hint="eastAsia" w:ascii="仿宋" w:eastAsia="仿宋"/>
              <w:bCs w:val="0"/>
              <w:sz w:val="24"/>
              <w:szCs w:val="24"/>
              <w:lang w:eastAsia="zh-CN"/>
            </w:rPr>
            <w:tab/>
          </w:r>
          <w:r>
            <w:rPr>
              <w:rFonts w:hint="eastAsia" w:ascii="仿宋" w:eastAsia="仿宋"/>
              <w:bCs w:val="0"/>
              <w:sz w:val="24"/>
              <w:szCs w:val="24"/>
              <w:lang w:eastAsia="zh-CN"/>
            </w:rPr>
            <w:fldChar w:fldCharType="begin"/>
          </w:r>
          <w:r>
            <w:rPr>
              <w:rFonts w:hint="eastAsia" w:ascii="仿宋" w:eastAsia="仿宋"/>
              <w:bCs w:val="0"/>
              <w:sz w:val="24"/>
              <w:szCs w:val="24"/>
              <w:lang w:eastAsia="zh-CN"/>
            </w:rPr>
            <w:instrText xml:space="preserve"> PAGEREF _Toc19390 \h </w:instrText>
          </w:r>
          <w:r>
            <w:rPr>
              <w:rFonts w:hint="eastAsia" w:ascii="仿宋" w:eastAsia="仿宋"/>
              <w:bCs w:val="0"/>
              <w:sz w:val="24"/>
              <w:szCs w:val="24"/>
              <w:lang w:eastAsia="zh-CN"/>
            </w:rPr>
            <w:fldChar w:fldCharType="separate"/>
          </w:r>
          <w:r>
            <w:rPr>
              <w:rFonts w:hint="eastAsia" w:ascii="仿宋" w:eastAsia="仿宋"/>
              <w:bCs w:val="0"/>
              <w:sz w:val="24"/>
              <w:szCs w:val="24"/>
              <w:lang w:eastAsia="zh-CN"/>
            </w:rPr>
            <w:t>23</w:t>
          </w:r>
          <w:r>
            <w:rPr>
              <w:rFonts w:hint="eastAsia" w:ascii="仿宋" w:eastAsia="仿宋"/>
              <w:bCs w:val="0"/>
              <w:sz w:val="24"/>
              <w:szCs w:val="24"/>
              <w:lang w:eastAsia="zh-CN"/>
            </w:rPr>
            <w:fldChar w:fldCharType="end"/>
          </w:r>
          <w:r>
            <w:rPr>
              <w:rFonts w:hint="eastAsia" w:ascii="仿宋" w:eastAsia="仿宋"/>
              <w:bCs w:val="0"/>
              <w:sz w:val="24"/>
              <w:szCs w:val="24"/>
              <w:lang w:eastAsia="zh-CN"/>
            </w:rPr>
            <w:fldChar w:fldCharType="end"/>
          </w:r>
        </w:p>
        <w:p w14:paraId="08A7F26D">
          <w:pPr>
            <w:pStyle w:val="30"/>
            <w:tabs>
              <w:tab w:val="right" w:leader="dot" w:pos="8306"/>
            </w:tabs>
            <w:rPr>
              <w:sz w:val="24"/>
              <w:szCs w:val="24"/>
            </w:rPr>
          </w:pPr>
          <w:r>
            <w:rPr>
              <w:rFonts w:hint="eastAsia" w:ascii="仿宋" w:eastAsia="仿宋"/>
              <w:bCs w:val="0"/>
              <w:sz w:val="24"/>
              <w:szCs w:val="24"/>
              <w:lang w:eastAsia="zh-CN"/>
            </w:rPr>
            <w:fldChar w:fldCharType="begin"/>
          </w:r>
          <w:r>
            <w:rPr>
              <w:rFonts w:hint="eastAsia" w:ascii="仿宋" w:eastAsia="仿宋"/>
              <w:bCs w:val="0"/>
              <w:sz w:val="24"/>
              <w:szCs w:val="24"/>
              <w:lang w:eastAsia="zh-CN"/>
            </w:rPr>
            <w:instrText xml:space="preserve"> HYPERLINK \l _Toc31956 </w:instrText>
          </w:r>
          <w:r>
            <w:rPr>
              <w:rFonts w:hint="eastAsia" w:ascii="仿宋" w:eastAsia="仿宋"/>
              <w:bCs w:val="0"/>
              <w:sz w:val="24"/>
              <w:szCs w:val="24"/>
              <w:lang w:eastAsia="zh-CN"/>
            </w:rPr>
            <w:fldChar w:fldCharType="separate"/>
          </w:r>
          <w:r>
            <w:rPr>
              <w:rFonts w:hint="eastAsia" w:ascii="仿宋" w:eastAsia="仿宋"/>
              <w:bCs w:val="0"/>
              <w:sz w:val="24"/>
              <w:szCs w:val="24"/>
              <w:lang w:eastAsia="zh-CN"/>
            </w:rPr>
            <w:t>十二、国有资本经营预算财政拨款支出决算表</w:t>
          </w:r>
          <w:r>
            <w:rPr>
              <w:rFonts w:hint="eastAsia" w:ascii="仿宋" w:eastAsia="仿宋"/>
              <w:bCs w:val="0"/>
              <w:sz w:val="24"/>
              <w:szCs w:val="24"/>
              <w:lang w:eastAsia="zh-CN"/>
            </w:rPr>
            <w:tab/>
          </w:r>
          <w:r>
            <w:rPr>
              <w:rFonts w:hint="eastAsia" w:ascii="仿宋" w:eastAsia="仿宋"/>
              <w:bCs w:val="0"/>
              <w:sz w:val="24"/>
              <w:szCs w:val="24"/>
              <w:lang w:eastAsia="zh-CN"/>
            </w:rPr>
            <w:fldChar w:fldCharType="begin"/>
          </w:r>
          <w:r>
            <w:rPr>
              <w:rFonts w:hint="eastAsia" w:ascii="仿宋" w:eastAsia="仿宋"/>
              <w:bCs w:val="0"/>
              <w:sz w:val="24"/>
              <w:szCs w:val="24"/>
              <w:lang w:eastAsia="zh-CN"/>
            </w:rPr>
            <w:instrText xml:space="preserve"> PAGEREF _Toc31956 \h </w:instrText>
          </w:r>
          <w:r>
            <w:rPr>
              <w:rFonts w:hint="eastAsia" w:ascii="仿宋" w:eastAsia="仿宋"/>
              <w:bCs w:val="0"/>
              <w:sz w:val="24"/>
              <w:szCs w:val="24"/>
              <w:lang w:eastAsia="zh-CN"/>
            </w:rPr>
            <w:fldChar w:fldCharType="separate"/>
          </w:r>
          <w:r>
            <w:rPr>
              <w:rFonts w:hint="eastAsia" w:ascii="仿宋" w:eastAsia="仿宋"/>
              <w:bCs w:val="0"/>
              <w:sz w:val="24"/>
              <w:szCs w:val="24"/>
              <w:lang w:eastAsia="zh-CN"/>
            </w:rPr>
            <w:t>23</w:t>
          </w:r>
          <w:r>
            <w:rPr>
              <w:rFonts w:hint="eastAsia" w:ascii="仿宋" w:eastAsia="仿宋"/>
              <w:bCs w:val="0"/>
              <w:sz w:val="24"/>
              <w:szCs w:val="24"/>
              <w:lang w:eastAsia="zh-CN"/>
            </w:rPr>
            <w:fldChar w:fldCharType="end"/>
          </w:r>
          <w:r>
            <w:rPr>
              <w:rFonts w:hint="eastAsia" w:ascii="仿宋" w:eastAsia="仿宋"/>
              <w:bCs w:val="0"/>
              <w:sz w:val="24"/>
              <w:szCs w:val="24"/>
              <w:lang w:eastAsia="zh-CN"/>
            </w:rPr>
            <w:fldChar w:fldCharType="end"/>
          </w:r>
          <w:r>
            <w:rPr>
              <w:rFonts w:hint="eastAsia" w:ascii="仿宋" w:eastAsia="仿宋"/>
              <w:bCs w:val="0"/>
              <w:sz w:val="24"/>
              <w:szCs w:val="24"/>
              <w:lang w:eastAsia="zh-CN"/>
            </w:rPr>
            <w:br w:type="textWrapping"/>
          </w:r>
          <w:r>
            <w:rPr>
              <w:rFonts w:hint="eastAsia" w:ascii="仿宋" w:eastAsia="仿宋"/>
              <w:bCs w:val="0"/>
              <w:sz w:val="24"/>
              <w:szCs w:val="24"/>
              <w:lang w:eastAsia="zh-CN"/>
            </w:rPr>
            <w:t>十三、</w:t>
          </w:r>
          <w:r>
            <w:rPr>
              <w:rFonts w:hint="eastAsia" w:ascii="仿宋" w:eastAsia="仿宋"/>
              <w:bCs w:val="0"/>
              <w:sz w:val="24"/>
              <w:szCs w:val="24"/>
            </w:rPr>
            <w:t>财政拨款“三公”经费支出决算表</w:t>
          </w:r>
        </w:p>
        <w:p w14:paraId="2A51E870">
          <w:pPr>
            <w:pStyle w:val="3"/>
            <w:pageBreakBefore w:val="0"/>
            <w:kinsoku/>
            <w:wordWrap/>
            <w:overflowPunct/>
            <w:topLinePunct w:val="0"/>
            <w:bidi w:val="0"/>
            <w:spacing w:line="240" w:lineRule="auto"/>
            <w:jc w:val="center"/>
            <w:outlineLvl w:val="9"/>
            <w:rPr>
              <w:rFonts w:hint="eastAsia" w:ascii="黑体" w:eastAsia="黑体"/>
              <w:b w:val="0"/>
              <w:sz w:val="24"/>
              <w:szCs w:val="24"/>
            </w:rPr>
          </w:pPr>
          <w:r>
            <w:rPr>
              <w:rFonts w:hint="eastAsia" w:ascii="黑体" w:eastAsia="黑体"/>
              <w:b/>
              <w:sz w:val="24"/>
              <w:szCs w:val="24"/>
            </w:rPr>
            <w:fldChar w:fldCharType="end"/>
          </w:r>
        </w:p>
      </w:sdtContent>
    </w:sdt>
    <w:p w14:paraId="2AC9DA6C">
      <w:pPr>
        <w:rPr>
          <w:rFonts w:hint="eastAsia"/>
        </w:rPr>
      </w:pPr>
    </w:p>
    <w:p w14:paraId="32B3F8EA">
      <w:pPr>
        <w:pStyle w:val="3"/>
        <w:pageBreakBefore w:val="0"/>
        <w:kinsoku/>
        <w:wordWrap/>
        <w:overflowPunct/>
        <w:topLinePunct w:val="0"/>
        <w:bidi w:val="0"/>
        <w:spacing w:line="240" w:lineRule="auto"/>
        <w:jc w:val="center"/>
        <w:rPr>
          <w:rFonts w:hint="eastAsia" w:ascii="黑体" w:eastAsia="黑体"/>
          <w:b w:val="0"/>
        </w:rPr>
      </w:pPr>
      <w:bookmarkStart w:id="14" w:name="_Toc4867"/>
    </w:p>
    <w:p w14:paraId="3A7B57D5">
      <w:pPr>
        <w:rPr>
          <w:rFonts w:hint="eastAsia"/>
        </w:rPr>
      </w:pPr>
    </w:p>
    <w:p w14:paraId="77E5B086">
      <w:pPr>
        <w:pStyle w:val="3"/>
        <w:pageBreakBefore w:val="0"/>
        <w:kinsoku/>
        <w:wordWrap/>
        <w:overflowPunct/>
        <w:topLinePunct w:val="0"/>
        <w:bidi w:val="0"/>
        <w:spacing w:line="240" w:lineRule="auto"/>
        <w:jc w:val="center"/>
        <w:rPr>
          <w:rStyle w:val="20"/>
          <w:rFonts w:ascii="黑体" w:eastAsia="黑体"/>
          <w:b/>
          <w:bCs w:val="0"/>
        </w:rPr>
      </w:pPr>
      <w:r>
        <w:rPr>
          <w:rFonts w:hint="eastAsia" w:ascii="黑体" w:eastAsia="黑体"/>
          <w:b w:val="0"/>
        </w:rPr>
        <w:t>第一部分 单位</w:t>
      </w:r>
      <w:r>
        <w:rPr>
          <w:rStyle w:val="20"/>
          <w:rFonts w:hint="eastAsia" w:ascii="黑体" w:eastAsia="黑体"/>
          <w:b w:val="0"/>
          <w:bCs w:val="0"/>
        </w:rPr>
        <w:t>概况</w:t>
      </w:r>
      <w:bookmarkEnd w:id="14"/>
    </w:p>
    <w:p w14:paraId="74BD5EF6">
      <w:pPr>
        <w:pageBreakBefore w:val="0"/>
        <w:widowControl/>
        <w:kinsoku/>
        <w:wordWrap/>
        <w:overflowPunct/>
        <w:topLinePunct w:val="0"/>
        <w:bidi w:val="0"/>
        <w:spacing w:line="240" w:lineRule="auto"/>
        <w:jc w:val="left"/>
        <w:rPr>
          <w:rFonts w:ascii="黑体" w:eastAsia="黑体"/>
          <w:sz w:val="32"/>
          <w:szCs w:val="32"/>
        </w:rPr>
      </w:pPr>
    </w:p>
    <w:p w14:paraId="4790FE28">
      <w:pPr>
        <w:pStyle w:val="4"/>
        <w:pageBreakBefore w:val="0"/>
        <w:widowControl w:val="0"/>
        <w:numPr>
          <w:ilvl w:val="0"/>
          <w:numId w:val="1"/>
        </w:numPr>
        <w:kinsoku/>
        <w:wordWrap/>
        <w:overflowPunct/>
        <w:topLinePunct w:val="0"/>
        <w:autoSpaceDE/>
        <w:autoSpaceDN/>
        <w:bidi w:val="0"/>
        <w:adjustRightInd/>
        <w:snapToGrid/>
        <w:spacing w:line="240" w:lineRule="auto"/>
        <w:textAlignment w:val="auto"/>
        <w:rPr>
          <w:rStyle w:val="21"/>
          <w:rFonts w:hint="eastAsia" w:ascii="黑体" w:eastAsia="黑体"/>
          <w:b w:val="0"/>
          <w:bCs w:val="0"/>
        </w:rPr>
      </w:pPr>
      <w:bookmarkStart w:id="15" w:name="_Toc32459"/>
      <w:bookmarkStart w:id="16" w:name="_Toc15377197"/>
      <w:bookmarkStart w:id="17" w:name="_Toc15396600"/>
      <w:r>
        <w:rPr>
          <w:rStyle w:val="21"/>
          <w:rFonts w:hint="eastAsia" w:ascii="黑体" w:eastAsia="黑体"/>
          <w:b w:val="0"/>
          <w:bCs w:val="0"/>
        </w:rPr>
        <w:t>职能简介</w:t>
      </w:r>
      <w:bookmarkEnd w:id="15"/>
    </w:p>
    <w:p w14:paraId="400C2F07">
      <w:pPr>
        <w:keepNext w:val="0"/>
        <w:keepLines w:val="0"/>
        <w:pageBreakBefore w:val="0"/>
        <w:widowControl w:val="0"/>
        <w:kinsoku/>
        <w:wordWrap/>
        <w:overflowPunct/>
        <w:topLinePunct w:val="0"/>
        <w:autoSpaceDE/>
        <w:autoSpaceDN/>
        <w:bidi w:val="0"/>
        <w:adjustRightInd/>
        <w:snapToGrid/>
        <w:spacing w:afterAutospacing="0" w:line="240" w:lineRule="auto"/>
        <w:ind w:firstLine="640" w:firstLineChars="200"/>
        <w:textAlignment w:val="auto"/>
        <w:rPr>
          <w:rFonts w:hint="eastAsia" w:ascii="仿宋" w:hAnsi="仿宋" w:eastAsia="仿宋" w:cs="仿宋_GB2312"/>
          <w:sz w:val="32"/>
          <w:szCs w:val="32"/>
          <w:lang w:val="en-US" w:eastAsia="zh-CN"/>
        </w:rPr>
      </w:pPr>
      <w:r>
        <w:rPr>
          <w:rFonts w:hint="eastAsia" w:ascii="仿宋" w:hAnsi="仿宋" w:eastAsia="仿宋" w:cs="仿宋_GB2312"/>
          <w:sz w:val="32"/>
          <w:szCs w:val="32"/>
          <w:lang w:val="en-US" w:eastAsia="zh-CN"/>
        </w:rPr>
        <w:t>1.负责中央、省委、州委、县委决策部署贯彻落实的协调、督促、检查，按照县委要求协调有关方面开展工作，承担县委运行保障具体事务。</w:t>
      </w:r>
    </w:p>
    <w:p w14:paraId="660AA042">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2.</w:t>
      </w:r>
      <w:r>
        <w:rPr>
          <w:rFonts w:hint="eastAsia" w:ascii="仿宋" w:hAnsi="仿宋" w:eastAsia="仿宋" w:cs="仿宋_GB2312"/>
          <w:sz w:val="32"/>
          <w:szCs w:val="32"/>
        </w:rPr>
        <w:t>负责围绕中央、省委、州委和县委总体工作部署，收集信息，反映情况，调查研究，综合协调，为县委决策提供依据和服务。</w:t>
      </w:r>
    </w:p>
    <w:p w14:paraId="4135A4FD">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3.</w:t>
      </w:r>
      <w:r>
        <w:rPr>
          <w:rFonts w:hint="eastAsia" w:ascii="仿宋" w:hAnsi="仿宋" w:eastAsia="仿宋" w:cs="仿宋_GB2312"/>
          <w:sz w:val="32"/>
          <w:szCs w:val="32"/>
        </w:rPr>
        <w:t>负责县委文件、文稿和日常文书的起草、办理。负责县委党务公开工作，负责党内规范性文件审查备案。</w:t>
      </w:r>
    </w:p>
    <w:p w14:paraId="411A7443">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4.</w:t>
      </w:r>
      <w:r>
        <w:rPr>
          <w:rFonts w:hint="eastAsia" w:ascii="仿宋" w:hAnsi="仿宋" w:eastAsia="仿宋" w:cs="仿宋_GB2312"/>
          <w:sz w:val="32"/>
          <w:szCs w:val="32"/>
        </w:rPr>
        <w:t>负责县委重要会议和重大活动的组织安排。</w:t>
      </w:r>
    </w:p>
    <w:p w14:paraId="46C73B29">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5.</w:t>
      </w:r>
      <w:r>
        <w:rPr>
          <w:rFonts w:hint="eastAsia" w:ascii="仿宋" w:hAnsi="仿宋" w:eastAsia="仿宋" w:cs="仿宋_GB2312"/>
          <w:sz w:val="32"/>
          <w:szCs w:val="32"/>
        </w:rPr>
        <w:t>负责县委工作部署贯彻落实情况的督查工作。</w:t>
      </w:r>
    </w:p>
    <w:p w14:paraId="062B02D6">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6.</w:t>
      </w:r>
      <w:r>
        <w:rPr>
          <w:rFonts w:hint="eastAsia" w:ascii="仿宋" w:hAnsi="仿宋" w:eastAsia="仿宋" w:cs="仿宋_GB2312"/>
          <w:sz w:val="32"/>
          <w:szCs w:val="32"/>
        </w:rPr>
        <w:t>负责协调联络县人大办、县政府办、县政协办。</w:t>
      </w:r>
    </w:p>
    <w:p w14:paraId="7D76D9BC">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7.</w:t>
      </w:r>
      <w:r>
        <w:rPr>
          <w:rFonts w:hint="eastAsia" w:ascii="仿宋" w:hAnsi="仿宋" w:eastAsia="仿宋" w:cs="仿宋_GB2312"/>
          <w:sz w:val="32"/>
          <w:szCs w:val="32"/>
        </w:rPr>
        <w:t>负责全县机要密码和保密工作。</w:t>
      </w:r>
    </w:p>
    <w:p w14:paraId="117008E2">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8.</w:t>
      </w:r>
      <w:r>
        <w:rPr>
          <w:rFonts w:hint="eastAsia" w:ascii="仿宋" w:hAnsi="仿宋" w:eastAsia="仿宋" w:cs="仿宋_GB2312"/>
          <w:sz w:val="32"/>
          <w:szCs w:val="32"/>
        </w:rPr>
        <w:t>负责县委总值班工作。负责全县党委办公室系统值班检查指导，对突发事件紧急情况跟踪了解、协调处理。</w:t>
      </w:r>
    </w:p>
    <w:p w14:paraId="4C1E49A5">
      <w:pPr>
        <w:pageBreakBefore w:val="0"/>
        <w:kinsoku/>
        <w:wordWrap/>
        <w:overflowPunct/>
        <w:topLinePunct w:val="0"/>
        <w:bidi w:val="0"/>
        <w:spacing w:line="240" w:lineRule="auto"/>
        <w:ind w:firstLine="640" w:firstLineChars="200"/>
        <w:rPr>
          <w:rFonts w:hint="eastAsia" w:ascii="仿宋" w:hAnsi="仿宋" w:eastAsia="仿宋" w:cs="仿宋_GB2312"/>
          <w:sz w:val="32"/>
          <w:szCs w:val="32"/>
        </w:rPr>
      </w:pPr>
      <w:r>
        <w:rPr>
          <w:rFonts w:hint="eastAsia" w:ascii="仿宋" w:hAnsi="仿宋" w:eastAsia="仿宋" w:cs="仿宋_GB2312"/>
          <w:sz w:val="32"/>
          <w:szCs w:val="32"/>
          <w:lang w:val="en-US" w:eastAsia="zh-CN"/>
        </w:rPr>
        <w:t>9.</w:t>
      </w:r>
      <w:r>
        <w:rPr>
          <w:rFonts w:hint="eastAsia" w:ascii="仿宋" w:hAnsi="仿宋" w:eastAsia="仿宋" w:cs="仿宋_GB2312"/>
          <w:sz w:val="32"/>
          <w:szCs w:val="32"/>
        </w:rPr>
        <w:t>归口管理全县档案工作。负责贯彻执行《中华人民共和国档案法》等相关法律法规。牵头制定全县档案事业发展规划和年度计划并组织实施。牵头全县档案工作的统筹规划和管理，依法对全县档案工作进行监督检查。</w:t>
      </w:r>
    </w:p>
    <w:p w14:paraId="1326C99D">
      <w:pPr>
        <w:keepNext w:val="0"/>
        <w:keepLines w:val="0"/>
        <w:pageBreakBefore w:val="0"/>
        <w:widowControl w:val="0"/>
        <w:kinsoku/>
        <w:wordWrap/>
        <w:overflowPunct/>
        <w:topLinePunct w:val="0"/>
        <w:autoSpaceDE/>
        <w:autoSpaceDN/>
        <w:bidi w:val="0"/>
        <w:spacing w:afterAutospacing="0" w:line="240" w:lineRule="auto"/>
        <w:ind w:firstLine="640" w:firstLineChars="200"/>
        <w:textAlignment w:val="auto"/>
        <w:rPr>
          <w:rFonts w:hint="eastAsia" w:ascii="仿宋" w:hAnsi="仿宋" w:eastAsia="仿宋" w:cs="仿宋_GB2312"/>
          <w:sz w:val="32"/>
          <w:szCs w:val="32"/>
        </w:rPr>
      </w:pPr>
      <w:r>
        <w:rPr>
          <w:rFonts w:hint="eastAsia" w:ascii="仿宋" w:hAnsi="仿宋" w:eastAsia="仿宋" w:cs="仿宋_GB2312"/>
          <w:sz w:val="32"/>
          <w:szCs w:val="32"/>
          <w:lang w:val="en-US" w:eastAsia="zh-CN"/>
        </w:rPr>
        <w:t>10.</w:t>
      </w:r>
      <w:r>
        <w:rPr>
          <w:rFonts w:hint="eastAsia" w:ascii="仿宋" w:hAnsi="仿宋" w:eastAsia="仿宋" w:cs="仿宋_GB2312"/>
          <w:sz w:val="32"/>
          <w:szCs w:val="32"/>
        </w:rPr>
        <w:t>负责协调县委办公室办公区的社会治安综合治理和安全防范。</w:t>
      </w:r>
    </w:p>
    <w:p w14:paraId="0279EFAE">
      <w:pPr>
        <w:pStyle w:val="6"/>
        <w:keepNext w:val="0"/>
        <w:keepLines w:val="0"/>
        <w:pageBreakBefore w:val="0"/>
        <w:widowControl w:val="0"/>
        <w:kinsoku/>
        <w:wordWrap/>
        <w:overflowPunct/>
        <w:topLinePunct w:val="0"/>
        <w:autoSpaceDE/>
        <w:autoSpaceDN/>
        <w:bidi w:val="0"/>
        <w:adjustRightInd w:val="0"/>
        <w:snapToGrid w:val="0"/>
        <w:spacing w:beforeLines="0" w:afterAutospacing="0" w:line="240" w:lineRule="auto"/>
        <w:ind w:firstLine="672" w:firstLineChars="210"/>
        <w:textAlignment w:val="auto"/>
        <w:outlineLvl w:val="2"/>
        <w:rPr>
          <w:rFonts w:hint="eastAsia" w:ascii="仿宋" w:hAnsi="仿宋" w:eastAsia="仿宋" w:cs="仿宋_GB2312"/>
          <w:sz w:val="32"/>
          <w:szCs w:val="32"/>
        </w:rPr>
      </w:pPr>
      <w:r>
        <w:rPr>
          <w:rFonts w:hint="eastAsia" w:ascii="仿宋" w:hAnsi="仿宋" w:eastAsia="仿宋" w:cs="仿宋_GB2312"/>
          <w:sz w:val="32"/>
          <w:szCs w:val="32"/>
          <w:lang w:val="en-US" w:eastAsia="zh-CN"/>
        </w:rPr>
        <w:t>11.</w:t>
      </w:r>
      <w:r>
        <w:rPr>
          <w:rFonts w:hint="eastAsia" w:ascii="仿宋" w:hAnsi="仿宋" w:eastAsia="仿宋" w:cs="仿宋_GB2312"/>
          <w:sz w:val="32"/>
          <w:szCs w:val="32"/>
        </w:rPr>
        <w:t>承担县委交办的其他工作。</w:t>
      </w:r>
    </w:p>
    <w:p w14:paraId="4E18331B">
      <w:pPr>
        <w:pStyle w:val="6"/>
        <w:keepNext w:val="0"/>
        <w:keepLines w:val="0"/>
        <w:pageBreakBefore w:val="0"/>
        <w:widowControl w:val="0"/>
        <w:kinsoku/>
        <w:wordWrap/>
        <w:overflowPunct/>
        <w:topLinePunct w:val="0"/>
        <w:autoSpaceDE/>
        <w:autoSpaceDN/>
        <w:bidi w:val="0"/>
        <w:adjustRightInd w:val="0"/>
        <w:snapToGrid w:val="0"/>
        <w:spacing w:beforeLines="0" w:afterAutospacing="0" w:line="240" w:lineRule="auto"/>
        <w:ind w:firstLine="672" w:firstLineChars="210"/>
        <w:textAlignment w:val="auto"/>
        <w:outlineLvl w:val="2"/>
        <w:rPr>
          <w:rStyle w:val="18"/>
          <w:rFonts w:hint="eastAsia" w:ascii="仿宋" w:hAnsi="仿宋" w:eastAsia="仿宋" w:cs="仿宋_GB2312"/>
          <w:sz w:val="32"/>
          <w:szCs w:val="32"/>
        </w:rPr>
      </w:pPr>
      <w:r>
        <w:rPr>
          <w:rFonts w:hint="eastAsia" w:ascii="仿宋" w:hAnsi="仿宋" w:eastAsia="仿宋" w:cs="仿宋_GB2312"/>
          <w:sz w:val="32"/>
          <w:szCs w:val="32"/>
          <w:lang w:val="en-US" w:eastAsia="zh-CN"/>
        </w:rPr>
        <w:t>12.</w:t>
      </w:r>
      <w:r>
        <w:rPr>
          <w:rFonts w:hint="eastAsia" w:ascii="仿宋" w:hAnsi="仿宋" w:eastAsia="仿宋" w:cs="仿宋_GB2312"/>
          <w:sz w:val="32"/>
          <w:szCs w:val="32"/>
        </w:rPr>
        <w:t>本单位本年度纳入本套决算编制范围的独立编制机构数共</w:t>
      </w:r>
      <w:r>
        <w:rPr>
          <w:rFonts w:hint="eastAsia" w:ascii="仿宋" w:hAnsi="仿宋" w:eastAsia="仿宋" w:cs="Times New Roman"/>
          <w:sz w:val="32"/>
          <w:szCs w:val="32"/>
          <w:lang w:val="en-US" w:eastAsia="zh-CN"/>
        </w:rPr>
        <w:t>2</w:t>
      </w:r>
      <w:r>
        <w:rPr>
          <w:rFonts w:hint="eastAsia" w:ascii="仿宋" w:hAnsi="仿宋" w:eastAsia="仿宋" w:cs="仿宋_GB2312"/>
          <w:sz w:val="32"/>
          <w:szCs w:val="32"/>
        </w:rPr>
        <w:t>个，比上年增加</w:t>
      </w:r>
      <w:r>
        <w:rPr>
          <w:rFonts w:hint="eastAsia" w:ascii="仿宋" w:hAnsi="仿宋" w:eastAsia="仿宋" w:cs="Times New Roman"/>
          <w:sz w:val="32"/>
          <w:szCs w:val="32"/>
          <w:lang w:val="en-US" w:eastAsia="zh-CN"/>
        </w:rPr>
        <w:t>1</w:t>
      </w:r>
      <w:r>
        <w:rPr>
          <w:rFonts w:hint="eastAsia" w:ascii="仿宋" w:hAnsi="仿宋" w:eastAsia="仿宋" w:cs="仿宋_GB2312"/>
          <w:sz w:val="32"/>
          <w:szCs w:val="32"/>
        </w:rPr>
        <w:t>个；独立核算机构数共</w:t>
      </w:r>
      <w:r>
        <w:rPr>
          <w:rFonts w:hint="eastAsia" w:ascii="仿宋" w:hAnsi="仿宋" w:eastAsia="仿宋" w:cs="Times New Roman"/>
          <w:sz w:val="32"/>
          <w:szCs w:val="32"/>
          <w:lang w:val="en-US" w:eastAsia="zh-CN"/>
        </w:rPr>
        <w:t>2</w:t>
      </w:r>
      <w:r>
        <w:rPr>
          <w:rFonts w:hint="eastAsia" w:ascii="仿宋" w:hAnsi="仿宋" w:eastAsia="仿宋" w:cs="仿宋_GB2312"/>
          <w:sz w:val="32"/>
          <w:szCs w:val="32"/>
        </w:rPr>
        <w:t>个，比上年增加</w:t>
      </w:r>
      <w:r>
        <w:rPr>
          <w:rFonts w:hint="eastAsia" w:ascii="仿宋" w:hAnsi="仿宋" w:eastAsia="仿宋" w:cs="Times New Roman"/>
          <w:sz w:val="32"/>
          <w:szCs w:val="32"/>
          <w:lang w:val="en-US" w:eastAsia="zh-CN"/>
        </w:rPr>
        <w:t>1</w:t>
      </w:r>
      <w:r>
        <w:rPr>
          <w:rFonts w:hint="eastAsia" w:ascii="仿宋" w:hAnsi="仿宋" w:eastAsia="仿宋" w:cs="仿宋_GB2312"/>
          <w:sz w:val="32"/>
          <w:szCs w:val="32"/>
        </w:rPr>
        <w:t>个</w:t>
      </w:r>
      <w:r>
        <w:rPr>
          <w:rStyle w:val="18"/>
          <w:rFonts w:hint="eastAsia" w:ascii="仿宋" w:hAnsi="仿宋" w:eastAsia="仿宋" w:cs="仿宋_GB2312"/>
          <w:sz w:val="32"/>
          <w:szCs w:val="32"/>
        </w:rPr>
        <w:t>。</w:t>
      </w:r>
    </w:p>
    <w:p w14:paraId="2B4F1AFF">
      <w:pPr>
        <w:pStyle w:val="6"/>
        <w:keepNext w:val="0"/>
        <w:keepLines w:val="0"/>
        <w:pageBreakBefore w:val="0"/>
        <w:widowControl w:val="0"/>
        <w:kinsoku/>
        <w:wordWrap/>
        <w:overflowPunct/>
        <w:topLinePunct w:val="0"/>
        <w:autoSpaceDE/>
        <w:autoSpaceDN/>
        <w:bidi w:val="0"/>
        <w:adjustRightInd w:val="0"/>
        <w:snapToGrid w:val="0"/>
        <w:spacing w:beforeLines="0" w:afterAutospacing="0" w:line="240" w:lineRule="auto"/>
        <w:ind w:firstLine="672" w:firstLineChars="210"/>
        <w:textAlignment w:val="auto"/>
        <w:outlineLvl w:val="2"/>
        <w:rPr>
          <w:rFonts w:ascii="仿宋" w:hAnsi="仿宋" w:eastAsia="仿宋" w:cs="仿宋_GB2312"/>
          <w:sz w:val="32"/>
          <w:szCs w:val="32"/>
        </w:rPr>
      </w:pPr>
      <w:r>
        <w:rPr>
          <w:rFonts w:hint="eastAsia" w:ascii="仿宋" w:hAnsi="仿宋" w:eastAsia="仿宋" w:cs="仿宋_GB2312"/>
          <w:sz w:val="32"/>
          <w:szCs w:val="32"/>
          <w:lang w:val="en-US" w:eastAsia="zh-CN"/>
        </w:rPr>
        <w:t>13.</w:t>
      </w:r>
      <w:r>
        <w:rPr>
          <w:rFonts w:hint="eastAsia" w:ascii="仿宋" w:hAnsi="仿宋" w:eastAsia="仿宋" w:cs="仿宋_GB2312"/>
          <w:sz w:val="32"/>
          <w:szCs w:val="32"/>
        </w:rPr>
        <w:t>本单位本年度年末实有人数为</w:t>
      </w:r>
      <w:r>
        <w:rPr>
          <w:rFonts w:hint="eastAsia" w:ascii="仿宋" w:hAnsi="仿宋" w:eastAsia="仿宋" w:cs="仿宋_GB2312"/>
          <w:sz w:val="32"/>
          <w:szCs w:val="32"/>
          <w:lang w:val="en-US" w:eastAsia="zh-CN"/>
        </w:rPr>
        <w:t>35</w:t>
      </w:r>
      <w:r>
        <w:rPr>
          <w:rFonts w:hint="eastAsia" w:ascii="仿宋" w:hAnsi="仿宋" w:eastAsia="仿宋" w:cs="仿宋_GB2312"/>
          <w:sz w:val="32"/>
          <w:szCs w:val="32"/>
        </w:rPr>
        <w:t>人，比上年</w:t>
      </w:r>
      <w:r>
        <w:rPr>
          <w:rFonts w:hint="eastAsia" w:ascii="仿宋" w:hAnsi="仿宋" w:eastAsia="仿宋" w:cs="仿宋_GB2312"/>
          <w:sz w:val="32"/>
          <w:szCs w:val="32"/>
          <w:lang w:val="en-US" w:eastAsia="zh-CN"/>
        </w:rPr>
        <w:t>增加4</w:t>
      </w:r>
      <w:r>
        <w:rPr>
          <w:rFonts w:hint="eastAsia" w:ascii="仿宋" w:hAnsi="仿宋" w:eastAsia="仿宋" w:cs="仿宋_GB2312"/>
          <w:sz w:val="32"/>
          <w:szCs w:val="32"/>
        </w:rPr>
        <w:t>人；年末实有离退休人数为</w:t>
      </w:r>
      <w:r>
        <w:rPr>
          <w:rFonts w:hint="eastAsia" w:ascii="仿宋" w:hAnsi="仿宋" w:eastAsia="仿宋" w:cs="仿宋_GB2312"/>
          <w:sz w:val="32"/>
          <w:szCs w:val="32"/>
          <w:lang w:val="en-US" w:eastAsia="zh-CN"/>
        </w:rPr>
        <w:t>17</w:t>
      </w:r>
      <w:r>
        <w:rPr>
          <w:rFonts w:hint="eastAsia" w:ascii="仿宋" w:hAnsi="仿宋" w:eastAsia="仿宋" w:cs="仿宋_GB2312"/>
          <w:sz w:val="32"/>
          <w:szCs w:val="32"/>
        </w:rPr>
        <w:t>人，比上年</w:t>
      </w:r>
      <w:r>
        <w:rPr>
          <w:rFonts w:hint="eastAsia" w:ascii="仿宋" w:hAnsi="仿宋" w:eastAsia="仿宋" w:cs="仿宋_GB2312"/>
          <w:sz w:val="32"/>
          <w:szCs w:val="32"/>
          <w:lang w:eastAsia="zh-CN"/>
        </w:rPr>
        <w:t>增加</w:t>
      </w:r>
      <w:r>
        <w:rPr>
          <w:rFonts w:hint="eastAsia" w:ascii="仿宋" w:hAnsi="仿宋" w:eastAsia="仿宋" w:cs="仿宋_GB2312"/>
          <w:sz w:val="32"/>
          <w:szCs w:val="32"/>
          <w:lang w:val="en-US" w:eastAsia="zh-CN"/>
        </w:rPr>
        <w:t>1</w:t>
      </w:r>
      <w:r>
        <w:rPr>
          <w:rFonts w:hint="eastAsia" w:ascii="仿宋" w:hAnsi="仿宋" w:eastAsia="仿宋" w:cs="仿宋_GB2312"/>
          <w:sz w:val="32"/>
          <w:szCs w:val="32"/>
        </w:rPr>
        <w:t>人；</w:t>
      </w:r>
      <w:r>
        <w:rPr>
          <w:rStyle w:val="18"/>
          <w:rFonts w:hint="eastAsia" w:ascii="仿宋" w:hAnsi="仿宋" w:eastAsia="仿宋" w:cs="仿宋_GB2312"/>
          <w:sz w:val="32"/>
          <w:szCs w:val="32"/>
        </w:rPr>
        <w:t>变动情况及原因为</w:t>
      </w:r>
      <w:r>
        <w:rPr>
          <w:rStyle w:val="18"/>
          <w:rFonts w:hint="eastAsia" w:ascii="仿宋" w:hAnsi="仿宋" w:eastAsia="仿宋" w:cs="仿宋_GB2312"/>
          <w:sz w:val="32"/>
          <w:szCs w:val="32"/>
          <w:lang w:eastAsia="zh-CN"/>
        </w:rPr>
        <w:t>：</w:t>
      </w:r>
      <w:r>
        <w:rPr>
          <w:rStyle w:val="18"/>
          <w:rFonts w:hint="eastAsia" w:ascii="仿宋" w:hAnsi="仿宋" w:eastAsia="仿宋" w:cs="仿宋_GB2312"/>
          <w:sz w:val="32"/>
          <w:szCs w:val="32"/>
        </w:rPr>
        <w:t>今年</w:t>
      </w:r>
      <w:r>
        <w:rPr>
          <w:rStyle w:val="18"/>
          <w:rFonts w:hint="eastAsia" w:ascii="仿宋" w:hAnsi="仿宋" w:eastAsia="仿宋" w:cs="仿宋_GB2312"/>
          <w:sz w:val="32"/>
          <w:szCs w:val="32"/>
          <w:lang w:eastAsia="zh-CN"/>
        </w:rPr>
        <w:t>新增</w:t>
      </w:r>
      <w:r>
        <w:rPr>
          <w:rStyle w:val="18"/>
          <w:rFonts w:hint="eastAsia" w:ascii="仿宋" w:hAnsi="仿宋" w:eastAsia="仿宋" w:cs="仿宋_GB2312"/>
          <w:sz w:val="32"/>
          <w:szCs w:val="32"/>
          <w:lang w:val="en-US" w:eastAsia="zh-CN"/>
        </w:rPr>
        <w:t>1</w:t>
      </w:r>
      <w:r>
        <w:rPr>
          <w:rStyle w:val="18"/>
          <w:rFonts w:hint="eastAsia" w:ascii="仿宋" w:hAnsi="仿宋" w:eastAsia="仿宋" w:cs="仿宋_GB2312"/>
          <w:sz w:val="32"/>
          <w:szCs w:val="32"/>
        </w:rPr>
        <w:t>名退休人员</w:t>
      </w:r>
      <w:r>
        <w:rPr>
          <w:rFonts w:hint="eastAsia"/>
          <w:b/>
          <w:bCs/>
        </w:rPr>
        <w:t>。</w:t>
      </w:r>
      <w:r>
        <w:rPr>
          <w:rFonts w:hint="eastAsia" w:ascii="仿宋" w:hAnsi="仿宋" w:eastAsia="仿宋" w:cs="仿宋_GB2312"/>
          <w:sz w:val="32"/>
          <w:szCs w:val="32"/>
        </w:rPr>
        <w:t>年末实有其他人数为0人，比上年增加0人</w:t>
      </w:r>
      <w:r>
        <w:rPr>
          <w:rFonts w:hint="eastAsia" w:ascii="仿宋" w:hAnsi="仿宋" w:eastAsia="仿宋"/>
          <w:b/>
          <w:bCs/>
        </w:rPr>
        <w:t>。</w:t>
      </w:r>
    </w:p>
    <w:p w14:paraId="5A35184D">
      <w:pPr>
        <w:pageBreakBefore w:val="0"/>
        <w:widowControl w:val="0"/>
        <w:numPr>
          <w:ilvl w:val="0"/>
          <w:numId w:val="0"/>
        </w:numPr>
        <w:kinsoku/>
        <w:wordWrap/>
        <w:overflowPunct/>
        <w:topLinePunct w:val="0"/>
        <w:autoSpaceDE/>
        <w:autoSpaceDN/>
        <w:bidi w:val="0"/>
        <w:spacing w:line="240" w:lineRule="auto"/>
        <w:textAlignment w:val="auto"/>
      </w:pPr>
    </w:p>
    <w:p w14:paraId="439B2234">
      <w:pPr>
        <w:pStyle w:val="4"/>
        <w:pageBreakBefore w:val="0"/>
        <w:widowControl w:val="0"/>
        <w:kinsoku/>
        <w:wordWrap/>
        <w:overflowPunct/>
        <w:topLinePunct w:val="0"/>
        <w:autoSpaceDE/>
        <w:autoSpaceDN/>
        <w:bidi w:val="0"/>
        <w:spacing w:line="240" w:lineRule="auto"/>
        <w:textAlignment w:val="auto"/>
        <w:rPr>
          <w:rFonts w:hint="eastAsia" w:ascii="黑体" w:eastAsia="黑体"/>
          <w:b w:val="0"/>
        </w:rPr>
      </w:pPr>
      <w:bookmarkStart w:id="18" w:name="_Toc31866"/>
      <w:r>
        <w:rPr>
          <w:rFonts w:hint="eastAsia" w:ascii="黑体" w:eastAsia="黑体"/>
          <w:b w:val="0"/>
        </w:rPr>
        <w:t>二、</w:t>
      </w:r>
      <w:r>
        <w:rPr>
          <w:rFonts w:hint="eastAsia" w:ascii="黑体" w:eastAsia="黑体"/>
          <w:b w:val="0"/>
          <w:lang w:eastAsia="zh-CN"/>
        </w:rPr>
        <w:t>2025</w:t>
      </w:r>
      <w:r>
        <w:rPr>
          <w:rFonts w:hint="eastAsia" w:ascii="黑体" w:eastAsia="黑体"/>
          <w:b w:val="0"/>
        </w:rPr>
        <w:t>年重点工作</w:t>
      </w:r>
      <w:bookmarkEnd w:id="16"/>
      <w:bookmarkEnd w:id="17"/>
      <w:r>
        <w:rPr>
          <w:rFonts w:hint="eastAsia" w:ascii="黑体" w:eastAsia="黑体"/>
          <w:b w:val="0"/>
        </w:rPr>
        <w:t>完成情况</w:t>
      </w:r>
      <w:bookmarkEnd w:id="18"/>
    </w:p>
    <w:p w14:paraId="5AA79C4A">
      <w:pPr>
        <w:spacing w:line="576" w:lineRule="exact"/>
        <w:ind w:firstLine="640" w:firstLineChars="200"/>
        <w:rPr>
          <w:rFonts w:hint="default" w:ascii="Times New Roman" w:hAnsi="Times New Roman" w:eastAsia="仿宋" w:cs="Times New Roman"/>
          <w:sz w:val="32"/>
          <w:szCs w:val="32"/>
          <w:highlight w:val="none"/>
        </w:rPr>
      </w:pPr>
      <w:r>
        <w:rPr>
          <w:rFonts w:hint="eastAsia" w:eastAsia="仿宋_GB2312" w:cs="Times New Roman"/>
          <w:sz w:val="32"/>
          <w:szCs w:val="32"/>
          <w:highlight w:val="none"/>
          <w:lang w:eastAsia="zh-CN"/>
        </w:rPr>
        <w:t>2025</w:t>
      </w:r>
      <w:r>
        <w:rPr>
          <w:rFonts w:hint="default" w:ascii="Times New Roman" w:hAnsi="Times New Roman" w:eastAsia="仿宋" w:cs="Times New Roman"/>
          <w:sz w:val="32"/>
          <w:szCs w:val="32"/>
          <w:highlight w:val="none"/>
        </w:rPr>
        <w:t>年，红原县委办公室紧紧围绕县委中心工作，充分发挥参谋助手、综合协调、督查落实、后勤保障的职能作用，推动县委办各项工作上档升级、提质增效。</w:t>
      </w:r>
    </w:p>
    <w:p w14:paraId="370AC579">
      <w:pPr>
        <w:spacing w:line="576" w:lineRule="exact"/>
        <w:ind w:firstLine="643" w:firstLineChars="200"/>
        <w:rPr>
          <w:rFonts w:hint="default" w:ascii="Times New Roman" w:hAnsi="Times New Roman" w:eastAsia="仿宋" w:cs="Times New Roman"/>
          <w:b/>
          <w:sz w:val="32"/>
          <w:szCs w:val="32"/>
          <w:highlight w:val="none"/>
        </w:rPr>
      </w:pPr>
      <w:r>
        <w:rPr>
          <w:rFonts w:hint="default" w:ascii="Times New Roman" w:hAnsi="Times New Roman" w:eastAsia="仿宋" w:cs="Times New Roman"/>
          <w:b/>
          <w:sz w:val="32"/>
          <w:szCs w:val="32"/>
          <w:highlight w:val="none"/>
        </w:rPr>
        <w:t>1.全面加强党的建设</w:t>
      </w:r>
    </w:p>
    <w:p w14:paraId="21A0982F">
      <w:pPr>
        <w:spacing w:line="576" w:lineRule="exact"/>
        <w:ind w:firstLine="640" w:firstLineChars="200"/>
        <w:rPr>
          <w:rFonts w:hint="default" w:ascii="Times New Roman" w:hAnsi="Times New Roman" w:eastAsia="仿宋" w:cs="Times New Roman"/>
          <w:sz w:val="32"/>
          <w:szCs w:val="32"/>
          <w:highlight w:val="none"/>
          <w:lang w:val="en-US" w:eastAsia="zh-CN"/>
        </w:rPr>
      </w:pPr>
      <w:r>
        <w:rPr>
          <w:rFonts w:hint="default" w:ascii="Times New Roman" w:hAnsi="Times New Roman" w:eastAsia="仿宋" w:cs="Times New Roman"/>
          <w:sz w:val="32"/>
          <w:szCs w:val="32"/>
          <w:highlight w:val="none"/>
          <w:lang w:val="en-US" w:eastAsia="zh-CN"/>
        </w:rPr>
        <w:t>健全习近平总书记重要指示批示精神和党中央、省委、州委决策部署闭环落实机制，有力推动党的创新理论内化于心、外化于行，一贯到底、落细落实。持续深化集中整治群众身边不正之风和腐败问题专项行动，启动乡村振兴资金使用监管、医保基金管理、养老服务突出问题专项整治行动。创新开展村集体经济家底清理专项行动，对全县10个乡镇35个村社区进行全覆盖监督检查，发现并督促整改问题32个。</w:t>
      </w:r>
    </w:p>
    <w:p w14:paraId="13D4CD60">
      <w:pPr>
        <w:spacing w:line="576" w:lineRule="exact"/>
        <w:ind w:firstLine="643" w:firstLineChars="200"/>
        <w:rPr>
          <w:rFonts w:hint="default" w:ascii="Times New Roman" w:hAnsi="Times New Roman" w:eastAsia="仿宋" w:cs="Times New Roman"/>
          <w:b/>
          <w:sz w:val="32"/>
          <w:szCs w:val="32"/>
          <w:highlight w:val="none"/>
        </w:rPr>
      </w:pPr>
      <w:r>
        <w:rPr>
          <w:rFonts w:hint="default" w:ascii="Times New Roman" w:hAnsi="Times New Roman" w:eastAsia="仿宋" w:cs="Times New Roman"/>
          <w:b/>
          <w:sz w:val="32"/>
          <w:szCs w:val="32"/>
          <w:highlight w:val="none"/>
        </w:rPr>
        <w:t>2.提升办公室工作水平</w:t>
      </w:r>
    </w:p>
    <w:p w14:paraId="3C5C7603">
      <w:pPr>
        <w:spacing w:line="576" w:lineRule="exact"/>
        <w:ind w:firstLine="640" w:firstLineChars="200"/>
        <w:rPr>
          <w:rFonts w:hint="default" w:ascii="Times New Roman" w:hAnsi="Times New Roman" w:eastAsia="仿宋" w:cs="Times New Roman"/>
          <w:sz w:val="32"/>
          <w:szCs w:val="32"/>
          <w:highlight w:val="none"/>
        </w:rPr>
      </w:pPr>
      <w:r>
        <w:rPr>
          <w:rFonts w:hint="default" w:ascii="Times New Roman" w:hAnsi="Times New Roman" w:eastAsia="仿宋" w:cs="Times New Roman"/>
          <w:sz w:val="32"/>
          <w:szCs w:val="32"/>
          <w:highlight w:val="none"/>
        </w:rPr>
        <w:t>坚持把“以文辅政”作为办公室建设的核心任务。一是</w:t>
      </w:r>
      <w:r>
        <w:rPr>
          <w:rFonts w:hint="default" w:ascii="Times New Roman" w:hAnsi="Times New Roman" w:eastAsia="仿宋" w:cs="Times New Roman"/>
          <w:b/>
          <w:sz w:val="32"/>
          <w:szCs w:val="32"/>
          <w:highlight w:val="none"/>
        </w:rPr>
        <w:t>加强调查研究。</w:t>
      </w:r>
      <w:r>
        <w:rPr>
          <w:rFonts w:hint="default" w:ascii="Times New Roman" w:hAnsi="Times New Roman" w:eastAsia="仿宋" w:cs="Times New Roman"/>
          <w:sz w:val="32"/>
          <w:szCs w:val="32"/>
          <w:highlight w:val="none"/>
        </w:rPr>
        <w:t>扎实开展“大学习、大讨论、大调研”活动，建立调研制度，有效提高文秘人员文稿撰写水平，也为县委领导提供了更多</w:t>
      </w:r>
      <w:r>
        <w:rPr>
          <w:rFonts w:hint="default" w:ascii="Times New Roman" w:hAnsi="Times New Roman" w:eastAsia="仿宋" w:cs="Times New Roman"/>
          <w:sz w:val="32"/>
          <w:szCs w:val="32"/>
          <w:highlight w:val="none"/>
          <w:lang w:eastAsia="zh-CN"/>
        </w:rPr>
        <w:t>具有</w:t>
      </w:r>
      <w:r>
        <w:rPr>
          <w:rFonts w:hint="default" w:ascii="Times New Roman" w:hAnsi="Times New Roman" w:eastAsia="仿宋" w:cs="Times New Roman"/>
          <w:sz w:val="32"/>
          <w:szCs w:val="32"/>
          <w:highlight w:val="none"/>
        </w:rPr>
        <w:t>前瞻性的参考资料。二是</w:t>
      </w:r>
      <w:r>
        <w:rPr>
          <w:rFonts w:hint="default" w:ascii="Times New Roman" w:hAnsi="Times New Roman" w:eastAsia="仿宋" w:cs="Times New Roman"/>
          <w:b/>
          <w:sz w:val="32"/>
          <w:szCs w:val="32"/>
          <w:highlight w:val="none"/>
          <w:lang w:eastAsia="zh-CN"/>
        </w:rPr>
        <w:t>抓牢</w:t>
      </w:r>
      <w:r>
        <w:rPr>
          <w:rFonts w:hint="default" w:ascii="Times New Roman" w:hAnsi="Times New Roman" w:eastAsia="仿宋" w:cs="Times New Roman"/>
          <w:b/>
          <w:sz w:val="32"/>
          <w:szCs w:val="32"/>
          <w:highlight w:val="none"/>
        </w:rPr>
        <w:t>文稿质量。</w:t>
      </w:r>
      <w:r>
        <w:rPr>
          <w:rFonts w:hint="default" w:ascii="Times New Roman" w:hAnsi="Times New Roman" w:eastAsia="仿宋" w:cs="Times New Roman"/>
          <w:sz w:val="32"/>
          <w:szCs w:val="32"/>
          <w:highlight w:val="none"/>
        </w:rPr>
        <w:t>牢固树立文稿工作是办公室的</w:t>
      </w:r>
      <w:r>
        <w:rPr>
          <w:rFonts w:hint="default" w:ascii="Times New Roman" w:hAnsi="Times New Roman" w:eastAsia="仿宋" w:cs="Times New Roman"/>
          <w:sz w:val="32"/>
          <w:szCs w:val="32"/>
          <w:highlight w:val="none"/>
          <w:lang w:eastAsia="zh-CN"/>
        </w:rPr>
        <w:t>重中之重</w:t>
      </w:r>
      <w:r>
        <w:rPr>
          <w:rFonts w:hint="eastAsia" w:eastAsia="仿宋" w:cs="Times New Roman"/>
          <w:sz w:val="32"/>
          <w:szCs w:val="32"/>
          <w:highlight w:val="none"/>
          <w:lang w:eastAsia="zh-CN"/>
        </w:rPr>
        <w:t>、</w:t>
      </w:r>
      <w:r>
        <w:rPr>
          <w:rFonts w:hint="default" w:ascii="Times New Roman" w:hAnsi="Times New Roman" w:eastAsia="仿宋" w:cs="Times New Roman"/>
          <w:sz w:val="32"/>
          <w:szCs w:val="32"/>
          <w:highlight w:val="none"/>
        </w:rPr>
        <w:t>是办公室的主业</w:t>
      </w:r>
      <w:r>
        <w:rPr>
          <w:rFonts w:hint="eastAsia" w:eastAsia="仿宋" w:cs="Times New Roman"/>
          <w:sz w:val="32"/>
          <w:szCs w:val="32"/>
          <w:highlight w:val="none"/>
          <w:lang w:eastAsia="zh-CN"/>
        </w:rPr>
        <w:t>、</w:t>
      </w:r>
      <w:r>
        <w:rPr>
          <w:rFonts w:hint="default" w:ascii="Times New Roman" w:hAnsi="Times New Roman" w:eastAsia="仿宋" w:cs="Times New Roman"/>
          <w:sz w:val="32"/>
          <w:szCs w:val="32"/>
          <w:highlight w:val="none"/>
        </w:rPr>
        <w:t>是以文辅政主要形式的意识，把好文稿政治关、政策关、事实关、格式关、语言关、程序关，在框架结构、观点提炼、文字推敲等方面狠下功夫，不断提高文稿质量。三是</w:t>
      </w:r>
      <w:r>
        <w:rPr>
          <w:rFonts w:hint="default" w:ascii="Times New Roman" w:hAnsi="Times New Roman" w:eastAsia="仿宋" w:cs="Times New Roman"/>
          <w:b/>
          <w:sz w:val="32"/>
          <w:szCs w:val="32"/>
          <w:highlight w:val="none"/>
        </w:rPr>
        <w:t>规范办文办会办事程序。</w:t>
      </w:r>
      <w:r>
        <w:rPr>
          <w:rFonts w:hint="default" w:ascii="Times New Roman" w:hAnsi="Times New Roman" w:eastAsia="仿宋" w:cs="Times New Roman"/>
          <w:sz w:val="32"/>
          <w:szCs w:val="32"/>
          <w:highlight w:val="none"/>
        </w:rPr>
        <w:t>以公文办理“零差错”为目标，明确各类公文办理时限，坚持急件急办、特事特办、专人催办，严格按照规定程序和工作时限办理，不</w:t>
      </w:r>
      <w:r>
        <w:rPr>
          <w:rFonts w:hint="eastAsia" w:eastAsia="仿宋" w:cs="Times New Roman"/>
          <w:sz w:val="32"/>
          <w:szCs w:val="32"/>
          <w:highlight w:val="none"/>
          <w:lang w:eastAsia="zh-CN"/>
        </w:rPr>
        <w:t>拖延</w:t>
      </w:r>
      <w:r>
        <w:rPr>
          <w:rFonts w:hint="default" w:ascii="Times New Roman" w:hAnsi="Times New Roman" w:eastAsia="仿宋" w:cs="Times New Roman"/>
          <w:sz w:val="32"/>
          <w:szCs w:val="32"/>
          <w:highlight w:val="none"/>
        </w:rPr>
        <w:t>、误办、漏办。不断完善工作流程，坚持工作“回头看”，对办毕的工作，“回头”梳理一遍、思考一遍、审查一遍。</w:t>
      </w:r>
    </w:p>
    <w:p w14:paraId="47832991">
      <w:pPr>
        <w:spacing w:line="576" w:lineRule="exact"/>
        <w:ind w:firstLine="643" w:firstLineChars="200"/>
        <w:rPr>
          <w:rFonts w:hint="default" w:ascii="Times New Roman" w:hAnsi="Times New Roman" w:eastAsia="仿宋" w:cs="Times New Roman"/>
          <w:b/>
          <w:sz w:val="32"/>
          <w:szCs w:val="32"/>
          <w:highlight w:val="none"/>
        </w:rPr>
      </w:pPr>
      <w:r>
        <w:rPr>
          <w:rFonts w:hint="default" w:ascii="Times New Roman" w:hAnsi="Times New Roman" w:eastAsia="仿宋" w:cs="Times New Roman"/>
          <w:b/>
          <w:sz w:val="32"/>
          <w:szCs w:val="32"/>
          <w:highlight w:val="none"/>
        </w:rPr>
        <w:t>3.</w:t>
      </w:r>
      <w:r>
        <w:rPr>
          <w:rFonts w:hint="default" w:ascii="Times New Roman" w:hAnsi="Times New Roman" w:eastAsia="仿宋" w:cs="Times New Roman"/>
          <w:b/>
          <w:sz w:val="32"/>
          <w:szCs w:val="32"/>
          <w:highlight w:val="none"/>
          <w:lang w:val="en-US" w:eastAsia="zh-CN"/>
        </w:rPr>
        <w:t>加快生态文明建设</w:t>
      </w:r>
    </w:p>
    <w:p w14:paraId="72471AD5">
      <w:pPr>
        <w:spacing w:line="576" w:lineRule="exact"/>
        <w:ind w:firstLine="640" w:firstLineChars="200"/>
        <w:rPr>
          <w:rFonts w:hint="default" w:ascii="Times New Roman" w:hAnsi="Times New Roman" w:eastAsia="仿宋" w:cs="Times New Roman"/>
          <w:sz w:val="32"/>
          <w:szCs w:val="32"/>
          <w:highlight w:val="none"/>
          <w:lang w:val="en-US" w:eastAsia="zh-CN"/>
        </w:rPr>
      </w:pPr>
      <w:r>
        <w:rPr>
          <w:rFonts w:hint="default" w:ascii="Times New Roman" w:hAnsi="Times New Roman" w:eastAsia="仿宋" w:cs="Times New Roman"/>
          <w:sz w:val="32"/>
          <w:szCs w:val="32"/>
          <w:highlight w:val="none"/>
          <w:lang w:val="en-US" w:eastAsia="zh-CN"/>
        </w:rPr>
        <w:t>认真践行“两山”发展理念，紧紧围绕省州林草工作年度任务扎实开展生态资源管护修复、林草行政执法、森林草原防灭火等工作。实施生态修复项目8个，项目资金已下达7个，助力生态保护修复。实施森林草原防灭火基础设施建设项目，全县新建12座消防水池，提升防灭火综合防控应急处置能力。强化林草灾害防治，对35个固定点位9096.13亩落叶松林地开展常态化巡查工作，有效控制森林植物病虫害发生率。</w:t>
      </w:r>
    </w:p>
    <w:p w14:paraId="43E491E7">
      <w:pPr>
        <w:spacing w:line="576" w:lineRule="exact"/>
        <w:ind w:firstLine="643" w:firstLineChars="200"/>
        <w:rPr>
          <w:rFonts w:hint="default" w:ascii="Times New Roman" w:hAnsi="Times New Roman" w:eastAsia="仿宋" w:cs="Times New Roman"/>
          <w:b/>
          <w:sz w:val="32"/>
          <w:szCs w:val="32"/>
          <w:highlight w:val="none"/>
          <w:lang w:val="en-US" w:eastAsia="zh-CN"/>
        </w:rPr>
      </w:pPr>
      <w:r>
        <w:rPr>
          <w:rFonts w:hint="default" w:ascii="Times New Roman" w:hAnsi="Times New Roman" w:eastAsia="仿宋" w:cs="Times New Roman"/>
          <w:b/>
          <w:sz w:val="32"/>
          <w:szCs w:val="32"/>
          <w:highlight w:val="none"/>
          <w:lang w:val="en-US" w:eastAsia="zh-CN"/>
        </w:rPr>
        <w:t>4.认真做好保密机要工作</w:t>
      </w:r>
    </w:p>
    <w:p w14:paraId="3E312862">
      <w:pPr>
        <w:spacing w:line="576" w:lineRule="exact"/>
        <w:ind w:firstLine="656" w:firstLineChars="200"/>
        <w:rPr>
          <w:rFonts w:hint="default" w:ascii="Times New Roman" w:hAnsi="Times New Roman" w:eastAsia="仿宋" w:cs="Times New Roman"/>
          <w:color w:val="000000"/>
          <w:spacing w:val="4"/>
          <w:sz w:val="32"/>
          <w:szCs w:val="32"/>
          <w:highlight w:val="none"/>
        </w:rPr>
      </w:pPr>
      <w:r>
        <w:rPr>
          <w:rFonts w:hint="default" w:ascii="Times New Roman" w:hAnsi="Times New Roman" w:eastAsia="仿宋" w:cs="Times New Roman"/>
          <w:color w:val="000000"/>
          <w:spacing w:val="4"/>
          <w:sz w:val="32"/>
          <w:szCs w:val="32"/>
          <w:highlight w:val="none"/>
        </w:rPr>
        <w:t>按照积极防范、突出重点、依法管理原则，加强涉密载体管理，及时清退涉密文件、资料，涉密文件和资料实行专人保管、专柜保存，密级文件单独传阅，严格控制阅文范围。严格网络管理，实行计算机分类管理，对涉密电脑、介质等实行专人管理。依法开展定密管理工作，明确定密责任人、定密授权，防止出现错定、漏定现象。加强涉密人员管理，签订《在岗涉密人员保密承诺书》，保密监管机制日趋完备、保障服务效能更加凸显，全年无失泄密事件发生。</w:t>
      </w:r>
    </w:p>
    <w:p w14:paraId="021108B9">
      <w:pPr>
        <w:spacing w:line="576" w:lineRule="exact"/>
        <w:ind w:firstLine="643" w:firstLineChars="200"/>
        <w:rPr>
          <w:rFonts w:ascii="仿宋" w:eastAsia="仿宋"/>
          <w:kern w:val="0"/>
          <w:sz w:val="32"/>
          <w:szCs w:val="32"/>
          <w:highlight w:val="none"/>
        </w:rPr>
      </w:pPr>
      <w:r>
        <w:rPr>
          <w:rFonts w:hint="default" w:ascii="Times New Roman" w:hAnsi="Times New Roman" w:eastAsia="仿宋" w:cs="Times New Roman"/>
          <w:b/>
          <w:sz w:val="32"/>
          <w:szCs w:val="32"/>
          <w:highlight w:val="none"/>
        </w:rPr>
        <w:t>5.加强对全县重大工程、重大事项的督查工作；</w:t>
      </w:r>
      <w:r>
        <w:rPr>
          <w:rFonts w:hint="default" w:ascii="Times New Roman" w:hAnsi="Times New Roman" w:eastAsia="仿宋" w:cs="Times New Roman"/>
          <w:sz w:val="32"/>
          <w:szCs w:val="32"/>
          <w:highlight w:val="none"/>
        </w:rPr>
        <w:t>对全县重大工程、重大事项进行跟踪督查督办，发现问题及时解决；进一步完善全县综合目标考评机制，掌握全县各单位综合目标执行情况，公平合理评定目标考核等次</w:t>
      </w:r>
      <w:r>
        <w:rPr>
          <w:rFonts w:hint="default" w:ascii="Times New Roman" w:hAnsi="Times New Roman" w:eastAsia="仿宋" w:cs="Times New Roman"/>
          <w:sz w:val="32"/>
          <w:szCs w:val="32"/>
          <w:highlight w:val="none"/>
          <w:lang w:eastAsia="zh-CN"/>
        </w:rPr>
        <w:t>。</w:t>
      </w:r>
    </w:p>
    <w:p w14:paraId="38F9E2CC">
      <w:pPr>
        <w:pStyle w:val="3"/>
        <w:pageBreakBefore w:val="0"/>
        <w:kinsoku/>
        <w:wordWrap/>
        <w:overflowPunct/>
        <w:topLinePunct w:val="0"/>
        <w:bidi w:val="0"/>
        <w:spacing w:line="240" w:lineRule="auto"/>
        <w:ind w:right="440"/>
        <w:jc w:val="center"/>
        <w:rPr>
          <w:rStyle w:val="20"/>
          <w:rFonts w:ascii="黑体" w:eastAsia="黑体"/>
          <w:b w:val="0"/>
          <w:bCs/>
        </w:rPr>
      </w:pPr>
      <w:bookmarkStart w:id="19" w:name="_Toc25935"/>
      <w:bookmarkStart w:id="20" w:name="_Toc15396602"/>
      <w:bookmarkStart w:id="21" w:name="_Toc15377204"/>
      <w:r>
        <w:rPr>
          <w:rFonts w:hint="eastAsia" w:ascii="黑体" w:eastAsia="黑体"/>
          <w:b w:val="0"/>
        </w:rPr>
        <w:t xml:space="preserve">第二部分 </w:t>
      </w:r>
      <w:r>
        <w:rPr>
          <w:rFonts w:hint="eastAsia" w:ascii="黑体" w:eastAsia="黑体"/>
          <w:b w:val="0"/>
          <w:lang w:eastAsia="zh-CN"/>
        </w:rPr>
        <w:t>2025</w:t>
      </w:r>
      <w:r>
        <w:rPr>
          <w:rFonts w:hint="eastAsia" w:ascii="黑体" w:eastAsia="黑体"/>
          <w:b w:val="0"/>
        </w:rPr>
        <w:t>年度</w:t>
      </w:r>
      <w:r>
        <w:rPr>
          <w:rStyle w:val="20"/>
          <w:rFonts w:hint="eastAsia" w:ascii="黑体" w:eastAsia="黑体"/>
          <w:b w:val="0"/>
          <w:bCs/>
        </w:rPr>
        <w:t>单位决算情况说明</w:t>
      </w:r>
      <w:bookmarkEnd w:id="19"/>
      <w:bookmarkEnd w:id="20"/>
      <w:bookmarkEnd w:id="21"/>
    </w:p>
    <w:p w14:paraId="3B0D32F2">
      <w:pPr>
        <w:pageBreakBefore w:val="0"/>
        <w:kinsoku/>
        <w:wordWrap/>
        <w:overflowPunct/>
        <w:topLinePunct w:val="0"/>
        <w:bidi w:val="0"/>
        <w:spacing w:line="240" w:lineRule="auto"/>
      </w:pPr>
    </w:p>
    <w:p w14:paraId="05BA6B6B">
      <w:pPr>
        <w:pStyle w:val="26"/>
        <w:pageBreakBefore w:val="0"/>
        <w:numPr>
          <w:ilvl w:val="0"/>
          <w:numId w:val="2"/>
        </w:numPr>
        <w:kinsoku/>
        <w:wordWrap/>
        <w:overflowPunct/>
        <w:topLinePunct w:val="0"/>
        <w:bidi w:val="0"/>
        <w:spacing w:line="240" w:lineRule="auto"/>
        <w:ind w:firstLineChars="0"/>
        <w:outlineLvl w:val="1"/>
        <w:rPr>
          <w:rStyle w:val="21"/>
          <w:rFonts w:ascii="黑体" w:eastAsia="黑体"/>
          <w:b w:val="0"/>
        </w:rPr>
      </w:pPr>
      <w:bookmarkStart w:id="22" w:name="_Toc15377205"/>
      <w:bookmarkStart w:id="23" w:name="_Toc22104"/>
      <w:bookmarkStart w:id="24" w:name="_Toc15396603"/>
      <w:r>
        <w:rPr>
          <w:rFonts w:hint="eastAsia" w:ascii="黑体" w:eastAsia="黑体"/>
          <w:sz w:val="32"/>
          <w:szCs w:val="32"/>
        </w:rPr>
        <w:t>收</w:t>
      </w:r>
      <w:r>
        <w:rPr>
          <w:rStyle w:val="21"/>
          <w:rFonts w:hint="eastAsia" w:ascii="黑体" w:eastAsia="黑体"/>
          <w:b w:val="0"/>
        </w:rPr>
        <w:t>入支出决算总体情况说明</w:t>
      </w:r>
      <w:bookmarkEnd w:id="22"/>
      <w:bookmarkEnd w:id="23"/>
      <w:bookmarkEnd w:id="24"/>
    </w:p>
    <w:p w14:paraId="1FC8E68A">
      <w:pPr>
        <w:pageBreakBefore w:val="0"/>
        <w:kinsoku/>
        <w:wordWrap/>
        <w:overflowPunct/>
        <w:topLinePunct w:val="0"/>
        <w:bidi w:val="0"/>
        <w:spacing w:line="240" w:lineRule="auto"/>
        <w:ind w:firstLine="640" w:firstLineChars="200"/>
        <w:rPr>
          <w:rFonts w:hint="eastAsia" w:ascii="仿宋" w:eastAsia="仿宋"/>
          <w:sz w:val="32"/>
          <w:szCs w:val="32"/>
          <w:lang w:val="en-US" w:eastAsia="zh-CN"/>
        </w:rPr>
      </w:pPr>
      <w:r>
        <w:rPr>
          <w:rFonts w:hint="eastAsia" w:ascii="仿宋" w:eastAsia="仿宋"/>
          <w:sz w:val="32"/>
          <w:szCs w:val="32"/>
          <w:lang w:val="en-US" w:eastAsia="zh-CN"/>
        </w:rPr>
        <w:t>2025</w:t>
      </w:r>
      <w:r>
        <w:rPr>
          <w:rFonts w:hint="eastAsia" w:ascii="仿宋" w:eastAsia="仿宋"/>
          <w:sz w:val="32"/>
          <w:szCs w:val="32"/>
        </w:rPr>
        <w:t>年度</w:t>
      </w:r>
      <w:r>
        <w:rPr>
          <w:rFonts w:hint="eastAsia" w:ascii="仿宋" w:eastAsia="仿宋"/>
          <w:sz w:val="32"/>
          <w:szCs w:val="32"/>
          <w:lang w:eastAsia="zh-CN"/>
        </w:rPr>
        <w:t>收入</w:t>
      </w:r>
      <w:r>
        <w:rPr>
          <w:rFonts w:hint="eastAsia" w:ascii="仿宋" w:eastAsia="仿宋"/>
          <w:sz w:val="32"/>
          <w:szCs w:val="32"/>
          <w:lang w:val="en-US" w:eastAsia="zh-CN"/>
        </w:rPr>
        <w:t>总计</w:t>
      </w:r>
      <w:r>
        <w:rPr>
          <w:rFonts w:hint="eastAsia" w:ascii="仿宋" w:hAnsi="仿宋" w:eastAsia="仿宋" w:cs="Times New Roman"/>
          <w:sz w:val="32"/>
          <w:szCs w:val="32"/>
          <w:lang w:val="en-US" w:eastAsia="zh-CN"/>
        </w:rPr>
        <w:t>1611.17</w:t>
      </w:r>
      <w:r>
        <w:rPr>
          <w:rFonts w:hint="eastAsia" w:ascii="仿宋" w:eastAsia="仿宋"/>
          <w:sz w:val="32"/>
          <w:szCs w:val="32"/>
          <w:lang w:val="en-US" w:eastAsia="zh-CN"/>
        </w:rPr>
        <w:t>万元</w:t>
      </w:r>
      <w:r>
        <w:rPr>
          <w:rFonts w:hint="eastAsia" w:ascii="仿宋" w:eastAsia="仿宋"/>
          <w:sz w:val="32"/>
          <w:szCs w:val="32"/>
        </w:rPr>
        <w:t>、支</w:t>
      </w:r>
      <w:r>
        <w:rPr>
          <w:rFonts w:hint="eastAsia" w:ascii="仿宋" w:eastAsia="仿宋"/>
          <w:sz w:val="32"/>
          <w:szCs w:val="32"/>
          <w:lang w:eastAsia="zh-CN"/>
        </w:rPr>
        <w:t>出</w:t>
      </w:r>
      <w:r>
        <w:rPr>
          <w:rFonts w:hint="eastAsia" w:ascii="仿宋" w:eastAsia="仿宋"/>
          <w:sz w:val="32"/>
          <w:szCs w:val="32"/>
        </w:rPr>
        <w:t>总计</w:t>
      </w:r>
      <w:r>
        <w:rPr>
          <w:rFonts w:hint="eastAsia" w:ascii="仿宋" w:hAnsi="仿宋" w:eastAsia="仿宋" w:cs="Times New Roman"/>
          <w:sz w:val="32"/>
          <w:szCs w:val="32"/>
          <w:lang w:val="en-US" w:eastAsia="zh-CN"/>
        </w:rPr>
        <w:t>1611.17</w:t>
      </w:r>
      <w:r>
        <w:rPr>
          <w:rFonts w:hint="eastAsia" w:ascii="仿宋" w:eastAsia="仿宋"/>
          <w:sz w:val="32"/>
          <w:szCs w:val="32"/>
        </w:rPr>
        <w:t>万元。与</w:t>
      </w:r>
      <w:r>
        <w:rPr>
          <w:rFonts w:hint="eastAsia" w:ascii="仿宋" w:eastAsia="仿宋"/>
          <w:sz w:val="32"/>
          <w:szCs w:val="32"/>
          <w:lang w:eastAsia="zh-CN"/>
        </w:rPr>
        <w:t>2024</w:t>
      </w:r>
      <w:r>
        <w:rPr>
          <w:rFonts w:hint="eastAsia" w:ascii="仿宋" w:eastAsia="仿宋"/>
          <w:sz w:val="32"/>
          <w:szCs w:val="32"/>
        </w:rPr>
        <w:t>年</w:t>
      </w:r>
      <w:r>
        <w:rPr>
          <w:rFonts w:hint="eastAsia" w:ascii="仿宋" w:eastAsia="仿宋"/>
          <w:sz w:val="32"/>
          <w:szCs w:val="32"/>
          <w:lang w:eastAsia="zh-CN"/>
        </w:rPr>
        <w:t>收入总计</w:t>
      </w:r>
      <w:r>
        <w:rPr>
          <w:rFonts w:hint="eastAsia" w:ascii="仿宋" w:hAnsi="仿宋" w:eastAsia="仿宋" w:cs="Times New Roman"/>
          <w:sz w:val="32"/>
          <w:szCs w:val="32"/>
        </w:rPr>
        <w:t>1174.59</w:t>
      </w:r>
      <w:r>
        <w:rPr>
          <w:rFonts w:hint="eastAsia" w:ascii="仿宋" w:hAnsi="仿宋" w:eastAsia="仿宋" w:cs="仿宋"/>
          <w:kern w:val="0"/>
          <w:sz w:val="32"/>
          <w:szCs w:val="32"/>
          <w:shd w:val="clear" w:color="auto" w:fill="FFFFFF"/>
          <w:lang w:val="en-US" w:eastAsia="zh-CN" w:bidi="ar"/>
        </w:rPr>
        <w:t>万元，支出总计</w:t>
      </w:r>
      <w:r>
        <w:rPr>
          <w:rFonts w:hint="eastAsia" w:ascii="仿宋" w:hAnsi="仿宋" w:eastAsia="仿宋" w:cs="Times New Roman"/>
          <w:sz w:val="32"/>
          <w:szCs w:val="32"/>
        </w:rPr>
        <w:t>1174.59</w:t>
      </w:r>
      <w:r>
        <w:rPr>
          <w:rFonts w:hint="eastAsia" w:ascii="仿宋" w:hAnsi="仿宋" w:eastAsia="仿宋" w:cs="仿宋"/>
          <w:kern w:val="0"/>
          <w:sz w:val="32"/>
          <w:szCs w:val="32"/>
          <w:shd w:val="clear" w:color="auto" w:fill="FFFFFF"/>
          <w:lang w:val="en-US" w:eastAsia="zh-CN" w:bidi="ar"/>
        </w:rPr>
        <w:t>万元</w:t>
      </w:r>
      <w:r>
        <w:rPr>
          <w:rFonts w:hint="eastAsia" w:ascii="仿宋" w:eastAsia="仿宋"/>
          <w:sz w:val="32"/>
          <w:szCs w:val="32"/>
        </w:rPr>
        <w:t>相比，</w:t>
      </w:r>
      <w:r>
        <w:rPr>
          <w:rFonts w:hint="eastAsia" w:ascii="仿宋" w:eastAsia="仿宋"/>
          <w:sz w:val="32"/>
          <w:szCs w:val="32"/>
          <w:lang w:eastAsia="zh-CN"/>
        </w:rPr>
        <w:t>收入总计、支出总计都</w:t>
      </w:r>
      <w:r>
        <w:rPr>
          <w:rFonts w:hint="eastAsia" w:ascii="仿宋" w:eastAsia="仿宋"/>
          <w:sz w:val="32"/>
          <w:szCs w:val="32"/>
          <w:lang w:val="en-US" w:eastAsia="zh-CN"/>
        </w:rPr>
        <w:t>增加</w:t>
      </w:r>
      <w:r>
        <w:rPr>
          <w:rFonts w:hint="eastAsia" w:ascii="仿宋" w:eastAsia="仿宋"/>
          <w:sz w:val="32"/>
          <w:szCs w:val="32"/>
          <w:lang w:eastAsia="zh-CN"/>
        </w:rPr>
        <w:t>了</w:t>
      </w:r>
      <w:r>
        <w:rPr>
          <w:rFonts w:hint="eastAsia" w:ascii="仿宋" w:eastAsia="仿宋"/>
          <w:sz w:val="32"/>
          <w:szCs w:val="32"/>
          <w:lang w:val="en-US" w:eastAsia="zh-CN"/>
        </w:rPr>
        <w:t>436.58</w:t>
      </w:r>
      <w:r>
        <w:rPr>
          <w:rFonts w:hint="eastAsia" w:ascii="仿宋" w:eastAsia="仿宋"/>
          <w:sz w:val="32"/>
          <w:szCs w:val="32"/>
        </w:rPr>
        <w:t>万元，</w:t>
      </w:r>
      <w:r>
        <w:rPr>
          <w:rFonts w:hint="eastAsia" w:ascii="仿宋" w:eastAsia="仿宋"/>
          <w:sz w:val="32"/>
          <w:szCs w:val="32"/>
          <w:lang w:val="en-US" w:eastAsia="zh-CN"/>
        </w:rPr>
        <w:t>增加37.17</w:t>
      </w:r>
      <w:r>
        <w:rPr>
          <w:rFonts w:ascii="仿宋" w:eastAsia="仿宋"/>
          <w:sz w:val="32"/>
          <w:szCs w:val="32"/>
        </w:rPr>
        <w:t>%</w:t>
      </w:r>
      <w:r>
        <w:rPr>
          <w:rFonts w:hint="eastAsia" w:ascii="仿宋" w:eastAsia="仿宋"/>
          <w:sz w:val="32"/>
          <w:szCs w:val="32"/>
        </w:rPr>
        <w:t>。主要变动原因是</w:t>
      </w:r>
      <w:r>
        <w:rPr>
          <w:rFonts w:hint="eastAsia" w:ascii="仿宋" w:eastAsia="仿宋"/>
          <w:sz w:val="32"/>
          <w:szCs w:val="32"/>
          <w:lang w:val="en-US" w:eastAsia="zh-CN"/>
        </w:rPr>
        <w:t>2025年项目调整以及新增独立核算机构1个等。</w:t>
      </w:r>
    </w:p>
    <w:p w14:paraId="57D18B49">
      <w:pPr>
        <w:pStyle w:val="8"/>
        <w:pageBreakBefore w:val="0"/>
        <w:kinsoku/>
        <w:wordWrap/>
        <w:overflowPunct/>
        <w:topLinePunct w:val="0"/>
        <w:bidi w:val="0"/>
        <w:spacing w:line="240" w:lineRule="auto"/>
        <w:jc w:val="center"/>
      </w:pPr>
      <w:r>
        <w:drawing>
          <wp:inline distT="0" distB="0" distL="114300" distR="114300">
            <wp:extent cx="4752975" cy="3152140"/>
            <wp:effectExtent l="9525" t="9525" r="19050" b="19685"/>
            <wp:docPr id="2" name="图片 1"/>
            <wp:cNvGraphicFramePr/>
            <a:graphic xmlns:a="http://schemas.openxmlformats.org/drawingml/2006/main">
              <a:graphicData uri="http://schemas.openxmlformats.org/drawingml/2006/picture">
                <pic:pic xmlns:pic="http://schemas.openxmlformats.org/drawingml/2006/picture">
                  <pic:nvPicPr>
                    <pic:cNvPr id="2" name="图片 1"/>
                    <pic:cNvPicPr/>
                  </pic:nvPicPr>
                  <pic:blipFill>
                    <a:blip r:embed="rId7"/>
                    <a:stretch>
                      <a:fillRect/>
                    </a:stretch>
                  </pic:blipFill>
                  <pic:spPr>
                    <a:xfrm>
                      <a:off x="0" y="0"/>
                      <a:ext cx="4752975" cy="3152140"/>
                    </a:xfrm>
                    <a:prstGeom prst="rect">
                      <a:avLst/>
                    </a:prstGeom>
                    <a:ln>
                      <a:solidFill>
                        <a:scrgbClr r="0" g="100000" b="100000"/>
                      </a:solidFill>
                    </a:ln>
                    <a:extLst>
                      <a:ext uri="{8CAD56D8-0F58-4FB8-B24C-77498146470C}">
                        <wpswe:webExtensionRef xmlns:wpswe="http://www.wps.cn/officeDocument/2018/webExtension" r:id="rId6"/>
                      </a:ext>
                      <wpswe:webExtensionRef xmlns:wpswe="http://www.wps.cn/officeDocument/2018/webExtension" r:id="rId6"/>
                    </a:extLst>
                  </pic:spPr>
                </pic:pic>
              </a:graphicData>
            </a:graphic>
          </wp:inline>
        </w:drawing>
      </w:r>
    </w:p>
    <w:p w14:paraId="2123F721">
      <w:pPr>
        <w:pStyle w:val="1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hint="eastAsia" w:ascii="仿宋" w:hAnsi="仿宋" w:eastAsia="仿宋" w:cs="仿宋"/>
          <w:kern w:val="0"/>
          <w:sz w:val="32"/>
          <w:szCs w:val="32"/>
        </w:rPr>
      </w:pPr>
      <w:r>
        <w:rPr>
          <w:rFonts w:hint="eastAsia" w:ascii="仿宋" w:hAnsi="仿宋" w:eastAsia="仿宋" w:cs="仿宋"/>
          <w:kern w:val="0"/>
          <w:sz w:val="32"/>
          <w:szCs w:val="32"/>
          <w:shd w:val="clear" w:color="auto" w:fill="FFFFFF"/>
          <w:lang w:val="en-US" w:eastAsia="zh-CN" w:bidi="ar"/>
        </w:rPr>
        <w:t>（图1：收、支决算总计变动情况图）（柱状图）</w:t>
      </w:r>
    </w:p>
    <w:p w14:paraId="306D6EE0">
      <w:pPr>
        <w:pageBreakBefore w:val="0"/>
        <w:kinsoku/>
        <w:wordWrap/>
        <w:overflowPunct/>
        <w:topLinePunct w:val="0"/>
        <w:bidi w:val="0"/>
        <w:spacing w:line="240" w:lineRule="auto"/>
      </w:pPr>
    </w:p>
    <w:p w14:paraId="26DF35BB">
      <w:pPr>
        <w:pStyle w:val="26"/>
        <w:pageBreakBefore w:val="0"/>
        <w:numPr>
          <w:ilvl w:val="0"/>
          <w:numId w:val="2"/>
        </w:numPr>
        <w:kinsoku/>
        <w:wordWrap/>
        <w:overflowPunct/>
        <w:topLinePunct w:val="0"/>
        <w:bidi w:val="0"/>
        <w:spacing w:line="240" w:lineRule="auto"/>
        <w:ind w:firstLineChars="0"/>
        <w:outlineLvl w:val="1"/>
        <w:rPr>
          <w:rStyle w:val="21"/>
          <w:rFonts w:ascii="黑体" w:eastAsia="黑体"/>
          <w:b w:val="0"/>
        </w:rPr>
      </w:pPr>
      <w:bookmarkStart w:id="25" w:name="_Toc19732"/>
      <w:bookmarkStart w:id="26" w:name="_Toc15396604"/>
      <w:bookmarkStart w:id="27" w:name="_Toc15377206"/>
      <w:r>
        <w:rPr>
          <w:rFonts w:hint="eastAsia" w:ascii="黑体" w:eastAsia="黑体"/>
          <w:sz w:val="32"/>
          <w:szCs w:val="32"/>
        </w:rPr>
        <w:t>收</w:t>
      </w:r>
      <w:r>
        <w:rPr>
          <w:rStyle w:val="21"/>
          <w:rFonts w:hint="eastAsia" w:ascii="黑体" w:eastAsia="黑体"/>
          <w:b w:val="0"/>
        </w:rPr>
        <w:t>入决算情况说明</w:t>
      </w:r>
      <w:bookmarkEnd w:id="25"/>
      <w:bookmarkEnd w:id="26"/>
      <w:bookmarkEnd w:id="27"/>
    </w:p>
    <w:p w14:paraId="3F8AB8B2">
      <w:pPr>
        <w:pageBreakBefore w:val="0"/>
        <w:kinsoku/>
        <w:wordWrap/>
        <w:overflowPunct/>
        <w:topLinePunct w:val="0"/>
        <w:bidi w:val="0"/>
        <w:spacing w:line="240" w:lineRule="auto"/>
        <w:ind w:firstLine="640" w:firstLineChars="200"/>
        <w:outlineLvl w:val="1"/>
        <w:rPr>
          <w:rFonts w:ascii="仿宋" w:eastAsia="仿宋"/>
          <w:sz w:val="32"/>
          <w:szCs w:val="32"/>
        </w:rPr>
      </w:pPr>
      <w:bookmarkStart w:id="28" w:name="_Toc26122"/>
      <w:bookmarkStart w:id="29" w:name="_Toc22075"/>
      <w:r>
        <w:rPr>
          <w:rFonts w:hint="eastAsia" w:ascii="仿宋" w:eastAsia="仿宋"/>
          <w:sz w:val="32"/>
          <w:szCs w:val="32"/>
          <w:lang w:eastAsia="zh-CN"/>
        </w:rPr>
        <w:t>2025</w:t>
      </w:r>
      <w:r>
        <w:rPr>
          <w:rFonts w:hint="eastAsia" w:ascii="仿宋" w:eastAsia="仿宋"/>
          <w:sz w:val="32"/>
          <w:szCs w:val="32"/>
        </w:rPr>
        <w:t>年本年收入合计</w:t>
      </w:r>
      <w:r>
        <w:rPr>
          <w:rFonts w:hint="eastAsia" w:ascii="仿宋" w:eastAsia="仿宋"/>
          <w:sz w:val="32"/>
          <w:szCs w:val="32"/>
          <w:lang w:val="en-US" w:eastAsia="zh-CN"/>
        </w:rPr>
        <w:t>1611.17</w:t>
      </w:r>
      <w:r>
        <w:rPr>
          <w:rFonts w:hint="eastAsia" w:ascii="仿宋" w:eastAsia="仿宋"/>
          <w:sz w:val="32"/>
          <w:szCs w:val="32"/>
        </w:rPr>
        <w:t>万元，其中：一般公共预算财政拨款收入</w:t>
      </w:r>
      <w:r>
        <w:rPr>
          <w:rFonts w:hint="eastAsia" w:ascii="仿宋" w:hAnsi="仿宋" w:eastAsia="仿宋" w:cs="Times New Roman"/>
          <w:sz w:val="32"/>
          <w:szCs w:val="32"/>
          <w:lang w:val="en-US" w:eastAsia="zh-CN"/>
        </w:rPr>
        <w:t>1611.17</w:t>
      </w:r>
      <w:r>
        <w:rPr>
          <w:rFonts w:hint="eastAsia" w:ascii="仿宋" w:eastAsia="仿宋"/>
          <w:sz w:val="32"/>
          <w:szCs w:val="32"/>
        </w:rPr>
        <w:t>万元，占</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；政府性基金预算财政拨款收入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；国有资本经营预算财政拨款收入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；上级补助收入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；事业收入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；经营收入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；附属单位上缴收入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；其他收入</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bookmarkEnd w:id="28"/>
      <w:bookmarkEnd w:id="29"/>
    </w:p>
    <w:p w14:paraId="3359CDDE">
      <w:pPr>
        <w:pageBreakBefore w:val="0"/>
        <w:kinsoku/>
        <w:wordWrap/>
        <w:overflowPunct/>
        <w:topLinePunct w:val="0"/>
        <w:bidi w:val="0"/>
        <w:spacing w:line="240" w:lineRule="auto"/>
        <w:outlineLvl w:val="9"/>
        <w:rPr>
          <w:rFonts w:ascii="仿宋" w:eastAsia="仿宋"/>
          <w:sz w:val="32"/>
          <w:szCs w:val="32"/>
        </w:rPr>
      </w:pPr>
    </w:p>
    <w:p w14:paraId="245B34B5">
      <w:pPr>
        <w:pageBreakBefore w:val="0"/>
        <w:kinsoku/>
        <w:wordWrap/>
        <w:overflowPunct/>
        <w:topLinePunct w:val="0"/>
        <w:bidi w:val="0"/>
        <w:spacing w:line="240" w:lineRule="auto"/>
        <w:jc w:val="center"/>
        <w:outlineLvl w:val="9"/>
        <w:rPr>
          <w:rFonts w:ascii="仿宋" w:eastAsia="仿宋"/>
          <w:sz w:val="32"/>
          <w:szCs w:val="32"/>
        </w:rPr>
      </w:pPr>
      <w:r>
        <w:drawing>
          <wp:inline distT="0" distB="0" distL="114300" distR="114300">
            <wp:extent cx="5153025" cy="2904490"/>
            <wp:effectExtent l="9525" t="9525" r="19050" b="19685"/>
            <wp:docPr id="23" name="图片 22"/>
            <wp:cNvGraphicFramePr/>
            <a:graphic xmlns:a="http://schemas.openxmlformats.org/drawingml/2006/main">
              <a:graphicData uri="http://schemas.openxmlformats.org/drawingml/2006/picture">
                <pic:pic xmlns:pic="http://schemas.openxmlformats.org/drawingml/2006/picture">
                  <pic:nvPicPr>
                    <pic:cNvPr id="23" name="图片 22"/>
                    <pic:cNvPicPr/>
                  </pic:nvPicPr>
                  <pic:blipFill>
                    <a:blip r:embed="rId9"/>
                    <a:stretch>
                      <a:fillRect/>
                    </a:stretch>
                  </pic:blipFill>
                  <pic:spPr>
                    <a:xfrm>
                      <a:off x="0" y="0"/>
                      <a:ext cx="5153025" cy="2904490"/>
                    </a:xfrm>
                    <a:prstGeom prst="rect">
                      <a:avLst/>
                    </a:prstGeom>
                    <a:ln>
                      <a:solidFill>
                        <a:scrgbClr r="0" g="100000" b="100000"/>
                      </a:solidFill>
                    </a:ln>
                    <a:extLst>
                      <a:ext uri="{8CAD56D8-0F58-4FB8-B24C-77498146470C}">
                        <wpswe:webExtensionRef xmlns:wpswe="http://www.wps.cn/officeDocument/2018/webExtension" r:id="rId8"/>
                      </a:ext>
                      <wpswe:webExtensionRef xmlns:wpswe="http://www.wps.cn/officeDocument/2018/webExtension" r:id="rId8"/>
                    </a:extLst>
                  </pic:spPr>
                </pic:pic>
              </a:graphicData>
            </a:graphic>
          </wp:inline>
        </w:drawing>
      </w:r>
    </w:p>
    <w:p w14:paraId="14C98024">
      <w:pPr>
        <w:pStyle w:val="8"/>
        <w:pageBreakBefore w:val="0"/>
        <w:kinsoku/>
        <w:wordWrap/>
        <w:overflowPunct/>
        <w:topLinePunct w:val="0"/>
        <w:bidi w:val="0"/>
        <w:spacing w:line="240" w:lineRule="auto"/>
        <w:ind w:left="0" w:leftChars="0" w:firstLine="0" w:firstLineChars="0"/>
      </w:pPr>
    </w:p>
    <w:p w14:paraId="326C4994">
      <w:pPr>
        <w:pStyle w:val="15"/>
        <w:keepNext w:val="0"/>
        <w:keepLines w:val="0"/>
        <w:pageBreakBefore w:val="0"/>
        <w:widowControl/>
        <w:suppressLineNumbers w:val="0"/>
        <w:kinsoku/>
        <w:wordWrap/>
        <w:overflowPunct/>
        <w:topLinePunct w:val="0"/>
        <w:autoSpaceDE/>
        <w:autoSpaceDN/>
        <w:bidi w:val="0"/>
        <w:adjustRightInd/>
        <w:snapToGrid w:val="0"/>
        <w:spacing w:before="0" w:beforeAutospacing="0" w:after="0" w:afterAutospacing="0" w:line="240" w:lineRule="auto"/>
        <w:ind w:left="0" w:right="0"/>
        <w:jc w:val="center"/>
        <w:textAlignment w:val="auto"/>
        <w:rPr>
          <w:rFonts w:ascii="仿宋" w:eastAsia="仿宋"/>
          <w:sz w:val="32"/>
          <w:szCs w:val="32"/>
        </w:rPr>
      </w:pPr>
      <w:r>
        <w:rPr>
          <w:rFonts w:hint="eastAsia" w:ascii="仿宋" w:hAnsi="仿宋" w:eastAsia="仿宋" w:cs="仿宋"/>
          <w:kern w:val="0"/>
          <w:sz w:val="32"/>
          <w:szCs w:val="32"/>
          <w:shd w:val="clear" w:color="auto" w:fill="FFFFFF"/>
          <w:lang w:val="en-US" w:eastAsia="zh-CN" w:bidi="ar"/>
        </w:rPr>
        <w:t>（图2：收入决算结构图）（饼状图）</w:t>
      </w:r>
    </w:p>
    <w:p w14:paraId="299CEDF8">
      <w:pPr>
        <w:pageBreakBefore w:val="0"/>
        <w:kinsoku/>
        <w:wordWrap/>
        <w:overflowPunct/>
        <w:topLinePunct w:val="0"/>
        <w:bidi w:val="0"/>
        <w:spacing w:line="240" w:lineRule="auto"/>
        <w:ind w:firstLine="640" w:firstLineChars="200"/>
        <w:rPr>
          <w:rFonts w:ascii="仿宋_GB2312" w:eastAsia="仿宋_GB2312"/>
          <w:sz w:val="32"/>
          <w:szCs w:val="32"/>
        </w:rPr>
      </w:pPr>
    </w:p>
    <w:p w14:paraId="7EFB53FD">
      <w:pPr>
        <w:pStyle w:val="26"/>
        <w:pageBreakBefore w:val="0"/>
        <w:numPr>
          <w:ilvl w:val="0"/>
          <w:numId w:val="2"/>
        </w:numPr>
        <w:kinsoku/>
        <w:wordWrap/>
        <w:overflowPunct/>
        <w:topLinePunct w:val="0"/>
        <w:bidi w:val="0"/>
        <w:spacing w:line="240" w:lineRule="auto"/>
        <w:ind w:firstLineChars="0"/>
        <w:outlineLvl w:val="1"/>
        <w:rPr>
          <w:rStyle w:val="21"/>
          <w:rFonts w:ascii="黑体" w:eastAsia="黑体"/>
          <w:b w:val="0"/>
        </w:rPr>
      </w:pPr>
      <w:bookmarkStart w:id="30" w:name="_Toc15377207"/>
      <w:bookmarkStart w:id="31" w:name="_Toc15396605"/>
      <w:bookmarkStart w:id="32" w:name="_Toc21399"/>
      <w:r>
        <w:rPr>
          <w:rFonts w:hint="eastAsia" w:ascii="黑体" w:eastAsia="黑体"/>
          <w:sz w:val="32"/>
          <w:szCs w:val="32"/>
        </w:rPr>
        <w:t>支</w:t>
      </w:r>
      <w:r>
        <w:rPr>
          <w:rStyle w:val="21"/>
          <w:rFonts w:hint="eastAsia" w:ascii="黑体" w:eastAsia="黑体"/>
          <w:b w:val="0"/>
        </w:rPr>
        <w:t>出决算情况说明</w:t>
      </w:r>
      <w:bookmarkEnd w:id="30"/>
      <w:bookmarkEnd w:id="31"/>
      <w:bookmarkEnd w:id="32"/>
    </w:p>
    <w:p w14:paraId="713ED405">
      <w:pPr>
        <w:pageBreakBefore w:val="0"/>
        <w:kinsoku/>
        <w:wordWrap/>
        <w:overflowPunct/>
        <w:topLinePunct w:val="0"/>
        <w:bidi w:val="0"/>
        <w:spacing w:line="240" w:lineRule="auto"/>
        <w:ind w:firstLine="640" w:firstLineChars="200"/>
        <w:outlineLvl w:val="1"/>
        <w:rPr>
          <w:rFonts w:hint="eastAsia" w:ascii="仿宋" w:eastAsia="仿宋"/>
          <w:sz w:val="32"/>
          <w:szCs w:val="32"/>
        </w:rPr>
      </w:pPr>
      <w:bookmarkStart w:id="33" w:name="_Toc12454"/>
      <w:bookmarkStart w:id="34" w:name="_Toc4565"/>
      <w:r>
        <w:rPr>
          <w:rFonts w:hint="eastAsia" w:ascii="仿宋" w:eastAsia="仿宋"/>
          <w:sz w:val="32"/>
          <w:szCs w:val="32"/>
          <w:lang w:eastAsia="zh-CN"/>
        </w:rPr>
        <w:t>2025</w:t>
      </w:r>
      <w:r>
        <w:rPr>
          <w:rFonts w:hint="eastAsia" w:ascii="仿宋" w:eastAsia="仿宋"/>
          <w:sz w:val="32"/>
          <w:szCs w:val="32"/>
        </w:rPr>
        <w:t>年本年支出合计</w:t>
      </w:r>
      <w:r>
        <w:rPr>
          <w:rFonts w:hint="eastAsia" w:ascii="仿宋" w:hAnsi="仿宋" w:eastAsia="仿宋" w:cs="Times New Roman"/>
          <w:sz w:val="32"/>
          <w:szCs w:val="32"/>
          <w:lang w:val="en-US" w:eastAsia="zh-CN"/>
        </w:rPr>
        <w:t>1611.17</w:t>
      </w:r>
      <w:r>
        <w:rPr>
          <w:rFonts w:hint="eastAsia" w:ascii="仿宋" w:eastAsia="仿宋"/>
          <w:sz w:val="32"/>
          <w:szCs w:val="32"/>
        </w:rPr>
        <w:t>万元，其中：基本支出</w:t>
      </w:r>
      <w:r>
        <w:rPr>
          <w:rFonts w:hint="eastAsia" w:ascii="仿宋" w:eastAsia="仿宋"/>
          <w:sz w:val="32"/>
          <w:szCs w:val="32"/>
          <w:lang w:val="en-US" w:eastAsia="zh-CN"/>
        </w:rPr>
        <w:t>1023.48万</w:t>
      </w:r>
      <w:r>
        <w:rPr>
          <w:rFonts w:hint="eastAsia" w:ascii="仿宋" w:eastAsia="仿宋"/>
          <w:sz w:val="32"/>
          <w:szCs w:val="32"/>
        </w:rPr>
        <w:t>元，占</w:t>
      </w:r>
      <w:r>
        <w:rPr>
          <w:rFonts w:hint="eastAsia" w:ascii="仿宋" w:eastAsia="仿宋"/>
          <w:sz w:val="32"/>
          <w:szCs w:val="32"/>
          <w:lang w:val="en-US" w:eastAsia="zh-CN"/>
        </w:rPr>
        <w:t>63.52</w:t>
      </w:r>
      <w:r>
        <w:rPr>
          <w:rFonts w:ascii="仿宋" w:eastAsia="仿宋"/>
          <w:sz w:val="32"/>
          <w:szCs w:val="32"/>
        </w:rPr>
        <w:t>%</w:t>
      </w:r>
      <w:r>
        <w:rPr>
          <w:rFonts w:hint="eastAsia" w:ascii="仿宋" w:eastAsia="仿宋"/>
          <w:sz w:val="32"/>
          <w:szCs w:val="32"/>
        </w:rPr>
        <w:t>；项目支出</w:t>
      </w:r>
      <w:r>
        <w:rPr>
          <w:rFonts w:hint="eastAsia" w:ascii="仿宋" w:eastAsia="仿宋"/>
          <w:sz w:val="32"/>
          <w:szCs w:val="32"/>
          <w:lang w:val="en-US" w:eastAsia="zh-CN"/>
        </w:rPr>
        <w:t>587.69</w:t>
      </w:r>
      <w:r>
        <w:rPr>
          <w:rFonts w:hint="eastAsia" w:ascii="仿宋" w:eastAsia="仿宋"/>
          <w:sz w:val="32"/>
          <w:szCs w:val="32"/>
        </w:rPr>
        <w:t>万元，占</w:t>
      </w:r>
      <w:r>
        <w:rPr>
          <w:rFonts w:hint="eastAsia" w:ascii="仿宋" w:eastAsia="仿宋"/>
          <w:sz w:val="32"/>
          <w:szCs w:val="32"/>
          <w:lang w:val="en-US" w:eastAsia="zh-CN"/>
        </w:rPr>
        <w:t>36.48</w:t>
      </w:r>
      <w:r>
        <w:rPr>
          <w:rFonts w:ascii="仿宋" w:eastAsia="仿宋"/>
          <w:sz w:val="32"/>
          <w:szCs w:val="32"/>
        </w:rPr>
        <w:t>%</w:t>
      </w:r>
      <w:r>
        <w:rPr>
          <w:rFonts w:hint="eastAsia" w:ascii="仿宋" w:eastAsia="仿宋"/>
          <w:sz w:val="32"/>
          <w:szCs w:val="32"/>
        </w:rPr>
        <w:t>；上缴上级支出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；经营支出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；对附属单位补助支出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bookmarkEnd w:id="33"/>
      <w:bookmarkEnd w:id="34"/>
    </w:p>
    <w:p w14:paraId="297B4B66">
      <w:pPr>
        <w:pStyle w:val="2"/>
      </w:pPr>
    </w:p>
    <w:p w14:paraId="23F03379">
      <w:pPr>
        <w:pageBreakBefore w:val="0"/>
        <w:kinsoku/>
        <w:wordWrap/>
        <w:overflowPunct/>
        <w:topLinePunct w:val="0"/>
        <w:bidi w:val="0"/>
        <w:spacing w:line="240" w:lineRule="auto"/>
        <w:jc w:val="both"/>
      </w:pPr>
    </w:p>
    <w:p w14:paraId="2108268F">
      <w:r>
        <w:drawing>
          <wp:inline distT="0" distB="0" distL="114300" distR="114300">
            <wp:extent cx="5314950" cy="2743200"/>
            <wp:effectExtent l="0" t="0" r="0" b="0"/>
            <wp:docPr id="7" name="图片 6"/>
            <wp:cNvGraphicFramePr/>
            <a:graphic xmlns:a="http://schemas.openxmlformats.org/drawingml/2006/main">
              <a:graphicData uri="http://schemas.openxmlformats.org/drawingml/2006/picture">
                <pic:pic xmlns:pic="http://schemas.openxmlformats.org/drawingml/2006/picture">
                  <pic:nvPicPr>
                    <pic:cNvPr id="7" name="图片 6"/>
                    <pic:cNvPicPr/>
                  </pic:nvPicPr>
                  <pic:blipFill>
                    <a:blip r:embed="rId11"/>
                    <a:stretch>
                      <a:fillRect/>
                    </a:stretch>
                  </pic:blipFill>
                  <pic:spPr>
                    <a:xfrm>
                      <a:off x="0" y="0"/>
                      <a:ext cx="5314950" cy="2743200"/>
                    </a:xfrm>
                    <a:prstGeom prst="rect">
                      <a:avLst/>
                    </a:prstGeom>
                    <a:extLst>
                      <a:ext uri="{8CAD56D8-0F58-4FB8-B24C-77498146470C}">
                        <wpswe:webExtensionRef xmlns:wpswe="http://www.wps.cn/officeDocument/2018/webExtension" r:id="rId10"/>
                      </a:ext>
                      <wpswe:webExtensionRef xmlns:wpswe="http://www.wps.cn/officeDocument/2018/webExtension" r:id="rId10"/>
                    </a:extLst>
                  </pic:spPr>
                </pic:pic>
              </a:graphicData>
            </a:graphic>
          </wp:inline>
        </w:drawing>
      </w:r>
    </w:p>
    <w:p w14:paraId="0AEDCADD">
      <w:pPr>
        <w:pageBreakBefore w:val="0"/>
        <w:kinsoku/>
        <w:wordWrap/>
        <w:overflowPunct/>
        <w:topLinePunct w:val="0"/>
        <w:bidi w:val="0"/>
        <w:spacing w:line="240" w:lineRule="auto"/>
        <w:ind w:firstLine="420" w:firstLineChars="200"/>
      </w:pPr>
    </w:p>
    <w:p w14:paraId="0036572D">
      <w:pPr>
        <w:pageBreakBefore w:val="0"/>
        <w:kinsoku/>
        <w:wordWrap/>
        <w:overflowPunct/>
        <w:topLinePunct w:val="0"/>
        <w:bidi w:val="0"/>
        <w:spacing w:line="240" w:lineRule="auto"/>
        <w:ind w:firstLine="640" w:firstLineChars="200"/>
        <w:jc w:val="center"/>
        <w:rPr>
          <w:rFonts w:ascii="仿宋" w:eastAsia="仿宋"/>
          <w:sz w:val="32"/>
          <w:szCs w:val="32"/>
        </w:rPr>
      </w:pPr>
      <w:r>
        <w:rPr>
          <w:rFonts w:hint="eastAsia" w:ascii="仿宋" w:eastAsia="仿宋"/>
          <w:sz w:val="32"/>
          <w:szCs w:val="32"/>
        </w:rPr>
        <w:t>（图3：支出决算结构图）（饼状图）</w:t>
      </w:r>
    </w:p>
    <w:p w14:paraId="7CA1789D">
      <w:pPr>
        <w:pStyle w:val="8"/>
        <w:pageBreakBefore w:val="0"/>
        <w:kinsoku/>
        <w:wordWrap/>
        <w:overflowPunct/>
        <w:topLinePunct w:val="0"/>
        <w:bidi w:val="0"/>
        <w:spacing w:line="240" w:lineRule="auto"/>
      </w:pPr>
    </w:p>
    <w:p w14:paraId="2CB05317">
      <w:pPr>
        <w:pageBreakBefore w:val="0"/>
        <w:kinsoku/>
        <w:wordWrap/>
        <w:overflowPunct/>
        <w:topLinePunct w:val="0"/>
        <w:bidi w:val="0"/>
        <w:spacing w:line="240" w:lineRule="auto"/>
        <w:ind w:firstLine="640" w:firstLineChars="200"/>
        <w:outlineLvl w:val="1"/>
        <w:rPr>
          <w:rStyle w:val="21"/>
          <w:rFonts w:ascii="黑体" w:eastAsia="黑体"/>
          <w:b w:val="0"/>
        </w:rPr>
      </w:pPr>
      <w:bookmarkStart w:id="35" w:name="_Toc15377208"/>
      <w:bookmarkStart w:id="36" w:name="_Toc15396606"/>
      <w:bookmarkStart w:id="37" w:name="_Toc29146"/>
      <w:r>
        <w:rPr>
          <w:rFonts w:hint="eastAsia" w:ascii="黑体" w:eastAsia="黑体"/>
          <w:sz w:val="32"/>
          <w:szCs w:val="32"/>
        </w:rPr>
        <w:t>四、财</w:t>
      </w:r>
      <w:r>
        <w:rPr>
          <w:rStyle w:val="21"/>
          <w:rFonts w:hint="eastAsia" w:ascii="黑体" w:eastAsia="黑体"/>
          <w:b w:val="0"/>
        </w:rPr>
        <w:t>政拨款收入支出决算总体情况说明</w:t>
      </w:r>
      <w:bookmarkEnd w:id="35"/>
      <w:bookmarkEnd w:id="36"/>
      <w:bookmarkEnd w:id="37"/>
    </w:p>
    <w:p w14:paraId="5134E4ED">
      <w:pPr>
        <w:pageBreakBefore w:val="0"/>
        <w:kinsoku/>
        <w:wordWrap/>
        <w:overflowPunct/>
        <w:topLinePunct w:val="0"/>
        <w:bidi w:val="0"/>
        <w:spacing w:line="240" w:lineRule="auto"/>
        <w:ind w:firstLine="640"/>
        <w:rPr>
          <w:rFonts w:hint="eastAsia"/>
          <w:lang w:val="en-US" w:eastAsia="zh-CN"/>
        </w:rPr>
      </w:pPr>
      <w:r>
        <w:rPr>
          <w:rFonts w:hint="eastAsia" w:ascii="仿宋" w:eastAsia="仿宋"/>
          <w:sz w:val="32"/>
          <w:szCs w:val="32"/>
          <w:lang w:eastAsia="zh-CN"/>
        </w:rPr>
        <w:t>2025</w:t>
      </w:r>
      <w:r>
        <w:rPr>
          <w:rFonts w:hint="eastAsia" w:ascii="仿宋" w:eastAsia="仿宋"/>
          <w:sz w:val="32"/>
          <w:szCs w:val="32"/>
        </w:rPr>
        <w:t>年财政拨款</w:t>
      </w:r>
      <w:r>
        <w:rPr>
          <w:rFonts w:hint="eastAsia" w:ascii="仿宋" w:eastAsia="仿宋"/>
          <w:sz w:val="32"/>
          <w:szCs w:val="32"/>
          <w:lang w:eastAsia="zh-CN"/>
        </w:rPr>
        <w:t>收入总计</w:t>
      </w:r>
      <w:r>
        <w:rPr>
          <w:rFonts w:hint="eastAsia" w:ascii="仿宋" w:hAnsi="仿宋" w:eastAsia="仿宋" w:cs="Times New Roman"/>
          <w:sz w:val="32"/>
          <w:szCs w:val="32"/>
          <w:lang w:val="en-US" w:eastAsia="zh-CN"/>
        </w:rPr>
        <w:t>1611.17</w:t>
      </w:r>
      <w:r>
        <w:rPr>
          <w:rFonts w:hint="eastAsia" w:ascii="仿宋" w:eastAsia="仿宋"/>
          <w:sz w:val="32"/>
          <w:szCs w:val="32"/>
          <w:lang w:val="en-US" w:eastAsia="zh-CN"/>
        </w:rPr>
        <w:t>万元</w:t>
      </w:r>
      <w:r>
        <w:rPr>
          <w:rFonts w:hint="eastAsia" w:ascii="仿宋" w:eastAsia="仿宋"/>
          <w:sz w:val="32"/>
          <w:szCs w:val="32"/>
        </w:rPr>
        <w:t>、支</w:t>
      </w:r>
      <w:r>
        <w:rPr>
          <w:rFonts w:hint="eastAsia" w:ascii="仿宋" w:eastAsia="仿宋"/>
          <w:sz w:val="32"/>
          <w:szCs w:val="32"/>
          <w:lang w:eastAsia="zh-CN"/>
        </w:rPr>
        <w:t>出</w:t>
      </w:r>
      <w:r>
        <w:rPr>
          <w:rFonts w:hint="eastAsia" w:ascii="仿宋" w:eastAsia="仿宋"/>
          <w:sz w:val="32"/>
          <w:szCs w:val="32"/>
        </w:rPr>
        <w:t>总计</w:t>
      </w:r>
      <w:r>
        <w:rPr>
          <w:rFonts w:hint="eastAsia" w:ascii="仿宋" w:hAnsi="仿宋" w:eastAsia="仿宋" w:cs="Times New Roman"/>
          <w:sz w:val="32"/>
          <w:szCs w:val="32"/>
          <w:lang w:val="en-US" w:eastAsia="zh-CN"/>
        </w:rPr>
        <w:t>1611.17</w:t>
      </w:r>
      <w:r>
        <w:rPr>
          <w:rFonts w:hint="eastAsia" w:ascii="仿宋" w:eastAsia="仿宋"/>
          <w:sz w:val="32"/>
          <w:szCs w:val="32"/>
        </w:rPr>
        <w:t>万元。与</w:t>
      </w:r>
      <w:r>
        <w:rPr>
          <w:rFonts w:hint="eastAsia" w:ascii="仿宋" w:eastAsia="仿宋"/>
          <w:sz w:val="32"/>
          <w:szCs w:val="32"/>
          <w:lang w:eastAsia="zh-CN"/>
        </w:rPr>
        <w:t>2024</w:t>
      </w:r>
      <w:r>
        <w:rPr>
          <w:rFonts w:hint="eastAsia" w:ascii="仿宋" w:eastAsia="仿宋"/>
          <w:sz w:val="32"/>
          <w:szCs w:val="32"/>
        </w:rPr>
        <w:t>年相比，财政拨款收</w:t>
      </w:r>
      <w:r>
        <w:rPr>
          <w:rFonts w:hint="eastAsia" w:ascii="仿宋" w:eastAsia="仿宋"/>
          <w:sz w:val="32"/>
          <w:szCs w:val="32"/>
          <w:lang w:eastAsia="zh-CN"/>
        </w:rPr>
        <w:t>入</w:t>
      </w:r>
      <w:r>
        <w:rPr>
          <w:rFonts w:hint="eastAsia" w:ascii="仿宋" w:eastAsia="仿宋"/>
          <w:sz w:val="32"/>
          <w:szCs w:val="32"/>
          <w:lang w:val="en-US" w:eastAsia="zh-CN"/>
        </w:rPr>
        <w:t>1174.59</w:t>
      </w:r>
      <w:r>
        <w:rPr>
          <w:rFonts w:hint="eastAsia" w:ascii="仿宋" w:hAnsi="仿宋" w:eastAsia="仿宋" w:cs="仿宋"/>
          <w:kern w:val="0"/>
          <w:sz w:val="32"/>
          <w:szCs w:val="32"/>
          <w:shd w:val="clear" w:color="auto" w:fill="FFFFFF"/>
          <w:lang w:val="en-US" w:eastAsia="zh-CN" w:bidi="ar"/>
        </w:rPr>
        <w:t>万元</w:t>
      </w:r>
      <w:r>
        <w:rPr>
          <w:rFonts w:hint="eastAsia" w:ascii="仿宋" w:eastAsia="仿宋"/>
          <w:sz w:val="32"/>
          <w:szCs w:val="32"/>
        </w:rPr>
        <w:t>、</w:t>
      </w:r>
      <w:r>
        <w:rPr>
          <w:rFonts w:hint="eastAsia" w:ascii="仿宋" w:eastAsia="仿宋"/>
          <w:sz w:val="32"/>
          <w:szCs w:val="32"/>
          <w:lang w:eastAsia="zh-CN"/>
        </w:rPr>
        <w:t>支出</w:t>
      </w:r>
      <w:r>
        <w:rPr>
          <w:rFonts w:hint="eastAsia" w:ascii="仿宋" w:eastAsia="仿宋"/>
          <w:sz w:val="32"/>
          <w:szCs w:val="32"/>
        </w:rPr>
        <w:t>总计</w:t>
      </w:r>
      <w:r>
        <w:rPr>
          <w:rFonts w:hint="eastAsia" w:ascii="仿宋" w:eastAsia="仿宋"/>
          <w:sz w:val="32"/>
          <w:szCs w:val="32"/>
          <w:lang w:val="en-US" w:eastAsia="zh-CN"/>
        </w:rPr>
        <w:t>1174.59</w:t>
      </w:r>
      <w:r>
        <w:rPr>
          <w:rFonts w:hint="eastAsia" w:ascii="仿宋" w:hAnsi="仿宋" w:eastAsia="仿宋" w:cs="仿宋"/>
          <w:kern w:val="0"/>
          <w:sz w:val="32"/>
          <w:szCs w:val="32"/>
          <w:shd w:val="clear" w:color="auto" w:fill="FFFFFF"/>
          <w:lang w:val="en-US" w:eastAsia="zh-CN" w:bidi="ar"/>
        </w:rPr>
        <w:t>万元</w:t>
      </w:r>
      <w:r>
        <w:rPr>
          <w:rFonts w:hint="eastAsia" w:ascii="仿宋" w:eastAsia="仿宋"/>
          <w:sz w:val="32"/>
          <w:szCs w:val="32"/>
          <w:lang w:eastAsia="zh-CN"/>
        </w:rPr>
        <w:t>都</w:t>
      </w:r>
      <w:r>
        <w:rPr>
          <w:rFonts w:hint="eastAsia" w:ascii="仿宋" w:eastAsia="仿宋"/>
          <w:sz w:val="32"/>
          <w:szCs w:val="32"/>
          <w:lang w:val="en-US" w:eastAsia="zh-CN"/>
        </w:rPr>
        <w:t>增加</w:t>
      </w:r>
      <w:r>
        <w:rPr>
          <w:rFonts w:hint="eastAsia" w:ascii="仿宋" w:eastAsia="仿宋"/>
          <w:sz w:val="32"/>
          <w:szCs w:val="32"/>
          <w:lang w:eastAsia="zh-CN"/>
        </w:rPr>
        <w:t>了</w:t>
      </w:r>
      <w:r>
        <w:rPr>
          <w:rFonts w:hint="eastAsia" w:ascii="仿宋" w:eastAsia="仿宋"/>
          <w:sz w:val="32"/>
          <w:szCs w:val="32"/>
          <w:lang w:val="en-US" w:eastAsia="zh-CN"/>
        </w:rPr>
        <w:t>436.58</w:t>
      </w:r>
      <w:r>
        <w:rPr>
          <w:rFonts w:hint="eastAsia" w:ascii="仿宋" w:eastAsia="仿宋"/>
          <w:sz w:val="32"/>
          <w:szCs w:val="32"/>
        </w:rPr>
        <w:t>万元，</w:t>
      </w:r>
      <w:r>
        <w:rPr>
          <w:rFonts w:hint="eastAsia" w:ascii="仿宋" w:eastAsia="仿宋"/>
          <w:sz w:val="32"/>
          <w:szCs w:val="32"/>
          <w:lang w:eastAsia="zh-CN"/>
        </w:rPr>
        <w:t>增加</w:t>
      </w:r>
      <w:r>
        <w:rPr>
          <w:rFonts w:hint="eastAsia" w:ascii="仿宋" w:eastAsia="仿宋"/>
          <w:sz w:val="32"/>
          <w:szCs w:val="32"/>
          <w:lang w:val="en-US" w:eastAsia="zh-CN"/>
        </w:rPr>
        <w:t>37.17%的</w:t>
      </w:r>
      <w:r>
        <w:rPr>
          <w:rFonts w:hint="eastAsia" w:ascii="仿宋" w:eastAsia="仿宋"/>
          <w:sz w:val="32"/>
          <w:szCs w:val="32"/>
        </w:rPr>
        <w:t>主要变动原因是</w:t>
      </w:r>
      <w:r>
        <w:rPr>
          <w:rFonts w:hint="eastAsia" w:ascii="仿宋" w:eastAsia="仿宋"/>
          <w:sz w:val="32"/>
          <w:szCs w:val="32"/>
          <w:lang w:val="en-US" w:eastAsia="zh-CN"/>
        </w:rPr>
        <w:t>2025年项目调整、新增独立核算机构1个等。</w:t>
      </w:r>
    </w:p>
    <w:p w14:paraId="44766111">
      <w:pPr>
        <w:pStyle w:val="8"/>
        <w:pageBreakBefore w:val="0"/>
        <w:kinsoku/>
        <w:wordWrap/>
        <w:overflowPunct/>
        <w:topLinePunct w:val="0"/>
        <w:bidi w:val="0"/>
        <w:spacing w:line="240" w:lineRule="auto"/>
        <w:ind w:left="0" w:leftChars="0" w:firstLine="0" w:firstLineChars="0"/>
        <w:jc w:val="both"/>
        <w:rPr>
          <w:rFonts w:hint="default"/>
          <w:lang w:val="en-US" w:eastAsia="zh-CN"/>
        </w:rPr>
      </w:pPr>
      <w:r>
        <w:drawing>
          <wp:inline distT="0" distB="0" distL="114300" distR="114300">
            <wp:extent cx="5627370" cy="2685415"/>
            <wp:effectExtent l="9525" t="9525" r="20955" b="10160"/>
            <wp:docPr id="13" name="图片 12"/>
            <wp:cNvGraphicFramePr/>
            <a:graphic xmlns:a="http://schemas.openxmlformats.org/drawingml/2006/main">
              <a:graphicData uri="http://schemas.openxmlformats.org/drawingml/2006/picture">
                <pic:pic xmlns:pic="http://schemas.openxmlformats.org/drawingml/2006/picture">
                  <pic:nvPicPr>
                    <pic:cNvPr id="13" name="图片 12"/>
                    <pic:cNvPicPr/>
                  </pic:nvPicPr>
                  <pic:blipFill>
                    <a:blip r:embed="rId13"/>
                    <a:stretch>
                      <a:fillRect/>
                    </a:stretch>
                  </pic:blipFill>
                  <pic:spPr>
                    <a:xfrm>
                      <a:off x="0" y="0"/>
                      <a:ext cx="5627370" cy="2685415"/>
                    </a:xfrm>
                    <a:prstGeom prst="rect">
                      <a:avLst/>
                    </a:prstGeom>
                    <a:ln>
                      <a:solidFill>
                        <a:srgbClr val="FEFFFF"/>
                      </a:solidFill>
                    </a:ln>
                    <a:extLst>
                      <a:ext uri="{8CAD56D8-0F58-4FB8-B24C-77498146470C}">
                        <wpswe:webExtensionRef xmlns:wpswe="http://www.wps.cn/officeDocument/2018/webExtension" r:id="rId12"/>
                      </a:ext>
                      <wpswe:webExtensionRef xmlns:wpswe="http://www.wps.cn/officeDocument/2018/webExtension" r:id="rId12"/>
                    </a:extLst>
                  </pic:spPr>
                </pic:pic>
              </a:graphicData>
            </a:graphic>
          </wp:inline>
        </w:drawing>
      </w:r>
    </w:p>
    <w:p w14:paraId="309DAE7D">
      <w:pPr>
        <w:pageBreakBefore w:val="0"/>
        <w:kinsoku/>
        <w:wordWrap/>
        <w:overflowPunct/>
        <w:topLinePunct w:val="0"/>
        <w:bidi w:val="0"/>
        <w:spacing w:line="240" w:lineRule="auto"/>
        <w:rPr>
          <w:rFonts w:ascii="仿宋" w:eastAsia="仿宋"/>
          <w:sz w:val="32"/>
          <w:szCs w:val="32"/>
        </w:rPr>
      </w:pPr>
    </w:p>
    <w:p w14:paraId="5B6C5456">
      <w:pPr>
        <w:pageBreakBefore w:val="0"/>
        <w:kinsoku/>
        <w:wordWrap/>
        <w:overflowPunct/>
        <w:topLinePunct w:val="0"/>
        <w:bidi w:val="0"/>
        <w:spacing w:line="240" w:lineRule="auto"/>
        <w:ind w:firstLine="640" w:firstLineChars="200"/>
        <w:rPr>
          <w:rFonts w:ascii="仿宋" w:eastAsia="仿宋"/>
          <w:sz w:val="32"/>
          <w:szCs w:val="32"/>
        </w:rPr>
      </w:pPr>
      <w:r>
        <w:rPr>
          <w:rFonts w:hint="eastAsia" w:ascii="仿宋" w:eastAsia="仿宋"/>
          <w:sz w:val="32"/>
          <w:szCs w:val="32"/>
        </w:rPr>
        <w:t>（图4：财政拨款收、支决算总计变动情况）（柱状图）</w:t>
      </w:r>
    </w:p>
    <w:p w14:paraId="1E7F2677">
      <w:pPr>
        <w:pageBreakBefore w:val="0"/>
        <w:kinsoku/>
        <w:wordWrap/>
        <w:overflowPunct/>
        <w:topLinePunct w:val="0"/>
        <w:bidi w:val="0"/>
        <w:spacing w:line="240" w:lineRule="auto"/>
        <w:ind w:firstLine="640"/>
        <w:rPr>
          <w:rFonts w:ascii="仿宋" w:eastAsia="仿宋"/>
          <w:b/>
          <w:sz w:val="32"/>
          <w:szCs w:val="32"/>
        </w:rPr>
      </w:pPr>
    </w:p>
    <w:p w14:paraId="15EE77C8">
      <w:pPr>
        <w:pageBreakBefore w:val="0"/>
        <w:kinsoku/>
        <w:wordWrap/>
        <w:overflowPunct/>
        <w:topLinePunct w:val="0"/>
        <w:bidi w:val="0"/>
        <w:spacing w:line="240" w:lineRule="auto"/>
        <w:ind w:firstLine="640" w:firstLineChars="200"/>
        <w:outlineLvl w:val="1"/>
        <w:rPr>
          <w:rStyle w:val="21"/>
          <w:rFonts w:ascii="黑体" w:eastAsia="黑体"/>
          <w:b w:val="0"/>
        </w:rPr>
      </w:pPr>
      <w:bookmarkStart w:id="38" w:name="_Toc15396607"/>
      <w:bookmarkStart w:id="39" w:name="_Toc15377209"/>
      <w:bookmarkStart w:id="40" w:name="_Toc13113"/>
      <w:r>
        <w:rPr>
          <w:rFonts w:hint="eastAsia" w:ascii="黑体" w:eastAsia="黑体"/>
          <w:sz w:val="32"/>
          <w:szCs w:val="32"/>
        </w:rPr>
        <w:t>五、</w:t>
      </w:r>
      <w:r>
        <w:rPr>
          <w:rFonts w:hint="eastAsia" w:ascii="黑体" w:eastAsia="黑体"/>
          <w:b/>
          <w:sz w:val="32"/>
          <w:szCs w:val="32"/>
        </w:rPr>
        <w:t>一</w:t>
      </w:r>
      <w:r>
        <w:rPr>
          <w:rStyle w:val="21"/>
          <w:rFonts w:hint="eastAsia" w:ascii="黑体" w:eastAsia="黑体"/>
          <w:b w:val="0"/>
        </w:rPr>
        <w:t>般公共预算财政拨款支出决算情况说明</w:t>
      </w:r>
      <w:bookmarkEnd w:id="38"/>
      <w:bookmarkEnd w:id="39"/>
      <w:bookmarkEnd w:id="40"/>
    </w:p>
    <w:p w14:paraId="49C84BB1">
      <w:pPr>
        <w:pageBreakBefore w:val="0"/>
        <w:kinsoku/>
        <w:wordWrap/>
        <w:overflowPunct/>
        <w:topLinePunct w:val="0"/>
        <w:bidi w:val="0"/>
        <w:spacing w:line="240" w:lineRule="auto"/>
        <w:ind w:firstLine="643" w:firstLineChars="200"/>
        <w:outlineLvl w:val="2"/>
        <w:rPr>
          <w:rFonts w:ascii="仿宋" w:eastAsia="仿宋"/>
          <w:b/>
          <w:sz w:val="32"/>
          <w:szCs w:val="32"/>
        </w:rPr>
      </w:pPr>
      <w:bookmarkStart w:id="41" w:name="_Toc15377210"/>
      <w:r>
        <w:rPr>
          <w:rFonts w:hint="eastAsia" w:ascii="仿宋" w:eastAsia="仿宋"/>
          <w:b/>
          <w:sz w:val="32"/>
          <w:szCs w:val="32"/>
        </w:rPr>
        <w:t>（一）一般公共预算财政拨款支出决算总体情况</w:t>
      </w:r>
      <w:bookmarkEnd w:id="41"/>
    </w:p>
    <w:p w14:paraId="051DFB98">
      <w:pPr>
        <w:pageBreakBefore w:val="0"/>
        <w:kinsoku/>
        <w:wordWrap/>
        <w:overflowPunct/>
        <w:topLinePunct w:val="0"/>
        <w:bidi w:val="0"/>
        <w:spacing w:line="240" w:lineRule="auto"/>
        <w:ind w:firstLine="640" w:firstLineChars="200"/>
        <w:rPr>
          <w:rFonts w:ascii="仿宋" w:eastAsia="仿宋"/>
          <w:sz w:val="32"/>
          <w:szCs w:val="32"/>
        </w:rPr>
      </w:pPr>
      <w:r>
        <w:rPr>
          <w:rFonts w:hint="eastAsia" w:ascii="仿宋" w:eastAsia="仿宋"/>
          <w:sz w:val="32"/>
          <w:szCs w:val="32"/>
          <w:lang w:eastAsia="zh-CN"/>
        </w:rPr>
        <w:t>2025</w:t>
      </w:r>
      <w:r>
        <w:rPr>
          <w:rFonts w:hint="eastAsia" w:ascii="仿宋" w:eastAsia="仿宋"/>
          <w:sz w:val="32"/>
          <w:szCs w:val="32"/>
        </w:rPr>
        <w:t>年一般公共预算财政拨款支出</w:t>
      </w:r>
      <w:r>
        <w:rPr>
          <w:rFonts w:hint="eastAsia" w:ascii="仿宋" w:eastAsia="仿宋"/>
          <w:sz w:val="32"/>
          <w:szCs w:val="32"/>
          <w:lang w:val="en-US" w:eastAsia="zh-CN"/>
        </w:rPr>
        <w:t>1611.17</w:t>
      </w:r>
      <w:r>
        <w:rPr>
          <w:rFonts w:hint="eastAsia" w:ascii="仿宋" w:eastAsia="仿宋"/>
          <w:sz w:val="32"/>
          <w:szCs w:val="32"/>
        </w:rPr>
        <w:t>万元，占本年支出合计的</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。与</w:t>
      </w:r>
      <w:r>
        <w:rPr>
          <w:rFonts w:hint="eastAsia" w:ascii="仿宋" w:eastAsia="仿宋"/>
          <w:sz w:val="32"/>
          <w:szCs w:val="32"/>
          <w:lang w:eastAsia="zh-CN"/>
        </w:rPr>
        <w:t>2024</w:t>
      </w:r>
      <w:r>
        <w:rPr>
          <w:rFonts w:hint="eastAsia" w:ascii="仿宋" w:eastAsia="仿宋"/>
          <w:sz w:val="32"/>
          <w:szCs w:val="32"/>
        </w:rPr>
        <w:t>年</w:t>
      </w:r>
      <w:r>
        <w:rPr>
          <w:rFonts w:hint="eastAsia" w:ascii="仿宋" w:eastAsia="仿宋"/>
          <w:sz w:val="32"/>
          <w:szCs w:val="32"/>
          <w:lang w:val="en-US" w:eastAsia="zh-CN"/>
        </w:rPr>
        <w:t>1174.59</w:t>
      </w:r>
      <w:r>
        <w:rPr>
          <w:rFonts w:hint="eastAsia" w:ascii="仿宋" w:hAnsi="仿宋" w:eastAsia="仿宋" w:cs="仿宋"/>
          <w:kern w:val="0"/>
          <w:sz w:val="32"/>
          <w:szCs w:val="32"/>
          <w:shd w:val="clear" w:color="auto" w:fill="FFFFFF"/>
          <w:lang w:val="en-US" w:eastAsia="zh-CN" w:bidi="ar"/>
        </w:rPr>
        <w:t>万元</w:t>
      </w:r>
      <w:r>
        <w:rPr>
          <w:rFonts w:hint="eastAsia" w:ascii="仿宋" w:eastAsia="仿宋"/>
          <w:sz w:val="32"/>
          <w:szCs w:val="32"/>
        </w:rPr>
        <w:t>相比，一般公共预算财政拨款支出</w:t>
      </w:r>
      <w:r>
        <w:rPr>
          <w:rFonts w:hint="eastAsia" w:ascii="仿宋" w:eastAsia="仿宋"/>
          <w:sz w:val="32"/>
          <w:szCs w:val="32"/>
          <w:lang w:eastAsia="zh-CN"/>
        </w:rPr>
        <w:t>减少</w:t>
      </w:r>
      <w:r>
        <w:rPr>
          <w:rFonts w:hint="eastAsia" w:ascii="仿宋" w:eastAsia="仿宋"/>
          <w:sz w:val="32"/>
          <w:szCs w:val="32"/>
          <w:lang w:val="en-US" w:eastAsia="zh-CN"/>
        </w:rPr>
        <w:t>436.58</w:t>
      </w:r>
      <w:r>
        <w:rPr>
          <w:rFonts w:hint="eastAsia" w:ascii="仿宋" w:eastAsia="仿宋"/>
          <w:sz w:val="32"/>
          <w:szCs w:val="32"/>
        </w:rPr>
        <w:t>万元，</w:t>
      </w:r>
      <w:r>
        <w:rPr>
          <w:rFonts w:hint="eastAsia" w:ascii="仿宋" w:eastAsia="仿宋"/>
          <w:sz w:val="32"/>
          <w:szCs w:val="32"/>
          <w:lang w:eastAsia="zh-CN"/>
        </w:rPr>
        <w:t>减少</w:t>
      </w:r>
      <w:r>
        <w:rPr>
          <w:rFonts w:hint="eastAsia" w:ascii="仿宋" w:eastAsia="仿宋"/>
          <w:sz w:val="32"/>
          <w:szCs w:val="32"/>
          <w:lang w:val="en-US" w:eastAsia="zh-CN"/>
        </w:rPr>
        <w:t>37.17</w:t>
      </w:r>
      <w:r>
        <w:rPr>
          <w:rFonts w:ascii="仿宋" w:eastAsia="仿宋"/>
          <w:sz w:val="32"/>
          <w:szCs w:val="32"/>
        </w:rPr>
        <w:t>%</w:t>
      </w:r>
      <w:r>
        <w:rPr>
          <w:rFonts w:hint="eastAsia" w:ascii="仿宋" w:eastAsia="仿宋"/>
          <w:sz w:val="32"/>
          <w:szCs w:val="32"/>
        </w:rPr>
        <w:t>。主要变动原因是</w:t>
      </w:r>
      <w:r>
        <w:rPr>
          <w:rFonts w:hint="eastAsia" w:ascii="仿宋" w:eastAsia="仿宋"/>
          <w:sz w:val="32"/>
          <w:szCs w:val="32"/>
          <w:lang w:eastAsia="zh-CN"/>
        </w:rPr>
        <w:t>项目调整、</w:t>
      </w:r>
      <w:r>
        <w:rPr>
          <w:rFonts w:hint="eastAsia" w:ascii="仿宋" w:eastAsia="仿宋"/>
          <w:sz w:val="32"/>
          <w:szCs w:val="32"/>
          <w:lang w:val="en-US" w:eastAsia="zh-CN"/>
        </w:rPr>
        <w:t>新增独立核算机构数1个</w:t>
      </w:r>
      <w:r>
        <w:rPr>
          <w:rFonts w:hint="eastAsia" w:ascii="仿宋" w:eastAsia="仿宋"/>
          <w:sz w:val="32"/>
          <w:szCs w:val="32"/>
          <w:lang w:eastAsia="zh-CN"/>
        </w:rPr>
        <w:t>等。</w:t>
      </w:r>
    </w:p>
    <w:p w14:paraId="7D9FBA2B">
      <w:pPr>
        <w:pStyle w:val="8"/>
      </w:pPr>
      <w:r>
        <w:drawing>
          <wp:inline distT="0" distB="0" distL="114300" distR="114300">
            <wp:extent cx="4752975" cy="2743200"/>
            <wp:effectExtent l="0" t="0" r="9525" b="0"/>
            <wp:docPr id="33" name="图片 32"/>
            <wp:cNvGraphicFramePr/>
            <a:graphic xmlns:a="http://schemas.openxmlformats.org/drawingml/2006/main">
              <a:graphicData uri="http://schemas.openxmlformats.org/drawingml/2006/picture">
                <pic:pic xmlns:pic="http://schemas.openxmlformats.org/drawingml/2006/picture">
                  <pic:nvPicPr>
                    <pic:cNvPr id="33" name="图片 32"/>
                    <pic:cNvPicPr/>
                  </pic:nvPicPr>
                  <pic:blipFill>
                    <a:blip r:embed="rId15"/>
                    <a:stretch>
                      <a:fillRect/>
                    </a:stretch>
                  </pic:blipFill>
                  <pic:spPr>
                    <a:xfrm>
                      <a:off x="0" y="0"/>
                      <a:ext cx="4752975" cy="2743200"/>
                    </a:xfrm>
                    <a:prstGeom prst="rect">
                      <a:avLst/>
                    </a:prstGeom>
                    <a:extLst>
                      <a:ext uri="{8CAD56D8-0F58-4FB8-B24C-77498146470C}">
                        <wpswe:webExtensionRef xmlns:wpswe="http://www.wps.cn/officeDocument/2018/webExtension" r:id="rId14"/>
                      </a:ext>
                      <wpswe:webExtensionRef xmlns:wpswe="http://www.wps.cn/officeDocument/2018/webExtension" r:id="rId14"/>
                    </a:extLst>
                  </pic:spPr>
                </pic:pic>
              </a:graphicData>
            </a:graphic>
          </wp:inline>
        </w:drawing>
      </w:r>
    </w:p>
    <w:p w14:paraId="262C1144">
      <w:pPr>
        <w:pageBreakBefore w:val="0"/>
        <w:kinsoku/>
        <w:wordWrap/>
        <w:overflowPunct/>
        <w:topLinePunct w:val="0"/>
        <w:bidi w:val="0"/>
        <w:spacing w:line="240" w:lineRule="auto"/>
        <w:ind w:firstLine="640" w:firstLineChars="200"/>
        <w:rPr>
          <w:rFonts w:ascii="仿宋" w:eastAsia="仿宋"/>
          <w:sz w:val="32"/>
          <w:szCs w:val="32"/>
        </w:rPr>
      </w:pPr>
      <w:r>
        <w:rPr>
          <w:rFonts w:hint="eastAsia" w:ascii="仿宋" w:eastAsia="仿宋"/>
          <w:sz w:val="32"/>
          <w:szCs w:val="32"/>
        </w:rPr>
        <w:t>（图5：一般公共预算财政拨款支出决算变动情况）（柱状图）</w:t>
      </w:r>
    </w:p>
    <w:p w14:paraId="35638369">
      <w:pPr>
        <w:pageBreakBefore w:val="0"/>
        <w:kinsoku/>
        <w:wordWrap/>
        <w:overflowPunct/>
        <w:topLinePunct w:val="0"/>
        <w:bidi w:val="0"/>
        <w:spacing w:line="240" w:lineRule="auto"/>
        <w:ind w:firstLine="643" w:firstLineChars="200"/>
        <w:outlineLvl w:val="2"/>
        <w:rPr>
          <w:rFonts w:ascii="仿宋" w:eastAsia="仿宋"/>
          <w:b/>
          <w:sz w:val="32"/>
          <w:szCs w:val="32"/>
        </w:rPr>
      </w:pPr>
      <w:bookmarkStart w:id="42" w:name="_Toc15377211"/>
      <w:r>
        <w:rPr>
          <w:rFonts w:hint="eastAsia" w:ascii="仿宋" w:eastAsia="仿宋"/>
          <w:b/>
          <w:sz w:val="32"/>
          <w:szCs w:val="32"/>
        </w:rPr>
        <w:t>（二）一般公共预算财政拨款支出决算结构情况</w:t>
      </w:r>
      <w:bookmarkEnd w:id="42"/>
    </w:p>
    <w:p w14:paraId="02F137F9">
      <w:pPr>
        <w:pageBreakBefore w:val="0"/>
        <w:kinsoku/>
        <w:wordWrap/>
        <w:overflowPunct/>
        <w:topLinePunct w:val="0"/>
        <w:bidi w:val="0"/>
        <w:spacing w:line="240" w:lineRule="auto"/>
        <w:ind w:firstLine="640"/>
        <w:rPr>
          <w:rFonts w:hint="default" w:ascii="仿宋" w:eastAsia="仿宋"/>
          <w:sz w:val="32"/>
          <w:szCs w:val="32"/>
          <w:lang w:val="en-US" w:eastAsia="zh-CN"/>
        </w:rPr>
      </w:pPr>
      <w:r>
        <w:rPr>
          <w:rFonts w:hint="eastAsia" w:ascii="仿宋" w:eastAsia="仿宋"/>
          <w:sz w:val="32"/>
          <w:szCs w:val="32"/>
          <w:lang w:eastAsia="zh-CN"/>
        </w:rPr>
        <w:t>2025</w:t>
      </w:r>
      <w:r>
        <w:rPr>
          <w:rFonts w:hint="eastAsia" w:ascii="仿宋" w:eastAsia="仿宋"/>
          <w:sz w:val="32"/>
          <w:szCs w:val="32"/>
        </w:rPr>
        <w:t>年一般公共预算财政拨款支出</w:t>
      </w:r>
      <w:r>
        <w:rPr>
          <w:rFonts w:hint="eastAsia" w:ascii="仿宋" w:eastAsia="仿宋"/>
          <w:sz w:val="32"/>
          <w:szCs w:val="32"/>
          <w:lang w:val="en-US" w:eastAsia="zh-CN"/>
        </w:rPr>
        <w:t>1611.17</w:t>
      </w:r>
      <w:r>
        <w:rPr>
          <w:rFonts w:hint="eastAsia" w:ascii="仿宋" w:eastAsia="仿宋"/>
          <w:sz w:val="32"/>
          <w:szCs w:val="32"/>
        </w:rPr>
        <w:t>万元，主要用于以下方面</w:t>
      </w:r>
      <w:r>
        <w:rPr>
          <w:rFonts w:hint="eastAsia" w:ascii="仿宋" w:eastAsia="仿宋"/>
          <w:sz w:val="32"/>
          <w:szCs w:val="32"/>
          <w:lang w:eastAsia="zh-CN"/>
        </w:rPr>
        <w:t>：</w:t>
      </w:r>
      <w:r>
        <w:rPr>
          <w:rFonts w:hint="eastAsia" w:ascii="仿宋" w:eastAsia="仿宋"/>
          <w:b/>
          <w:sz w:val="32"/>
          <w:szCs w:val="32"/>
        </w:rPr>
        <w:t>一般公共服务（类）</w:t>
      </w:r>
      <w:r>
        <w:rPr>
          <w:rFonts w:hint="eastAsia" w:ascii="仿宋" w:eastAsia="仿宋"/>
          <w:sz w:val="32"/>
          <w:szCs w:val="32"/>
        </w:rPr>
        <w:t>支出</w:t>
      </w:r>
      <w:r>
        <w:rPr>
          <w:rFonts w:hint="eastAsia" w:ascii="仿宋" w:eastAsia="仿宋"/>
          <w:sz w:val="32"/>
          <w:szCs w:val="32"/>
          <w:lang w:val="en-US" w:eastAsia="zh-CN"/>
        </w:rPr>
        <w:t>1091.66</w:t>
      </w:r>
      <w:r>
        <w:rPr>
          <w:rFonts w:hint="eastAsia" w:ascii="仿宋" w:eastAsia="仿宋"/>
          <w:sz w:val="32"/>
          <w:szCs w:val="32"/>
        </w:rPr>
        <w:t>万元，占</w:t>
      </w:r>
      <w:r>
        <w:rPr>
          <w:rFonts w:hint="eastAsia" w:ascii="仿宋" w:eastAsia="仿宋"/>
          <w:sz w:val="32"/>
          <w:szCs w:val="32"/>
          <w:lang w:val="en-US" w:eastAsia="zh-CN"/>
        </w:rPr>
        <w:t>67.76</w:t>
      </w:r>
      <w:r>
        <w:rPr>
          <w:rFonts w:ascii="仿宋" w:eastAsia="仿宋"/>
          <w:sz w:val="32"/>
          <w:szCs w:val="32"/>
        </w:rPr>
        <w:t>%</w:t>
      </w:r>
      <w:r>
        <w:rPr>
          <w:rFonts w:hint="eastAsia" w:ascii="仿宋" w:eastAsia="仿宋"/>
          <w:sz w:val="32"/>
          <w:szCs w:val="32"/>
        </w:rPr>
        <w:t>；</w:t>
      </w:r>
      <w:r>
        <w:rPr>
          <w:rFonts w:hint="eastAsia" w:ascii="仿宋" w:eastAsia="仿宋"/>
          <w:b/>
          <w:sz w:val="32"/>
          <w:szCs w:val="32"/>
        </w:rPr>
        <w:t>教育支出（类）</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r>
        <w:rPr>
          <w:rFonts w:hint="eastAsia" w:ascii="仿宋" w:eastAsia="仿宋"/>
          <w:b/>
          <w:sz w:val="32"/>
          <w:szCs w:val="32"/>
        </w:rPr>
        <w:t>科学技术（类）</w:t>
      </w:r>
      <w:r>
        <w:rPr>
          <w:rFonts w:hint="eastAsia" w:ascii="仿宋" w:eastAsia="仿宋"/>
          <w:sz w:val="32"/>
          <w:szCs w:val="32"/>
        </w:rPr>
        <w:t>支出</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文化旅游体育与传媒（类）支出</w:t>
      </w:r>
      <w:r>
        <w:rPr>
          <w:rFonts w:hint="eastAsia" w:ascii="仿宋" w:eastAsia="仿宋"/>
          <w:b/>
          <w:bCs/>
          <w:sz w:val="32"/>
          <w:szCs w:val="32"/>
          <w:lang w:val="en-US" w:eastAsia="zh-CN"/>
        </w:rPr>
        <w:t>0</w:t>
      </w:r>
      <w:r>
        <w:rPr>
          <w:rFonts w:hint="eastAsia" w:ascii="仿宋" w:eastAsia="仿宋"/>
          <w:b/>
          <w:bCs/>
          <w:sz w:val="32"/>
          <w:szCs w:val="32"/>
        </w:rPr>
        <w:t>万元，占</w:t>
      </w:r>
      <w:r>
        <w:rPr>
          <w:rFonts w:hint="eastAsia" w:ascii="仿宋" w:eastAsia="仿宋"/>
          <w:b/>
          <w:bCs/>
          <w:sz w:val="32"/>
          <w:szCs w:val="32"/>
          <w:lang w:val="en-US" w:eastAsia="zh-CN"/>
        </w:rPr>
        <w:t>0</w:t>
      </w:r>
      <w:r>
        <w:rPr>
          <w:rFonts w:ascii="仿宋" w:eastAsia="仿宋"/>
          <w:b/>
          <w:bCs/>
          <w:sz w:val="32"/>
          <w:szCs w:val="32"/>
        </w:rPr>
        <w:t>%</w:t>
      </w:r>
      <w:r>
        <w:rPr>
          <w:rFonts w:hint="eastAsia" w:ascii="仿宋" w:eastAsia="仿宋"/>
          <w:sz w:val="32"/>
          <w:szCs w:val="32"/>
        </w:rPr>
        <w:t>；</w:t>
      </w:r>
      <w:r>
        <w:rPr>
          <w:rFonts w:hint="eastAsia" w:ascii="仿宋" w:eastAsia="仿宋"/>
          <w:b/>
          <w:sz w:val="32"/>
          <w:szCs w:val="32"/>
        </w:rPr>
        <w:t>社会保障和就业（类）</w:t>
      </w:r>
      <w:r>
        <w:rPr>
          <w:rFonts w:hint="eastAsia" w:ascii="仿宋" w:eastAsia="仿宋"/>
          <w:sz w:val="32"/>
          <w:szCs w:val="32"/>
        </w:rPr>
        <w:t>支出</w:t>
      </w:r>
      <w:r>
        <w:rPr>
          <w:rFonts w:hint="eastAsia" w:ascii="仿宋" w:eastAsia="仿宋"/>
          <w:sz w:val="32"/>
          <w:szCs w:val="32"/>
          <w:lang w:val="en-US" w:eastAsia="zh-CN"/>
        </w:rPr>
        <w:t>136.32</w:t>
      </w:r>
      <w:r>
        <w:rPr>
          <w:rFonts w:hint="eastAsia" w:ascii="仿宋" w:eastAsia="仿宋"/>
          <w:sz w:val="32"/>
          <w:szCs w:val="32"/>
        </w:rPr>
        <w:t>万元，占</w:t>
      </w:r>
      <w:r>
        <w:rPr>
          <w:rFonts w:hint="eastAsia" w:ascii="仿宋" w:eastAsia="仿宋"/>
          <w:sz w:val="32"/>
          <w:szCs w:val="32"/>
          <w:lang w:val="en-US" w:eastAsia="zh-CN"/>
        </w:rPr>
        <w:t>8.46</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卫生健康支出</w:t>
      </w:r>
      <w:r>
        <w:rPr>
          <w:rFonts w:hint="eastAsia" w:ascii="仿宋" w:eastAsia="仿宋"/>
          <w:sz w:val="32"/>
          <w:szCs w:val="32"/>
          <w:lang w:val="en-US" w:eastAsia="zh-CN"/>
        </w:rPr>
        <w:t>50.57</w:t>
      </w:r>
      <w:r>
        <w:rPr>
          <w:rFonts w:hint="eastAsia" w:ascii="仿宋" w:eastAsia="仿宋"/>
          <w:sz w:val="32"/>
          <w:szCs w:val="32"/>
        </w:rPr>
        <w:t>万元，占</w:t>
      </w:r>
      <w:r>
        <w:rPr>
          <w:rFonts w:hint="eastAsia" w:ascii="仿宋" w:eastAsia="仿宋"/>
          <w:sz w:val="32"/>
          <w:szCs w:val="32"/>
          <w:lang w:val="en-US" w:eastAsia="zh-CN"/>
        </w:rPr>
        <w:t>3.14</w:t>
      </w:r>
      <w:r>
        <w:rPr>
          <w:rFonts w:ascii="仿宋" w:eastAsia="仿宋"/>
          <w:sz w:val="32"/>
          <w:szCs w:val="32"/>
        </w:rPr>
        <w:t>%</w:t>
      </w:r>
      <w:r>
        <w:rPr>
          <w:rFonts w:hint="eastAsia" w:ascii="仿宋" w:eastAsia="仿宋"/>
          <w:sz w:val="32"/>
          <w:szCs w:val="32"/>
        </w:rPr>
        <w:t>；</w:t>
      </w:r>
      <w:r>
        <w:rPr>
          <w:rFonts w:hint="eastAsia" w:ascii="仿宋" w:eastAsia="仿宋"/>
          <w:b/>
          <w:bCs/>
          <w:sz w:val="32"/>
          <w:szCs w:val="32"/>
        </w:rPr>
        <w:t>住房保障支出</w:t>
      </w:r>
      <w:r>
        <w:rPr>
          <w:rFonts w:hint="eastAsia" w:ascii="仿宋" w:eastAsia="仿宋"/>
          <w:sz w:val="32"/>
          <w:szCs w:val="32"/>
          <w:lang w:val="en-US" w:eastAsia="zh-CN"/>
        </w:rPr>
        <w:t>72.27</w:t>
      </w:r>
      <w:r>
        <w:rPr>
          <w:rFonts w:hint="eastAsia" w:ascii="仿宋" w:eastAsia="仿宋"/>
          <w:sz w:val="32"/>
          <w:szCs w:val="32"/>
        </w:rPr>
        <w:t>万元，占</w:t>
      </w:r>
      <w:r>
        <w:rPr>
          <w:rFonts w:hint="eastAsia" w:ascii="仿宋" w:eastAsia="仿宋"/>
          <w:sz w:val="32"/>
          <w:szCs w:val="32"/>
          <w:lang w:val="en-US" w:eastAsia="zh-CN"/>
        </w:rPr>
        <w:t>4.49</w:t>
      </w:r>
      <w:r>
        <w:rPr>
          <w:rFonts w:ascii="仿宋" w:eastAsia="仿宋"/>
          <w:sz w:val="32"/>
          <w:szCs w:val="32"/>
        </w:rPr>
        <w:t>%</w:t>
      </w:r>
      <w:r>
        <w:rPr>
          <w:rFonts w:hint="eastAsia" w:ascii="仿宋" w:eastAsia="仿宋"/>
          <w:sz w:val="32"/>
          <w:szCs w:val="32"/>
          <w:lang w:eastAsia="zh-CN"/>
        </w:rPr>
        <w:t>；</w:t>
      </w:r>
      <w:r>
        <w:rPr>
          <w:rFonts w:hint="eastAsia" w:ascii="仿宋" w:eastAsia="仿宋"/>
          <w:b/>
          <w:bCs/>
          <w:sz w:val="32"/>
          <w:szCs w:val="32"/>
          <w:lang w:eastAsia="zh-CN"/>
        </w:rPr>
        <w:t>资源勘探工业信息等支出</w:t>
      </w:r>
      <w:r>
        <w:rPr>
          <w:rFonts w:hint="eastAsia" w:ascii="仿宋" w:eastAsia="仿宋"/>
          <w:sz w:val="32"/>
          <w:szCs w:val="32"/>
          <w:lang w:val="en-US" w:eastAsia="zh-CN"/>
        </w:rPr>
        <w:t>260.36万元，占16.15%。</w:t>
      </w:r>
    </w:p>
    <w:p w14:paraId="09EF7CE9">
      <w:pPr>
        <w:pStyle w:val="8"/>
        <w:pageBreakBefore w:val="0"/>
        <w:kinsoku/>
        <w:wordWrap/>
        <w:overflowPunct/>
        <w:topLinePunct w:val="0"/>
        <w:bidi w:val="0"/>
        <w:spacing w:line="240" w:lineRule="auto"/>
        <w:rPr>
          <w:rFonts w:ascii="仿宋" w:eastAsia="仿宋"/>
          <w:sz w:val="32"/>
          <w:szCs w:val="32"/>
        </w:rPr>
      </w:pPr>
      <w:r>
        <w:drawing>
          <wp:inline distT="0" distB="0" distL="114300" distR="114300">
            <wp:extent cx="4847590" cy="3523615"/>
            <wp:effectExtent l="9525" t="9525" r="19685" b="10160"/>
            <wp:docPr id="34" name="图片 33"/>
            <wp:cNvGraphicFramePr/>
            <a:graphic xmlns:a="http://schemas.openxmlformats.org/drawingml/2006/main">
              <a:graphicData uri="http://schemas.openxmlformats.org/drawingml/2006/picture">
                <pic:pic xmlns:pic="http://schemas.openxmlformats.org/drawingml/2006/picture">
                  <pic:nvPicPr>
                    <pic:cNvPr id="34" name="图片 33"/>
                    <pic:cNvPicPr/>
                  </pic:nvPicPr>
                  <pic:blipFill>
                    <a:blip r:embed="rId17"/>
                    <a:stretch>
                      <a:fillRect/>
                    </a:stretch>
                  </pic:blipFill>
                  <pic:spPr>
                    <a:xfrm>
                      <a:off x="0" y="0"/>
                      <a:ext cx="4847590" cy="3523615"/>
                    </a:xfrm>
                    <a:prstGeom prst="rect">
                      <a:avLst/>
                    </a:prstGeom>
                    <a:ln>
                      <a:solidFill>
                        <a:scrgbClr r="0" g="100000" b="100000"/>
                      </a:solidFill>
                    </a:ln>
                    <a:extLst>
                      <a:ext uri="{8CAD56D8-0F58-4FB8-B24C-77498146470C}">
                        <wpswe:webExtensionRef xmlns:wpswe="http://www.wps.cn/officeDocument/2018/webExtension" r:id="rId16"/>
                      </a:ext>
                      <wpswe:webExtensionRef xmlns:wpswe="http://www.wps.cn/officeDocument/2018/webExtension" r:id="rId16"/>
                    </a:extLst>
                  </pic:spPr>
                </pic:pic>
              </a:graphicData>
            </a:graphic>
          </wp:inline>
        </w:drawing>
      </w:r>
    </w:p>
    <w:p w14:paraId="548DD45B">
      <w:pPr>
        <w:pageBreakBefore w:val="0"/>
        <w:kinsoku/>
        <w:wordWrap/>
        <w:overflowPunct/>
        <w:topLinePunct w:val="0"/>
        <w:bidi w:val="0"/>
        <w:spacing w:line="240" w:lineRule="auto"/>
        <w:ind w:firstLine="640" w:firstLineChars="200"/>
        <w:rPr>
          <w:rFonts w:ascii="仿宋" w:eastAsia="仿宋"/>
          <w:sz w:val="32"/>
          <w:szCs w:val="32"/>
        </w:rPr>
      </w:pPr>
      <w:r>
        <w:rPr>
          <w:rFonts w:hint="eastAsia" w:ascii="仿宋" w:eastAsia="仿宋"/>
          <w:sz w:val="32"/>
          <w:szCs w:val="32"/>
        </w:rPr>
        <w:t>（图6：一般公共预算财政拨款支出决算结构）（饼状图）</w:t>
      </w:r>
    </w:p>
    <w:p w14:paraId="05A35080">
      <w:pPr>
        <w:pageBreakBefore w:val="0"/>
        <w:kinsoku/>
        <w:wordWrap/>
        <w:overflowPunct/>
        <w:topLinePunct w:val="0"/>
        <w:bidi w:val="0"/>
        <w:spacing w:line="240" w:lineRule="auto"/>
        <w:ind w:firstLine="643" w:firstLineChars="200"/>
        <w:outlineLvl w:val="2"/>
        <w:rPr>
          <w:rFonts w:ascii="仿宋" w:eastAsia="仿宋"/>
          <w:b/>
          <w:sz w:val="32"/>
          <w:szCs w:val="32"/>
        </w:rPr>
      </w:pPr>
      <w:bookmarkStart w:id="43" w:name="_Toc15377212"/>
      <w:r>
        <w:rPr>
          <w:rFonts w:hint="eastAsia" w:ascii="仿宋" w:eastAsia="仿宋"/>
          <w:b/>
          <w:sz w:val="32"/>
          <w:szCs w:val="32"/>
        </w:rPr>
        <w:t>（三）一般公共预算财政拨款支出决算具体情况</w:t>
      </w:r>
      <w:bookmarkEnd w:id="43"/>
    </w:p>
    <w:p w14:paraId="023DAE9E">
      <w:pPr>
        <w:pageBreakBefore w:val="0"/>
        <w:kinsoku/>
        <w:wordWrap/>
        <w:overflowPunct/>
        <w:topLinePunct w:val="0"/>
        <w:bidi w:val="0"/>
        <w:spacing w:line="240" w:lineRule="auto"/>
        <w:ind w:firstLine="640" w:firstLineChars="200"/>
        <w:outlineLvl w:val="3"/>
        <w:rPr>
          <w:rFonts w:hint="eastAsia" w:ascii="仿宋" w:eastAsia="仿宋"/>
          <w:b w:val="0"/>
          <w:bCs/>
          <w:sz w:val="32"/>
          <w:szCs w:val="32"/>
          <w:lang w:eastAsia="zh-CN"/>
        </w:rPr>
      </w:pPr>
      <w:bookmarkStart w:id="44" w:name="_Toc15377213"/>
      <w:bookmarkStart w:id="45" w:name="_Toc15378460"/>
      <w:bookmarkStart w:id="46" w:name="_Toc15377444"/>
      <w:r>
        <w:rPr>
          <w:rFonts w:hint="eastAsia" w:ascii="仿宋" w:eastAsia="仿宋"/>
          <w:b w:val="0"/>
          <w:bCs/>
          <w:sz w:val="32"/>
          <w:szCs w:val="32"/>
          <w:lang w:eastAsia="zh-CN"/>
        </w:rPr>
        <w:t>2025</w:t>
      </w:r>
      <w:r>
        <w:rPr>
          <w:rFonts w:hint="eastAsia" w:ascii="仿宋" w:eastAsia="仿宋"/>
          <w:b w:val="0"/>
          <w:bCs/>
          <w:sz w:val="32"/>
          <w:szCs w:val="32"/>
        </w:rPr>
        <w:t>年一般公共预算支出决算数为</w:t>
      </w:r>
      <w:r>
        <w:rPr>
          <w:rFonts w:hint="eastAsia" w:ascii="仿宋" w:eastAsia="仿宋"/>
          <w:b w:val="0"/>
          <w:bCs/>
          <w:sz w:val="32"/>
          <w:szCs w:val="32"/>
          <w:lang w:val="en-US" w:eastAsia="zh-CN"/>
        </w:rPr>
        <w:t>1174.59万元</w:t>
      </w:r>
      <w:r>
        <w:rPr>
          <w:rFonts w:hint="eastAsia" w:ascii="仿宋" w:eastAsia="仿宋"/>
          <w:b w:val="0"/>
          <w:bCs/>
          <w:sz w:val="32"/>
          <w:szCs w:val="32"/>
        </w:rPr>
        <w:t>，</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100</w:t>
      </w:r>
      <w:r>
        <w:rPr>
          <w:rStyle w:val="18"/>
          <w:rFonts w:ascii="仿宋" w:eastAsia="仿宋"/>
          <w:b w:val="0"/>
          <w:bCs/>
          <w:sz w:val="32"/>
          <w:szCs w:val="32"/>
        </w:rPr>
        <w:t>%</w:t>
      </w:r>
      <w:r>
        <w:rPr>
          <w:rStyle w:val="18"/>
          <w:rFonts w:hint="eastAsia" w:ascii="仿宋" w:eastAsia="仿宋"/>
          <w:b w:val="0"/>
          <w:bCs/>
          <w:sz w:val="32"/>
          <w:szCs w:val="32"/>
        </w:rPr>
        <w:t>。其中</w:t>
      </w:r>
      <w:bookmarkEnd w:id="44"/>
      <w:bookmarkEnd w:id="45"/>
      <w:bookmarkEnd w:id="46"/>
      <w:r>
        <w:rPr>
          <w:rStyle w:val="18"/>
          <w:rFonts w:hint="eastAsia" w:ascii="仿宋" w:eastAsia="仿宋"/>
          <w:b w:val="0"/>
          <w:bCs/>
          <w:sz w:val="32"/>
          <w:szCs w:val="32"/>
          <w:lang w:eastAsia="zh-CN"/>
        </w:rPr>
        <w:t>：</w:t>
      </w:r>
    </w:p>
    <w:p w14:paraId="00D5C64E">
      <w:pPr>
        <w:pStyle w:val="8"/>
        <w:pageBreakBefore w:val="0"/>
        <w:kinsoku/>
        <w:wordWrap/>
        <w:overflowPunct/>
        <w:topLinePunct w:val="0"/>
        <w:bidi w:val="0"/>
        <w:spacing w:line="240" w:lineRule="auto"/>
        <w:outlineLvl w:val="3"/>
        <w:rPr>
          <w:rFonts w:hint="default"/>
          <w:b/>
          <w:bCs/>
          <w:lang w:val="en-US" w:eastAsia="zh-CN"/>
        </w:rPr>
      </w:pPr>
      <w:r>
        <w:rPr>
          <w:rFonts w:hint="eastAsia" w:ascii="仿宋" w:hAnsi="仿宋" w:eastAsia="仿宋" w:cs="仿宋"/>
          <w:b/>
          <w:bCs/>
          <w:kern w:val="0"/>
          <w:sz w:val="32"/>
          <w:szCs w:val="32"/>
          <w:shd w:val="clear" w:color="auto" w:fill="FFFFFF"/>
          <w:lang w:val="en-US" w:eastAsia="zh-CN" w:bidi="ar"/>
        </w:rPr>
        <w:t>1.一般公共服务</w:t>
      </w:r>
      <w:r>
        <w:rPr>
          <w:rStyle w:val="18"/>
          <w:rFonts w:hint="eastAsia" w:ascii="仿宋" w:hAnsi="仿宋" w:eastAsia="仿宋"/>
          <w:bCs/>
          <w:color w:val="000000"/>
          <w:sz w:val="32"/>
          <w:szCs w:val="32"/>
        </w:rPr>
        <w:t>（类）</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（款）</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（项）</w:t>
      </w:r>
      <w:r>
        <w:rPr>
          <w:rFonts w:hint="eastAsia" w:ascii="仿宋" w:hAnsi="仿宋" w:eastAsia="仿宋" w:cs="仿宋"/>
          <w:b/>
          <w:bCs/>
          <w:kern w:val="0"/>
          <w:sz w:val="32"/>
          <w:szCs w:val="32"/>
          <w:shd w:val="clear" w:color="auto" w:fill="FFFFFF"/>
          <w:lang w:val="en-US" w:eastAsia="zh-CN" w:bidi="ar"/>
        </w:rPr>
        <w:t>：</w:t>
      </w:r>
    </w:p>
    <w:p w14:paraId="3FF02C11">
      <w:pPr>
        <w:pageBreakBefore w:val="0"/>
        <w:numPr>
          <w:ilvl w:val="0"/>
          <w:numId w:val="0"/>
        </w:numPr>
        <w:kinsoku/>
        <w:wordWrap/>
        <w:overflowPunct/>
        <w:topLinePunct w:val="0"/>
        <w:bidi w:val="0"/>
        <w:spacing w:line="240" w:lineRule="auto"/>
        <w:ind w:firstLine="640" w:firstLineChars="200"/>
        <w:rPr>
          <w:rStyle w:val="18"/>
          <w:rFonts w:hint="eastAsia" w:ascii="仿宋" w:eastAsia="仿宋"/>
          <w:b w:val="0"/>
          <w:bCs/>
          <w:sz w:val="32"/>
          <w:szCs w:val="32"/>
          <w:lang w:val="en-US" w:eastAsia="zh-CN"/>
        </w:rPr>
      </w:pPr>
      <w:r>
        <w:rPr>
          <w:rStyle w:val="18"/>
          <w:rFonts w:hint="eastAsia" w:ascii="仿宋" w:eastAsia="仿宋"/>
          <w:b w:val="0"/>
          <w:bCs w:val="0"/>
          <w:sz w:val="32"/>
          <w:szCs w:val="32"/>
          <w:lang w:val="en-US" w:eastAsia="zh-CN"/>
        </w:rPr>
        <w:t>2013101（行政运行）：</w:t>
      </w:r>
      <w:r>
        <w:rPr>
          <w:rStyle w:val="18"/>
          <w:rFonts w:hint="eastAsia" w:ascii="仿宋" w:eastAsia="仿宋"/>
          <w:b w:val="0"/>
          <w:bCs/>
          <w:sz w:val="32"/>
          <w:szCs w:val="32"/>
        </w:rPr>
        <w:t>支出决算为</w:t>
      </w:r>
      <w:r>
        <w:rPr>
          <w:rStyle w:val="18"/>
          <w:rFonts w:hint="eastAsia" w:ascii="仿宋" w:eastAsia="仿宋"/>
          <w:b w:val="0"/>
          <w:bCs/>
          <w:sz w:val="32"/>
          <w:szCs w:val="32"/>
          <w:lang w:val="en-US" w:eastAsia="zh-CN"/>
        </w:rPr>
        <w:t>709.88</w:t>
      </w:r>
      <w:r>
        <w:rPr>
          <w:rStyle w:val="18"/>
          <w:rFonts w:hint="eastAsia" w:ascii="仿宋" w:eastAsia="仿宋"/>
          <w:b w:val="0"/>
          <w:bCs/>
          <w:sz w:val="32"/>
          <w:szCs w:val="32"/>
        </w:rPr>
        <w:t>万元</w:t>
      </w:r>
      <w:r>
        <w:rPr>
          <w:rStyle w:val="18"/>
          <w:rFonts w:hint="eastAsia" w:ascii="仿宋" w:eastAsia="仿宋"/>
          <w:b w:val="0"/>
          <w:bCs/>
          <w:sz w:val="32"/>
          <w:szCs w:val="32"/>
          <w:lang w:eastAsia="zh-CN"/>
        </w:rPr>
        <w:t>，完成预算的</w:t>
      </w:r>
      <w:r>
        <w:rPr>
          <w:rStyle w:val="18"/>
          <w:rFonts w:hint="eastAsia" w:ascii="仿宋" w:eastAsia="仿宋"/>
          <w:b w:val="0"/>
          <w:bCs/>
          <w:sz w:val="32"/>
          <w:szCs w:val="32"/>
          <w:lang w:val="en-US" w:eastAsia="zh-CN"/>
        </w:rPr>
        <w:t>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0358F14C">
      <w:pPr>
        <w:pageBreakBefore w:val="0"/>
        <w:numPr>
          <w:ilvl w:val="0"/>
          <w:numId w:val="0"/>
        </w:numPr>
        <w:kinsoku/>
        <w:wordWrap/>
        <w:overflowPunct/>
        <w:topLinePunct w:val="0"/>
        <w:bidi w:val="0"/>
        <w:spacing w:line="240" w:lineRule="auto"/>
        <w:ind w:firstLine="640" w:firstLineChars="200"/>
        <w:rPr>
          <w:rStyle w:val="18"/>
          <w:rFonts w:hint="eastAsia" w:ascii="仿宋" w:hAnsi="仿宋" w:eastAsia="仿宋"/>
          <w:b w:val="0"/>
          <w:bCs/>
          <w:color w:val="000000"/>
          <w:sz w:val="32"/>
          <w:szCs w:val="32"/>
        </w:rPr>
      </w:pPr>
      <w:r>
        <w:rPr>
          <w:rStyle w:val="18"/>
          <w:rFonts w:hint="eastAsia" w:ascii="仿宋" w:hAnsi="Times New Roman" w:eastAsia="仿宋" w:cs="Times New Roman"/>
          <w:b w:val="0"/>
          <w:bCs w:val="0"/>
          <w:sz w:val="32"/>
          <w:szCs w:val="32"/>
          <w:lang w:val="en-US" w:eastAsia="zh-CN"/>
        </w:rPr>
        <w:t>2013102（一般行政管理事务）：</w:t>
      </w:r>
      <w:r>
        <w:rPr>
          <w:rStyle w:val="18"/>
          <w:rFonts w:hint="eastAsia" w:ascii="仿宋" w:hAnsi="Times New Roman" w:eastAsia="仿宋" w:cs="Times New Roman"/>
          <w:b w:val="0"/>
          <w:bCs/>
          <w:sz w:val="32"/>
          <w:szCs w:val="32"/>
          <w:lang w:val="en-US" w:eastAsia="zh-CN"/>
        </w:rPr>
        <w:t>支出决算为</w:t>
      </w:r>
      <w:r>
        <w:rPr>
          <w:rStyle w:val="18"/>
          <w:rFonts w:hint="eastAsia" w:ascii="仿宋" w:eastAsia="仿宋" w:cs="Times New Roman"/>
          <w:b w:val="0"/>
          <w:bCs/>
          <w:sz w:val="32"/>
          <w:szCs w:val="32"/>
          <w:lang w:val="en-US" w:eastAsia="zh-CN"/>
        </w:rPr>
        <w:t>323.34</w:t>
      </w:r>
      <w:r>
        <w:rPr>
          <w:rStyle w:val="18"/>
          <w:rFonts w:hint="eastAsia" w:ascii="仿宋" w:hAnsi="Times New Roman" w:eastAsia="仿宋" w:cs="Times New Roman"/>
          <w:b w:val="0"/>
          <w:bCs/>
          <w:sz w:val="32"/>
          <w:szCs w:val="32"/>
          <w:lang w:val="en-US" w:eastAsia="zh-CN"/>
        </w:rPr>
        <w:t>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3EC89766">
      <w:pPr>
        <w:pageBreakBefore w:val="0"/>
        <w:numPr>
          <w:ilvl w:val="0"/>
          <w:numId w:val="0"/>
        </w:numPr>
        <w:kinsoku/>
        <w:wordWrap/>
        <w:overflowPunct/>
        <w:topLinePunct w:val="0"/>
        <w:bidi w:val="0"/>
        <w:spacing w:line="240" w:lineRule="auto"/>
        <w:ind w:firstLine="640" w:firstLineChars="200"/>
        <w:rPr>
          <w:rFonts w:hint="default" w:eastAsia="仿宋"/>
          <w:lang w:val="en-US" w:eastAsia="zh-CN"/>
        </w:rPr>
      </w:pPr>
      <w:r>
        <w:rPr>
          <w:rStyle w:val="18"/>
          <w:rFonts w:hint="eastAsia" w:ascii="仿宋" w:hAnsi="仿宋" w:eastAsia="仿宋"/>
          <w:b w:val="0"/>
          <w:bCs/>
          <w:color w:val="000000"/>
          <w:sz w:val="32"/>
          <w:szCs w:val="32"/>
          <w:lang w:val="en-US" w:eastAsia="zh-CN"/>
        </w:rPr>
        <w:t>2013150（事业运行）：</w:t>
      </w:r>
      <w:r>
        <w:rPr>
          <w:rStyle w:val="18"/>
          <w:rFonts w:hint="eastAsia" w:ascii="仿宋" w:hAnsi="Times New Roman" w:eastAsia="仿宋" w:cs="Times New Roman"/>
          <w:b w:val="0"/>
          <w:bCs/>
          <w:sz w:val="32"/>
          <w:szCs w:val="32"/>
          <w:lang w:val="en-US" w:eastAsia="zh-CN"/>
        </w:rPr>
        <w:t>支出决算</w:t>
      </w:r>
      <w:r>
        <w:rPr>
          <w:rStyle w:val="18"/>
          <w:rFonts w:hint="eastAsia" w:ascii="仿宋" w:eastAsia="仿宋" w:cs="Times New Roman"/>
          <w:b w:val="0"/>
          <w:bCs/>
          <w:sz w:val="32"/>
          <w:szCs w:val="32"/>
          <w:lang w:val="en-US" w:eastAsia="zh-CN"/>
        </w:rPr>
        <w:t>为</w:t>
      </w:r>
      <w:r>
        <w:rPr>
          <w:rStyle w:val="18"/>
          <w:rFonts w:hint="eastAsia" w:ascii="仿宋" w:hAnsi="仿宋" w:eastAsia="仿宋"/>
          <w:b w:val="0"/>
          <w:bCs/>
          <w:color w:val="000000"/>
          <w:sz w:val="32"/>
          <w:szCs w:val="32"/>
          <w:lang w:val="en-US" w:eastAsia="zh-CN"/>
        </w:rPr>
        <w:t>54.44万元，完成预算的100%，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46A77FDF">
      <w:pPr>
        <w:pStyle w:val="2"/>
        <w:rPr>
          <w:rStyle w:val="18"/>
          <w:rFonts w:hint="eastAsia" w:ascii="仿宋" w:eastAsia="仿宋" w:cs="Times New Roman"/>
          <w:b w:val="0"/>
          <w:bCs w:val="0"/>
          <w:kern w:val="2"/>
          <w:sz w:val="32"/>
          <w:szCs w:val="32"/>
          <w:lang w:val="en-US" w:eastAsia="zh-CN" w:bidi="ar-SA"/>
        </w:rPr>
      </w:pPr>
      <w:r>
        <w:rPr>
          <w:rStyle w:val="18"/>
          <w:rFonts w:hint="default" w:ascii="仿宋" w:hAnsi="Times New Roman" w:eastAsia="仿宋" w:cs="Times New Roman"/>
          <w:b w:val="0"/>
          <w:bCs w:val="0"/>
          <w:kern w:val="2"/>
          <w:sz w:val="32"/>
          <w:szCs w:val="32"/>
          <w:lang w:val="en-US" w:eastAsia="zh-CN" w:bidi="ar-SA"/>
        </w:rPr>
        <w:t>2013199</w:t>
      </w:r>
      <w:r>
        <w:rPr>
          <w:rStyle w:val="18"/>
          <w:rFonts w:hint="eastAsia" w:ascii="仿宋" w:eastAsia="仿宋" w:cs="Times New Roman"/>
          <w:b w:val="0"/>
          <w:bCs w:val="0"/>
          <w:kern w:val="2"/>
          <w:sz w:val="32"/>
          <w:szCs w:val="32"/>
          <w:lang w:val="en-US" w:eastAsia="zh-CN" w:bidi="ar-SA"/>
        </w:rPr>
        <w:t>（其他党委办公厅室及相关机构事务支出）：</w:t>
      </w:r>
    </w:p>
    <w:p w14:paraId="1CED8965">
      <w:pPr>
        <w:pStyle w:val="2"/>
        <w:rPr>
          <w:rStyle w:val="18"/>
          <w:rFonts w:hint="default" w:ascii="仿宋" w:eastAsia="仿宋" w:cs="Times New Roman"/>
          <w:b w:val="0"/>
          <w:bCs w:val="0"/>
          <w:kern w:val="2"/>
          <w:sz w:val="32"/>
          <w:szCs w:val="32"/>
          <w:lang w:val="en-US" w:eastAsia="zh-CN" w:bidi="ar-SA"/>
        </w:rPr>
      </w:pPr>
      <w:r>
        <w:rPr>
          <w:rStyle w:val="18"/>
          <w:rFonts w:hint="eastAsia" w:ascii="仿宋" w:hAnsi="Times New Roman" w:eastAsia="仿宋" w:cs="Times New Roman"/>
          <w:b w:val="0"/>
          <w:bCs/>
          <w:sz w:val="32"/>
          <w:szCs w:val="32"/>
          <w:lang w:val="en-US" w:eastAsia="zh-CN"/>
        </w:rPr>
        <w:t>支出决算为</w:t>
      </w:r>
      <w:r>
        <w:rPr>
          <w:rStyle w:val="18"/>
          <w:rFonts w:hint="eastAsia" w:ascii="仿宋" w:eastAsia="仿宋" w:cs="Times New Roman"/>
          <w:b w:val="0"/>
          <w:bCs/>
          <w:sz w:val="32"/>
          <w:szCs w:val="32"/>
          <w:lang w:val="en-US" w:eastAsia="zh-CN"/>
        </w:rPr>
        <w:t>4.00万元，完成预算的100%，决算数与预算数持平。</w:t>
      </w:r>
    </w:p>
    <w:p w14:paraId="73119624">
      <w:pPr>
        <w:pageBreakBefore w:val="0"/>
        <w:numPr>
          <w:ilvl w:val="0"/>
          <w:numId w:val="0"/>
        </w:numPr>
        <w:kinsoku/>
        <w:wordWrap/>
        <w:overflowPunct/>
        <w:topLinePunct w:val="0"/>
        <w:bidi w:val="0"/>
        <w:spacing w:line="240" w:lineRule="auto"/>
        <w:ind w:firstLine="643" w:firstLineChars="200"/>
        <w:outlineLvl w:val="3"/>
        <w:rPr>
          <w:rStyle w:val="18"/>
          <w:rFonts w:ascii="仿宋" w:eastAsia="仿宋"/>
          <w:bCs/>
          <w:sz w:val="32"/>
          <w:szCs w:val="32"/>
        </w:rPr>
      </w:pPr>
      <w:r>
        <w:rPr>
          <w:rStyle w:val="18"/>
          <w:rFonts w:hint="eastAsia" w:ascii="仿宋" w:eastAsia="仿宋"/>
          <w:bCs/>
          <w:sz w:val="32"/>
          <w:szCs w:val="32"/>
          <w:lang w:val="en-US" w:eastAsia="zh-CN"/>
        </w:rPr>
        <w:t>2.</w:t>
      </w:r>
      <w:r>
        <w:rPr>
          <w:rStyle w:val="18"/>
          <w:rFonts w:hint="eastAsia" w:ascii="仿宋" w:eastAsia="仿宋"/>
          <w:bCs/>
          <w:sz w:val="32"/>
          <w:szCs w:val="32"/>
        </w:rPr>
        <w:t>社会保障和就业</w:t>
      </w:r>
      <w:r>
        <w:rPr>
          <w:rStyle w:val="18"/>
          <w:rFonts w:hint="eastAsia" w:ascii="仿宋" w:hAnsi="仿宋" w:eastAsia="仿宋"/>
          <w:bCs/>
          <w:color w:val="000000"/>
          <w:sz w:val="32"/>
          <w:szCs w:val="32"/>
        </w:rPr>
        <w:t>（类）</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（款）</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（项）</w:t>
      </w:r>
      <w:r>
        <w:rPr>
          <w:rStyle w:val="18"/>
          <w:rFonts w:hint="eastAsia" w:ascii="仿宋" w:hAnsi="仿宋" w:eastAsia="仿宋"/>
          <w:bCs/>
          <w:color w:val="000000"/>
          <w:sz w:val="32"/>
          <w:szCs w:val="32"/>
          <w:lang w:eastAsia="zh-CN"/>
        </w:rPr>
        <w:t>：</w:t>
      </w:r>
    </w:p>
    <w:p w14:paraId="28F083CE">
      <w:pPr>
        <w:pageBreakBefore w:val="0"/>
        <w:numPr>
          <w:ilvl w:val="0"/>
          <w:numId w:val="0"/>
        </w:numPr>
        <w:kinsoku/>
        <w:wordWrap/>
        <w:overflowPunct/>
        <w:topLinePunct w:val="0"/>
        <w:bidi w:val="0"/>
        <w:spacing w:line="240" w:lineRule="auto"/>
        <w:ind w:firstLine="640" w:firstLineChars="200"/>
        <w:rPr>
          <w:rStyle w:val="18"/>
          <w:rFonts w:hint="default" w:ascii="仿宋" w:eastAsia="仿宋"/>
          <w:b w:val="0"/>
          <w:bCs/>
          <w:sz w:val="32"/>
          <w:szCs w:val="32"/>
          <w:lang w:val="en-US" w:eastAsia="zh-CN"/>
        </w:rPr>
      </w:pPr>
      <w:r>
        <w:rPr>
          <w:rStyle w:val="18"/>
          <w:rFonts w:hint="eastAsia" w:ascii="仿宋" w:eastAsia="仿宋"/>
          <w:b w:val="0"/>
          <w:bCs/>
          <w:sz w:val="32"/>
          <w:szCs w:val="32"/>
          <w:lang w:val="en-US" w:eastAsia="zh-CN"/>
        </w:rPr>
        <w:t>2080505（</w:t>
      </w:r>
      <w:r>
        <w:rPr>
          <w:rStyle w:val="18"/>
          <w:rFonts w:hint="eastAsia" w:ascii="仿宋" w:hAnsi="仿宋" w:eastAsia="仿宋"/>
          <w:b w:val="0"/>
          <w:bCs/>
          <w:color w:val="000000"/>
          <w:sz w:val="32"/>
          <w:szCs w:val="32"/>
          <w:lang w:val="en-US" w:eastAsia="zh-CN"/>
        </w:rPr>
        <w:t>机关事业单位基本养老保险缴费支出</w:t>
      </w:r>
      <w:r>
        <w:rPr>
          <w:rStyle w:val="18"/>
          <w:rFonts w:hint="eastAsia" w:ascii="仿宋" w:eastAsia="仿宋"/>
          <w:b w:val="0"/>
          <w:bCs/>
          <w:sz w:val="32"/>
          <w:szCs w:val="32"/>
          <w:lang w:val="en-US" w:eastAsia="zh-CN"/>
        </w:rPr>
        <w:t>）：</w:t>
      </w:r>
      <w:r>
        <w:rPr>
          <w:rStyle w:val="18"/>
          <w:rFonts w:hint="eastAsia" w:ascii="仿宋" w:eastAsia="仿宋"/>
          <w:b w:val="0"/>
          <w:bCs/>
          <w:sz w:val="32"/>
          <w:szCs w:val="32"/>
        </w:rPr>
        <w:t>支出决算为</w:t>
      </w:r>
      <w:r>
        <w:rPr>
          <w:rStyle w:val="18"/>
          <w:rFonts w:hint="eastAsia" w:ascii="仿宋" w:eastAsia="仿宋"/>
          <w:b w:val="0"/>
          <w:bCs/>
          <w:sz w:val="32"/>
          <w:szCs w:val="32"/>
          <w:lang w:val="en-US" w:eastAsia="zh-CN"/>
        </w:rPr>
        <w:t>90.88</w:t>
      </w:r>
      <w:r>
        <w:rPr>
          <w:rStyle w:val="18"/>
          <w:rFonts w:hint="eastAsia" w:ascii="仿宋" w:eastAsia="仿宋"/>
          <w:b w:val="0"/>
          <w:bCs/>
          <w:sz w:val="32"/>
          <w:szCs w:val="32"/>
        </w:rPr>
        <w:t>万元</w:t>
      </w:r>
      <w:r>
        <w:rPr>
          <w:rStyle w:val="18"/>
          <w:rFonts w:hint="eastAsia" w:ascii="仿宋" w:eastAsia="仿宋"/>
          <w:b w:val="0"/>
          <w:bCs/>
          <w:sz w:val="32"/>
          <w:szCs w:val="32"/>
          <w:lang w:eastAsia="zh-CN"/>
        </w:rPr>
        <w:t>，完成预算的</w:t>
      </w:r>
      <w:r>
        <w:rPr>
          <w:rStyle w:val="18"/>
          <w:rFonts w:hint="eastAsia" w:ascii="仿宋" w:eastAsia="仿宋"/>
          <w:b w:val="0"/>
          <w:bCs/>
          <w:sz w:val="32"/>
          <w:szCs w:val="32"/>
          <w:lang w:val="en-US" w:eastAsia="zh-CN"/>
        </w:rPr>
        <w:t>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p>
    <w:p w14:paraId="3AC3A962">
      <w:pPr>
        <w:pageBreakBefore w:val="0"/>
        <w:numPr>
          <w:ilvl w:val="0"/>
          <w:numId w:val="0"/>
        </w:numPr>
        <w:kinsoku/>
        <w:wordWrap/>
        <w:overflowPunct/>
        <w:topLinePunct w:val="0"/>
        <w:bidi w:val="0"/>
        <w:spacing w:line="240" w:lineRule="auto"/>
        <w:ind w:firstLine="640" w:firstLineChars="200"/>
        <w:rPr>
          <w:rStyle w:val="18"/>
          <w:rFonts w:hint="default" w:ascii="仿宋" w:eastAsia="仿宋"/>
          <w:b w:val="0"/>
          <w:bCs/>
          <w:sz w:val="32"/>
          <w:szCs w:val="32"/>
          <w:lang w:val="en-US" w:eastAsia="zh-CN"/>
        </w:rPr>
      </w:pPr>
      <w:r>
        <w:rPr>
          <w:rStyle w:val="18"/>
          <w:rFonts w:hint="eastAsia" w:ascii="仿宋" w:eastAsia="仿宋"/>
          <w:b w:val="0"/>
          <w:bCs/>
          <w:sz w:val="32"/>
          <w:szCs w:val="32"/>
          <w:lang w:val="en-US" w:eastAsia="zh-CN"/>
        </w:rPr>
        <w:t>2080506（</w:t>
      </w:r>
      <w:r>
        <w:rPr>
          <w:rStyle w:val="18"/>
          <w:rFonts w:hint="eastAsia" w:ascii="仿宋" w:hAnsi="仿宋" w:eastAsia="仿宋"/>
          <w:b w:val="0"/>
          <w:bCs/>
          <w:color w:val="000000"/>
          <w:sz w:val="32"/>
          <w:szCs w:val="32"/>
          <w:lang w:val="en-US" w:eastAsia="zh-CN"/>
        </w:rPr>
        <w:t>机关事业单位职业年金缴费支出</w:t>
      </w:r>
      <w:r>
        <w:rPr>
          <w:rStyle w:val="18"/>
          <w:rFonts w:hint="eastAsia" w:ascii="仿宋" w:eastAsia="仿宋"/>
          <w:b w:val="0"/>
          <w:bCs/>
          <w:sz w:val="32"/>
          <w:szCs w:val="32"/>
          <w:lang w:val="en-US" w:eastAsia="zh-CN"/>
        </w:rPr>
        <w:t>）：支出决算为45.44万元，完成预算的100%，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p>
    <w:p w14:paraId="35EF056C">
      <w:pPr>
        <w:pageBreakBefore w:val="0"/>
        <w:numPr>
          <w:ilvl w:val="0"/>
          <w:numId w:val="0"/>
        </w:numPr>
        <w:kinsoku/>
        <w:wordWrap/>
        <w:overflowPunct/>
        <w:topLinePunct w:val="0"/>
        <w:bidi w:val="0"/>
        <w:spacing w:line="240" w:lineRule="auto"/>
        <w:ind w:firstLine="643" w:firstLineChars="200"/>
        <w:outlineLvl w:val="3"/>
        <w:rPr>
          <w:rStyle w:val="18"/>
          <w:rFonts w:ascii="仿宋" w:eastAsia="仿宋"/>
          <w:bCs/>
          <w:sz w:val="32"/>
          <w:szCs w:val="32"/>
        </w:rPr>
      </w:pPr>
      <w:r>
        <w:rPr>
          <w:rFonts w:hint="eastAsia" w:ascii="仿宋" w:eastAsia="仿宋"/>
          <w:b/>
          <w:bCs/>
          <w:sz w:val="32"/>
          <w:szCs w:val="32"/>
          <w:lang w:val="en-US" w:eastAsia="zh-CN"/>
        </w:rPr>
        <w:t>3.卫生健康</w:t>
      </w:r>
      <w:r>
        <w:rPr>
          <w:rStyle w:val="18"/>
          <w:rFonts w:hint="eastAsia" w:ascii="仿宋" w:hAnsi="仿宋" w:eastAsia="仿宋"/>
          <w:bCs/>
          <w:color w:val="000000"/>
          <w:sz w:val="32"/>
          <w:szCs w:val="32"/>
        </w:rPr>
        <w:t>（类）</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（款）</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（项）</w:t>
      </w:r>
      <w:r>
        <w:rPr>
          <w:rStyle w:val="18"/>
          <w:rFonts w:hint="eastAsia" w:ascii="仿宋" w:hAnsi="仿宋" w:eastAsia="仿宋"/>
          <w:bCs/>
          <w:color w:val="000000"/>
          <w:sz w:val="32"/>
          <w:szCs w:val="32"/>
          <w:lang w:eastAsia="zh-CN"/>
        </w:rPr>
        <w:t>：</w:t>
      </w:r>
    </w:p>
    <w:p w14:paraId="173D3330">
      <w:pPr>
        <w:pageBreakBefore w:val="0"/>
        <w:numPr>
          <w:ilvl w:val="0"/>
          <w:numId w:val="0"/>
        </w:numPr>
        <w:kinsoku/>
        <w:wordWrap/>
        <w:overflowPunct/>
        <w:topLinePunct w:val="0"/>
        <w:bidi w:val="0"/>
        <w:spacing w:line="240" w:lineRule="auto"/>
        <w:ind w:firstLine="640" w:firstLineChars="200"/>
        <w:rPr>
          <w:rStyle w:val="18"/>
          <w:rFonts w:hint="eastAsia" w:ascii="仿宋" w:hAnsi="仿宋" w:eastAsia="仿宋"/>
          <w:b w:val="0"/>
          <w:bCs/>
          <w:color w:val="000000"/>
          <w:sz w:val="32"/>
          <w:szCs w:val="32"/>
          <w:lang w:eastAsia="zh-CN"/>
        </w:rPr>
      </w:pPr>
      <w:r>
        <w:rPr>
          <w:rStyle w:val="18"/>
          <w:rFonts w:hint="eastAsia" w:ascii="仿宋" w:eastAsia="仿宋"/>
          <w:b w:val="0"/>
          <w:bCs/>
          <w:sz w:val="32"/>
          <w:szCs w:val="32"/>
          <w:lang w:val="en-US" w:eastAsia="zh-CN"/>
        </w:rPr>
        <w:t>2101101（行政单位医疗）：支出决算为38.21万元，完成预算的100%，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p>
    <w:p w14:paraId="1B99A4B7">
      <w:pPr>
        <w:pageBreakBefore w:val="0"/>
        <w:numPr>
          <w:ilvl w:val="0"/>
          <w:numId w:val="0"/>
        </w:numPr>
        <w:kinsoku/>
        <w:wordWrap/>
        <w:overflowPunct/>
        <w:topLinePunct w:val="0"/>
        <w:bidi w:val="0"/>
        <w:spacing w:line="240" w:lineRule="auto"/>
        <w:ind w:firstLine="640" w:firstLineChars="200"/>
        <w:rPr>
          <w:rFonts w:hint="default"/>
          <w:lang w:val="en-US" w:eastAsia="zh-CN"/>
        </w:rPr>
      </w:pPr>
      <w:r>
        <w:rPr>
          <w:rStyle w:val="18"/>
          <w:rFonts w:hint="eastAsia" w:ascii="仿宋" w:hAnsi="仿宋" w:eastAsia="仿宋"/>
          <w:b w:val="0"/>
          <w:bCs/>
          <w:color w:val="000000"/>
          <w:sz w:val="32"/>
          <w:szCs w:val="32"/>
          <w:lang w:val="en-US" w:eastAsia="zh-CN"/>
        </w:rPr>
        <w:t>2101102（事业单位医疗）：</w:t>
      </w:r>
      <w:r>
        <w:rPr>
          <w:rStyle w:val="18"/>
          <w:rFonts w:hint="eastAsia" w:ascii="仿宋" w:eastAsia="仿宋"/>
          <w:b w:val="0"/>
          <w:bCs/>
          <w:sz w:val="32"/>
          <w:szCs w:val="32"/>
          <w:lang w:val="en-US" w:eastAsia="zh-CN"/>
        </w:rPr>
        <w:t>支出决算为3.12万元，完成预算的100%，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p>
    <w:p w14:paraId="4DB3A08D">
      <w:pPr>
        <w:pageBreakBefore w:val="0"/>
        <w:numPr>
          <w:ilvl w:val="0"/>
          <w:numId w:val="0"/>
        </w:numPr>
        <w:kinsoku/>
        <w:wordWrap/>
        <w:overflowPunct/>
        <w:topLinePunct w:val="0"/>
        <w:bidi w:val="0"/>
        <w:spacing w:line="240" w:lineRule="auto"/>
        <w:ind w:firstLine="640" w:firstLineChars="200"/>
        <w:rPr>
          <w:rStyle w:val="18"/>
          <w:rFonts w:hint="eastAsia" w:ascii="仿宋" w:hAnsi="仿宋" w:eastAsia="仿宋"/>
          <w:b w:val="0"/>
          <w:bCs/>
          <w:color w:val="000000"/>
          <w:sz w:val="32"/>
          <w:szCs w:val="32"/>
        </w:rPr>
      </w:pPr>
      <w:r>
        <w:rPr>
          <w:rStyle w:val="18"/>
          <w:rFonts w:hint="eastAsia" w:ascii="仿宋" w:eastAsia="仿宋"/>
          <w:b w:val="0"/>
          <w:bCs/>
          <w:sz w:val="32"/>
          <w:szCs w:val="32"/>
          <w:lang w:val="en-US" w:eastAsia="zh-CN"/>
        </w:rPr>
        <w:t>2101103（公务员医疗补助）：支出决算为8.69万元，完成预算的100%，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1883771E">
      <w:pPr>
        <w:pageBreakBefore w:val="0"/>
        <w:numPr>
          <w:ilvl w:val="0"/>
          <w:numId w:val="0"/>
        </w:numPr>
        <w:kinsoku/>
        <w:wordWrap/>
        <w:overflowPunct/>
        <w:topLinePunct w:val="0"/>
        <w:bidi w:val="0"/>
        <w:spacing w:line="240" w:lineRule="auto"/>
        <w:ind w:firstLine="640" w:firstLineChars="200"/>
        <w:rPr>
          <w:rStyle w:val="18"/>
          <w:rFonts w:hint="eastAsia" w:ascii="仿宋" w:hAnsi="仿宋" w:eastAsia="仿宋"/>
          <w:b w:val="0"/>
          <w:bCs/>
          <w:color w:val="000000"/>
          <w:sz w:val="32"/>
          <w:szCs w:val="32"/>
        </w:rPr>
      </w:pPr>
      <w:r>
        <w:rPr>
          <w:rStyle w:val="18"/>
          <w:rFonts w:hint="eastAsia" w:ascii="仿宋" w:hAnsi="仿宋" w:eastAsia="仿宋"/>
          <w:b w:val="0"/>
          <w:bCs/>
          <w:color w:val="000000"/>
          <w:sz w:val="32"/>
          <w:szCs w:val="32"/>
          <w:lang w:val="en-US" w:eastAsia="zh-CN"/>
        </w:rPr>
        <w:t>2101199（其他行政事业单位医疗支出）</w:t>
      </w:r>
      <w:r>
        <w:rPr>
          <w:rStyle w:val="18"/>
          <w:rFonts w:hint="eastAsia" w:ascii="仿宋" w:eastAsia="仿宋"/>
          <w:b w:val="0"/>
          <w:bCs/>
          <w:sz w:val="32"/>
          <w:szCs w:val="32"/>
          <w:lang w:val="en-US" w:eastAsia="zh-CN"/>
        </w:rPr>
        <w:t>：支出决算为0.54万元，完成预算的100%，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42D299A3">
      <w:pPr>
        <w:pStyle w:val="2"/>
        <w:rPr>
          <w:rStyle w:val="18"/>
          <w:rFonts w:hint="eastAsia" w:ascii="仿宋" w:hAnsi="仿宋" w:eastAsia="仿宋"/>
          <w:bCs/>
          <w:color w:val="000000"/>
          <w:sz w:val="32"/>
          <w:szCs w:val="32"/>
          <w:lang w:eastAsia="zh-CN"/>
        </w:rPr>
      </w:pPr>
      <w:r>
        <w:rPr>
          <w:rFonts w:hint="eastAsia" w:ascii="仿宋" w:hAnsi="仿宋" w:eastAsia="仿宋"/>
          <w:b/>
          <w:bCs/>
          <w:color w:val="000000"/>
          <w:sz w:val="32"/>
          <w:szCs w:val="32"/>
          <w:lang w:val="en-US" w:eastAsia="zh-CN"/>
        </w:rPr>
        <w:t>4.</w:t>
      </w:r>
      <w:r>
        <w:rPr>
          <w:rFonts w:hint="eastAsia" w:ascii="仿宋" w:hAnsi="仿宋" w:eastAsia="仿宋"/>
          <w:b/>
          <w:bCs/>
          <w:color w:val="000000"/>
          <w:sz w:val="32"/>
          <w:szCs w:val="32"/>
          <w:lang w:eastAsia="zh-CN"/>
        </w:rPr>
        <w:t>资源勘探工业信息等支出</w:t>
      </w:r>
      <w:r>
        <w:rPr>
          <w:rStyle w:val="18"/>
          <w:rFonts w:hint="eastAsia" w:ascii="仿宋" w:hAnsi="仿宋" w:eastAsia="仿宋"/>
          <w:bCs/>
          <w:color w:val="000000"/>
          <w:sz w:val="32"/>
          <w:szCs w:val="32"/>
        </w:rPr>
        <w:t>（类）</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（款）</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（项）</w:t>
      </w:r>
      <w:r>
        <w:rPr>
          <w:rStyle w:val="18"/>
          <w:rFonts w:hint="eastAsia" w:ascii="仿宋" w:hAnsi="仿宋" w:eastAsia="仿宋"/>
          <w:bCs/>
          <w:color w:val="000000"/>
          <w:sz w:val="32"/>
          <w:szCs w:val="32"/>
          <w:lang w:eastAsia="zh-CN"/>
        </w:rPr>
        <w:t>：</w:t>
      </w:r>
    </w:p>
    <w:p w14:paraId="6516B907">
      <w:pPr>
        <w:pStyle w:val="2"/>
        <w:rPr>
          <w:rStyle w:val="18"/>
          <w:rFonts w:hint="default" w:ascii="仿宋" w:hAnsi="Times New Roman" w:eastAsia="仿宋" w:cs="Times New Roman"/>
          <w:b w:val="0"/>
          <w:bCs/>
          <w:kern w:val="2"/>
          <w:sz w:val="32"/>
          <w:szCs w:val="32"/>
          <w:lang w:val="en-US" w:eastAsia="zh-CN" w:bidi="ar-SA"/>
        </w:rPr>
      </w:pPr>
      <w:r>
        <w:rPr>
          <w:rStyle w:val="18"/>
          <w:rFonts w:hint="eastAsia" w:ascii="仿宋" w:hAnsi="Times New Roman" w:eastAsia="仿宋" w:cs="Times New Roman"/>
          <w:b w:val="0"/>
          <w:bCs/>
          <w:kern w:val="2"/>
          <w:sz w:val="32"/>
          <w:szCs w:val="32"/>
          <w:lang w:val="en-US" w:eastAsia="zh-CN" w:bidi="ar-SA"/>
        </w:rPr>
        <w:t>215999</w:t>
      </w:r>
      <w:r>
        <w:rPr>
          <w:rStyle w:val="18"/>
          <w:rFonts w:hint="eastAsia" w:ascii="仿宋" w:eastAsia="仿宋" w:cs="Times New Roman"/>
          <w:b w:val="0"/>
          <w:bCs/>
          <w:kern w:val="2"/>
          <w:sz w:val="32"/>
          <w:szCs w:val="32"/>
          <w:lang w:val="en-US" w:eastAsia="zh-CN" w:bidi="ar-SA"/>
        </w:rPr>
        <w:t>9（其他资源勘探工业信息等支出）：</w:t>
      </w:r>
      <w:r>
        <w:rPr>
          <w:rStyle w:val="18"/>
          <w:rFonts w:hint="eastAsia" w:ascii="仿宋" w:eastAsia="仿宋"/>
          <w:b w:val="0"/>
          <w:bCs/>
          <w:sz w:val="32"/>
          <w:szCs w:val="32"/>
          <w:lang w:val="en-US" w:eastAsia="zh-CN"/>
        </w:rPr>
        <w:t>支出决算为260.36万元，完成预算的100%，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6B362151">
      <w:pPr>
        <w:pageBreakBefore w:val="0"/>
        <w:numPr>
          <w:ilvl w:val="0"/>
          <w:numId w:val="0"/>
        </w:numPr>
        <w:kinsoku/>
        <w:wordWrap/>
        <w:overflowPunct/>
        <w:topLinePunct w:val="0"/>
        <w:bidi w:val="0"/>
        <w:spacing w:line="240" w:lineRule="auto"/>
        <w:ind w:firstLine="643" w:firstLineChars="200"/>
        <w:outlineLvl w:val="3"/>
        <w:rPr>
          <w:rStyle w:val="18"/>
          <w:rFonts w:hint="eastAsia" w:ascii="仿宋" w:eastAsia="仿宋"/>
          <w:b w:val="0"/>
          <w:bCs/>
          <w:sz w:val="32"/>
          <w:szCs w:val="32"/>
          <w:lang w:val="en-US" w:eastAsia="zh-CN"/>
        </w:rPr>
      </w:pPr>
      <w:r>
        <w:rPr>
          <w:rFonts w:hint="eastAsia" w:ascii="仿宋" w:hAnsi="仿宋" w:eastAsia="仿宋"/>
          <w:b/>
          <w:bCs/>
          <w:color w:val="000000"/>
          <w:sz w:val="32"/>
          <w:szCs w:val="32"/>
          <w:lang w:val="en-US" w:eastAsia="zh-CN"/>
        </w:rPr>
        <w:t>5.</w:t>
      </w:r>
      <w:r>
        <w:rPr>
          <w:rFonts w:hint="eastAsia" w:ascii="仿宋" w:hAnsi="仿宋" w:eastAsia="仿宋"/>
          <w:b/>
          <w:bCs/>
          <w:color w:val="000000"/>
          <w:sz w:val="32"/>
          <w:szCs w:val="32"/>
          <w:lang w:eastAsia="zh-CN"/>
        </w:rPr>
        <w:t>住房保障</w:t>
      </w:r>
      <w:r>
        <w:rPr>
          <w:rStyle w:val="18"/>
          <w:rFonts w:hint="eastAsia" w:ascii="仿宋" w:hAnsi="仿宋" w:eastAsia="仿宋"/>
          <w:bCs/>
          <w:color w:val="000000"/>
          <w:sz w:val="32"/>
          <w:szCs w:val="32"/>
        </w:rPr>
        <w:t>（类）</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（款）</w:t>
      </w:r>
      <w:r>
        <w:rPr>
          <w:rStyle w:val="18"/>
          <w:rFonts w:ascii="仿宋" w:hAnsi="仿宋" w:eastAsia="仿宋"/>
          <w:bCs/>
          <w:color w:val="000000"/>
          <w:sz w:val="32"/>
          <w:szCs w:val="32"/>
        </w:rPr>
        <w:t>***</w:t>
      </w:r>
      <w:r>
        <w:rPr>
          <w:rStyle w:val="18"/>
          <w:rFonts w:hint="eastAsia" w:ascii="仿宋" w:hAnsi="仿宋" w:eastAsia="仿宋"/>
          <w:bCs/>
          <w:color w:val="000000"/>
          <w:sz w:val="32"/>
          <w:szCs w:val="32"/>
        </w:rPr>
        <w:t>（项）</w:t>
      </w:r>
      <w:r>
        <w:rPr>
          <w:rStyle w:val="18"/>
          <w:rFonts w:hint="eastAsia" w:ascii="仿宋" w:hAnsi="仿宋" w:eastAsia="仿宋"/>
          <w:bCs/>
          <w:color w:val="000000"/>
          <w:sz w:val="32"/>
          <w:szCs w:val="32"/>
          <w:lang w:eastAsia="zh-CN"/>
        </w:rPr>
        <w:t>：</w:t>
      </w:r>
    </w:p>
    <w:p w14:paraId="2161E60C">
      <w:pPr>
        <w:pageBreakBefore w:val="0"/>
        <w:numPr>
          <w:ilvl w:val="0"/>
          <w:numId w:val="0"/>
        </w:numPr>
        <w:kinsoku/>
        <w:wordWrap/>
        <w:overflowPunct/>
        <w:topLinePunct w:val="0"/>
        <w:bidi w:val="0"/>
        <w:spacing w:line="240" w:lineRule="auto"/>
        <w:ind w:firstLine="640" w:firstLineChars="200"/>
      </w:pPr>
      <w:r>
        <w:rPr>
          <w:rStyle w:val="18"/>
          <w:rFonts w:hint="eastAsia" w:ascii="仿宋" w:eastAsia="仿宋"/>
          <w:b w:val="0"/>
          <w:bCs/>
          <w:sz w:val="32"/>
          <w:szCs w:val="32"/>
          <w:lang w:val="en-US" w:eastAsia="zh-CN"/>
        </w:rPr>
        <w:t>2210201（</w:t>
      </w:r>
      <w:r>
        <w:rPr>
          <w:rFonts w:hint="eastAsia" w:ascii="仿宋" w:hAnsi="仿宋" w:eastAsia="仿宋"/>
          <w:color w:val="000000"/>
          <w:sz w:val="32"/>
          <w:szCs w:val="32"/>
          <w:lang w:val="en-US" w:eastAsia="zh-CN"/>
        </w:rPr>
        <w:t>住房保障支出</w:t>
      </w:r>
      <w:r>
        <w:rPr>
          <w:rStyle w:val="18"/>
          <w:rFonts w:hint="eastAsia" w:ascii="仿宋" w:eastAsia="仿宋"/>
          <w:b w:val="0"/>
          <w:bCs/>
          <w:sz w:val="32"/>
          <w:szCs w:val="32"/>
          <w:lang w:val="en-US" w:eastAsia="zh-CN"/>
        </w:rPr>
        <w:t>）：支出决算为72.27万元，完成预算的100%，</w:t>
      </w:r>
      <w:r>
        <w:rPr>
          <w:rStyle w:val="18"/>
          <w:rFonts w:hint="eastAsia" w:ascii="仿宋" w:hAnsi="仿宋" w:eastAsia="仿宋"/>
          <w:b w:val="0"/>
          <w:bCs/>
          <w:color w:val="000000"/>
          <w:sz w:val="32"/>
          <w:szCs w:val="32"/>
        </w:rPr>
        <w:t>决算数</w:t>
      </w:r>
      <w:r>
        <w:rPr>
          <w:rStyle w:val="18"/>
          <w:rFonts w:hint="eastAsia" w:ascii="仿宋" w:hAnsi="仿宋" w:eastAsia="仿宋"/>
          <w:b w:val="0"/>
          <w:bCs/>
          <w:color w:val="000000"/>
          <w:sz w:val="32"/>
          <w:szCs w:val="32"/>
          <w:lang w:eastAsia="zh-CN"/>
        </w:rPr>
        <w:t>与</w:t>
      </w:r>
      <w:r>
        <w:rPr>
          <w:rStyle w:val="18"/>
          <w:rFonts w:hint="eastAsia" w:ascii="仿宋" w:hAnsi="仿宋" w:eastAsia="仿宋"/>
          <w:b w:val="0"/>
          <w:bCs/>
          <w:color w:val="000000"/>
          <w:sz w:val="32"/>
          <w:szCs w:val="32"/>
        </w:rPr>
        <w:t>预算数</w:t>
      </w:r>
      <w:r>
        <w:rPr>
          <w:rStyle w:val="18"/>
          <w:rFonts w:hint="eastAsia" w:ascii="仿宋" w:hAnsi="仿宋" w:eastAsia="仿宋"/>
          <w:b w:val="0"/>
          <w:bCs/>
          <w:color w:val="000000"/>
          <w:sz w:val="32"/>
          <w:szCs w:val="32"/>
          <w:lang w:eastAsia="zh-CN"/>
        </w:rPr>
        <w:t>持平</w:t>
      </w:r>
      <w:r>
        <w:rPr>
          <w:rStyle w:val="18"/>
          <w:rFonts w:hint="eastAsia" w:ascii="仿宋" w:hAnsi="仿宋" w:eastAsia="仿宋"/>
          <w:b w:val="0"/>
          <w:bCs/>
          <w:color w:val="000000"/>
          <w:sz w:val="32"/>
          <w:szCs w:val="32"/>
        </w:rPr>
        <w:t>。</w:t>
      </w:r>
    </w:p>
    <w:p w14:paraId="3522570F">
      <w:pPr>
        <w:pageBreakBefore w:val="0"/>
        <w:tabs>
          <w:tab w:val="right" w:pos="8306"/>
        </w:tabs>
        <w:kinsoku/>
        <w:wordWrap/>
        <w:overflowPunct/>
        <w:topLinePunct w:val="0"/>
        <w:bidi w:val="0"/>
        <w:spacing w:line="240" w:lineRule="auto"/>
        <w:ind w:firstLine="640"/>
        <w:outlineLvl w:val="1"/>
        <w:rPr>
          <w:rStyle w:val="21"/>
        </w:rPr>
      </w:pPr>
      <w:bookmarkStart w:id="47" w:name="_Toc30148"/>
      <w:bookmarkStart w:id="48" w:name="_Toc15396608"/>
      <w:bookmarkStart w:id="49" w:name="_Toc15377214"/>
      <w:r>
        <w:rPr>
          <w:rFonts w:hint="eastAsia" w:ascii="黑体" w:eastAsia="黑体"/>
          <w:sz w:val="32"/>
          <w:szCs w:val="32"/>
        </w:rPr>
        <w:t>六</w:t>
      </w:r>
      <w:r>
        <w:rPr>
          <w:rFonts w:hint="eastAsia" w:ascii="黑体" w:eastAsia="黑体"/>
          <w:b/>
          <w:sz w:val="32"/>
          <w:szCs w:val="32"/>
        </w:rPr>
        <w:t>、一</w:t>
      </w:r>
      <w:r>
        <w:rPr>
          <w:rStyle w:val="21"/>
          <w:rFonts w:hint="eastAsia" w:ascii="黑体" w:eastAsia="黑体"/>
          <w:b w:val="0"/>
        </w:rPr>
        <w:t>般公共预算财政拨款基本支出决算情况说明</w:t>
      </w:r>
      <w:bookmarkEnd w:id="47"/>
      <w:bookmarkEnd w:id="48"/>
      <w:bookmarkEnd w:id="49"/>
      <w:r>
        <w:rPr>
          <w:rStyle w:val="21"/>
          <w:rFonts w:ascii="黑体" w:eastAsia="黑体"/>
          <w:b w:val="0"/>
        </w:rPr>
        <w:tab/>
      </w:r>
    </w:p>
    <w:p w14:paraId="6649AE76">
      <w:pPr>
        <w:pageBreakBefore w:val="0"/>
        <w:kinsoku/>
        <w:wordWrap/>
        <w:overflowPunct/>
        <w:topLinePunct w:val="0"/>
        <w:bidi w:val="0"/>
        <w:spacing w:line="240" w:lineRule="auto"/>
        <w:ind w:firstLine="645"/>
        <w:rPr>
          <w:rFonts w:ascii="仿宋" w:eastAsia="仿宋"/>
          <w:sz w:val="32"/>
          <w:szCs w:val="32"/>
        </w:rPr>
      </w:pPr>
      <w:r>
        <w:rPr>
          <w:rFonts w:hint="eastAsia" w:ascii="仿宋" w:eastAsia="仿宋"/>
          <w:sz w:val="32"/>
          <w:szCs w:val="32"/>
          <w:lang w:eastAsia="zh-CN"/>
        </w:rPr>
        <w:t>2025</w:t>
      </w:r>
      <w:r>
        <w:rPr>
          <w:rFonts w:hint="eastAsia" w:ascii="仿宋" w:eastAsia="仿宋"/>
          <w:sz w:val="32"/>
          <w:szCs w:val="32"/>
        </w:rPr>
        <w:t>年一般公共预算财政拨款基本支</w:t>
      </w:r>
      <w:r>
        <w:rPr>
          <w:rFonts w:hint="eastAsia" w:ascii="仿宋" w:eastAsia="仿宋"/>
          <w:sz w:val="32"/>
          <w:szCs w:val="32"/>
          <w:highlight w:val="none"/>
        </w:rPr>
        <w:t>出</w:t>
      </w:r>
      <w:r>
        <w:rPr>
          <w:rFonts w:hint="eastAsia" w:ascii="仿宋" w:eastAsia="仿宋"/>
          <w:sz w:val="32"/>
          <w:szCs w:val="32"/>
          <w:highlight w:val="none"/>
          <w:lang w:val="en-US" w:eastAsia="zh-CN"/>
        </w:rPr>
        <w:t>1023.48</w:t>
      </w:r>
      <w:r>
        <w:rPr>
          <w:rFonts w:hint="eastAsia" w:ascii="仿宋" w:eastAsia="仿宋"/>
          <w:sz w:val="32"/>
          <w:szCs w:val="32"/>
          <w:highlight w:val="none"/>
        </w:rPr>
        <w:t>万元，</w:t>
      </w:r>
      <w:r>
        <w:rPr>
          <w:rFonts w:hint="eastAsia" w:ascii="仿宋" w:eastAsia="仿宋"/>
          <w:sz w:val="32"/>
          <w:szCs w:val="32"/>
        </w:rPr>
        <w:t>其中：</w:t>
      </w:r>
    </w:p>
    <w:p w14:paraId="4748E247">
      <w:pPr>
        <w:pageBreakBefore w:val="0"/>
        <w:kinsoku/>
        <w:wordWrap/>
        <w:overflowPunct/>
        <w:topLinePunct w:val="0"/>
        <w:bidi w:val="0"/>
        <w:spacing w:line="240" w:lineRule="auto"/>
        <w:ind w:firstLine="645"/>
        <w:rPr>
          <w:rFonts w:ascii="仿宋" w:eastAsia="仿宋"/>
          <w:b/>
          <w:sz w:val="32"/>
          <w:szCs w:val="32"/>
          <w:highlight w:val="yellow"/>
        </w:rPr>
      </w:pPr>
      <w:r>
        <w:rPr>
          <w:rFonts w:hint="eastAsia" w:ascii="仿宋" w:eastAsia="仿宋"/>
          <w:sz w:val="32"/>
          <w:szCs w:val="32"/>
        </w:rPr>
        <w:t>人员经费</w:t>
      </w:r>
      <w:r>
        <w:rPr>
          <w:rFonts w:hint="eastAsia" w:ascii="仿宋" w:eastAsia="仿宋"/>
          <w:sz w:val="32"/>
          <w:szCs w:val="32"/>
          <w:lang w:val="en-US" w:eastAsia="zh-CN"/>
        </w:rPr>
        <w:t>922.71</w:t>
      </w:r>
      <w:r>
        <w:rPr>
          <w:rFonts w:hint="eastAsia" w:ascii="仿宋" w:eastAsia="仿宋"/>
          <w:sz w:val="32"/>
          <w:szCs w:val="32"/>
        </w:rPr>
        <w:t>万元，主要包括：基本工资</w:t>
      </w:r>
      <w:r>
        <w:rPr>
          <w:rFonts w:hint="eastAsia" w:ascii="仿宋" w:eastAsia="仿宋"/>
          <w:sz w:val="32"/>
          <w:szCs w:val="32"/>
          <w:highlight w:val="none"/>
          <w:lang w:val="en-US" w:eastAsia="zh-CN"/>
        </w:rPr>
        <w:t>180.25</w:t>
      </w:r>
      <w:r>
        <w:rPr>
          <w:rFonts w:hint="eastAsia" w:ascii="仿宋" w:eastAsia="仿宋"/>
          <w:sz w:val="32"/>
          <w:szCs w:val="32"/>
          <w:lang w:val="en-US" w:eastAsia="zh-CN"/>
        </w:rPr>
        <w:t>万元</w:t>
      </w:r>
      <w:r>
        <w:rPr>
          <w:rFonts w:hint="eastAsia" w:ascii="仿宋" w:eastAsia="仿宋"/>
          <w:sz w:val="32"/>
          <w:szCs w:val="32"/>
        </w:rPr>
        <w:t>、津贴补贴</w:t>
      </w:r>
      <w:r>
        <w:rPr>
          <w:rFonts w:hint="eastAsia" w:ascii="仿宋" w:eastAsia="仿宋"/>
          <w:sz w:val="32"/>
          <w:szCs w:val="32"/>
          <w:lang w:val="en-US" w:eastAsia="zh-CN"/>
        </w:rPr>
        <w:t>239.27万元</w:t>
      </w:r>
      <w:r>
        <w:rPr>
          <w:rFonts w:hint="eastAsia" w:ascii="仿宋" w:eastAsia="仿宋"/>
          <w:sz w:val="32"/>
          <w:szCs w:val="32"/>
        </w:rPr>
        <w:t>、奖金</w:t>
      </w:r>
      <w:r>
        <w:rPr>
          <w:rFonts w:hint="eastAsia" w:ascii="仿宋" w:eastAsia="仿宋"/>
          <w:sz w:val="32"/>
          <w:szCs w:val="32"/>
          <w:lang w:val="en-US" w:eastAsia="zh-CN"/>
        </w:rPr>
        <w:t>210.91万元</w:t>
      </w:r>
      <w:r>
        <w:rPr>
          <w:rFonts w:hint="eastAsia" w:ascii="仿宋" w:eastAsia="仿宋"/>
          <w:sz w:val="32"/>
          <w:szCs w:val="32"/>
        </w:rPr>
        <w:t>、</w:t>
      </w:r>
      <w:r>
        <w:rPr>
          <w:rFonts w:hint="eastAsia" w:ascii="仿宋" w:eastAsia="仿宋"/>
          <w:sz w:val="32"/>
          <w:szCs w:val="32"/>
          <w:lang w:eastAsia="zh-CN"/>
        </w:rPr>
        <w:t>伙食补助费</w:t>
      </w:r>
      <w:r>
        <w:rPr>
          <w:rFonts w:hint="eastAsia" w:ascii="仿宋" w:eastAsia="仿宋"/>
          <w:sz w:val="32"/>
          <w:szCs w:val="32"/>
          <w:lang w:val="en-US" w:eastAsia="zh-CN"/>
        </w:rPr>
        <w:t>0万元、绩效工资9.38万元、</w:t>
      </w:r>
      <w:r>
        <w:rPr>
          <w:rFonts w:hint="eastAsia" w:ascii="仿宋" w:eastAsia="仿宋"/>
          <w:sz w:val="32"/>
          <w:szCs w:val="32"/>
        </w:rPr>
        <w:t>机关事业单位基本养老保险缴费</w:t>
      </w:r>
      <w:r>
        <w:rPr>
          <w:rFonts w:hint="eastAsia" w:ascii="仿宋" w:eastAsia="仿宋"/>
          <w:sz w:val="32"/>
          <w:szCs w:val="32"/>
          <w:lang w:val="en-US" w:eastAsia="zh-CN"/>
        </w:rPr>
        <w:t>90.88万元</w:t>
      </w:r>
      <w:r>
        <w:rPr>
          <w:rFonts w:hint="eastAsia" w:ascii="仿宋" w:eastAsia="仿宋"/>
          <w:sz w:val="32"/>
          <w:szCs w:val="32"/>
        </w:rPr>
        <w:t>、职业年金缴费</w:t>
      </w:r>
      <w:r>
        <w:rPr>
          <w:rFonts w:hint="eastAsia" w:ascii="仿宋" w:eastAsia="仿宋"/>
          <w:sz w:val="32"/>
          <w:szCs w:val="32"/>
          <w:lang w:val="en-US" w:eastAsia="zh-CN"/>
        </w:rPr>
        <w:t>45.44万元</w:t>
      </w:r>
      <w:r>
        <w:rPr>
          <w:rFonts w:hint="eastAsia" w:ascii="仿宋" w:eastAsia="仿宋"/>
          <w:sz w:val="32"/>
          <w:szCs w:val="32"/>
        </w:rPr>
        <w:t>、其他社会保障缴费</w:t>
      </w:r>
      <w:r>
        <w:rPr>
          <w:rFonts w:hint="eastAsia" w:ascii="仿宋" w:eastAsia="仿宋"/>
          <w:sz w:val="32"/>
          <w:szCs w:val="32"/>
          <w:lang w:val="en-US" w:eastAsia="zh-CN"/>
        </w:rPr>
        <w:t>2.02万元</w:t>
      </w:r>
      <w:r>
        <w:rPr>
          <w:rFonts w:hint="eastAsia" w:ascii="仿宋" w:eastAsia="仿宋"/>
          <w:sz w:val="32"/>
          <w:szCs w:val="32"/>
        </w:rPr>
        <w:t>、其他工资福利支出</w:t>
      </w:r>
      <w:r>
        <w:rPr>
          <w:rFonts w:hint="eastAsia" w:ascii="仿宋" w:eastAsia="仿宋"/>
          <w:sz w:val="32"/>
          <w:szCs w:val="32"/>
          <w:lang w:val="en-US" w:eastAsia="zh-CN"/>
        </w:rPr>
        <w:t>0万元</w:t>
      </w:r>
      <w:r>
        <w:rPr>
          <w:rFonts w:hint="eastAsia" w:ascii="仿宋" w:eastAsia="仿宋"/>
          <w:sz w:val="32"/>
          <w:szCs w:val="32"/>
        </w:rPr>
        <w:t>、离休费</w:t>
      </w:r>
      <w:r>
        <w:rPr>
          <w:rFonts w:hint="eastAsia" w:ascii="仿宋" w:eastAsia="仿宋"/>
          <w:sz w:val="32"/>
          <w:szCs w:val="32"/>
          <w:lang w:val="en-US" w:eastAsia="zh-CN"/>
        </w:rPr>
        <w:t>0万元</w:t>
      </w:r>
      <w:r>
        <w:rPr>
          <w:rFonts w:hint="eastAsia" w:ascii="仿宋" w:eastAsia="仿宋"/>
          <w:sz w:val="32"/>
          <w:szCs w:val="32"/>
        </w:rPr>
        <w:t>、退休费</w:t>
      </w:r>
      <w:r>
        <w:rPr>
          <w:rFonts w:hint="eastAsia" w:ascii="仿宋" w:eastAsia="仿宋"/>
          <w:sz w:val="32"/>
          <w:szCs w:val="32"/>
          <w:lang w:val="en-US" w:eastAsia="zh-CN"/>
        </w:rPr>
        <w:t>0万元</w:t>
      </w:r>
      <w:r>
        <w:rPr>
          <w:rFonts w:hint="eastAsia" w:ascii="仿宋" w:eastAsia="仿宋"/>
          <w:sz w:val="32"/>
          <w:szCs w:val="32"/>
        </w:rPr>
        <w:t>、抚恤金</w:t>
      </w:r>
      <w:r>
        <w:rPr>
          <w:rFonts w:hint="eastAsia" w:ascii="仿宋" w:eastAsia="仿宋"/>
          <w:sz w:val="32"/>
          <w:szCs w:val="32"/>
          <w:lang w:val="en-US" w:eastAsia="zh-CN"/>
        </w:rPr>
        <w:t>0万元</w:t>
      </w:r>
      <w:r>
        <w:rPr>
          <w:rFonts w:hint="eastAsia" w:ascii="仿宋" w:eastAsia="仿宋"/>
          <w:sz w:val="32"/>
          <w:szCs w:val="32"/>
        </w:rPr>
        <w:t>、</w:t>
      </w:r>
      <w:r>
        <w:rPr>
          <w:rFonts w:hint="eastAsia" w:ascii="仿宋" w:eastAsia="仿宋"/>
          <w:sz w:val="32"/>
          <w:szCs w:val="32"/>
          <w:highlight w:val="none"/>
        </w:rPr>
        <w:t>医疗费</w:t>
      </w:r>
      <w:r>
        <w:rPr>
          <w:rFonts w:hint="eastAsia" w:ascii="仿宋" w:eastAsia="仿宋"/>
          <w:sz w:val="32"/>
          <w:szCs w:val="32"/>
          <w:highlight w:val="none"/>
          <w:lang w:val="en-US" w:eastAsia="zh-CN"/>
        </w:rPr>
        <w:t>2.78万元</w:t>
      </w:r>
      <w:r>
        <w:rPr>
          <w:rFonts w:hint="eastAsia" w:ascii="仿宋" w:eastAsia="仿宋"/>
          <w:sz w:val="32"/>
          <w:szCs w:val="32"/>
          <w:highlight w:val="none"/>
        </w:rPr>
        <w:t>、</w:t>
      </w:r>
      <w:r>
        <w:rPr>
          <w:rFonts w:hint="eastAsia" w:ascii="仿宋" w:eastAsia="仿宋"/>
          <w:sz w:val="32"/>
          <w:szCs w:val="32"/>
        </w:rPr>
        <w:t>住房公积金</w:t>
      </w:r>
      <w:r>
        <w:rPr>
          <w:rFonts w:hint="eastAsia" w:ascii="仿宋" w:eastAsia="仿宋"/>
          <w:sz w:val="32"/>
          <w:szCs w:val="32"/>
          <w:lang w:val="en-US" w:eastAsia="zh-CN"/>
        </w:rPr>
        <w:t>72.27万元、</w:t>
      </w:r>
      <w:r>
        <w:rPr>
          <w:rFonts w:hint="eastAsia" w:ascii="仿宋" w:eastAsia="仿宋"/>
          <w:sz w:val="32"/>
          <w:szCs w:val="32"/>
        </w:rPr>
        <w:t>其他对个人和家庭的补助支出</w:t>
      </w:r>
      <w:r>
        <w:rPr>
          <w:rFonts w:hint="eastAsia" w:ascii="仿宋" w:eastAsia="仿宋"/>
          <w:sz w:val="32"/>
          <w:szCs w:val="32"/>
          <w:lang w:val="en-US" w:eastAsia="zh-CN"/>
        </w:rPr>
        <w:t>0万元、基本医疗保险41.33万元、公务员医疗补助9.23万元</w:t>
      </w:r>
      <w:r>
        <w:rPr>
          <w:rFonts w:hint="eastAsia" w:ascii="仿宋" w:eastAsia="仿宋"/>
          <w:sz w:val="32"/>
          <w:szCs w:val="32"/>
          <w:lang w:eastAsia="zh-CN"/>
        </w:rPr>
        <w:t>、</w:t>
      </w:r>
      <w:r>
        <w:rPr>
          <w:rFonts w:hint="eastAsia" w:ascii="仿宋" w:eastAsia="仿宋"/>
          <w:sz w:val="32"/>
          <w:szCs w:val="32"/>
          <w:lang w:val="en-US" w:eastAsia="zh-CN"/>
        </w:rPr>
        <w:t>生活补助16.62万元、医疗费补助2.30万元、奖励金0.03万元</w:t>
      </w:r>
      <w:r>
        <w:rPr>
          <w:rFonts w:hint="eastAsia" w:ascii="仿宋" w:eastAsia="仿宋"/>
          <w:sz w:val="32"/>
          <w:szCs w:val="32"/>
        </w:rPr>
        <w:t>。</w:t>
      </w:r>
      <w:r>
        <w:rPr>
          <w:rFonts w:ascii="仿宋" w:eastAsia="仿宋"/>
          <w:sz w:val="32"/>
          <w:szCs w:val="32"/>
        </w:rPr>
        <w:br w:type="textWrapping"/>
      </w:r>
      <w:r>
        <w:rPr>
          <w:rFonts w:hint="eastAsia" w:ascii="仿宋" w:eastAsia="仿宋"/>
          <w:sz w:val="32"/>
          <w:szCs w:val="32"/>
        </w:rPr>
        <w:t>　　</w:t>
      </w:r>
      <w:r>
        <w:rPr>
          <w:rFonts w:hint="eastAsia" w:ascii="仿宋" w:eastAsia="仿宋"/>
          <w:sz w:val="32"/>
          <w:szCs w:val="32"/>
          <w:highlight w:val="none"/>
        </w:rPr>
        <w:t>公用经费</w:t>
      </w:r>
      <w:r>
        <w:rPr>
          <w:rFonts w:hint="eastAsia" w:ascii="仿宋" w:eastAsia="仿宋"/>
          <w:sz w:val="32"/>
          <w:szCs w:val="32"/>
          <w:highlight w:val="none"/>
          <w:lang w:val="en-US" w:eastAsia="zh-CN"/>
        </w:rPr>
        <w:t>100.77</w:t>
      </w:r>
      <w:r>
        <w:rPr>
          <w:rFonts w:hint="eastAsia" w:ascii="仿宋" w:eastAsia="仿宋"/>
          <w:sz w:val="32"/>
          <w:szCs w:val="32"/>
          <w:highlight w:val="none"/>
        </w:rPr>
        <w:t>万元，主要包括：办公费</w:t>
      </w:r>
      <w:r>
        <w:rPr>
          <w:rFonts w:hint="eastAsia" w:ascii="仿宋" w:eastAsia="仿宋"/>
          <w:sz w:val="32"/>
          <w:szCs w:val="32"/>
          <w:highlight w:val="none"/>
          <w:lang w:val="en-US" w:eastAsia="zh-CN"/>
        </w:rPr>
        <w:t>21.10万元</w:t>
      </w:r>
      <w:r>
        <w:rPr>
          <w:rFonts w:hint="eastAsia" w:ascii="仿宋" w:eastAsia="仿宋"/>
          <w:sz w:val="32"/>
          <w:szCs w:val="32"/>
          <w:highlight w:val="none"/>
        </w:rPr>
        <w:t>、印刷费</w:t>
      </w:r>
      <w:r>
        <w:rPr>
          <w:rFonts w:hint="eastAsia" w:ascii="仿宋" w:eastAsia="仿宋"/>
          <w:sz w:val="32"/>
          <w:szCs w:val="32"/>
          <w:highlight w:val="none"/>
          <w:lang w:val="en-US" w:eastAsia="zh-CN"/>
        </w:rPr>
        <w:t>0万元</w:t>
      </w:r>
      <w:r>
        <w:rPr>
          <w:rFonts w:hint="eastAsia" w:ascii="仿宋" w:eastAsia="仿宋"/>
          <w:sz w:val="32"/>
          <w:szCs w:val="32"/>
          <w:highlight w:val="none"/>
        </w:rPr>
        <w:t>、咨询费</w:t>
      </w:r>
      <w:r>
        <w:rPr>
          <w:rFonts w:hint="eastAsia" w:ascii="仿宋" w:eastAsia="仿宋"/>
          <w:sz w:val="32"/>
          <w:szCs w:val="32"/>
          <w:highlight w:val="none"/>
          <w:lang w:val="en-US" w:eastAsia="zh-CN"/>
        </w:rPr>
        <w:t>0万元</w:t>
      </w:r>
      <w:r>
        <w:rPr>
          <w:rFonts w:hint="eastAsia" w:ascii="仿宋" w:eastAsia="仿宋"/>
          <w:sz w:val="32"/>
          <w:szCs w:val="32"/>
          <w:highlight w:val="none"/>
        </w:rPr>
        <w:t>、手续费</w:t>
      </w:r>
      <w:r>
        <w:rPr>
          <w:rFonts w:hint="eastAsia" w:ascii="仿宋" w:eastAsia="仿宋"/>
          <w:sz w:val="32"/>
          <w:szCs w:val="32"/>
          <w:highlight w:val="none"/>
          <w:lang w:val="en-US" w:eastAsia="zh-CN"/>
        </w:rPr>
        <w:t>0万元</w:t>
      </w:r>
      <w:r>
        <w:rPr>
          <w:rFonts w:hint="eastAsia" w:ascii="仿宋" w:eastAsia="仿宋"/>
          <w:sz w:val="32"/>
          <w:szCs w:val="32"/>
          <w:highlight w:val="none"/>
        </w:rPr>
        <w:t>、水费</w:t>
      </w:r>
      <w:r>
        <w:rPr>
          <w:rFonts w:hint="eastAsia" w:ascii="仿宋" w:eastAsia="仿宋"/>
          <w:sz w:val="32"/>
          <w:szCs w:val="32"/>
          <w:highlight w:val="none"/>
          <w:lang w:val="en-US" w:eastAsia="zh-CN"/>
        </w:rPr>
        <w:t>0万元</w:t>
      </w:r>
      <w:r>
        <w:rPr>
          <w:rFonts w:hint="eastAsia" w:ascii="仿宋" w:eastAsia="仿宋"/>
          <w:sz w:val="32"/>
          <w:szCs w:val="32"/>
          <w:highlight w:val="none"/>
        </w:rPr>
        <w:t>、电费</w:t>
      </w:r>
      <w:r>
        <w:rPr>
          <w:rFonts w:hint="eastAsia" w:ascii="仿宋" w:eastAsia="仿宋"/>
          <w:sz w:val="32"/>
          <w:szCs w:val="32"/>
          <w:highlight w:val="none"/>
          <w:lang w:val="en-US" w:eastAsia="zh-CN"/>
        </w:rPr>
        <w:t>0万元</w:t>
      </w:r>
      <w:r>
        <w:rPr>
          <w:rFonts w:hint="eastAsia" w:ascii="仿宋" w:eastAsia="仿宋"/>
          <w:sz w:val="32"/>
          <w:szCs w:val="32"/>
          <w:highlight w:val="none"/>
        </w:rPr>
        <w:t>、邮电费</w:t>
      </w:r>
      <w:r>
        <w:rPr>
          <w:rFonts w:hint="eastAsia" w:ascii="仿宋" w:eastAsia="仿宋"/>
          <w:sz w:val="32"/>
          <w:szCs w:val="32"/>
          <w:highlight w:val="none"/>
          <w:lang w:val="en-US" w:eastAsia="zh-CN"/>
        </w:rPr>
        <w:t>7.00万元</w:t>
      </w:r>
      <w:r>
        <w:rPr>
          <w:rFonts w:hint="eastAsia" w:ascii="仿宋" w:eastAsia="仿宋"/>
          <w:sz w:val="32"/>
          <w:szCs w:val="32"/>
          <w:highlight w:val="none"/>
        </w:rPr>
        <w:t>、取暖费</w:t>
      </w:r>
      <w:r>
        <w:rPr>
          <w:rFonts w:hint="eastAsia" w:ascii="仿宋" w:eastAsia="仿宋"/>
          <w:sz w:val="32"/>
          <w:szCs w:val="32"/>
          <w:highlight w:val="none"/>
          <w:lang w:val="en-US" w:eastAsia="zh-CN"/>
        </w:rPr>
        <w:t>0万元</w:t>
      </w:r>
      <w:r>
        <w:rPr>
          <w:rFonts w:hint="eastAsia" w:ascii="仿宋" w:eastAsia="仿宋"/>
          <w:sz w:val="32"/>
          <w:szCs w:val="32"/>
          <w:highlight w:val="none"/>
        </w:rPr>
        <w:t>、物业管理费</w:t>
      </w:r>
      <w:r>
        <w:rPr>
          <w:rFonts w:hint="eastAsia" w:ascii="仿宋" w:eastAsia="仿宋"/>
          <w:sz w:val="32"/>
          <w:szCs w:val="32"/>
          <w:highlight w:val="none"/>
          <w:lang w:val="en-US" w:eastAsia="zh-CN"/>
        </w:rPr>
        <w:t>0万元</w:t>
      </w:r>
      <w:r>
        <w:rPr>
          <w:rFonts w:hint="eastAsia" w:ascii="仿宋" w:eastAsia="仿宋"/>
          <w:sz w:val="32"/>
          <w:szCs w:val="32"/>
          <w:highlight w:val="none"/>
        </w:rPr>
        <w:t>、差旅费</w:t>
      </w:r>
      <w:r>
        <w:rPr>
          <w:rFonts w:hint="eastAsia" w:ascii="仿宋" w:eastAsia="仿宋"/>
          <w:sz w:val="32"/>
          <w:szCs w:val="32"/>
          <w:highlight w:val="none"/>
          <w:lang w:val="en-US" w:eastAsia="zh-CN"/>
        </w:rPr>
        <w:t>14.89万元</w:t>
      </w:r>
      <w:r>
        <w:rPr>
          <w:rFonts w:hint="eastAsia" w:ascii="仿宋" w:eastAsia="仿宋"/>
          <w:sz w:val="32"/>
          <w:szCs w:val="32"/>
          <w:highlight w:val="none"/>
        </w:rPr>
        <w:t>、因公出国（境）费用</w:t>
      </w:r>
      <w:r>
        <w:rPr>
          <w:rFonts w:hint="eastAsia" w:ascii="仿宋" w:eastAsia="仿宋"/>
          <w:sz w:val="32"/>
          <w:szCs w:val="32"/>
          <w:highlight w:val="none"/>
          <w:lang w:val="en-US" w:eastAsia="zh-CN"/>
        </w:rPr>
        <w:t>0万元</w:t>
      </w:r>
      <w:r>
        <w:rPr>
          <w:rFonts w:hint="eastAsia" w:ascii="仿宋" w:eastAsia="仿宋"/>
          <w:sz w:val="32"/>
          <w:szCs w:val="32"/>
          <w:highlight w:val="none"/>
        </w:rPr>
        <w:t>、维修（护）费</w:t>
      </w:r>
      <w:r>
        <w:rPr>
          <w:rFonts w:hint="eastAsia" w:ascii="仿宋" w:eastAsia="仿宋"/>
          <w:sz w:val="32"/>
          <w:szCs w:val="32"/>
          <w:highlight w:val="none"/>
          <w:lang w:val="en-US" w:eastAsia="zh-CN"/>
        </w:rPr>
        <w:t>0万元</w:t>
      </w:r>
      <w:r>
        <w:rPr>
          <w:rFonts w:hint="eastAsia" w:ascii="仿宋" w:eastAsia="仿宋"/>
          <w:sz w:val="32"/>
          <w:szCs w:val="32"/>
          <w:highlight w:val="none"/>
        </w:rPr>
        <w:t>、租赁费</w:t>
      </w:r>
      <w:r>
        <w:rPr>
          <w:rFonts w:hint="eastAsia" w:ascii="仿宋" w:eastAsia="仿宋"/>
          <w:sz w:val="32"/>
          <w:szCs w:val="32"/>
          <w:highlight w:val="none"/>
          <w:lang w:val="en-US" w:eastAsia="zh-CN"/>
        </w:rPr>
        <w:t>0万元</w:t>
      </w:r>
      <w:r>
        <w:rPr>
          <w:rFonts w:hint="eastAsia" w:ascii="仿宋" w:eastAsia="仿宋"/>
          <w:sz w:val="32"/>
          <w:szCs w:val="32"/>
          <w:highlight w:val="none"/>
        </w:rPr>
        <w:t>、会议费</w:t>
      </w:r>
      <w:r>
        <w:rPr>
          <w:rFonts w:hint="eastAsia" w:ascii="仿宋" w:eastAsia="仿宋"/>
          <w:sz w:val="32"/>
          <w:szCs w:val="32"/>
          <w:highlight w:val="none"/>
          <w:lang w:val="en-US" w:eastAsia="zh-CN"/>
        </w:rPr>
        <w:t>0万元</w:t>
      </w:r>
      <w:r>
        <w:rPr>
          <w:rFonts w:hint="eastAsia" w:ascii="仿宋" w:eastAsia="仿宋"/>
          <w:sz w:val="32"/>
          <w:szCs w:val="32"/>
          <w:highlight w:val="none"/>
        </w:rPr>
        <w:t>、培训费</w:t>
      </w:r>
      <w:r>
        <w:rPr>
          <w:rFonts w:hint="eastAsia" w:ascii="仿宋" w:eastAsia="仿宋"/>
          <w:sz w:val="32"/>
          <w:szCs w:val="32"/>
          <w:highlight w:val="none"/>
          <w:lang w:val="en-US" w:eastAsia="zh-CN"/>
        </w:rPr>
        <w:t>0万元</w:t>
      </w:r>
      <w:r>
        <w:rPr>
          <w:rFonts w:hint="eastAsia" w:ascii="仿宋" w:eastAsia="仿宋"/>
          <w:sz w:val="32"/>
          <w:szCs w:val="32"/>
          <w:highlight w:val="none"/>
        </w:rPr>
        <w:t>、公务接待费</w:t>
      </w:r>
      <w:r>
        <w:rPr>
          <w:rFonts w:hint="eastAsia" w:ascii="仿宋" w:eastAsia="仿宋"/>
          <w:sz w:val="32"/>
          <w:szCs w:val="32"/>
          <w:highlight w:val="none"/>
          <w:lang w:val="en-US" w:eastAsia="zh-CN"/>
        </w:rPr>
        <w:t>0.4万元</w:t>
      </w:r>
      <w:r>
        <w:rPr>
          <w:rFonts w:hint="eastAsia" w:ascii="仿宋" w:eastAsia="仿宋"/>
          <w:sz w:val="32"/>
          <w:szCs w:val="32"/>
          <w:highlight w:val="none"/>
        </w:rPr>
        <w:t>、劳务费</w:t>
      </w:r>
      <w:r>
        <w:rPr>
          <w:rFonts w:hint="eastAsia" w:ascii="仿宋" w:eastAsia="仿宋"/>
          <w:sz w:val="32"/>
          <w:szCs w:val="32"/>
          <w:highlight w:val="none"/>
          <w:lang w:val="en-US" w:eastAsia="zh-CN"/>
        </w:rPr>
        <w:t>0万元</w:t>
      </w:r>
      <w:r>
        <w:rPr>
          <w:rFonts w:hint="eastAsia" w:ascii="仿宋" w:eastAsia="仿宋"/>
          <w:sz w:val="32"/>
          <w:szCs w:val="32"/>
          <w:highlight w:val="none"/>
        </w:rPr>
        <w:t>、委托业务费</w:t>
      </w:r>
      <w:r>
        <w:rPr>
          <w:rFonts w:hint="eastAsia" w:ascii="仿宋" w:eastAsia="仿宋"/>
          <w:sz w:val="32"/>
          <w:szCs w:val="32"/>
          <w:highlight w:val="none"/>
          <w:lang w:val="en-US" w:eastAsia="zh-CN"/>
        </w:rPr>
        <w:t>0万元</w:t>
      </w:r>
      <w:r>
        <w:rPr>
          <w:rFonts w:hint="eastAsia" w:ascii="仿宋" w:eastAsia="仿宋"/>
          <w:sz w:val="32"/>
          <w:szCs w:val="32"/>
          <w:highlight w:val="none"/>
        </w:rPr>
        <w:t>、工会经费</w:t>
      </w:r>
      <w:r>
        <w:rPr>
          <w:rFonts w:hint="eastAsia" w:ascii="仿宋" w:eastAsia="仿宋"/>
          <w:sz w:val="32"/>
          <w:szCs w:val="32"/>
          <w:highlight w:val="none"/>
          <w:lang w:val="en-US" w:eastAsia="zh-CN"/>
        </w:rPr>
        <w:t>6.31万元、</w:t>
      </w:r>
      <w:r>
        <w:rPr>
          <w:rFonts w:hint="eastAsia" w:ascii="仿宋" w:eastAsia="仿宋"/>
          <w:sz w:val="32"/>
          <w:szCs w:val="32"/>
          <w:highlight w:val="none"/>
        </w:rPr>
        <w:t>福利费</w:t>
      </w:r>
      <w:r>
        <w:rPr>
          <w:rFonts w:hint="eastAsia" w:ascii="仿宋" w:eastAsia="仿宋"/>
          <w:sz w:val="32"/>
          <w:szCs w:val="32"/>
          <w:highlight w:val="none"/>
          <w:lang w:val="en-US" w:eastAsia="zh-CN"/>
        </w:rPr>
        <w:t>2.58万元</w:t>
      </w:r>
      <w:r>
        <w:rPr>
          <w:rFonts w:hint="eastAsia" w:ascii="仿宋" w:eastAsia="仿宋"/>
          <w:sz w:val="32"/>
          <w:szCs w:val="32"/>
          <w:highlight w:val="none"/>
        </w:rPr>
        <w:t>、公务用车运行维护费</w:t>
      </w:r>
      <w:r>
        <w:rPr>
          <w:rFonts w:hint="eastAsia" w:ascii="仿宋" w:eastAsia="仿宋"/>
          <w:sz w:val="32"/>
          <w:szCs w:val="32"/>
          <w:highlight w:val="none"/>
          <w:lang w:val="en-US" w:eastAsia="zh-CN"/>
        </w:rPr>
        <w:t>39.54万元</w:t>
      </w:r>
      <w:r>
        <w:rPr>
          <w:rFonts w:hint="eastAsia" w:ascii="仿宋" w:eastAsia="仿宋"/>
          <w:sz w:val="32"/>
          <w:szCs w:val="32"/>
          <w:highlight w:val="none"/>
        </w:rPr>
        <w:t>、其他交通费</w:t>
      </w:r>
      <w:r>
        <w:rPr>
          <w:rFonts w:hint="eastAsia" w:ascii="仿宋" w:eastAsia="仿宋"/>
          <w:sz w:val="32"/>
          <w:szCs w:val="32"/>
          <w:highlight w:val="none"/>
          <w:lang w:val="en-US" w:eastAsia="zh-CN"/>
        </w:rPr>
        <w:t>0.90万元</w:t>
      </w:r>
      <w:r>
        <w:rPr>
          <w:rFonts w:hint="eastAsia" w:ascii="仿宋" w:eastAsia="仿宋"/>
          <w:sz w:val="32"/>
          <w:szCs w:val="32"/>
          <w:highlight w:val="none"/>
        </w:rPr>
        <w:t>、税金及附加费用</w:t>
      </w:r>
      <w:r>
        <w:rPr>
          <w:rFonts w:hint="eastAsia" w:ascii="仿宋" w:eastAsia="仿宋"/>
          <w:sz w:val="32"/>
          <w:szCs w:val="32"/>
          <w:highlight w:val="none"/>
          <w:lang w:val="en-US" w:eastAsia="zh-CN"/>
        </w:rPr>
        <w:t>0万元、</w:t>
      </w:r>
      <w:r>
        <w:rPr>
          <w:rFonts w:hint="eastAsia" w:ascii="仿宋" w:eastAsia="仿宋"/>
          <w:sz w:val="32"/>
          <w:szCs w:val="32"/>
          <w:highlight w:val="none"/>
        </w:rPr>
        <w:t>其他商品和服务支出</w:t>
      </w:r>
      <w:r>
        <w:rPr>
          <w:rFonts w:hint="eastAsia" w:ascii="仿宋" w:eastAsia="仿宋"/>
          <w:sz w:val="32"/>
          <w:szCs w:val="32"/>
          <w:highlight w:val="none"/>
          <w:lang w:val="en-US" w:eastAsia="zh-CN"/>
        </w:rPr>
        <w:t>8.05万元</w:t>
      </w:r>
      <w:r>
        <w:rPr>
          <w:rFonts w:hint="eastAsia" w:ascii="仿宋" w:eastAsia="仿宋"/>
          <w:sz w:val="32"/>
          <w:szCs w:val="32"/>
          <w:highlight w:val="none"/>
        </w:rPr>
        <w:t>、办公设备购置</w:t>
      </w:r>
      <w:r>
        <w:rPr>
          <w:rFonts w:hint="eastAsia" w:ascii="仿宋" w:eastAsia="仿宋"/>
          <w:sz w:val="32"/>
          <w:szCs w:val="32"/>
          <w:highlight w:val="none"/>
          <w:lang w:val="en-US" w:eastAsia="zh-CN"/>
        </w:rPr>
        <w:t>0万元</w:t>
      </w:r>
      <w:r>
        <w:rPr>
          <w:rFonts w:hint="eastAsia" w:ascii="仿宋" w:eastAsia="仿宋"/>
          <w:sz w:val="32"/>
          <w:szCs w:val="32"/>
          <w:highlight w:val="none"/>
        </w:rPr>
        <w:t>、专用设备购置</w:t>
      </w:r>
      <w:r>
        <w:rPr>
          <w:rFonts w:hint="eastAsia" w:ascii="仿宋" w:eastAsia="仿宋"/>
          <w:sz w:val="32"/>
          <w:szCs w:val="32"/>
          <w:highlight w:val="none"/>
          <w:lang w:val="en-US" w:eastAsia="zh-CN"/>
        </w:rPr>
        <w:t>0万元</w:t>
      </w:r>
      <w:r>
        <w:rPr>
          <w:rFonts w:hint="eastAsia" w:ascii="仿宋" w:eastAsia="仿宋"/>
          <w:sz w:val="32"/>
          <w:szCs w:val="32"/>
          <w:highlight w:val="none"/>
        </w:rPr>
        <w:t>、信息网络及软件购置更新</w:t>
      </w:r>
      <w:r>
        <w:rPr>
          <w:rFonts w:hint="eastAsia" w:ascii="仿宋" w:eastAsia="仿宋"/>
          <w:sz w:val="32"/>
          <w:szCs w:val="32"/>
          <w:highlight w:val="none"/>
          <w:lang w:val="en-US" w:eastAsia="zh-CN"/>
        </w:rPr>
        <w:t>0万元</w:t>
      </w:r>
      <w:r>
        <w:rPr>
          <w:rFonts w:hint="eastAsia" w:ascii="仿宋" w:eastAsia="仿宋"/>
          <w:sz w:val="32"/>
          <w:szCs w:val="32"/>
          <w:highlight w:val="none"/>
        </w:rPr>
        <w:t>、其他资本性支出</w:t>
      </w:r>
      <w:r>
        <w:rPr>
          <w:rFonts w:hint="eastAsia" w:ascii="仿宋" w:eastAsia="仿宋"/>
          <w:sz w:val="32"/>
          <w:szCs w:val="32"/>
          <w:highlight w:val="none"/>
          <w:lang w:val="en-US" w:eastAsia="zh-CN"/>
        </w:rPr>
        <w:t>0万元、公务用车购置0万元</w:t>
      </w:r>
      <w:r>
        <w:rPr>
          <w:rFonts w:hint="eastAsia" w:ascii="仿宋" w:eastAsia="仿宋"/>
          <w:sz w:val="32"/>
          <w:szCs w:val="32"/>
          <w:highlight w:val="none"/>
        </w:rPr>
        <w:t>等。</w:t>
      </w:r>
    </w:p>
    <w:p w14:paraId="4B8DB40F">
      <w:pPr>
        <w:pageBreakBefore w:val="0"/>
        <w:kinsoku/>
        <w:wordWrap/>
        <w:overflowPunct/>
        <w:topLinePunct w:val="0"/>
        <w:bidi w:val="0"/>
        <w:spacing w:line="240" w:lineRule="auto"/>
        <w:ind w:firstLine="640"/>
        <w:outlineLvl w:val="1"/>
        <w:rPr>
          <w:rStyle w:val="21"/>
          <w:rFonts w:ascii="黑体" w:eastAsia="黑体"/>
          <w:b w:val="0"/>
        </w:rPr>
      </w:pPr>
      <w:bookmarkStart w:id="50" w:name="_Toc15396609"/>
      <w:bookmarkStart w:id="51" w:name="_Toc22882"/>
      <w:bookmarkStart w:id="52" w:name="_Toc15377215"/>
      <w:r>
        <w:rPr>
          <w:rFonts w:hint="eastAsia" w:ascii="黑体" w:eastAsia="黑体"/>
          <w:sz w:val="32"/>
          <w:szCs w:val="32"/>
        </w:rPr>
        <w:t>七、</w:t>
      </w:r>
      <w:r>
        <w:rPr>
          <w:rStyle w:val="21"/>
          <w:rFonts w:hint="eastAsia" w:ascii="黑体" w:eastAsia="黑体"/>
        </w:rPr>
        <w:t>“</w:t>
      </w:r>
      <w:r>
        <w:rPr>
          <w:rStyle w:val="21"/>
          <w:rFonts w:hint="eastAsia" w:ascii="黑体" w:eastAsia="黑体"/>
          <w:b w:val="0"/>
        </w:rPr>
        <w:t>三公”经费财政拨款支出决算情况说明</w:t>
      </w:r>
      <w:bookmarkEnd w:id="50"/>
      <w:bookmarkEnd w:id="51"/>
      <w:bookmarkEnd w:id="52"/>
    </w:p>
    <w:p w14:paraId="1ED7E9B2">
      <w:pPr>
        <w:pageBreakBefore w:val="0"/>
        <w:kinsoku/>
        <w:wordWrap/>
        <w:overflowPunct/>
        <w:topLinePunct w:val="0"/>
        <w:bidi w:val="0"/>
        <w:spacing w:line="240" w:lineRule="auto"/>
        <w:ind w:firstLine="640"/>
        <w:outlineLvl w:val="2"/>
        <w:rPr>
          <w:rFonts w:ascii="仿宋" w:eastAsia="仿宋"/>
          <w:b/>
          <w:sz w:val="32"/>
          <w:szCs w:val="32"/>
        </w:rPr>
      </w:pPr>
      <w:bookmarkStart w:id="53" w:name="_Toc15377216"/>
      <w:r>
        <w:rPr>
          <w:rFonts w:hint="eastAsia" w:ascii="仿宋" w:eastAsia="仿宋"/>
          <w:b/>
          <w:sz w:val="32"/>
          <w:szCs w:val="32"/>
        </w:rPr>
        <w:t>（一）“三公”经费财政拨款支出决算总体情况说明</w:t>
      </w:r>
      <w:bookmarkEnd w:id="53"/>
    </w:p>
    <w:p w14:paraId="19B558F3">
      <w:pPr>
        <w:pageBreakBefore w:val="0"/>
        <w:kinsoku/>
        <w:wordWrap/>
        <w:overflowPunct/>
        <w:topLinePunct w:val="0"/>
        <w:bidi w:val="0"/>
        <w:spacing w:line="240" w:lineRule="auto"/>
        <w:ind w:firstLine="640"/>
        <w:rPr>
          <w:rFonts w:hint="eastAsia" w:ascii="仿宋" w:eastAsia="仿宋"/>
          <w:sz w:val="32"/>
          <w:szCs w:val="32"/>
          <w:lang w:eastAsia="zh-CN"/>
        </w:rPr>
      </w:pPr>
      <w:r>
        <w:rPr>
          <w:rFonts w:hint="eastAsia" w:ascii="仿宋" w:eastAsia="仿宋"/>
          <w:sz w:val="32"/>
          <w:szCs w:val="32"/>
          <w:lang w:eastAsia="zh-CN"/>
        </w:rPr>
        <w:t>2025</w:t>
      </w:r>
      <w:r>
        <w:rPr>
          <w:rFonts w:hint="eastAsia" w:ascii="仿宋" w:eastAsia="仿宋"/>
          <w:sz w:val="32"/>
          <w:szCs w:val="32"/>
        </w:rPr>
        <w:t>年“三公”经费财政拨款支出决算为</w:t>
      </w:r>
      <w:r>
        <w:rPr>
          <w:rFonts w:hint="eastAsia" w:ascii="仿宋" w:eastAsia="仿宋"/>
          <w:sz w:val="32"/>
          <w:szCs w:val="32"/>
          <w:lang w:val="en-US" w:eastAsia="zh-CN"/>
        </w:rPr>
        <w:t>133.40</w:t>
      </w:r>
      <w:r>
        <w:rPr>
          <w:rFonts w:hint="eastAsia" w:ascii="仿宋" w:eastAsia="仿宋"/>
          <w:sz w:val="32"/>
          <w:szCs w:val="32"/>
        </w:rPr>
        <w:t>万元，完成预算</w:t>
      </w:r>
      <w:r>
        <w:rPr>
          <w:rFonts w:hint="eastAsia" w:ascii="仿宋" w:eastAsia="仿宋"/>
          <w:sz w:val="32"/>
          <w:szCs w:val="32"/>
          <w:lang w:val="en-US" w:eastAsia="zh-CN"/>
        </w:rPr>
        <w:t>100</w:t>
      </w:r>
      <w:r>
        <w:rPr>
          <w:rFonts w:ascii="仿宋" w:eastAsia="仿宋"/>
          <w:sz w:val="32"/>
          <w:szCs w:val="32"/>
        </w:rPr>
        <w:t>%</w:t>
      </w:r>
      <w:r>
        <w:rPr>
          <w:rFonts w:hint="eastAsia" w:ascii="仿宋" w:eastAsia="仿宋"/>
          <w:sz w:val="32"/>
          <w:szCs w:val="32"/>
        </w:rPr>
        <w:t>，决算数与预算数持平</w:t>
      </w:r>
      <w:r>
        <w:rPr>
          <w:rFonts w:hint="eastAsia" w:ascii="仿宋" w:eastAsia="仿宋"/>
          <w:sz w:val="32"/>
          <w:szCs w:val="32"/>
          <w:lang w:eastAsia="zh-CN"/>
        </w:rPr>
        <w:t>。</w:t>
      </w:r>
    </w:p>
    <w:p w14:paraId="298EA462">
      <w:pPr>
        <w:pageBreakBefore w:val="0"/>
        <w:kinsoku/>
        <w:wordWrap/>
        <w:overflowPunct/>
        <w:topLinePunct w:val="0"/>
        <w:bidi w:val="0"/>
        <w:spacing w:line="240" w:lineRule="auto"/>
        <w:ind w:firstLine="640"/>
        <w:outlineLvl w:val="2"/>
        <w:rPr>
          <w:rFonts w:ascii="仿宋" w:eastAsia="仿宋"/>
          <w:b/>
          <w:sz w:val="32"/>
          <w:szCs w:val="32"/>
        </w:rPr>
      </w:pPr>
      <w:bookmarkStart w:id="54" w:name="_Toc15377217"/>
      <w:r>
        <w:rPr>
          <w:rFonts w:hint="eastAsia" w:ascii="仿宋" w:eastAsia="仿宋"/>
          <w:b/>
          <w:sz w:val="32"/>
          <w:szCs w:val="32"/>
        </w:rPr>
        <w:t>（二）“三公”经费财政拨款支出决算具体情况说明</w:t>
      </w:r>
      <w:bookmarkEnd w:id="54"/>
    </w:p>
    <w:p w14:paraId="096050EF">
      <w:pPr>
        <w:pageBreakBefore w:val="0"/>
        <w:kinsoku/>
        <w:wordWrap/>
        <w:overflowPunct/>
        <w:topLinePunct w:val="0"/>
        <w:bidi w:val="0"/>
        <w:spacing w:line="240" w:lineRule="auto"/>
        <w:ind w:firstLine="640"/>
        <w:rPr>
          <w:rFonts w:hint="eastAsia" w:ascii="仿宋" w:eastAsia="仿宋"/>
          <w:sz w:val="32"/>
          <w:szCs w:val="32"/>
        </w:rPr>
      </w:pPr>
      <w:r>
        <w:rPr>
          <w:rFonts w:hint="eastAsia" w:ascii="仿宋" w:eastAsia="仿宋"/>
          <w:sz w:val="32"/>
          <w:szCs w:val="32"/>
          <w:lang w:eastAsia="zh-CN"/>
        </w:rPr>
        <w:t>2025</w:t>
      </w:r>
      <w:r>
        <w:rPr>
          <w:rFonts w:hint="eastAsia" w:ascii="仿宋" w:eastAsia="仿宋"/>
          <w:sz w:val="32"/>
          <w:szCs w:val="32"/>
        </w:rPr>
        <w:t>年“三公”经费财政拨款支出决算中，因公出国（境）费支出决算</w:t>
      </w:r>
      <w:r>
        <w:rPr>
          <w:rFonts w:hint="eastAsia" w:ascii="仿宋" w:eastAsia="仿宋"/>
          <w:sz w:val="32"/>
          <w:szCs w:val="32"/>
          <w:lang w:val="en-US" w:eastAsia="zh-CN"/>
        </w:rPr>
        <w:t>0</w:t>
      </w:r>
      <w:r>
        <w:rPr>
          <w:rFonts w:hint="eastAsia" w:ascii="仿宋" w:eastAsia="仿宋"/>
          <w:sz w:val="32"/>
          <w:szCs w:val="32"/>
        </w:rPr>
        <w:t>万元，占</w:t>
      </w:r>
      <w:r>
        <w:rPr>
          <w:rFonts w:hint="eastAsia" w:ascii="仿宋" w:eastAsia="仿宋"/>
          <w:sz w:val="32"/>
          <w:szCs w:val="32"/>
          <w:lang w:val="en-US" w:eastAsia="zh-CN"/>
        </w:rPr>
        <w:t>0</w:t>
      </w:r>
      <w:r>
        <w:rPr>
          <w:rFonts w:ascii="仿宋" w:eastAsia="仿宋"/>
          <w:sz w:val="32"/>
          <w:szCs w:val="32"/>
        </w:rPr>
        <w:t>%</w:t>
      </w:r>
      <w:r>
        <w:rPr>
          <w:rFonts w:hint="eastAsia" w:ascii="仿宋" w:eastAsia="仿宋"/>
          <w:sz w:val="32"/>
          <w:szCs w:val="32"/>
        </w:rPr>
        <w:t>；公务用车购置及运行维护费支出决算</w:t>
      </w:r>
      <w:r>
        <w:rPr>
          <w:rFonts w:hint="eastAsia" w:ascii="仿宋" w:eastAsia="仿宋"/>
          <w:sz w:val="32"/>
          <w:szCs w:val="32"/>
          <w:lang w:val="en-US" w:eastAsia="zh-CN"/>
        </w:rPr>
        <w:t>133.39</w:t>
      </w:r>
      <w:r>
        <w:rPr>
          <w:rFonts w:hint="eastAsia" w:ascii="仿宋" w:eastAsia="仿宋"/>
          <w:sz w:val="32"/>
          <w:szCs w:val="32"/>
        </w:rPr>
        <w:t>万元，占</w:t>
      </w:r>
      <w:r>
        <w:rPr>
          <w:rFonts w:hint="eastAsia" w:ascii="仿宋" w:eastAsia="仿宋"/>
          <w:sz w:val="32"/>
          <w:szCs w:val="32"/>
          <w:lang w:val="en-US" w:eastAsia="zh-CN"/>
        </w:rPr>
        <w:t>99.99</w:t>
      </w:r>
      <w:r>
        <w:rPr>
          <w:rFonts w:ascii="仿宋" w:eastAsia="仿宋"/>
          <w:sz w:val="32"/>
          <w:szCs w:val="32"/>
        </w:rPr>
        <w:t>%</w:t>
      </w:r>
      <w:r>
        <w:rPr>
          <w:rFonts w:hint="eastAsia" w:ascii="仿宋" w:eastAsia="仿宋"/>
          <w:sz w:val="32"/>
          <w:szCs w:val="32"/>
        </w:rPr>
        <w:t>；公务接待费支出决算</w:t>
      </w:r>
      <w:r>
        <w:rPr>
          <w:rFonts w:hint="eastAsia" w:ascii="仿宋" w:eastAsia="仿宋"/>
          <w:sz w:val="32"/>
          <w:szCs w:val="32"/>
          <w:lang w:val="en-US" w:eastAsia="zh-CN"/>
        </w:rPr>
        <w:t>0.40</w:t>
      </w:r>
      <w:r>
        <w:rPr>
          <w:rFonts w:hint="eastAsia" w:ascii="仿宋" w:eastAsia="仿宋"/>
          <w:sz w:val="32"/>
          <w:szCs w:val="32"/>
        </w:rPr>
        <w:t>万元，占</w:t>
      </w:r>
      <w:r>
        <w:rPr>
          <w:rFonts w:hint="eastAsia" w:ascii="仿宋" w:eastAsia="仿宋"/>
          <w:sz w:val="32"/>
          <w:szCs w:val="32"/>
          <w:lang w:val="en-US" w:eastAsia="zh-CN"/>
        </w:rPr>
        <w:t>0.01</w:t>
      </w:r>
      <w:r>
        <w:rPr>
          <w:rFonts w:ascii="仿宋" w:eastAsia="仿宋"/>
          <w:sz w:val="32"/>
          <w:szCs w:val="32"/>
        </w:rPr>
        <w:t>%</w:t>
      </w:r>
      <w:r>
        <w:rPr>
          <w:rFonts w:hint="eastAsia" w:ascii="仿宋" w:eastAsia="仿宋"/>
          <w:sz w:val="32"/>
          <w:szCs w:val="32"/>
        </w:rPr>
        <w:t>。具体情况如下：</w:t>
      </w:r>
    </w:p>
    <w:p w14:paraId="3E249B4E">
      <w:pPr>
        <w:pStyle w:val="8"/>
        <w:pageBreakBefore w:val="0"/>
        <w:kinsoku/>
        <w:wordWrap/>
        <w:overflowPunct/>
        <w:topLinePunct w:val="0"/>
        <w:bidi w:val="0"/>
        <w:spacing w:line="240" w:lineRule="auto"/>
      </w:pPr>
      <w:r>
        <w:drawing>
          <wp:inline distT="0" distB="0" distL="114300" distR="114300">
            <wp:extent cx="4572000" cy="2743200"/>
            <wp:effectExtent l="9525" t="9525" r="9525" b="9525"/>
            <wp:docPr id="35" name="图片 34"/>
            <wp:cNvGraphicFramePr/>
            <a:graphic xmlns:a="http://schemas.openxmlformats.org/drawingml/2006/main">
              <a:graphicData uri="http://schemas.openxmlformats.org/drawingml/2006/picture">
                <pic:pic xmlns:pic="http://schemas.openxmlformats.org/drawingml/2006/picture">
                  <pic:nvPicPr>
                    <pic:cNvPr id="35" name="图片 34"/>
                    <pic:cNvPicPr/>
                  </pic:nvPicPr>
                  <pic:blipFill>
                    <a:blip r:embed="rId19"/>
                    <a:stretch>
                      <a:fillRect/>
                    </a:stretch>
                  </pic:blipFill>
                  <pic:spPr>
                    <a:xfrm>
                      <a:off x="0" y="0"/>
                      <a:ext cx="4572000" cy="2743200"/>
                    </a:xfrm>
                    <a:prstGeom prst="rect">
                      <a:avLst/>
                    </a:prstGeom>
                    <a:ln>
                      <a:solidFill>
                        <a:scrgbClr r="0" g="100000" b="100000"/>
                      </a:solidFill>
                    </a:ln>
                    <a:extLst>
                      <a:ext uri="{8CAD56D8-0F58-4FB8-B24C-77498146470C}">
                        <wpswe:webExtensionRef xmlns:wpswe="http://www.wps.cn/officeDocument/2018/webExtension" r:id="rId18"/>
                      </a:ext>
                      <wpswe:webExtensionRef xmlns:wpswe="http://www.wps.cn/officeDocument/2018/webExtension" r:id="rId18"/>
                    </a:extLst>
                  </pic:spPr>
                </pic:pic>
              </a:graphicData>
            </a:graphic>
          </wp:inline>
        </w:drawing>
      </w:r>
    </w:p>
    <w:p w14:paraId="25B85BED">
      <w:pPr>
        <w:pageBreakBefore w:val="0"/>
        <w:kinsoku/>
        <w:wordWrap/>
        <w:overflowPunct/>
        <w:topLinePunct w:val="0"/>
        <w:bidi w:val="0"/>
        <w:spacing w:line="240" w:lineRule="auto"/>
        <w:ind w:firstLine="640"/>
        <w:rPr>
          <w:rFonts w:ascii="仿宋" w:eastAsia="仿宋"/>
          <w:sz w:val="32"/>
          <w:szCs w:val="32"/>
        </w:rPr>
      </w:pPr>
      <w:r>
        <w:rPr>
          <w:rFonts w:hint="eastAsia" w:ascii="仿宋" w:eastAsia="仿宋"/>
          <w:sz w:val="32"/>
          <w:szCs w:val="32"/>
        </w:rPr>
        <w:t>（图7：“三公”经费财政拨款支出结构）（饼状图）</w:t>
      </w:r>
    </w:p>
    <w:p w14:paraId="620341DA">
      <w:pPr>
        <w:pageBreakBefore w:val="0"/>
        <w:numPr>
          <w:ilvl w:val="0"/>
          <w:numId w:val="0"/>
        </w:numPr>
        <w:kinsoku/>
        <w:wordWrap/>
        <w:overflowPunct/>
        <w:topLinePunct w:val="0"/>
        <w:bidi w:val="0"/>
        <w:spacing w:line="240" w:lineRule="auto"/>
        <w:ind w:firstLine="643" w:firstLineChars="200"/>
        <w:rPr>
          <w:rFonts w:hint="eastAsia" w:ascii="仿宋_GB2312" w:eastAsia="仿宋_GB2312"/>
          <w:sz w:val="32"/>
          <w:szCs w:val="32"/>
        </w:rPr>
      </w:pPr>
      <w:r>
        <w:rPr>
          <w:rFonts w:hint="eastAsia" w:ascii="仿宋_GB2312" w:eastAsia="仿宋_GB2312"/>
          <w:b/>
          <w:sz w:val="32"/>
          <w:szCs w:val="32"/>
          <w:lang w:val="en-US" w:eastAsia="zh-CN"/>
        </w:rPr>
        <w:t>1.</w:t>
      </w:r>
      <w:r>
        <w:rPr>
          <w:rFonts w:hint="eastAsia" w:ascii="仿宋_GB2312" w:eastAsia="仿宋_GB2312"/>
          <w:b/>
          <w:sz w:val="32"/>
          <w:szCs w:val="32"/>
        </w:rPr>
        <w:t>因公出国（境）经费支出</w:t>
      </w:r>
      <w:r>
        <w:rPr>
          <w:rFonts w:hint="eastAsia" w:ascii="仿宋_GB2312" w:eastAsia="仿宋_GB2312"/>
          <w:sz w:val="32"/>
          <w:szCs w:val="32"/>
          <w:lang w:val="en-US" w:eastAsia="zh-CN"/>
        </w:rPr>
        <w:t>0</w:t>
      </w:r>
      <w:r>
        <w:rPr>
          <w:rFonts w:hint="eastAsia" w:ascii="仿宋_GB2312" w:eastAsia="仿宋_GB2312"/>
          <w:sz w:val="32"/>
          <w:szCs w:val="32"/>
        </w:rPr>
        <w:t>万元，</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0</w:t>
      </w:r>
      <w:r>
        <w:rPr>
          <w:rStyle w:val="18"/>
          <w:rFonts w:ascii="仿宋" w:eastAsia="仿宋"/>
          <w:b w:val="0"/>
          <w:bCs/>
          <w:sz w:val="32"/>
          <w:szCs w:val="32"/>
        </w:rPr>
        <w:t>%</w:t>
      </w:r>
      <w:r>
        <w:rPr>
          <w:rStyle w:val="18"/>
          <w:rFonts w:hint="eastAsia" w:ascii="仿宋" w:eastAsia="仿宋"/>
          <w:b w:val="0"/>
          <w:bCs/>
          <w:sz w:val="32"/>
          <w:szCs w:val="32"/>
        </w:rPr>
        <w:t>。</w:t>
      </w:r>
      <w:r>
        <w:rPr>
          <w:rFonts w:hint="eastAsia" w:ascii="仿宋_GB2312" w:eastAsia="仿宋_GB2312"/>
          <w:sz w:val="32"/>
          <w:szCs w:val="32"/>
        </w:rPr>
        <w:t>全年安排因公出国（境）团组</w:t>
      </w:r>
      <w:r>
        <w:rPr>
          <w:rFonts w:hint="eastAsia" w:ascii="仿宋_GB2312" w:eastAsia="仿宋_GB2312"/>
          <w:sz w:val="32"/>
          <w:szCs w:val="32"/>
          <w:lang w:val="en-US" w:eastAsia="zh-CN"/>
        </w:rPr>
        <w:t>0</w:t>
      </w:r>
      <w:r>
        <w:rPr>
          <w:rFonts w:hint="eastAsia" w:ascii="仿宋_GB2312" w:eastAsia="仿宋_GB2312"/>
          <w:sz w:val="32"/>
          <w:szCs w:val="32"/>
        </w:rPr>
        <w:t>次，出国（境）</w:t>
      </w:r>
      <w:r>
        <w:rPr>
          <w:rFonts w:hint="eastAsia" w:ascii="仿宋_GB2312" w:eastAsia="仿宋_GB2312"/>
          <w:sz w:val="32"/>
          <w:szCs w:val="32"/>
          <w:lang w:val="en-US" w:eastAsia="zh-CN"/>
        </w:rPr>
        <w:t>0</w:t>
      </w:r>
      <w:r>
        <w:rPr>
          <w:rFonts w:hint="eastAsia" w:ascii="仿宋_GB2312" w:eastAsia="仿宋_GB2312"/>
          <w:sz w:val="32"/>
          <w:szCs w:val="32"/>
        </w:rPr>
        <w:t>人。</w:t>
      </w:r>
    </w:p>
    <w:p w14:paraId="00A1D483">
      <w:pPr>
        <w:pageBreakBefore w:val="0"/>
        <w:numPr>
          <w:ilvl w:val="0"/>
          <w:numId w:val="0"/>
        </w:numPr>
        <w:kinsoku/>
        <w:wordWrap/>
        <w:overflowPunct/>
        <w:topLinePunct w:val="0"/>
        <w:bidi w:val="0"/>
        <w:spacing w:line="240" w:lineRule="auto"/>
        <w:ind w:firstLine="643" w:firstLineChars="200"/>
        <w:rPr>
          <w:rFonts w:ascii="仿宋_GB2312" w:eastAsia="仿宋_GB2312"/>
          <w:b/>
          <w:sz w:val="32"/>
          <w:szCs w:val="32"/>
        </w:rPr>
      </w:pPr>
      <w:r>
        <w:rPr>
          <w:rFonts w:hint="eastAsia" w:ascii="仿宋_GB2312" w:eastAsia="仿宋_GB2312"/>
          <w:b/>
          <w:sz w:val="32"/>
          <w:szCs w:val="32"/>
          <w:lang w:val="en-US" w:eastAsia="zh-CN"/>
        </w:rPr>
        <w:t>2.</w:t>
      </w:r>
      <w:r>
        <w:rPr>
          <w:rFonts w:hint="eastAsia" w:ascii="仿宋_GB2312" w:eastAsia="仿宋_GB2312"/>
          <w:b/>
          <w:sz w:val="32"/>
          <w:szCs w:val="32"/>
        </w:rPr>
        <w:t>公务用车购置及运行维护费支出</w:t>
      </w:r>
      <w:r>
        <w:rPr>
          <w:rFonts w:hint="eastAsia" w:ascii="仿宋_GB2312" w:eastAsia="仿宋_GB2312"/>
          <w:sz w:val="32"/>
          <w:szCs w:val="32"/>
          <w:lang w:val="en-US" w:eastAsia="zh-CN"/>
        </w:rPr>
        <w:t>133.39</w:t>
      </w:r>
      <w:r>
        <w:rPr>
          <w:rFonts w:hint="eastAsia" w:ascii="仿宋_GB2312" w:eastAsia="仿宋_GB2312"/>
          <w:sz w:val="32"/>
          <w:szCs w:val="32"/>
        </w:rPr>
        <w:t>万元</w:t>
      </w:r>
      <w:r>
        <w:rPr>
          <w:rFonts w:hint="eastAsia" w:ascii="仿宋_GB2312" w:eastAsia="仿宋_GB2312"/>
          <w:sz w:val="32"/>
          <w:szCs w:val="32"/>
          <w:lang w:eastAsia="zh-CN"/>
        </w:rPr>
        <w:t>，</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100</w:t>
      </w:r>
      <w:r>
        <w:rPr>
          <w:rStyle w:val="18"/>
          <w:rFonts w:ascii="仿宋" w:eastAsia="仿宋"/>
          <w:b w:val="0"/>
          <w:bCs/>
          <w:sz w:val="32"/>
          <w:szCs w:val="32"/>
        </w:rPr>
        <w:t>%</w:t>
      </w:r>
      <w:r>
        <w:rPr>
          <w:rStyle w:val="18"/>
          <w:rFonts w:hint="eastAsia" w:ascii="仿宋" w:eastAsia="仿宋"/>
          <w:b w:val="0"/>
          <w:bCs/>
          <w:sz w:val="32"/>
          <w:szCs w:val="32"/>
        </w:rPr>
        <w:t>。</w:t>
      </w:r>
      <w:r>
        <w:rPr>
          <w:rFonts w:hint="eastAsia" w:ascii="仿宋_GB2312" w:eastAsia="仿宋_GB2312"/>
          <w:sz w:val="32"/>
          <w:szCs w:val="32"/>
        </w:rPr>
        <w:t>公务用车购置及运行维护费支出决算比</w:t>
      </w:r>
      <w:r>
        <w:rPr>
          <w:rFonts w:hint="eastAsia" w:ascii="仿宋_GB2312" w:eastAsia="仿宋_GB2312"/>
          <w:sz w:val="32"/>
          <w:szCs w:val="32"/>
          <w:lang w:eastAsia="zh-CN"/>
        </w:rPr>
        <w:t>2024</w:t>
      </w:r>
      <w:r>
        <w:rPr>
          <w:rFonts w:hint="eastAsia" w:ascii="仿宋_GB2312" w:eastAsia="仿宋_GB2312"/>
          <w:sz w:val="32"/>
          <w:szCs w:val="32"/>
        </w:rPr>
        <w:t>年</w:t>
      </w:r>
      <w:r>
        <w:rPr>
          <w:rFonts w:hint="eastAsia" w:ascii="仿宋_GB2312" w:eastAsia="仿宋_GB2312"/>
          <w:sz w:val="32"/>
          <w:szCs w:val="32"/>
          <w:lang w:val="en-US" w:eastAsia="zh-CN"/>
        </w:rPr>
        <w:t>增加34.81万元</w:t>
      </w:r>
      <w:r>
        <w:rPr>
          <w:rFonts w:hint="eastAsia" w:ascii="仿宋_GB2312" w:eastAsia="仿宋_GB2312"/>
          <w:sz w:val="32"/>
          <w:szCs w:val="32"/>
        </w:rPr>
        <w:t>，</w:t>
      </w:r>
      <w:r>
        <w:rPr>
          <w:rFonts w:hint="eastAsia" w:ascii="仿宋_GB2312" w:eastAsia="仿宋_GB2312"/>
          <w:sz w:val="32"/>
          <w:szCs w:val="32"/>
          <w:lang w:val="en-US" w:eastAsia="zh-CN"/>
        </w:rPr>
        <w:t>增加35.31%</w:t>
      </w:r>
      <w:r>
        <w:rPr>
          <w:rFonts w:hint="eastAsia" w:ascii="仿宋_GB2312" w:eastAsia="仿宋_GB2312"/>
          <w:sz w:val="32"/>
          <w:szCs w:val="32"/>
        </w:rPr>
        <w:t>。主要原因是</w:t>
      </w:r>
      <w:r>
        <w:rPr>
          <w:rFonts w:hint="eastAsia" w:ascii="仿宋_GB2312" w:eastAsia="仿宋_GB2312"/>
          <w:sz w:val="32"/>
          <w:szCs w:val="32"/>
          <w:lang w:val="en-US" w:eastAsia="zh-CN"/>
        </w:rPr>
        <w:t>2025年按要求新配备一辆公务用车</w:t>
      </w:r>
      <w:r>
        <w:rPr>
          <w:rFonts w:hint="eastAsia" w:ascii="仿宋_GB2312" w:eastAsia="仿宋_GB2312"/>
          <w:sz w:val="32"/>
          <w:szCs w:val="32"/>
        </w:rPr>
        <w:t>。</w:t>
      </w:r>
    </w:p>
    <w:p w14:paraId="5F54118B">
      <w:pPr>
        <w:pageBreakBefore w:val="0"/>
        <w:kinsoku/>
        <w:wordWrap/>
        <w:overflowPunct/>
        <w:topLinePunct w:val="0"/>
        <w:bidi w:val="0"/>
        <w:spacing w:line="240" w:lineRule="auto"/>
        <w:ind w:firstLine="640" w:firstLineChars="200"/>
        <w:rPr>
          <w:rFonts w:ascii="仿宋_GB2312" w:eastAsia="仿宋_GB2312"/>
          <w:b/>
          <w:sz w:val="32"/>
          <w:szCs w:val="32"/>
        </w:rPr>
      </w:pPr>
      <w:r>
        <w:rPr>
          <w:rFonts w:hint="eastAsia" w:ascii="仿宋_GB2312" w:eastAsia="仿宋_GB2312"/>
          <w:sz w:val="32"/>
          <w:szCs w:val="32"/>
        </w:rPr>
        <w:t>截至</w:t>
      </w:r>
      <w:r>
        <w:rPr>
          <w:rFonts w:hint="eastAsia" w:ascii="仿宋_GB2312" w:eastAsia="仿宋_GB2312"/>
          <w:sz w:val="32"/>
          <w:szCs w:val="32"/>
          <w:lang w:eastAsia="zh-CN"/>
        </w:rPr>
        <w:t>2025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月底，单位共有公务用车</w:t>
      </w:r>
      <w:r>
        <w:rPr>
          <w:rFonts w:hint="eastAsia" w:ascii="仿宋_GB2312" w:eastAsia="仿宋_GB2312"/>
          <w:sz w:val="32"/>
          <w:szCs w:val="32"/>
          <w:lang w:val="en-US" w:eastAsia="zh-CN"/>
        </w:rPr>
        <w:t>7</w:t>
      </w:r>
      <w:r>
        <w:rPr>
          <w:rFonts w:hint="eastAsia" w:ascii="仿宋_GB2312" w:eastAsia="仿宋_GB2312"/>
          <w:sz w:val="32"/>
          <w:szCs w:val="32"/>
        </w:rPr>
        <w:t>辆，其中：轿车</w:t>
      </w:r>
      <w:r>
        <w:rPr>
          <w:rFonts w:hint="eastAsia" w:ascii="仿宋_GB2312" w:eastAsia="仿宋_GB2312"/>
          <w:sz w:val="32"/>
          <w:szCs w:val="32"/>
          <w:lang w:val="en-US" w:eastAsia="zh-CN"/>
        </w:rPr>
        <w:t>0</w:t>
      </w:r>
      <w:r>
        <w:rPr>
          <w:rFonts w:hint="eastAsia" w:ascii="仿宋_GB2312" w:eastAsia="仿宋_GB2312"/>
          <w:sz w:val="32"/>
          <w:szCs w:val="32"/>
        </w:rPr>
        <w:t>辆、越野车</w:t>
      </w:r>
      <w:r>
        <w:rPr>
          <w:rFonts w:hint="eastAsia" w:ascii="仿宋_GB2312" w:eastAsia="仿宋_GB2312"/>
          <w:sz w:val="32"/>
          <w:szCs w:val="32"/>
          <w:lang w:val="en-US" w:eastAsia="zh-CN"/>
        </w:rPr>
        <w:t>7</w:t>
      </w:r>
      <w:r>
        <w:rPr>
          <w:rFonts w:hint="eastAsia" w:ascii="仿宋_GB2312" w:eastAsia="仿宋_GB2312"/>
          <w:sz w:val="32"/>
          <w:szCs w:val="32"/>
        </w:rPr>
        <w:t>辆、载客汽车</w:t>
      </w:r>
      <w:r>
        <w:rPr>
          <w:rFonts w:hint="eastAsia" w:ascii="仿宋_GB2312" w:eastAsia="仿宋_GB2312"/>
          <w:sz w:val="32"/>
          <w:szCs w:val="32"/>
          <w:lang w:val="en-US" w:eastAsia="zh-CN"/>
        </w:rPr>
        <w:t>0</w:t>
      </w:r>
      <w:r>
        <w:rPr>
          <w:rFonts w:hint="eastAsia" w:ascii="仿宋_GB2312" w:eastAsia="仿宋_GB2312"/>
          <w:sz w:val="32"/>
          <w:szCs w:val="32"/>
        </w:rPr>
        <w:t>辆。</w:t>
      </w:r>
    </w:p>
    <w:p w14:paraId="58E85475">
      <w:pPr>
        <w:pageBreakBefore w:val="0"/>
        <w:kinsoku/>
        <w:wordWrap/>
        <w:overflowPunct/>
        <w:topLinePunct w:val="0"/>
        <w:bidi w:val="0"/>
        <w:spacing w:line="240" w:lineRule="auto"/>
        <w:ind w:firstLine="640"/>
        <w:rPr>
          <w:rFonts w:ascii="仿宋_GB2312" w:eastAsia="仿宋_GB2312"/>
          <w:sz w:val="32"/>
          <w:szCs w:val="32"/>
        </w:rPr>
      </w:pPr>
      <w:r>
        <w:rPr>
          <w:rFonts w:ascii="仿宋_GB2312" w:eastAsia="仿宋_GB2312"/>
          <w:b/>
          <w:sz w:val="32"/>
          <w:szCs w:val="32"/>
        </w:rPr>
        <w:t>3.</w:t>
      </w:r>
      <w:r>
        <w:rPr>
          <w:rFonts w:hint="eastAsia" w:ascii="仿宋_GB2312" w:eastAsia="仿宋_GB2312"/>
          <w:b/>
          <w:sz w:val="32"/>
          <w:szCs w:val="32"/>
        </w:rPr>
        <w:t>公务接待费支出</w:t>
      </w:r>
      <w:r>
        <w:rPr>
          <w:rFonts w:hint="eastAsia" w:ascii="仿宋_GB2312" w:eastAsia="仿宋_GB2312"/>
          <w:sz w:val="32"/>
          <w:szCs w:val="32"/>
          <w:lang w:val="en-US" w:eastAsia="zh-CN"/>
        </w:rPr>
        <w:t>0.40</w:t>
      </w:r>
      <w:r>
        <w:rPr>
          <w:rFonts w:hint="eastAsia" w:ascii="仿宋_GB2312" w:eastAsia="仿宋_GB2312"/>
          <w:sz w:val="32"/>
          <w:szCs w:val="32"/>
        </w:rPr>
        <w:t>万元，</w:t>
      </w:r>
      <w:r>
        <w:rPr>
          <w:rStyle w:val="18"/>
          <w:rFonts w:hint="eastAsia" w:ascii="仿宋" w:eastAsia="仿宋"/>
          <w:b w:val="0"/>
          <w:bCs/>
          <w:sz w:val="32"/>
          <w:szCs w:val="32"/>
        </w:rPr>
        <w:t>完成预算</w:t>
      </w:r>
      <w:r>
        <w:rPr>
          <w:rStyle w:val="18"/>
          <w:rFonts w:hint="eastAsia" w:ascii="仿宋" w:eastAsia="仿宋"/>
          <w:b w:val="0"/>
          <w:bCs/>
          <w:sz w:val="32"/>
          <w:szCs w:val="32"/>
          <w:lang w:val="en-US" w:eastAsia="zh-CN"/>
        </w:rPr>
        <w:t>100</w:t>
      </w:r>
      <w:r>
        <w:rPr>
          <w:rStyle w:val="18"/>
          <w:rFonts w:ascii="仿宋" w:eastAsia="仿宋"/>
          <w:b w:val="0"/>
          <w:bCs/>
          <w:sz w:val="32"/>
          <w:szCs w:val="32"/>
        </w:rPr>
        <w:t>%</w:t>
      </w:r>
      <w:r>
        <w:rPr>
          <w:rStyle w:val="18"/>
          <w:rFonts w:hint="eastAsia" w:ascii="仿宋" w:eastAsia="仿宋"/>
          <w:b w:val="0"/>
          <w:bCs/>
          <w:sz w:val="32"/>
          <w:szCs w:val="32"/>
        </w:rPr>
        <w:t>。</w:t>
      </w:r>
      <w:r>
        <w:rPr>
          <w:rFonts w:hint="eastAsia" w:ascii="仿宋_GB2312" w:eastAsia="仿宋_GB2312"/>
          <w:sz w:val="32"/>
          <w:szCs w:val="32"/>
        </w:rPr>
        <w:t>公务接待费支出决算比</w:t>
      </w:r>
      <w:r>
        <w:rPr>
          <w:rFonts w:hint="eastAsia" w:ascii="仿宋_GB2312" w:eastAsia="仿宋_GB2312"/>
          <w:sz w:val="32"/>
          <w:szCs w:val="32"/>
          <w:lang w:eastAsia="zh-CN"/>
        </w:rPr>
        <w:t>2024</w:t>
      </w:r>
      <w:r>
        <w:rPr>
          <w:rFonts w:hint="eastAsia" w:ascii="仿宋_GB2312" w:eastAsia="仿宋_GB2312"/>
          <w:sz w:val="32"/>
          <w:szCs w:val="32"/>
        </w:rPr>
        <w:t>年</w:t>
      </w:r>
      <w:r>
        <w:rPr>
          <w:rFonts w:hint="eastAsia" w:ascii="仿宋_GB2312" w:eastAsia="仿宋_GB2312"/>
          <w:sz w:val="32"/>
          <w:szCs w:val="32"/>
          <w:lang w:eastAsia="zh-CN"/>
        </w:rPr>
        <w:t>减少</w:t>
      </w:r>
      <w:r>
        <w:rPr>
          <w:rFonts w:hint="eastAsia" w:ascii="仿宋_GB2312" w:eastAsia="仿宋_GB2312"/>
          <w:sz w:val="32"/>
          <w:szCs w:val="32"/>
          <w:lang w:val="en-US" w:eastAsia="zh-CN"/>
        </w:rPr>
        <w:t>0.98</w:t>
      </w:r>
      <w:r>
        <w:rPr>
          <w:rFonts w:hint="eastAsia" w:ascii="仿宋_GB2312" w:eastAsia="仿宋_GB2312"/>
          <w:sz w:val="32"/>
          <w:szCs w:val="32"/>
        </w:rPr>
        <w:t>万元，</w:t>
      </w:r>
      <w:r>
        <w:rPr>
          <w:rFonts w:hint="eastAsia" w:ascii="仿宋_GB2312" w:eastAsia="仿宋_GB2312"/>
          <w:sz w:val="32"/>
          <w:szCs w:val="32"/>
          <w:lang w:eastAsia="zh-CN"/>
        </w:rPr>
        <w:t>减少</w:t>
      </w:r>
      <w:r>
        <w:rPr>
          <w:rFonts w:hint="eastAsia" w:ascii="仿宋_GB2312" w:eastAsia="仿宋_GB2312"/>
          <w:sz w:val="32"/>
          <w:szCs w:val="32"/>
          <w:lang w:val="en-US" w:eastAsia="zh-CN"/>
        </w:rPr>
        <w:t>71.01</w:t>
      </w:r>
      <w:r>
        <w:rPr>
          <w:rFonts w:ascii="仿宋_GB2312" w:eastAsia="仿宋_GB2312"/>
          <w:sz w:val="32"/>
          <w:szCs w:val="32"/>
        </w:rPr>
        <w:t>%</w:t>
      </w:r>
      <w:r>
        <w:rPr>
          <w:rFonts w:hint="eastAsia" w:ascii="仿宋_GB2312" w:eastAsia="仿宋_GB2312"/>
          <w:sz w:val="32"/>
          <w:szCs w:val="32"/>
        </w:rPr>
        <w:t>。主要原因是</w:t>
      </w:r>
      <w:r>
        <w:rPr>
          <w:rFonts w:hint="eastAsia" w:ascii="仿宋_GB2312" w:eastAsia="仿宋_GB2312"/>
          <w:sz w:val="32"/>
          <w:szCs w:val="32"/>
          <w:lang w:eastAsia="zh-CN"/>
        </w:rPr>
        <w:t>接待减少、</w:t>
      </w:r>
      <w:r>
        <w:rPr>
          <w:rFonts w:hint="eastAsia" w:ascii="仿宋_GB2312" w:eastAsia="仿宋_GB2312"/>
          <w:sz w:val="32"/>
          <w:szCs w:val="32"/>
          <w:lang w:val="en-US" w:eastAsia="zh-CN"/>
        </w:rPr>
        <w:t>例行节约</w:t>
      </w:r>
      <w:r>
        <w:rPr>
          <w:rFonts w:hint="eastAsia" w:ascii="仿宋_GB2312" w:eastAsia="仿宋_GB2312"/>
          <w:sz w:val="32"/>
          <w:szCs w:val="32"/>
        </w:rPr>
        <w:t>。其中：</w:t>
      </w:r>
    </w:p>
    <w:p w14:paraId="7B663980">
      <w:pPr>
        <w:pageBreakBefore w:val="0"/>
        <w:kinsoku/>
        <w:wordWrap/>
        <w:overflowPunct/>
        <w:topLinePunct w:val="0"/>
        <w:bidi w:val="0"/>
        <w:spacing w:line="240" w:lineRule="auto"/>
        <w:ind w:firstLine="640"/>
        <w:rPr>
          <w:rFonts w:hint="eastAsia" w:ascii="仿宋_GB2312" w:eastAsia="仿宋_GB2312"/>
          <w:sz w:val="32"/>
          <w:szCs w:val="32"/>
          <w:highlight w:val="none"/>
          <w:lang w:eastAsia="zh-CN"/>
        </w:rPr>
      </w:pPr>
      <w:r>
        <w:rPr>
          <w:rFonts w:hint="eastAsia" w:ascii="仿宋" w:eastAsia="仿宋"/>
          <w:b/>
          <w:sz w:val="32"/>
          <w:szCs w:val="32"/>
          <w:highlight w:val="none"/>
        </w:rPr>
        <w:t>国内公务接待支出</w:t>
      </w:r>
      <w:r>
        <w:rPr>
          <w:rFonts w:hint="eastAsia" w:ascii="仿宋_GB2312" w:eastAsia="仿宋_GB2312" w:cs="Times New Roman"/>
          <w:sz w:val="32"/>
          <w:szCs w:val="32"/>
          <w:highlight w:val="none"/>
          <w:lang w:val="en-US" w:eastAsia="zh-CN"/>
        </w:rPr>
        <w:t>0.40</w:t>
      </w:r>
      <w:r>
        <w:rPr>
          <w:rFonts w:hint="eastAsia" w:ascii="仿宋_GB2312" w:eastAsia="仿宋_GB2312"/>
          <w:sz w:val="32"/>
          <w:szCs w:val="32"/>
          <w:highlight w:val="none"/>
        </w:rPr>
        <w:t>万元，主要用于</w:t>
      </w:r>
      <w:r>
        <w:rPr>
          <w:rFonts w:hint="eastAsia" w:ascii="仿宋" w:hAnsi="仿宋" w:eastAsia="仿宋" w:cs="仿宋"/>
          <w:kern w:val="0"/>
          <w:sz w:val="32"/>
          <w:szCs w:val="32"/>
          <w:highlight w:val="none"/>
          <w:shd w:val="clear" w:color="auto" w:fill="FFFFFF"/>
          <w:lang w:val="en-US" w:eastAsia="zh-CN" w:bidi="ar"/>
        </w:rPr>
        <w:t>上级部门来检查指导工作</w:t>
      </w:r>
      <w:r>
        <w:rPr>
          <w:rFonts w:hint="eastAsia" w:ascii="仿宋_GB2312" w:eastAsia="仿宋_GB2312"/>
          <w:sz w:val="32"/>
          <w:szCs w:val="32"/>
          <w:highlight w:val="none"/>
        </w:rPr>
        <w:t>、</w:t>
      </w:r>
      <w:r>
        <w:rPr>
          <w:rFonts w:hint="eastAsia" w:ascii="仿宋_GB2312" w:eastAsia="仿宋_GB2312"/>
          <w:sz w:val="32"/>
          <w:szCs w:val="32"/>
          <w:highlight w:val="none"/>
          <w:lang w:eastAsia="zh-CN"/>
        </w:rPr>
        <w:t>兄弟县交流考察</w:t>
      </w:r>
      <w:r>
        <w:rPr>
          <w:rFonts w:hint="eastAsia" w:ascii="仿宋_GB2312" w:eastAsia="仿宋_GB2312"/>
          <w:sz w:val="32"/>
          <w:szCs w:val="32"/>
          <w:highlight w:val="none"/>
        </w:rPr>
        <w:t>开支的交通费、住宿费、用餐费等。国内公务接待</w:t>
      </w:r>
      <w:r>
        <w:rPr>
          <w:rFonts w:hint="eastAsia" w:ascii="仿宋_GB2312" w:eastAsia="仿宋_GB2312"/>
          <w:sz w:val="32"/>
          <w:szCs w:val="32"/>
          <w:highlight w:val="none"/>
          <w:lang w:val="en-US" w:eastAsia="zh-CN"/>
        </w:rPr>
        <w:t>4</w:t>
      </w:r>
      <w:r>
        <w:rPr>
          <w:rFonts w:hint="eastAsia" w:ascii="仿宋_GB2312" w:eastAsia="仿宋_GB2312"/>
          <w:sz w:val="32"/>
          <w:szCs w:val="32"/>
          <w:highlight w:val="none"/>
        </w:rPr>
        <w:t>批次，</w:t>
      </w:r>
      <w:r>
        <w:rPr>
          <w:rFonts w:hint="eastAsia" w:ascii="仿宋_GB2312" w:eastAsia="仿宋_GB2312"/>
          <w:sz w:val="32"/>
          <w:szCs w:val="32"/>
          <w:highlight w:val="none"/>
          <w:lang w:val="en-US" w:eastAsia="zh-CN"/>
        </w:rPr>
        <w:t>21</w:t>
      </w:r>
      <w:r>
        <w:rPr>
          <w:rFonts w:hint="eastAsia" w:ascii="仿宋_GB2312" w:eastAsia="仿宋_GB2312"/>
          <w:sz w:val="32"/>
          <w:szCs w:val="32"/>
          <w:highlight w:val="none"/>
        </w:rPr>
        <w:t>人次，共计支出</w:t>
      </w:r>
      <w:r>
        <w:rPr>
          <w:rFonts w:hint="eastAsia" w:ascii="仿宋_GB2312" w:eastAsia="仿宋_GB2312"/>
          <w:sz w:val="32"/>
          <w:szCs w:val="32"/>
          <w:highlight w:val="none"/>
          <w:lang w:val="en-US" w:eastAsia="zh-CN"/>
        </w:rPr>
        <w:t>0.40</w:t>
      </w:r>
      <w:r>
        <w:rPr>
          <w:rFonts w:hint="eastAsia" w:ascii="仿宋_GB2312" w:eastAsia="仿宋_GB2312"/>
          <w:sz w:val="32"/>
          <w:szCs w:val="32"/>
          <w:highlight w:val="none"/>
        </w:rPr>
        <w:t>万元</w:t>
      </w:r>
      <w:r>
        <w:rPr>
          <w:rFonts w:hint="eastAsia" w:ascii="仿宋_GB2312" w:eastAsia="仿宋_GB2312"/>
          <w:sz w:val="32"/>
          <w:szCs w:val="32"/>
          <w:highlight w:val="none"/>
          <w:lang w:eastAsia="zh-CN"/>
        </w:rPr>
        <w:t>。</w:t>
      </w:r>
    </w:p>
    <w:p w14:paraId="29A1951E">
      <w:pPr>
        <w:pageBreakBefore w:val="0"/>
        <w:kinsoku/>
        <w:wordWrap/>
        <w:overflowPunct/>
        <w:topLinePunct w:val="0"/>
        <w:bidi w:val="0"/>
        <w:spacing w:line="240" w:lineRule="auto"/>
        <w:ind w:firstLine="643" w:firstLineChars="200"/>
        <w:rPr>
          <w:rFonts w:ascii="黑体" w:eastAsia="黑体"/>
          <w:sz w:val="32"/>
          <w:szCs w:val="32"/>
        </w:rPr>
      </w:pPr>
      <w:r>
        <w:rPr>
          <w:rFonts w:hint="eastAsia" w:ascii="仿宋" w:eastAsia="仿宋"/>
          <w:b/>
          <w:sz w:val="32"/>
          <w:szCs w:val="32"/>
        </w:rPr>
        <w:t>外事接待支出</w:t>
      </w:r>
      <w:r>
        <w:rPr>
          <w:rFonts w:hint="eastAsia" w:ascii="仿宋" w:eastAsia="仿宋"/>
          <w:sz w:val="32"/>
          <w:szCs w:val="32"/>
          <w:lang w:val="en-US" w:eastAsia="zh-CN"/>
        </w:rPr>
        <w:t>0</w:t>
      </w:r>
      <w:r>
        <w:rPr>
          <w:rFonts w:hint="eastAsia" w:ascii="仿宋_GB2312" w:eastAsia="仿宋_GB2312"/>
          <w:sz w:val="32"/>
          <w:szCs w:val="32"/>
        </w:rPr>
        <w:t>万元，外事接待</w:t>
      </w:r>
      <w:r>
        <w:rPr>
          <w:rFonts w:hint="eastAsia" w:ascii="仿宋_GB2312" w:eastAsia="仿宋_GB2312"/>
          <w:sz w:val="32"/>
          <w:szCs w:val="32"/>
          <w:lang w:val="en-US" w:eastAsia="zh-CN"/>
        </w:rPr>
        <w:t>0</w:t>
      </w:r>
      <w:r>
        <w:rPr>
          <w:rFonts w:hint="eastAsia" w:ascii="仿宋_GB2312" w:eastAsia="仿宋_GB2312"/>
          <w:sz w:val="32"/>
          <w:szCs w:val="32"/>
        </w:rPr>
        <w:t>批次，</w:t>
      </w:r>
      <w:r>
        <w:rPr>
          <w:rFonts w:hint="eastAsia" w:ascii="仿宋_GB2312" w:eastAsia="仿宋_GB2312"/>
          <w:sz w:val="32"/>
          <w:szCs w:val="32"/>
          <w:lang w:val="en-US" w:eastAsia="zh-CN"/>
        </w:rPr>
        <w:t>0</w:t>
      </w:r>
      <w:r>
        <w:rPr>
          <w:rFonts w:hint="eastAsia" w:ascii="仿宋_GB2312" w:eastAsia="仿宋_GB2312"/>
          <w:sz w:val="32"/>
          <w:szCs w:val="32"/>
        </w:rPr>
        <w:t>人，共计支出</w:t>
      </w:r>
      <w:r>
        <w:rPr>
          <w:rFonts w:hint="eastAsia" w:ascii="仿宋_GB2312" w:eastAsia="仿宋_GB2312"/>
          <w:sz w:val="32"/>
          <w:szCs w:val="32"/>
          <w:lang w:val="en-US" w:eastAsia="zh-CN"/>
        </w:rPr>
        <w:t>0</w:t>
      </w:r>
      <w:r>
        <w:rPr>
          <w:rFonts w:hint="eastAsia" w:ascii="仿宋_GB2312" w:eastAsia="仿宋_GB2312"/>
          <w:sz w:val="32"/>
          <w:szCs w:val="32"/>
        </w:rPr>
        <w:t>万元</w:t>
      </w:r>
      <w:r>
        <w:rPr>
          <w:rFonts w:hint="eastAsia" w:ascii="仿宋_GB2312" w:eastAsia="仿宋_GB2312"/>
          <w:sz w:val="32"/>
          <w:szCs w:val="32"/>
          <w:lang w:eastAsia="zh-CN"/>
        </w:rPr>
        <w:t>。</w:t>
      </w:r>
      <w:bookmarkStart w:id="55" w:name="_Toc15377218"/>
      <w:bookmarkStart w:id="56" w:name="_Toc15396610"/>
    </w:p>
    <w:p w14:paraId="13546035">
      <w:pPr>
        <w:pageBreakBefore w:val="0"/>
        <w:kinsoku/>
        <w:wordWrap/>
        <w:overflowPunct/>
        <w:topLinePunct w:val="0"/>
        <w:bidi w:val="0"/>
        <w:spacing w:line="240" w:lineRule="auto"/>
        <w:ind w:firstLine="640"/>
        <w:outlineLvl w:val="1"/>
        <w:rPr>
          <w:rStyle w:val="21"/>
          <w:rFonts w:ascii="黑体" w:eastAsia="黑体"/>
        </w:rPr>
      </w:pPr>
      <w:bookmarkStart w:id="57" w:name="_Toc12094"/>
      <w:r>
        <w:rPr>
          <w:rFonts w:hint="eastAsia" w:ascii="黑体" w:eastAsia="黑体"/>
          <w:sz w:val="32"/>
          <w:szCs w:val="32"/>
        </w:rPr>
        <w:t>八、</w:t>
      </w:r>
      <w:r>
        <w:rPr>
          <w:rStyle w:val="21"/>
          <w:rFonts w:hint="eastAsia" w:ascii="黑体" w:eastAsia="黑体"/>
          <w:b w:val="0"/>
        </w:rPr>
        <w:t>政府性基金预算支出决算情况说明</w:t>
      </w:r>
      <w:bookmarkEnd w:id="55"/>
      <w:bookmarkEnd w:id="56"/>
      <w:bookmarkEnd w:id="57"/>
    </w:p>
    <w:p w14:paraId="258699DD">
      <w:pPr>
        <w:pageBreakBefore w:val="0"/>
        <w:kinsoku/>
        <w:wordWrap/>
        <w:overflowPunct/>
        <w:topLinePunct w:val="0"/>
        <w:bidi w:val="0"/>
        <w:spacing w:line="240" w:lineRule="auto"/>
        <w:ind w:firstLine="640"/>
        <w:rPr>
          <w:rFonts w:ascii="仿宋_GB2312" w:eastAsia="仿宋_GB2312"/>
          <w:sz w:val="32"/>
          <w:szCs w:val="32"/>
        </w:rPr>
      </w:pPr>
      <w:r>
        <w:rPr>
          <w:rFonts w:hint="eastAsia" w:ascii="仿宋_GB2312" w:eastAsia="仿宋_GB2312"/>
          <w:sz w:val="32"/>
          <w:szCs w:val="32"/>
          <w:lang w:eastAsia="zh-CN"/>
        </w:rPr>
        <w:t>2025</w:t>
      </w:r>
      <w:r>
        <w:rPr>
          <w:rFonts w:hint="eastAsia" w:ascii="仿宋_GB2312" w:eastAsia="仿宋_GB2312"/>
          <w:sz w:val="32"/>
          <w:szCs w:val="32"/>
        </w:rPr>
        <w:t>年政府性基金预算财政拨款支出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0BE8C223">
      <w:pPr>
        <w:pageBreakBefore w:val="0"/>
        <w:numPr>
          <w:ilvl w:val="0"/>
          <w:numId w:val="3"/>
        </w:numPr>
        <w:kinsoku/>
        <w:wordWrap/>
        <w:overflowPunct/>
        <w:topLinePunct w:val="0"/>
        <w:bidi w:val="0"/>
        <w:spacing w:line="240" w:lineRule="auto"/>
        <w:ind w:firstLine="640"/>
        <w:outlineLvl w:val="1"/>
        <w:rPr>
          <w:rStyle w:val="21"/>
          <w:rFonts w:ascii="黑体" w:eastAsia="黑体"/>
          <w:b w:val="0"/>
        </w:rPr>
      </w:pPr>
      <w:bookmarkStart w:id="58" w:name="_Toc15377219"/>
      <w:bookmarkStart w:id="59" w:name="_Toc25654"/>
      <w:bookmarkStart w:id="60" w:name="_Toc15396611"/>
      <w:r>
        <w:rPr>
          <w:rStyle w:val="21"/>
          <w:rFonts w:hint="eastAsia" w:ascii="黑体" w:eastAsia="黑体"/>
          <w:b w:val="0"/>
        </w:rPr>
        <w:t>国有资本经营预算支出决算情况说明</w:t>
      </w:r>
      <w:bookmarkEnd w:id="58"/>
      <w:bookmarkEnd w:id="59"/>
      <w:bookmarkEnd w:id="60"/>
    </w:p>
    <w:p w14:paraId="18CC4141">
      <w:pPr>
        <w:pageBreakBefore w:val="0"/>
        <w:kinsoku/>
        <w:wordWrap/>
        <w:overflowPunct/>
        <w:topLinePunct w:val="0"/>
        <w:bidi w:val="0"/>
        <w:spacing w:line="240" w:lineRule="auto"/>
        <w:ind w:firstLine="640"/>
        <w:rPr>
          <w:rFonts w:ascii="方正小标宋简体" w:eastAsia="方正小标宋简体" w:cs="方正小标宋简体"/>
          <w:sz w:val="44"/>
          <w:szCs w:val="44"/>
        </w:rPr>
      </w:pPr>
      <w:r>
        <w:rPr>
          <w:rFonts w:hint="eastAsia" w:ascii="仿宋_GB2312" w:eastAsia="仿宋_GB2312"/>
          <w:sz w:val="32"/>
          <w:szCs w:val="32"/>
          <w:lang w:eastAsia="zh-CN"/>
        </w:rPr>
        <w:t>2025</w:t>
      </w:r>
      <w:r>
        <w:rPr>
          <w:rFonts w:hint="eastAsia" w:ascii="仿宋_GB2312" w:eastAsia="仿宋_GB2312"/>
          <w:sz w:val="32"/>
          <w:szCs w:val="32"/>
        </w:rPr>
        <w:t>年国有资本经营预算财政拨款支出</w:t>
      </w:r>
      <w:r>
        <w:rPr>
          <w:rFonts w:hint="eastAsia" w:ascii="仿宋_GB2312" w:eastAsia="仿宋_GB2312"/>
          <w:sz w:val="32"/>
          <w:szCs w:val="32"/>
          <w:lang w:val="en-US" w:eastAsia="zh-CN"/>
        </w:rPr>
        <w:t>0</w:t>
      </w:r>
      <w:r>
        <w:rPr>
          <w:rFonts w:hint="eastAsia" w:ascii="仿宋_GB2312" w:eastAsia="仿宋_GB2312"/>
          <w:sz w:val="32"/>
          <w:szCs w:val="32"/>
        </w:rPr>
        <w:t>万元。</w:t>
      </w:r>
    </w:p>
    <w:p w14:paraId="34BBF1BC">
      <w:pPr>
        <w:pageBreakBefore w:val="0"/>
        <w:numPr>
          <w:ilvl w:val="0"/>
          <w:numId w:val="3"/>
        </w:numPr>
        <w:kinsoku/>
        <w:wordWrap/>
        <w:overflowPunct/>
        <w:topLinePunct w:val="0"/>
        <w:bidi w:val="0"/>
        <w:spacing w:line="240" w:lineRule="auto"/>
        <w:ind w:firstLine="640"/>
        <w:outlineLvl w:val="1"/>
        <w:rPr>
          <w:rStyle w:val="21"/>
          <w:rFonts w:ascii="黑体" w:eastAsia="黑体"/>
          <w:b w:val="0"/>
        </w:rPr>
      </w:pPr>
      <w:bookmarkStart w:id="61" w:name="_Toc14233"/>
      <w:bookmarkStart w:id="62" w:name="_Toc15396612"/>
      <w:bookmarkStart w:id="63" w:name="_Toc15377221"/>
      <w:r>
        <w:rPr>
          <w:rStyle w:val="21"/>
          <w:rFonts w:hint="eastAsia" w:ascii="黑体" w:eastAsia="黑体"/>
          <w:b w:val="0"/>
        </w:rPr>
        <w:t>其他重要事项的情况说明</w:t>
      </w:r>
      <w:bookmarkEnd w:id="61"/>
      <w:bookmarkEnd w:id="62"/>
      <w:bookmarkEnd w:id="63"/>
    </w:p>
    <w:p w14:paraId="0A1A3996">
      <w:pPr>
        <w:pageBreakBefore w:val="0"/>
        <w:kinsoku/>
        <w:wordWrap/>
        <w:overflowPunct/>
        <w:topLinePunct w:val="0"/>
        <w:bidi w:val="0"/>
        <w:spacing w:line="240" w:lineRule="auto"/>
        <w:ind w:firstLine="643" w:firstLineChars="200"/>
        <w:outlineLvl w:val="2"/>
        <w:rPr>
          <w:rFonts w:ascii="仿宋" w:eastAsia="仿宋"/>
          <w:sz w:val="32"/>
          <w:szCs w:val="32"/>
        </w:rPr>
      </w:pPr>
      <w:bookmarkStart w:id="64" w:name="_Toc15377222"/>
      <w:r>
        <w:rPr>
          <w:rFonts w:hint="eastAsia" w:ascii="仿宋" w:eastAsia="仿宋"/>
          <w:b/>
          <w:sz w:val="32"/>
          <w:szCs w:val="32"/>
        </w:rPr>
        <w:t>（一）机关运行经费支出情况</w:t>
      </w:r>
      <w:bookmarkEnd w:id="64"/>
    </w:p>
    <w:p w14:paraId="7CD7E0D0">
      <w:pPr>
        <w:pageBreakBefore w:val="0"/>
        <w:kinsoku/>
        <w:wordWrap/>
        <w:overflowPunct/>
        <w:topLinePunct w:val="0"/>
        <w:bidi w:val="0"/>
        <w:spacing w:line="240" w:lineRule="auto"/>
        <w:ind w:firstLine="640" w:firstLineChars="200"/>
        <w:rPr>
          <w:rFonts w:ascii="仿宋" w:eastAsia="仿宋"/>
          <w:b/>
          <w:sz w:val="32"/>
          <w:szCs w:val="32"/>
        </w:rPr>
      </w:pPr>
      <w:r>
        <w:rPr>
          <w:rFonts w:hint="eastAsia" w:ascii="仿宋_GB2312" w:eastAsia="仿宋_GB2312"/>
          <w:sz w:val="32"/>
          <w:szCs w:val="32"/>
          <w:lang w:eastAsia="zh-CN"/>
        </w:rPr>
        <w:t>2025</w:t>
      </w:r>
      <w:r>
        <w:rPr>
          <w:rFonts w:hint="eastAsia" w:ascii="仿宋_GB2312" w:eastAsia="仿宋_GB2312"/>
          <w:sz w:val="32"/>
          <w:szCs w:val="32"/>
        </w:rPr>
        <w:t>年，</w:t>
      </w:r>
      <w:r>
        <w:rPr>
          <w:rFonts w:hint="eastAsia" w:ascii="仿宋" w:hAnsi="仿宋" w:eastAsia="仿宋" w:cs="仿宋"/>
          <w:kern w:val="0"/>
          <w:sz w:val="32"/>
          <w:szCs w:val="32"/>
          <w:shd w:val="clear" w:color="auto" w:fill="FFFFFF"/>
          <w:lang w:val="en-US" w:eastAsia="zh-CN" w:bidi="ar"/>
        </w:rPr>
        <w:t>中共红原县委办公室机关运行经费</w:t>
      </w:r>
      <w:r>
        <w:rPr>
          <w:rFonts w:hint="eastAsia" w:ascii="仿宋_GB2312" w:eastAsia="仿宋_GB2312"/>
          <w:sz w:val="32"/>
          <w:szCs w:val="32"/>
        </w:rPr>
        <w:t>支出</w:t>
      </w:r>
      <w:r>
        <w:rPr>
          <w:rFonts w:hint="eastAsia" w:ascii="仿宋_GB2312" w:eastAsia="仿宋_GB2312"/>
          <w:sz w:val="32"/>
          <w:szCs w:val="32"/>
          <w:lang w:val="en-US" w:eastAsia="zh-CN"/>
        </w:rPr>
        <w:t>100.77</w:t>
      </w:r>
      <w:r>
        <w:rPr>
          <w:rFonts w:hint="eastAsia" w:ascii="仿宋_GB2312" w:eastAsia="仿宋_GB2312"/>
          <w:sz w:val="32"/>
          <w:szCs w:val="32"/>
        </w:rPr>
        <w:t>万元，比</w:t>
      </w:r>
      <w:r>
        <w:rPr>
          <w:rFonts w:hint="eastAsia" w:ascii="仿宋_GB2312" w:eastAsia="仿宋_GB2312"/>
          <w:sz w:val="32"/>
          <w:szCs w:val="32"/>
          <w:lang w:eastAsia="zh-CN"/>
        </w:rPr>
        <w:t>2024年</w:t>
      </w:r>
      <w:r>
        <w:rPr>
          <w:rFonts w:hint="eastAsia" w:ascii="仿宋_GB2312" w:eastAsia="仿宋_GB2312"/>
          <w:sz w:val="32"/>
          <w:szCs w:val="32"/>
          <w:lang w:val="en-US" w:eastAsia="zh-CN"/>
        </w:rPr>
        <w:t>增加13.54</w:t>
      </w:r>
      <w:r>
        <w:rPr>
          <w:rFonts w:hint="eastAsia" w:ascii="仿宋_GB2312" w:eastAsia="仿宋_GB2312"/>
          <w:sz w:val="32"/>
          <w:szCs w:val="32"/>
        </w:rPr>
        <w:t>万元，</w:t>
      </w:r>
      <w:r>
        <w:rPr>
          <w:rFonts w:hint="eastAsia" w:ascii="仿宋_GB2312" w:eastAsia="仿宋_GB2312"/>
          <w:sz w:val="32"/>
          <w:szCs w:val="32"/>
          <w:lang w:val="en-US" w:eastAsia="zh-CN"/>
        </w:rPr>
        <w:t>增加15.52</w:t>
      </w:r>
      <w:r>
        <w:rPr>
          <w:rFonts w:ascii="仿宋_GB2312" w:eastAsia="仿宋_GB2312"/>
          <w:sz w:val="32"/>
          <w:szCs w:val="32"/>
        </w:rPr>
        <w:t>%</w:t>
      </w:r>
      <w:r>
        <w:rPr>
          <w:rFonts w:hint="eastAsia" w:ascii="仿宋_GB2312" w:eastAsia="仿宋_GB2312"/>
          <w:sz w:val="32"/>
          <w:szCs w:val="32"/>
          <w:lang w:eastAsia="zh-CN"/>
        </w:rPr>
        <w:t>，</w:t>
      </w:r>
      <w:r>
        <w:rPr>
          <w:rFonts w:hint="eastAsia" w:ascii="仿宋_GB2312" w:eastAsia="仿宋_GB2312"/>
          <w:sz w:val="32"/>
          <w:szCs w:val="32"/>
        </w:rPr>
        <w:t>主要原</w:t>
      </w:r>
      <w:r>
        <w:rPr>
          <w:rFonts w:hint="eastAsia" w:ascii="仿宋_GB2312" w:eastAsia="仿宋_GB2312"/>
          <w:sz w:val="32"/>
          <w:szCs w:val="32"/>
          <w:highlight w:val="none"/>
        </w:rPr>
        <w:t>因是</w:t>
      </w:r>
      <w:r>
        <w:rPr>
          <w:rFonts w:hint="eastAsia" w:ascii="仿宋_GB2312" w:eastAsia="仿宋_GB2312"/>
          <w:sz w:val="32"/>
          <w:szCs w:val="32"/>
          <w:highlight w:val="none"/>
          <w:lang w:val="en-US" w:eastAsia="zh-CN"/>
        </w:rPr>
        <w:t>2025年新增独立核算机构1个</w:t>
      </w:r>
      <w:r>
        <w:rPr>
          <w:rFonts w:hint="eastAsia" w:ascii="仿宋_GB2312" w:eastAsia="仿宋_GB2312"/>
          <w:sz w:val="32"/>
          <w:szCs w:val="32"/>
          <w:highlight w:val="none"/>
          <w:lang w:eastAsia="zh-CN"/>
        </w:rPr>
        <w:t>等。</w:t>
      </w:r>
    </w:p>
    <w:p w14:paraId="071A7531">
      <w:pPr>
        <w:pageBreakBefore w:val="0"/>
        <w:kinsoku/>
        <w:wordWrap/>
        <w:overflowPunct/>
        <w:topLinePunct w:val="0"/>
        <w:autoSpaceDE w:val="0"/>
        <w:autoSpaceDN w:val="0"/>
        <w:bidi w:val="0"/>
        <w:adjustRightInd w:val="0"/>
        <w:spacing w:line="240" w:lineRule="auto"/>
        <w:ind w:firstLine="643" w:firstLineChars="200"/>
        <w:jc w:val="left"/>
        <w:outlineLvl w:val="2"/>
        <w:rPr>
          <w:rFonts w:ascii="仿宋" w:eastAsia="仿宋"/>
          <w:b/>
          <w:sz w:val="32"/>
          <w:szCs w:val="32"/>
        </w:rPr>
      </w:pPr>
      <w:bookmarkStart w:id="65" w:name="_Toc15377223"/>
      <w:r>
        <w:rPr>
          <w:rFonts w:hint="eastAsia" w:ascii="仿宋" w:eastAsia="仿宋"/>
          <w:b/>
          <w:sz w:val="32"/>
          <w:szCs w:val="32"/>
        </w:rPr>
        <w:t>（二）政府采购支出情况</w:t>
      </w:r>
      <w:bookmarkEnd w:id="65"/>
    </w:p>
    <w:p w14:paraId="44E7E812">
      <w:pPr>
        <w:pageBreakBefore w:val="0"/>
        <w:kinsoku/>
        <w:wordWrap/>
        <w:overflowPunct/>
        <w:topLinePunct w:val="0"/>
        <w:bidi w:val="0"/>
        <w:spacing w:line="240" w:lineRule="auto"/>
        <w:ind w:firstLine="640" w:firstLineChars="200"/>
        <w:rPr>
          <w:rFonts w:hint="eastAsia" w:ascii="仿宋_GB2312" w:eastAsia="仿宋_GB2312"/>
          <w:sz w:val="32"/>
          <w:szCs w:val="32"/>
          <w:lang w:val="en-US" w:eastAsia="zh-CN"/>
        </w:rPr>
      </w:pPr>
      <w:r>
        <w:rPr>
          <w:rFonts w:hint="eastAsia" w:ascii="仿宋_GB2312" w:eastAsia="仿宋_GB2312"/>
          <w:sz w:val="32"/>
          <w:szCs w:val="32"/>
          <w:lang w:eastAsia="zh-CN"/>
        </w:rPr>
        <w:t>2025</w:t>
      </w:r>
      <w:r>
        <w:rPr>
          <w:rFonts w:hint="eastAsia" w:ascii="仿宋_GB2312" w:eastAsia="仿宋_GB2312"/>
          <w:sz w:val="32"/>
          <w:szCs w:val="32"/>
        </w:rPr>
        <w:t>年，</w:t>
      </w:r>
      <w:r>
        <w:rPr>
          <w:rFonts w:hint="eastAsia" w:ascii="仿宋" w:hAnsi="仿宋" w:eastAsia="仿宋" w:cs="仿宋"/>
          <w:kern w:val="0"/>
          <w:sz w:val="32"/>
          <w:szCs w:val="32"/>
          <w:shd w:val="clear" w:color="auto" w:fill="FFFFFF"/>
          <w:lang w:val="en-US" w:eastAsia="zh-CN" w:bidi="ar"/>
        </w:rPr>
        <w:t>中共红原县委办公室政府采购支出</w:t>
      </w:r>
      <w:r>
        <w:rPr>
          <w:rFonts w:hint="eastAsia" w:ascii="仿宋_GB2312" w:eastAsia="仿宋_GB2312"/>
          <w:sz w:val="32"/>
          <w:szCs w:val="32"/>
        </w:rPr>
        <w:t>总额</w:t>
      </w:r>
      <w:r>
        <w:rPr>
          <w:rFonts w:hint="eastAsia" w:ascii="仿宋_GB2312" w:eastAsia="仿宋_GB2312"/>
          <w:sz w:val="32"/>
          <w:szCs w:val="32"/>
          <w:highlight w:val="none"/>
          <w:lang w:val="en-US" w:eastAsia="zh-CN"/>
        </w:rPr>
        <w:t>32.20</w:t>
      </w:r>
      <w:r>
        <w:rPr>
          <w:rFonts w:hint="eastAsia" w:ascii="仿宋_GB2312" w:eastAsia="仿宋_GB2312"/>
          <w:sz w:val="32"/>
          <w:szCs w:val="32"/>
        </w:rPr>
        <w:t>万元，其中：政府采购货物支出</w:t>
      </w:r>
      <w:r>
        <w:rPr>
          <w:rFonts w:hint="eastAsia" w:ascii="仿宋_GB2312" w:eastAsia="仿宋_GB2312"/>
          <w:sz w:val="32"/>
          <w:szCs w:val="32"/>
          <w:lang w:val="en-US" w:eastAsia="zh-CN"/>
        </w:rPr>
        <w:t>0</w:t>
      </w:r>
      <w:r>
        <w:rPr>
          <w:rFonts w:hint="eastAsia" w:ascii="仿宋_GB2312" w:eastAsia="仿宋_GB2312"/>
          <w:sz w:val="32"/>
          <w:szCs w:val="32"/>
        </w:rPr>
        <w:t>万元、政府采购工程支出</w:t>
      </w:r>
      <w:r>
        <w:rPr>
          <w:rFonts w:hint="eastAsia" w:ascii="仿宋_GB2312" w:eastAsia="仿宋_GB2312"/>
          <w:sz w:val="32"/>
          <w:szCs w:val="32"/>
          <w:lang w:val="en-US" w:eastAsia="zh-CN"/>
        </w:rPr>
        <w:t>0</w:t>
      </w:r>
      <w:r>
        <w:rPr>
          <w:rFonts w:hint="eastAsia" w:ascii="仿宋_GB2312" w:eastAsia="仿宋_GB2312"/>
          <w:sz w:val="32"/>
          <w:szCs w:val="32"/>
        </w:rPr>
        <w:t>万元、政府采购服务支出</w:t>
      </w:r>
      <w:r>
        <w:rPr>
          <w:rFonts w:hint="eastAsia" w:ascii="仿宋_GB2312" w:eastAsia="仿宋_GB2312"/>
          <w:sz w:val="32"/>
          <w:szCs w:val="32"/>
          <w:lang w:val="en-US" w:eastAsia="zh-CN"/>
        </w:rPr>
        <w:t>32.20</w:t>
      </w:r>
      <w:r>
        <w:rPr>
          <w:rFonts w:hint="eastAsia" w:ascii="仿宋_GB2312" w:eastAsia="仿宋_GB2312"/>
          <w:sz w:val="32"/>
          <w:szCs w:val="32"/>
        </w:rPr>
        <w:t>万元。主要</w:t>
      </w:r>
      <w:r>
        <w:rPr>
          <w:rFonts w:hint="eastAsia" w:ascii="仿宋_GB2312" w:eastAsia="仿宋_GB2312"/>
          <w:sz w:val="32"/>
          <w:szCs w:val="32"/>
          <w:lang w:eastAsia="zh-CN"/>
        </w:rPr>
        <w:t>采购内容涉密不予公开。</w:t>
      </w:r>
    </w:p>
    <w:p w14:paraId="4E169972">
      <w:pPr>
        <w:pageBreakBefore w:val="0"/>
        <w:kinsoku/>
        <w:wordWrap/>
        <w:overflowPunct/>
        <w:topLinePunct w:val="0"/>
        <w:autoSpaceDE w:val="0"/>
        <w:autoSpaceDN w:val="0"/>
        <w:bidi w:val="0"/>
        <w:adjustRightInd w:val="0"/>
        <w:spacing w:line="240" w:lineRule="auto"/>
        <w:ind w:firstLine="643" w:firstLineChars="200"/>
        <w:jc w:val="left"/>
        <w:outlineLvl w:val="2"/>
        <w:rPr>
          <w:rFonts w:ascii="仿宋" w:eastAsia="仿宋"/>
          <w:b/>
          <w:sz w:val="32"/>
          <w:szCs w:val="32"/>
        </w:rPr>
      </w:pPr>
      <w:bookmarkStart w:id="66" w:name="_Toc15377224"/>
      <w:r>
        <w:rPr>
          <w:rFonts w:hint="eastAsia" w:ascii="仿宋" w:eastAsia="仿宋"/>
          <w:b/>
          <w:sz w:val="32"/>
          <w:szCs w:val="32"/>
        </w:rPr>
        <w:t>（三）国有资产占有使用情况</w:t>
      </w:r>
      <w:bookmarkEnd w:id="66"/>
    </w:p>
    <w:p w14:paraId="58337641">
      <w:pPr>
        <w:pageBreakBefore w:val="0"/>
        <w:kinsoku/>
        <w:wordWrap/>
        <w:overflowPunct/>
        <w:topLinePunct w:val="0"/>
        <w:autoSpaceDE w:val="0"/>
        <w:autoSpaceDN w:val="0"/>
        <w:bidi w:val="0"/>
        <w:adjustRightInd w:val="0"/>
        <w:spacing w:line="240" w:lineRule="auto"/>
        <w:ind w:firstLine="640" w:firstLineChars="200"/>
        <w:jc w:val="left"/>
        <w:rPr>
          <w:rFonts w:ascii="仿宋" w:eastAsia="仿宋"/>
          <w:b/>
          <w:sz w:val="32"/>
          <w:szCs w:val="32"/>
        </w:rPr>
      </w:pPr>
      <w:r>
        <w:rPr>
          <w:rFonts w:hint="eastAsia" w:ascii="仿宋_GB2312" w:eastAsia="仿宋_GB2312"/>
          <w:sz w:val="32"/>
          <w:szCs w:val="32"/>
        </w:rPr>
        <w:t>截至</w:t>
      </w:r>
      <w:r>
        <w:rPr>
          <w:rFonts w:hint="eastAsia" w:ascii="仿宋_GB2312" w:eastAsia="仿宋_GB2312"/>
          <w:sz w:val="32"/>
          <w:szCs w:val="32"/>
          <w:lang w:eastAsia="zh-CN"/>
        </w:rPr>
        <w:t>2025</w:t>
      </w:r>
      <w:r>
        <w:rPr>
          <w:rFonts w:hint="eastAsia" w:ascii="仿宋_GB2312" w:eastAsia="仿宋_GB2312"/>
          <w:sz w:val="32"/>
          <w:szCs w:val="32"/>
        </w:rPr>
        <w:t>年</w:t>
      </w:r>
      <w:r>
        <w:rPr>
          <w:rFonts w:ascii="仿宋_GB2312" w:eastAsia="仿宋_GB2312"/>
          <w:sz w:val="32"/>
          <w:szCs w:val="32"/>
        </w:rPr>
        <w:t>12</w:t>
      </w:r>
      <w:r>
        <w:rPr>
          <w:rFonts w:hint="eastAsia" w:ascii="仿宋_GB2312" w:eastAsia="仿宋_GB2312"/>
          <w:sz w:val="32"/>
          <w:szCs w:val="32"/>
        </w:rPr>
        <w:t>月</w:t>
      </w:r>
      <w:r>
        <w:rPr>
          <w:rFonts w:ascii="仿宋_GB2312" w:eastAsia="仿宋_GB2312"/>
          <w:sz w:val="32"/>
          <w:szCs w:val="32"/>
        </w:rPr>
        <w:t>31</w:t>
      </w:r>
      <w:r>
        <w:rPr>
          <w:rFonts w:hint="eastAsia" w:ascii="仿宋_GB2312" w:eastAsia="仿宋_GB2312"/>
          <w:sz w:val="32"/>
          <w:szCs w:val="32"/>
        </w:rPr>
        <w:t>日，</w:t>
      </w:r>
      <w:r>
        <w:rPr>
          <w:rFonts w:hint="eastAsia" w:ascii="仿宋" w:hAnsi="仿宋" w:eastAsia="仿宋" w:cs="仿宋"/>
          <w:kern w:val="0"/>
          <w:sz w:val="32"/>
          <w:szCs w:val="32"/>
          <w:shd w:val="clear" w:color="auto" w:fill="FFFFFF"/>
          <w:lang w:val="en-US" w:eastAsia="zh-CN" w:bidi="ar"/>
        </w:rPr>
        <w:t>中共红原县委办公室</w:t>
      </w:r>
      <w:r>
        <w:rPr>
          <w:rFonts w:hint="eastAsia" w:ascii="仿宋_GB2312" w:eastAsia="仿宋_GB2312"/>
          <w:sz w:val="32"/>
          <w:szCs w:val="32"/>
        </w:rPr>
        <w:t>共有车辆</w:t>
      </w:r>
      <w:r>
        <w:rPr>
          <w:rFonts w:hint="eastAsia" w:ascii="仿宋_GB2312" w:eastAsia="仿宋_GB2312"/>
          <w:sz w:val="32"/>
          <w:szCs w:val="32"/>
          <w:lang w:val="en-US" w:eastAsia="zh-CN"/>
        </w:rPr>
        <w:t>7</w:t>
      </w:r>
      <w:r>
        <w:rPr>
          <w:rFonts w:hint="eastAsia" w:ascii="仿宋_GB2312" w:eastAsia="仿宋_GB2312"/>
          <w:sz w:val="32"/>
          <w:szCs w:val="32"/>
        </w:rPr>
        <w:t>辆，其中：主要领导干部用车</w:t>
      </w:r>
      <w:r>
        <w:rPr>
          <w:rFonts w:hint="eastAsia" w:ascii="仿宋_GB2312" w:eastAsia="仿宋_GB2312"/>
          <w:sz w:val="32"/>
          <w:szCs w:val="32"/>
          <w:lang w:val="en-US" w:eastAsia="zh-CN"/>
        </w:rPr>
        <w:t>0</w:t>
      </w:r>
      <w:r>
        <w:rPr>
          <w:rFonts w:hint="eastAsia" w:ascii="仿宋_GB2312" w:eastAsia="仿宋_GB2312"/>
          <w:sz w:val="32"/>
          <w:szCs w:val="32"/>
        </w:rPr>
        <w:t>辆、机要通信用车</w:t>
      </w:r>
      <w:r>
        <w:rPr>
          <w:rFonts w:hint="eastAsia" w:ascii="仿宋_GB2312" w:eastAsia="仿宋_GB2312"/>
          <w:sz w:val="32"/>
          <w:szCs w:val="32"/>
          <w:lang w:val="en-US" w:eastAsia="zh-CN"/>
        </w:rPr>
        <w:t>1</w:t>
      </w:r>
      <w:r>
        <w:rPr>
          <w:rFonts w:hint="eastAsia" w:ascii="仿宋_GB2312" w:eastAsia="仿宋_GB2312"/>
          <w:sz w:val="32"/>
          <w:szCs w:val="32"/>
        </w:rPr>
        <w:t>辆、应急保障用车</w:t>
      </w:r>
      <w:r>
        <w:rPr>
          <w:rFonts w:hint="eastAsia" w:ascii="仿宋_GB2312" w:eastAsia="仿宋_GB2312"/>
          <w:sz w:val="32"/>
          <w:szCs w:val="32"/>
          <w:lang w:val="en-US" w:eastAsia="zh-CN"/>
        </w:rPr>
        <w:t>6</w:t>
      </w:r>
      <w:r>
        <w:rPr>
          <w:rFonts w:hint="eastAsia" w:ascii="仿宋_GB2312" w:eastAsia="仿宋_GB2312"/>
          <w:sz w:val="32"/>
          <w:szCs w:val="32"/>
        </w:rPr>
        <w:t>辆、其他用车</w:t>
      </w:r>
      <w:r>
        <w:rPr>
          <w:rFonts w:hint="eastAsia" w:ascii="仿宋_GB2312" w:eastAsia="仿宋_GB2312"/>
          <w:sz w:val="32"/>
          <w:szCs w:val="32"/>
          <w:lang w:val="en-US" w:eastAsia="zh-CN"/>
        </w:rPr>
        <w:t>0</w:t>
      </w:r>
      <w:r>
        <w:rPr>
          <w:rFonts w:hint="eastAsia" w:ascii="仿宋_GB2312" w:eastAsia="仿宋_GB2312"/>
          <w:sz w:val="32"/>
          <w:szCs w:val="32"/>
        </w:rPr>
        <w:t>辆</w:t>
      </w:r>
      <w:r>
        <w:rPr>
          <w:rFonts w:hint="eastAsia" w:ascii="仿宋_GB2312" w:eastAsia="仿宋_GB2312"/>
          <w:sz w:val="32"/>
          <w:szCs w:val="32"/>
          <w:lang w:eastAsia="zh-CN"/>
        </w:rPr>
        <w:t>。</w:t>
      </w:r>
      <w:r>
        <w:rPr>
          <w:rFonts w:hint="eastAsia" w:ascii="仿宋" w:hAnsi="仿宋" w:eastAsia="仿宋" w:cs="仿宋"/>
          <w:kern w:val="0"/>
          <w:sz w:val="32"/>
          <w:szCs w:val="32"/>
          <w:shd w:val="clear" w:color="auto" w:fill="FFFFFF"/>
          <w:lang w:val="en-US" w:eastAsia="zh-CN" w:bidi="ar"/>
        </w:rPr>
        <w:t>主要用于到上级部门汇报工作、开会，到乡镇调研、指导、检查工作等。</w:t>
      </w:r>
      <w:r>
        <w:rPr>
          <w:rFonts w:hint="eastAsia" w:ascii="仿宋_GB2312" w:eastAsia="仿宋_GB2312"/>
          <w:sz w:val="32"/>
          <w:szCs w:val="32"/>
        </w:rPr>
        <w:t>单价</w:t>
      </w:r>
      <w:r>
        <w:rPr>
          <w:rFonts w:ascii="仿宋_GB2312" w:eastAsia="仿宋_GB2312"/>
          <w:sz w:val="32"/>
          <w:szCs w:val="32"/>
        </w:rPr>
        <w:t>50</w:t>
      </w:r>
      <w:r>
        <w:rPr>
          <w:rFonts w:hint="eastAsia" w:ascii="仿宋_GB2312" w:eastAsia="仿宋_GB2312"/>
          <w:sz w:val="32"/>
          <w:szCs w:val="32"/>
        </w:rPr>
        <w:t>万元以上通用设备</w:t>
      </w:r>
      <w:r>
        <w:rPr>
          <w:rFonts w:hint="eastAsia" w:ascii="仿宋_GB2312" w:eastAsia="仿宋_GB2312"/>
          <w:sz w:val="32"/>
          <w:szCs w:val="32"/>
          <w:lang w:val="en-US" w:eastAsia="zh-CN"/>
        </w:rPr>
        <w:t>0</w:t>
      </w:r>
      <w:r>
        <w:rPr>
          <w:rFonts w:hint="eastAsia" w:ascii="仿宋_GB2312" w:eastAsia="仿宋_GB2312"/>
          <w:sz w:val="32"/>
          <w:szCs w:val="32"/>
        </w:rPr>
        <w:t>台（套），单价</w:t>
      </w:r>
      <w:r>
        <w:rPr>
          <w:rFonts w:ascii="仿宋_GB2312" w:eastAsia="仿宋_GB2312"/>
          <w:sz w:val="32"/>
          <w:szCs w:val="32"/>
        </w:rPr>
        <w:t>100</w:t>
      </w:r>
      <w:r>
        <w:rPr>
          <w:rFonts w:hint="eastAsia" w:ascii="仿宋_GB2312" w:eastAsia="仿宋_GB2312"/>
          <w:sz w:val="32"/>
          <w:szCs w:val="32"/>
        </w:rPr>
        <w:t>万元以上专用设备</w:t>
      </w:r>
      <w:r>
        <w:rPr>
          <w:rFonts w:hint="eastAsia" w:ascii="仿宋_GB2312" w:eastAsia="仿宋_GB2312"/>
          <w:sz w:val="32"/>
          <w:szCs w:val="32"/>
          <w:lang w:val="en-US" w:eastAsia="zh-CN"/>
        </w:rPr>
        <w:t>0</w:t>
      </w:r>
      <w:r>
        <w:rPr>
          <w:rFonts w:hint="eastAsia" w:ascii="仿宋_GB2312" w:eastAsia="仿宋_GB2312"/>
          <w:sz w:val="32"/>
          <w:szCs w:val="32"/>
        </w:rPr>
        <w:t>台（套）。</w:t>
      </w:r>
    </w:p>
    <w:p w14:paraId="311427ED">
      <w:pPr>
        <w:pageBreakBefore w:val="0"/>
        <w:kinsoku/>
        <w:wordWrap/>
        <w:overflowPunct/>
        <w:topLinePunct w:val="0"/>
        <w:autoSpaceDE w:val="0"/>
        <w:autoSpaceDN w:val="0"/>
        <w:bidi w:val="0"/>
        <w:adjustRightInd w:val="0"/>
        <w:spacing w:line="240" w:lineRule="auto"/>
        <w:ind w:firstLine="643" w:firstLineChars="200"/>
        <w:jc w:val="left"/>
        <w:outlineLvl w:val="2"/>
        <w:rPr>
          <w:rFonts w:ascii="仿宋" w:eastAsia="仿宋"/>
          <w:b/>
          <w:sz w:val="32"/>
          <w:szCs w:val="32"/>
        </w:rPr>
      </w:pPr>
      <w:r>
        <w:rPr>
          <w:rFonts w:hint="eastAsia" w:ascii="仿宋" w:eastAsia="仿宋"/>
          <w:b/>
          <w:sz w:val="32"/>
          <w:szCs w:val="32"/>
        </w:rPr>
        <w:t>（四）预算绩效管理情况</w:t>
      </w:r>
    </w:p>
    <w:p w14:paraId="0443C10D">
      <w:pPr>
        <w:pageBreakBefore w:val="0"/>
        <w:kinsoku/>
        <w:wordWrap/>
        <w:overflowPunct/>
        <w:topLinePunct w:val="0"/>
        <w:bidi w:val="0"/>
        <w:spacing w:line="240" w:lineRule="auto"/>
        <w:ind w:firstLine="640" w:firstLineChars="200"/>
        <w:rPr>
          <w:rFonts w:hint="eastAsia" w:ascii="仿宋" w:eastAsia="仿宋_GB2312"/>
          <w:b/>
          <w:sz w:val="32"/>
          <w:szCs w:val="32"/>
          <w:lang w:eastAsia="zh-CN"/>
        </w:rPr>
      </w:pPr>
      <w:r>
        <w:rPr>
          <w:rFonts w:hint="eastAsia" w:ascii="仿宋_GB2312" w:eastAsia="仿宋_GB2312" w:cs="仿宋_GB2312"/>
          <w:sz w:val="32"/>
          <w:szCs w:val="32"/>
        </w:rPr>
        <w:t>根据预算绩效管理要求，本单位在</w:t>
      </w:r>
      <w:r>
        <w:rPr>
          <w:rFonts w:hint="eastAsia" w:ascii="仿宋_GB2312" w:eastAsia="仿宋_GB2312" w:cs="仿宋_GB2312"/>
          <w:sz w:val="32"/>
          <w:szCs w:val="32"/>
          <w:lang w:eastAsia="zh-CN"/>
        </w:rPr>
        <w:t>2025</w:t>
      </w:r>
      <w:r>
        <w:rPr>
          <w:rFonts w:hint="eastAsia" w:ascii="仿宋_GB2312" w:eastAsia="仿宋_GB2312" w:cs="仿宋_GB2312"/>
          <w:sz w:val="32"/>
          <w:szCs w:val="32"/>
        </w:rPr>
        <w:t>年度预算编制阶段，组织对</w:t>
      </w:r>
      <w:r>
        <w:rPr>
          <w:rFonts w:hint="eastAsia" w:ascii="仿宋_GB2312" w:eastAsia="仿宋_GB2312" w:cs="仿宋_GB2312"/>
          <w:sz w:val="32"/>
          <w:szCs w:val="32"/>
          <w:lang w:eastAsia="zh-CN"/>
        </w:rPr>
        <w:t>专项日常公用经费</w:t>
      </w:r>
      <w:r>
        <w:rPr>
          <w:rFonts w:hint="eastAsia" w:ascii="仿宋_GB2312" w:eastAsia="仿宋_GB2312" w:cs="仿宋_GB2312"/>
          <w:sz w:val="32"/>
          <w:szCs w:val="32"/>
        </w:rPr>
        <w:t>开展了预算事前绩效评估，对</w:t>
      </w:r>
      <w:r>
        <w:rPr>
          <w:rFonts w:hint="eastAsia" w:ascii="仿宋_GB2312" w:eastAsia="仿宋_GB2312" w:cs="仿宋_GB2312"/>
          <w:sz w:val="32"/>
          <w:szCs w:val="32"/>
          <w:lang w:val="en-US" w:eastAsia="zh-CN"/>
        </w:rPr>
        <w:t>3</w:t>
      </w:r>
      <w:r>
        <w:rPr>
          <w:rFonts w:hint="eastAsia" w:ascii="仿宋_GB2312" w:eastAsia="仿宋_GB2312" w:cs="仿宋_GB2312"/>
          <w:sz w:val="32"/>
          <w:szCs w:val="32"/>
        </w:rPr>
        <w:t>个项目编制了绩效目标，年终执行完毕</w:t>
      </w:r>
      <w:r>
        <w:rPr>
          <w:rFonts w:hint="eastAsia" w:ascii="仿宋_GB2312" w:eastAsia="仿宋_GB2312" w:cs="仿宋_GB2312"/>
          <w:sz w:val="32"/>
          <w:szCs w:val="32"/>
          <w:lang w:eastAsia="zh-CN"/>
        </w:rPr>
        <w:t>。</w:t>
      </w:r>
    </w:p>
    <w:p w14:paraId="02777A73">
      <w:pPr>
        <w:pStyle w:val="6"/>
        <w:pageBreakBefore w:val="0"/>
        <w:kinsoku/>
        <w:wordWrap/>
        <w:overflowPunct/>
        <w:topLinePunct w:val="0"/>
        <w:bidi w:val="0"/>
        <w:spacing w:before="93" w:line="240" w:lineRule="auto"/>
        <w:rPr>
          <w:highlight w:val="yellow"/>
        </w:rPr>
      </w:pPr>
    </w:p>
    <w:p w14:paraId="4FBB788B">
      <w:pPr>
        <w:pageBreakBefore w:val="0"/>
        <w:widowControl/>
        <w:kinsoku/>
        <w:wordWrap/>
        <w:overflowPunct/>
        <w:topLinePunct w:val="0"/>
        <w:bidi w:val="0"/>
        <w:spacing w:line="240" w:lineRule="auto"/>
        <w:jc w:val="left"/>
        <w:rPr>
          <w:rFonts w:ascii="仿宋_GB2312" w:eastAsia="仿宋_GB2312"/>
          <w:b/>
          <w:sz w:val="32"/>
          <w:szCs w:val="32"/>
        </w:rPr>
      </w:pPr>
    </w:p>
    <w:p w14:paraId="59746680">
      <w:pPr>
        <w:pStyle w:val="2"/>
        <w:rPr>
          <w:rFonts w:ascii="仿宋_GB2312" w:eastAsia="仿宋_GB2312"/>
          <w:b/>
          <w:sz w:val="32"/>
          <w:szCs w:val="32"/>
        </w:rPr>
      </w:pPr>
    </w:p>
    <w:p w14:paraId="06C21802">
      <w:pPr>
        <w:pStyle w:val="2"/>
        <w:rPr>
          <w:rFonts w:ascii="仿宋_GB2312" w:eastAsia="仿宋_GB2312"/>
          <w:b/>
          <w:sz w:val="32"/>
          <w:szCs w:val="32"/>
        </w:rPr>
      </w:pPr>
    </w:p>
    <w:p w14:paraId="430414C1">
      <w:pPr>
        <w:pStyle w:val="2"/>
        <w:rPr>
          <w:rFonts w:ascii="仿宋_GB2312" w:eastAsia="仿宋_GB2312"/>
          <w:b/>
          <w:sz w:val="32"/>
          <w:szCs w:val="32"/>
        </w:rPr>
      </w:pPr>
    </w:p>
    <w:p w14:paraId="0231377F">
      <w:pPr>
        <w:pStyle w:val="2"/>
        <w:rPr>
          <w:rFonts w:ascii="仿宋_GB2312" w:eastAsia="仿宋_GB2312"/>
          <w:b/>
          <w:sz w:val="32"/>
          <w:szCs w:val="32"/>
        </w:rPr>
      </w:pPr>
    </w:p>
    <w:p w14:paraId="08E7A389">
      <w:pPr>
        <w:pageBreakBefore w:val="0"/>
        <w:numPr>
          <w:ilvl w:val="0"/>
          <w:numId w:val="4"/>
        </w:numPr>
        <w:kinsoku/>
        <w:wordWrap/>
        <w:overflowPunct/>
        <w:topLinePunct w:val="0"/>
        <w:bidi w:val="0"/>
        <w:spacing w:line="240" w:lineRule="auto"/>
        <w:ind w:firstLine="660" w:firstLineChars="150"/>
        <w:jc w:val="center"/>
        <w:outlineLvl w:val="0"/>
        <w:rPr>
          <w:rStyle w:val="20"/>
          <w:rFonts w:ascii="黑体" w:eastAsia="黑体"/>
          <w:b w:val="0"/>
        </w:rPr>
      </w:pPr>
      <w:bookmarkStart w:id="67" w:name="_Toc15377225"/>
      <w:bookmarkStart w:id="68" w:name="_Toc15396613"/>
      <w:bookmarkStart w:id="69" w:name="_Toc25794"/>
      <w:r>
        <w:rPr>
          <w:rFonts w:hint="eastAsia" w:ascii="黑体" w:eastAsia="黑体"/>
          <w:sz w:val="44"/>
          <w:szCs w:val="44"/>
        </w:rPr>
        <w:t>名</w:t>
      </w:r>
      <w:r>
        <w:rPr>
          <w:rStyle w:val="20"/>
          <w:rFonts w:hint="eastAsia" w:ascii="黑体" w:eastAsia="黑体"/>
          <w:b w:val="0"/>
        </w:rPr>
        <w:t>词解释</w:t>
      </w:r>
      <w:bookmarkEnd w:id="67"/>
      <w:bookmarkEnd w:id="68"/>
      <w:bookmarkEnd w:id="69"/>
    </w:p>
    <w:p w14:paraId="5D57668F">
      <w:pPr>
        <w:pageBreakBefore w:val="0"/>
        <w:kinsoku/>
        <w:wordWrap/>
        <w:overflowPunct/>
        <w:topLinePunct w:val="0"/>
        <w:bidi w:val="0"/>
        <w:spacing w:line="240" w:lineRule="auto"/>
        <w:jc w:val="left"/>
        <w:rPr>
          <w:rFonts w:ascii="宋体"/>
          <w:b/>
          <w:sz w:val="44"/>
          <w:szCs w:val="44"/>
        </w:rPr>
      </w:pPr>
    </w:p>
    <w:p w14:paraId="23094134">
      <w:pPr>
        <w:pStyle w:val="25"/>
        <w:pageBreakBefore w:val="0"/>
        <w:kinsoku/>
        <w:wordWrap/>
        <w:overflowPunct/>
        <w:topLinePunct w:val="0"/>
        <w:bidi w:val="0"/>
        <w:spacing w:line="240" w:lineRule="auto"/>
        <w:ind w:firstLine="640" w:firstLineChars="200"/>
        <w:outlineLvl w:val="1"/>
        <w:rPr>
          <w:rFonts w:ascii="仿宋_GB2312" w:eastAsia="仿宋_GB2312"/>
          <w:color w:val="auto"/>
          <w:sz w:val="32"/>
          <w:szCs w:val="32"/>
        </w:rPr>
      </w:pPr>
      <w:bookmarkStart w:id="70" w:name="_Toc11454"/>
      <w:bookmarkStart w:id="71" w:name="_Toc11666"/>
      <w:r>
        <w:rPr>
          <w:rFonts w:ascii="仿宋_GB2312" w:eastAsia="仿宋_GB2312"/>
          <w:color w:val="auto"/>
          <w:sz w:val="32"/>
          <w:szCs w:val="32"/>
        </w:rPr>
        <w:t>1.</w:t>
      </w:r>
      <w:r>
        <w:rPr>
          <w:rFonts w:hint="eastAsia" w:ascii="仿宋_GB2312" w:eastAsia="仿宋_GB2312"/>
          <w:color w:val="auto"/>
          <w:sz w:val="32"/>
          <w:szCs w:val="32"/>
        </w:rPr>
        <w:t>财政拨款收入：指单位从同级财政部门取得的财政预算资金。</w:t>
      </w:r>
      <w:bookmarkEnd w:id="70"/>
      <w:bookmarkEnd w:id="71"/>
    </w:p>
    <w:p w14:paraId="1811DD23">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2.</w:t>
      </w:r>
      <w:r>
        <w:rPr>
          <w:rFonts w:hint="eastAsia" w:ascii="仿宋_GB2312" w:eastAsia="仿宋_GB2312"/>
          <w:color w:val="auto"/>
          <w:sz w:val="32"/>
          <w:szCs w:val="32"/>
        </w:rPr>
        <w:t>事业收入：指事业单位开展专业业务活动及辅助活动取得的收入。如…（二级预算单位事业收入情况）等。</w:t>
      </w:r>
    </w:p>
    <w:p w14:paraId="4FC83DA1">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3.</w:t>
      </w:r>
      <w:r>
        <w:rPr>
          <w:rFonts w:hint="eastAsia" w:ascii="仿宋_GB2312" w:eastAsia="仿宋_GB2312"/>
          <w:color w:val="auto"/>
          <w:sz w:val="32"/>
          <w:szCs w:val="32"/>
        </w:rPr>
        <w:t>经营收入：指事业单位在专业业务活动及其辅助活动之外开展非独立核算经营活动取得的收入。如…（二级预算单位经营收入情况）等。</w:t>
      </w:r>
    </w:p>
    <w:p w14:paraId="79347150">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4.</w:t>
      </w:r>
      <w:r>
        <w:rPr>
          <w:rFonts w:hint="eastAsia" w:ascii="仿宋_GB2312" w:eastAsia="仿宋_GB2312"/>
          <w:color w:val="auto"/>
          <w:sz w:val="32"/>
          <w:szCs w:val="32"/>
        </w:rPr>
        <w:t>其他收入：指单位取得的除上述收入以外的各项收入。主要是…（收入类型）等。</w:t>
      </w:r>
      <w:r>
        <w:rPr>
          <w:rFonts w:ascii="仿宋_GB2312" w:eastAsia="仿宋_GB2312"/>
          <w:color w:val="auto"/>
          <w:sz w:val="32"/>
          <w:szCs w:val="32"/>
        </w:rPr>
        <w:t xml:space="preserve"> </w:t>
      </w:r>
    </w:p>
    <w:p w14:paraId="2C135848">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5.</w:t>
      </w:r>
      <w:r>
        <w:rPr>
          <w:rFonts w:hint="eastAsia" w:ascii="仿宋_GB2312" w:eastAsia="仿宋_GB2312"/>
          <w:color w:val="auto"/>
          <w:sz w:val="32"/>
          <w:szCs w:val="32"/>
        </w:rPr>
        <w:t>使用非财政拨款结余：指事业单位使用以前年度积累的非财政拨款结余弥补当年收支差额的金额。</w:t>
      </w:r>
      <w:r>
        <w:rPr>
          <w:rFonts w:ascii="仿宋_GB2312" w:eastAsia="仿宋_GB2312"/>
          <w:color w:val="auto"/>
          <w:sz w:val="32"/>
          <w:szCs w:val="32"/>
        </w:rPr>
        <w:t xml:space="preserve"> </w:t>
      </w:r>
    </w:p>
    <w:p w14:paraId="19DED2B0">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6.</w:t>
      </w:r>
      <w:r>
        <w:rPr>
          <w:rFonts w:hint="eastAsia" w:ascii="仿宋_GB2312" w:eastAsia="仿宋_GB2312"/>
          <w:color w:val="auto"/>
          <w:sz w:val="32"/>
          <w:szCs w:val="32"/>
        </w:rPr>
        <w:t>年初结转和结余：指以前年度尚未完成、结转到本年按有关规定继续使用的资金。</w:t>
      </w:r>
      <w:r>
        <w:rPr>
          <w:rFonts w:ascii="仿宋_GB2312" w:eastAsia="仿宋_GB2312"/>
          <w:color w:val="auto"/>
          <w:sz w:val="32"/>
          <w:szCs w:val="32"/>
        </w:rPr>
        <w:t xml:space="preserve"> </w:t>
      </w:r>
    </w:p>
    <w:p w14:paraId="600DB35F">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7.</w:t>
      </w:r>
      <w:r>
        <w:rPr>
          <w:rFonts w:hint="eastAsia" w:ascii="仿宋_GB2312" w:eastAsia="仿宋_GB2312"/>
          <w:color w:val="auto"/>
          <w:sz w:val="32"/>
          <w:szCs w:val="32"/>
        </w:rPr>
        <w:t>结余分配：指事业单位按照会计制度规定缴纳的所得税、提取的专用结余以及转入非财政拨款结余的金额等。</w:t>
      </w:r>
    </w:p>
    <w:p w14:paraId="54A4941C">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hint="eastAsia" w:ascii="仿宋_GB2312" w:eastAsia="仿宋_GB2312"/>
          <w:color w:val="auto"/>
          <w:sz w:val="32"/>
          <w:szCs w:val="32"/>
          <w:lang w:eastAsia="zh-CN"/>
        </w:rPr>
        <w:t>8.</w:t>
      </w:r>
      <w:r>
        <w:rPr>
          <w:rFonts w:hint="eastAsia" w:ascii="仿宋_GB2312" w:eastAsia="仿宋_GB2312"/>
          <w:color w:val="auto"/>
          <w:sz w:val="32"/>
          <w:szCs w:val="32"/>
        </w:rPr>
        <w:t>年末结转和结余：指单位按有关规定结转到下年或以后年度继续使用的资金。</w:t>
      </w:r>
    </w:p>
    <w:p w14:paraId="23E8A2FD">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9.</w:t>
      </w:r>
      <w:r>
        <w:rPr>
          <w:rFonts w:hint="eastAsia" w:ascii="仿宋_GB2312" w:eastAsia="仿宋_GB2312"/>
          <w:sz w:val="32"/>
          <w:szCs w:val="32"/>
        </w:rPr>
        <w:t>一般公共服务（类）…（款）…（项）：指……。</w:t>
      </w:r>
    </w:p>
    <w:p w14:paraId="7EA9C55F">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10.</w:t>
      </w:r>
      <w:r>
        <w:rPr>
          <w:rFonts w:hint="eastAsia" w:ascii="仿宋_GB2312" w:eastAsia="仿宋_GB2312"/>
          <w:sz w:val="32"/>
          <w:szCs w:val="32"/>
        </w:rPr>
        <w:t>外交（类）…（款）…（项）：指……。</w:t>
      </w:r>
    </w:p>
    <w:p w14:paraId="75FA1038">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11.</w:t>
      </w:r>
      <w:r>
        <w:rPr>
          <w:rFonts w:hint="eastAsia" w:ascii="仿宋_GB2312" w:eastAsia="仿宋_GB2312"/>
          <w:sz w:val="32"/>
          <w:szCs w:val="32"/>
        </w:rPr>
        <w:t>公共安全（类）…（款）…（项）：指……。</w:t>
      </w:r>
    </w:p>
    <w:p w14:paraId="2E76CAAA">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12.</w:t>
      </w:r>
      <w:r>
        <w:rPr>
          <w:rFonts w:hint="eastAsia" w:ascii="仿宋_GB2312" w:eastAsia="仿宋_GB2312"/>
          <w:sz w:val="32"/>
          <w:szCs w:val="32"/>
        </w:rPr>
        <w:t>教育（类）…（款）…（项）：指……。</w:t>
      </w:r>
    </w:p>
    <w:p w14:paraId="06BB37BA">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13.</w:t>
      </w:r>
      <w:r>
        <w:rPr>
          <w:rFonts w:hint="eastAsia" w:ascii="仿宋_GB2312" w:eastAsia="仿宋_GB2312"/>
          <w:sz w:val="32"/>
          <w:szCs w:val="32"/>
        </w:rPr>
        <w:t>科学技术（类）…（款）…（项）：指……。</w:t>
      </w:r>
    </w:p>
    <w:p w14:paraId="2AC2F426">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14.</w:t>
      </w:r>
      <w:r>
        <w:rPr>
          <w:rFonts w:hint="eastAsia" w:ascii="仿宋_GB2312" w:eastAsia="仿宋_GB2312"/>
          <w:sz w:val="32"/>
          <w:szCs w:val="32"/>
        </w:rPr>
        <w:t>文化体育与传媒（类）…（款）…（项）：指……。</w:t>
      </w:r>
    </w:p>
    <w:p w14:paraId="6751A9F7">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15.</w:t>
      </w:r>
      <w:r>
        <w:rPr>
          <w:rFonts w:hint="eastAsia" w:ascii="仿宋_GB2312" w:eastAsia="仿宋_GB2312"/>
          <w:sz w:val="32"/>
          <w:szCs w:val="32"/>
        </w:rPr>
        <w:t>社会保障和就业（类）…（款）…（项）：指……。</w:t>
      </w:r>
    </w:p>
    <w:p w14:paraId="2BFC0D21">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16.</w:t>
      </w:r>
      <w:r>
        <w:rPr>
          <w:rFonts w:hint="eastAsia" w:ascii="仿宋_GB2312" w:eastAsia="仿宋_GB2312"/>
          <w:sz w:val="32"/>
          <w:szCs w:val="32"/>
        </w:rPr>
        <w:t>医疗卫生与计划生育（类）…（款）…（项）：指……。</w:t>
      </w:r>
    </w:p>
    <w:p w14:paraId="336A15D3">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17.</w:t>
      </w:r>
      <w:r>
        <w:rPr>
          <w:rFonts w:hint="eastAsia" w:ascii="仿宋_GB2312" w:eastAsia="仿宋_GB2312"/>
          <w:sz w:val="32"/>
          <w:szCs w:val="32"/>
        </w:rPr>
        <w:t>节能环保（类）…（款）…（项）：指……。</w:t>
      </w:r>
    </w:p>
    <w:p w14:paraId="76D9A34D">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18.</w:t>
      </w:r>
      <w:r>
        <w:rPr>
          <w:rFonts w:hint="eastAsia" w:ascii="仿宋_GB2312" w:eastAsia="仿宋_GB2312"/>
          <w:sz w:val="32"/>
          <w:szCs w:val="32"/>
        </w:rPr>
        <w:t>城乡社区（类）…（款）…（项）：指……。</w:t>
      </w:r>
    </w:p>
    <w:p w14:paraId="60A0EEA1">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19.</w:t>
      </w:r>
      <w:r>
        <w:rPr>
          <w:rFonts w:hint="eastAsia" w:ascii="仿宋_GB2312" w:eastAsia="仿宋_GB2312"/>
          <w:sz w:val="32"/>
          <w:szCs w:val="32"/>
        </w:rPr>
        <w:t>农林水（类）…（款）…（项）：指……。</w:t>
      </w:r>
    </w:p>
    <w:p w14:paraId="3EF28E31">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20.</w:t>
      </w:r>
      <w:r>
        <w:rPr>
          <w:rFonts w:hint="eastAsia" w:ascii="仿宋_GB2312" w:eastAsia="仿宋_GB2312"/>
          <w:sz w:val="32"/>
          <w:szCs w:val="32"/>
        </w:rPr>
        <w:t>交通运输（类）…（款）…（项）：指……。</w:t>
      </w:r>
    </w:p>
    <w:p w14:paraId="4A11C934">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21.</w:t>
      </w:r>
      <w:r>
        <w:rPr>
          <w:rFonts w:hint="eastAsia" w:ascii="仿宋_GB2312" w:eastAsia="仿宋_GB2312"/>
          <w:sz w:val="32"/>
          <w:szCs w:val="32"/>
        </w:rPr>
        <w:t>资源勘探信息等（类）…（款）…（项）：指……。</w:t>
      </w:r>
    </w:p>
    <w:p w14:paraId="0FD3BDB8">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22.</w:t>
      </w:r>
      <w:r>
        <w:rPr>
          <w:rFonts w:hint="eastAsia" w:ascii="仿宋_GB2312" w:eastAsia="仿宋_GB2312"/>
          <w:sz w:val="32"/>
          <w:szCs w:val="32"/>
        </w:rPr>
        <w:t>商业服务业（类）…（款）…（项）：指……。</w:t>
      </w:r>
    </w:p>
    <w:p w14:paraId="6D033B10">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23.</w:t>
      </w:r>
      <w:r>
        <w:rPr>
          <w:rFonts w:hint="eastAsia" w:ascii="仿宋_GB2312" w:eastAsia="仿宋_GB2312"/>
          <w:sz w:val="32"/>
          <w:szCs w:val="32"/>
        </w:rPr>
        <w:t>金融（类）…（款）…（项）：指……。</w:t>
      </w:r>
    </w:p>
    <w:p w14:paraId="3845D364">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24.</w:t>
      </w:r>
      <w:r>
        <w:rPr>
          <w:rFonts w:hint="eastAsia" w:ascii="仿宋_GB2312" w:eastAsia="仿宋_GB2312"/>
          <w:sz w:val="32"/>
          <w:szCs w:val="32"/>
        </w:rPr>
        <w:t>国土海洋气象等（类）…（款）…（项）：指……。</w:t>
      </w:r>
    </w:p>
    <w:p w14:paraId="3CA2C548">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25.</w:t>
      </w:r>
      <w:r>
        <w:rPr>
          <w:rFonts w:hint="eastAsia" w:ascii="仿宋_GB2312" w:eastAsia="仿宋_GB2312"/>
          <w:sz w:val="32"/>
          <w:szCs w:val="32"/>
        </w:rPr>
        <w:t>住房保障（类）…（款）…（项）：指……。</w:t>
      </w:r>
    </w:p>
    <w:p w14:paraId="31E814B0">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26.</w:t>
      </w:r>
      <w:r>
        <w:rPr>
          <w:rFonts w:hint="eastAsia" w:ascii="仿宋_GB2312" w:eastAsia="仿宋_GB2312"/>
          <w:sz w:val="32"/>
          <w:szCs w:val="32"/>
        </w:rPr>
        <w:t>粮油物资储备（类）…（款）…（项）：指……。</w:t>
      </w:r>
    </w:p>
    <w:p w14:paraId="509B01FA">
      <w:pPr>
        <w:pageBreakBefore w:val="0"/>
        <w:kinsoku/>
        <w:wordWrap/>
        <w:overflowPunct/>
        <w:topLinePunct w:val="0"/>
        <w:bidi w:val="0"/>
        <w:spacing w:line="240" w:lineRule="auto"/>
        <w:ind w:firstLine="640" w:firstLineChars="200"/>
        <w:rPr>
          <w:rFonts w:ascii="仿宋_GB2312" w:eastAsia="仿宋_GB2312"/>
          <w:sz w:val="32"/>
          <w:szCs w:val="32"/>
        </w:rPr>
      </w:pPr>
      <w:r>
        <w:rPr>
          <w:rFonts w:hint="eastAsia" w:ascii="仿宋_GB2312" w:eastAsia="仿宋_GB2312"/>
          <w:sz w:val="32"/>
          <w:szCs w:val="32"/>
        </w:rPr>
        <w:t>……</w:t>
      </w:r>
    </w:p>
    <w:p w14:paraId="718C6EA6">
      <w:pPr>
        <w:pageBreakBefore w:val="0"/>
        <w:kinsoku/>
        <w:wordWrap/>
        <w:overflowPunct/>
        <w:topLinePunct w:val="0"/>
        <w:bidi w:val="0"/>
        <w:spacing w:line="240" w:lineRule="auto"/>
        <w:ind w:firstLine="640" w:firstLineChars="200"/>
        <w:rPr>
          <w:rFonts w:ascii="仿宋_GB2312" w:eastAsia="仿宋_GB2312"/>
          <w:sz w:val="32"/>
          <w:szCs w:val="32"/>
        </w:rPr>
      </w:pPr>
      <w:r>
        <w:rPr>
          <w:rFonts w:hint="eastAsia" w:ascii="仿宋_GB2312" w:eastAsia="仿宋_GB2312"/>
          <w:sz w:val="32"/>
          <w:szCs w:val="32"/>
        </w:rPr>
        <w:t>……</w:t>
      </w:r>
    </w:p>
    <w:p w14:paraId="1CD8F235">
      <w:pPr>
        <w:pageBreakBefore w:val="0"/>
        <w:kinsoku/>
        <w:wordWrap/>
        <w:overflowPunct/>
        <w:topLinePunct w:val="0"/>
        <w:bidi w:val="0"/>
        <w:spacing w:line="240" w:lineRule="auto"/>
        <w:ind w:firstLine="640" w:firstLineChars="200"/>
        <w:rPr>
          <w:rFonts w:ascii="仿宋_GB2312" w:eastAsia="仿宋_GB2312"/>
          <w:sz w:val="32"/>
          <w:szCs w:val="32"/>
        </w:rPr>
      </w:pPr>
      <w:r>
        <w:rPr>
          <w:rFonts w:hint="eastAsia" w:ascii="仿宋_GB2312" w:eastAsia="仿宋_GB2312"/>
          <w:sz w:val="32"/>
          <w:szCs w:val="32"/>
        </w:rPr>
        <w:t>……</w:t>
      </w:r>
    </w:p>
    <w:p w14:paraId="4F34A8E0">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27.</w:t>
      </w:r>
      <w:r>
        <w:rPr>
          <w:rFonts w:hint="eastAsia" w:ascii="仿宋_GB2312" w:eastAsia="仿宋_GB2312"/>
          <w:sz w:val="32"/>
          <w:szCs w:val="32"/>
        </w:rPr>
        <w:t>基本支出：指为保障机构正常运转、完成日常工作任务而发生的人员支出和公用支出。</w:t>
      </w:r>
    </w:p>
    <w:p w14:paraId="60865C72">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28.</w:t>
      </w:r>
      <w:r>
        <w:rPr>
          <w:rFonts w:hint="eastAsia" w:ascii="仿宋_GB2312" w:eastAsia="仿宋_GB2312"/>
          <w:sz w:val="32"/>
          <w:szCs w:val="32"/>
        </w:rPr>
        <w:t>项目支出：指在基本支出之外为完成特定行政任务和事业发展目标所发生的支出。</w:t>
      </w:r>
      <w:r>
        <w:rPr>
          <w:rFonts w:ascii="仿宋_GB2312" w:eastAsia="仿宋_GB2312"/>
          <w:sz w:val="32"/>
          <w:szCs w:val="32"/>
        </w:rPr>
        <w:t xml:space="preserve"> </w:t>
      </w:r>
    </w:p>
    <w:p w14:paraId="1EAAC246">
      <w:pPr>
        <w:pageBreakBefore w:val="0"/>
        <w:kinsoku/>
        <w:wordWrap/>
        <w:overflowPunct/>
        <w:topLinePunct w:val="0"/>
        <w:bidi w:val="0"/>
        <w:spacing w:line="240" w:lineRule="auto"/>
        <w:ind w:firstLine="640" w:firstLineChars="200"/>
        <w:rPr>
          <w:rFonts w:ascii="仿宋_GB2312" w:eastAsia="仿宋_GB2312"/>
          <w:sz w:val="32"/>
          <w:szCs w:val="32"/>
        </w:rPr>
      </w:pPr>
      <w:r>
        <w:rPr>
          <w:rFonts w:ascii="仿宋_GB2312" w:eastAsia="仿宋_GB2312"/>
          <w:sz w:val="32"/>
          <w:szCs w:val="32"/>
        </w:rPr>
        <w:t>29.</w:t>
      </w:r>
      <w:r>
        <w:rPr>
          <w:rFonts w:hint="eastAsia" w:ascii="仿宋_GB2312" w:eastAsia="仿宋_GB2312"/>
          <w:sz w:val="32"/>
          <w:szCs w:val="32"/>
        </w:rPr>
        <w:t>经营支出：指事业单位在专业业务活动及其辅助活动之外开展非独立核算经营活动发生的支出。</w:t>
      </w:r>
    </w:p>
    <w:p w14:paraId="63956EA1">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30.</w:t>
      </w:r>
      <w:r>
        <w:rPr>
          <w:rFonts w:hint="eastAsia" w:ascii="仿宋_GB2312" w:eastAsia="仿宋_GB2312"/>
          <w:color w:val="auto"/>
          <w:sz w:val="32"/>
          <w:szCs w:val="32"/>
        </w:rPr>
        <w:t>“三公”经费：指单位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车辆购置支出（含车辆购置税）及租用费、燃料费、维修费、过路过桥费、保险费等支出；公务接待费反映单位按规定开支的各类公务接待（含外宾接待）支出。</w:t>
      </w:r>
    </w:p>
    <w:p w14:paraId="7A69AB7A">
      <w:pPr>
        <w:pStyle w:val="25"/>
        <w:pageBreakBefore w:val="0"/>
        <w:kinsoku/>
        <w:wordWrap/>
        <w:overflowPunct/>
        <w:topLinePunct w:val="0"/>
        <w:bidi w:val="0"/>
        <w:spacing w:line="240" w:lineRule="auto"/>
        <w:ind w:firstLine="640" w:firstLineChars="200"/>
        <w:rPr>
          <w:rFonts w:ascii="仿宋_GB2312" w:eastAsia="仿宋_GB2312"/>
          <w:color w:val="auto"/>
          <w:sz w:val="32"/>
          <w:szCs w:val="32"/>
        </w:rPr>
      </w:pPr>
      <w:r>
        <w:rPr>
          <w:rFonts w:ascii="仿宋_GB2312" w:eastAsia="仿宋_GB2312"/>
          <w:color w:val="auto"/>
          <w:sz w:val="32"/>
          <w:szCs w:val="32"/>
        </w:rPr>
        <w:t>31.</w:t>
      </w:r>
      <w:r>
        <w:rPr>
          <w:rFonts w:hint="eastAsia" w:ascii="仿宋_GB2312" w:eastAsia="仿宋_GB2312"/>
          <w:color w:val="auto"/>
          <w:sz w:val="32"/>
          <w:szCs w:val="32"/>
        </w:rPr>
        <w:t>机关运行经费：为保障行政单位（含参照公务员法管理的事业单位）运行用于购买货物和服务的各项资金，包括办公及印刷费、邮电费、差旅费、会议费、福利费、日常维修费、专用材料及一般设备购置费、办公用房水电费、办公用房取暖费、办公用房物业管理费、公务用车运行维护费以及其他费用。</w:t>
      </w:r>
    </w:p>
    <w:p w14:paraId="30A3FA95">
      <w:pPr>
        <w:pStyle w:val="25"/>
        <w:pageBreakBefore w:val="0"/>
        <w:kinsoku/>
        <w:wordWrap/>
        <w:overflowPunct/>
        <w:topLinePunct w:val="0"/>
        <w:bidi w:val="0"/>
        <w:spacing w:line="240" w:lineRule="auto"/>
        <w:ind w:firstLine="640" w:firstLineChars="200"/>
        <w:rPr>
          <w:rFonts w:ascii="仿宋" w:eastAsia="仿宋"/>
          <w:b/>
          <w:sz w:val="32"/>
          <w:szCs w:val="32"/>
        </w:rPr>
      </w:pPr>
      <w:r>
        <w:rPr>
          <w:rFonts w:ascii="仿宋_GB2312" w:eastAsia="仿宋_GB2312"/>
          <w:color w:val="auto"/>
          <w:sz w:val="32"/>
          <w:szCs w:val="32"/>
        </w:rPr>
        <w:t>32.</w:t>
      </w:r>
      <w:r>
        <w:rPr>
          <w:rFonts w:hint="eastAsia" w:ascii="仿宋_GB2312" w:eastAsia="仿宋_GB2312"/>
          <w:color w:val="auto"/>
          <w:sz w:val="32"/>
          <w:szCs w:val="32"/>
        </w:rPr>
        <w:t>……</w:t>
      </w:r>
      <w:r>
        <w:rPr>
          <w:rFonts w:hint="eastAsia" w:ascii="仿宋_GB2312" w:eastAsia="仿宋_GB2312"/>
          <w:color w:val="auto"/>
          <w:sz w:val="32"/>
          <w:szCs w:val="32"/>
          <w:lang w:eastAsia="zh-CN"/>
        </w:rPr>
        <w:t>.</w:t>
      </w:r>
    </w:p>
    <w:p w14:paraId="3F060AF5">
      <w:pPr>
        <w:pageBreakBefore w:val="0"/>
        <w:kinsoku/>
        <w:wordWrap/>
        <w:overflowPunct/>
        <w:topLinePunct w:val="0"/>
        <w:bidi w:val="0"/>
        <w:spacing w:line="240" w:lineRule="auto"/>
        <w:jc w:val="center"/>
        <w:outlineLvl w:val="0"/>
        <w:rPr>
          <w:rFonts w:hint="eastAsia" w:ascii="黑体" w:eastAsia="黑体"/>
          <w:sz w:val="44"/>
          <w:szCs w:val="44"/>
        </w:rPr>
      </w:pPr>
      <w:bookmarkStart w:id="72" w:name="_Toc22033"/>
      <w:bookmarkStart w:id="73" w:name="_Toc15396614"/>
      <w:bookmarkStart w:id="74" w:name="_Toc15377226"/>
    </w:p>
    <w:p w14:paraId="3434CA61">
      <w:pPr>
        <w:pageBreakBefore w:val="0"/>
        <w:kinsoku/>
        <w:wordWrap/>
        <w:overflowPunct/>
        <w:topLinePunct w:val="0"/>
        <w:bidi w:val="0"/>
        <w:spacing w:line="240" w:lineRule="auto"/>
        <w:jc w:val="center"/>
        <w:outlineLvl w:val="0"/>
        <w:rPr>
          <w:rFonts w:hint="eastAsia" w:ascii="黑体" w:eastAsia="黑体"/>
          <w:sz w:val="44"/>
          <w:szCs w:val="44"/>
        </w:rPr>
      </w:pPr>
    </w:p>
    <w:p w14:paraId="64280AD4">
      <w:pPr>
        <w:pageBreakBefore w:val="0"/>
        <w:kinsoku/>
        <w:wordWrap/>
        <w:overflowPunct/>
        <w:topLinePunct w:val="0"/>
        <w:bidi w:val="0"/>
        <w:spacing w:line="240" w:lineRule="auto"/>
        <w:jc w:val="center"/>
        <w:outlineLvl w:val="0"/>
        <w:rPr>
          <w:rFonts w:hint="eastAsia" w:ascii="黑体" w:eastAsia="黑体"/>
          <w:sz w:val="44"/>
          <w:szCs w:val="44"/>
        </w:rPr>
      </w:pPr>
    </w:p>
    <w:p w14:paraId="46ED0900">
      <w:pPr>
        <w:pageBreakBefore w:val="0"/>
        <w:kinsoku/>
        <w:wordWrap/>
        <w:overflowPunct/>
        <w:topLinePunct w:val="0"/>
        <w:bidi w:val="0"/>
        <w:spacing w:line="240" w:lineRule="auto"/>
        <w:jc w:val="center"/>
        <w:outlineLvl w:val="0"/>
        <w:rPr>
          <w:rFonts w:hint="eastAsia" w:ascii="黑体" w:eastAsia="黑体"/>
          <w:sz w:val="44"/>
          <w:szCs w:val="44"/>
        </w:rPr>
      </w:pPr>
    </w:p>
    <w:p w14:paraId="11188EDF">
      <w:pPr>
        <w:pageBreakBefore w:val="0"/>
        <w:kinsoku/>
        <w:wordWrap/>
        <w:overflowPunct/>
        <w:topLinePunct w:val="0"/>
        <w:bidi w:val="0"/>
        <w:spacing w:line="240" w:lineRule="auto"/>
        <w:jc w:val="center"/>
        <w:outlineLvl w:val="0"/>
        <w:rPr>
          <w:rFonts w:hint="eastAsia" w:ascii="黑体" w:eastAsia="黑体"/>
          <w:sz w:val="44"/>
          <w:szCs w:val="44"/>
        </w:rPr>
      </w:pPr>
    </w:p>
    <w:p w14:paraId="527D3508">
      <w:pPr>
        <w:pageBreakBefore w:val="0"/>
        <w:kinsoku/>
        <w:wordWrap/>
        <w:overflowPunct/>
        <w:topLinePunct w:val="0"/>
        <w:bidi w:val="0"/>
        <w:spacing w:line="240" w:lineRule="auto"/>
        <w:jc w:val="center"/>
        <w:outlineLvl w:val="0"/>
        <w:rPr>
          <w:rStyle w:val="20"/>
          <w:rFonts w:ascii="黑体" w:eastAsia="黑体"/>
          <w:b w:val="0"/>
        </w:rPr>
      </w:pPr>
      <w:bookmarkStart w:id="106" w:name="_GoBack"/>
      <w:bookmarkEnd w:id="106"/>
      <w:r>
        <w:rPr>
          <w:rFonts w:hint="eastAsia" w:ascii="黑体" w:eastAsia="黑体"/>
          <w:sz w:val="44"/>
          <w:szCs w:val="44"/>
        </w:rPr>
        <w:t>第</w:t>
      </w:r>
      <w:r>
        <w:rPr>
          <w:rStyle w:val="20"/>
          <w:rFonts w:hint="eastAsia" w:ascii="黑体" w:eastAsia="黑体"/>
          <w:b w:val="0"/>
        </w:rPr>
        <w:t>四部分 附件</w:t>
      </w:r>
      <w:bookmarkEnd w:id="72"/>
      <w:bookmarkEnd w:id="73"/>
    </w:p>
    <w:p w14:paraId="511A3CAB">
      <w:pPr>
        <w:pageBreakBefore w:val="0"/>
        <w:kinsoku/>
        <w:wordWrap/>
        <w:overflowPunct/>
        <w:topLinePunct w:val="0"/>
        <w:bidi w:val="0"/>
        <w:spacing w:line="240" w:lineRule="auto"/>
        <w:jc w:val="left"/>
        <w:outlineLvl w:val="1"/>
        <w:rPr>
          <w:rFonts w:ascii="仿宋_GB2312" w:eastAsia="仿宋_GB2312" w:cs="仿宋_GB2312"/>
          <w:sz w:val="32"/>
          <w:szCs w:val="32"/>
        </w:rPr>
      </w:pPr>
      <w:bookmarkStart w:id="75" w:name="_Toc18227"/>
      <w:bookmarkStart w:id="76" w:name="_Toc15490"/>
      <w:r>
        <w:rPr>
          <w:rFonts w:hint="eastAsia" w:ascii="黑体" w:eastAsia="黑体" w:cs="黑体"/>
          <w:sz w:val="32"/>
          <w:szCs w:val="32"/>
        </w:rPr>
        <w:t>附件</w:t>
      </w:r>
      <w:bookmarkEnd w:id="75"/>
      <w:bookmarkEnd w:id="76"/>
    </w:p>
    <w:tbl>
      <w:tblPr>
        <w:tblStyle w:val="16"/>
        <w:tblpPr w:leftFromText="180" w:rightFromText="180" w:vertAnchor="text" w:horzAnchor="page" w:tblpX="1281" w:tblpY="660"/>
        <w:tblOverlap w:val="never"/>
        <w:tblW w:w="9811" w:type="dxa"/>
        <w:tblInd w:w="0" w:type="dxa"/>
        <w:tblLayout w:type="fixed"/>
        <w:tblCellMar>
          <w:top w:w="0" w:type="dxa"/>
          <w:left w:w="108" w:type="dxa"/>
          <w:bottom w:w="0" w:type="dxa"/>
          <w:right w:w="108" w:type="dxa"/>
        </w:tblCellMar>
      </w:tblPr>
      <w:tblGrid>
        <w:gridCol w:w="1976"/>
        <w:gridCol w:w="1142"/>
        <w:gridCol w:w="1635"/>
        <w:gridCol w:w="1189"/>
        <w:gridCol w:w="1224"/>
        <w:gridCol w:w="2409"/>
        <w:gridCol w:w="236"/>
      </w:tblGrid>
      <w:tr w14:paraId="4556E500">
        <w:tblPrEx>
          <w:tblCellMar>
            <w:top w:w="0" w:type="dxa"/>
            <w:left w:w="108" w:type="dxa"/>
            <w:bottom w:w="0" w:type="dxa"/>
            <w:right w:w="108" w:type="dxa"/>
          </w:tblCellMar>
        </w:tblPrEx>
        <w:trPr>
          <w:trHeight w:val="675" w:hRule="atLeast"/>
        </w:trPr>
        <w:tc>
          <w:tcPr>
            <w:tcW w:w="9577" w:type="dxa"/>
            <w:gridSpan w:val="6"/>
            <w:tcBorders>
              <w:top w:val="nil"/>
              <w:left w:val="nil"/>
              <w:bottom w:val="nil"/>
              <w:right w:val="nil"/>
            </w:tcBorders>
            <w:noWrap/>
            <w:vAlign w:val="center"/>
          </w:tcPr>
          <w:p w14:paraId="52B15643">
            <w:pPr>
              <w:pageBreakBefore w:val="0"/>
              <w:widowControl/>
              <w:kinsoku/>
              <w:wordWrap/>
              <w:overflowPunct/>
              <w:topLinePunct w:val="0"/>
              <w:bidi w:val="0"/>
              <w:spacing w:line="240" w:lineRule="auto"/>
              <w:textAlignment w:val="center"/>
              <w:rPr>
                <w:rFonts w:ascii="宋体" w:cs="宋体"/>
                <w:b/>
                <w:sz w:val="32"/>
                <w:szCs w:val="32"/>
              </w:rPr>
            </w:pPr>
            <w:bookmarkStart w:id="77" w:name="_Toc15396618"/>
            <w:r>
              <w:rPr>
                <w:rFonts w:hint="eastAsia" w:ascii="宋体" w:cs="宋体"/>
                <w:b/>
                <w:sz w:val="32"/>
                <w:szCs w:val="32"/>
                <w:lang w:eastAsia="zh-CN"/>
              </w:rPr>
              <w:t>2025</w:t>
            </w:r>
            <w:r>
              <w:rPr>
                <w:rFonts w:hint="eastAsia" w:ascii="宋体" w:cs="宋体"/>
                <w:b/>
                <w:sz w:val="32"/>
                <w:szCs w:val="32"/>
              </w:rPr>
              <w:t>年100万元以上（含）特定目标类部门预算项目绩效目标自评</w:t>
            </w:r>
          </w:p>
        </w:tc>
        <w:tc>
          <w:tcPr>
            <w:tcW w:w="234" w:type="dxa"/>
            <w:tcBorders>
              <w:top w:val="nil"/>
              <w:left w:val="nil"/>
              <w:bottom w:val="nil"/>
              <w:right w:val="nil"/>
            </w:tcBorders>
            <w:noWrap/>
            <w:vAlign w:val="center"/>
          </w:tcPr>
          <w:p w14:paraId="7CAD13E3">
            <w:pPr>
              <w:pageBreakBefore w:val="0"/>
              <w:widowControl/>
              <w:kinsoku/>
              <w:wordWrap/>
              <w:overflowPunct/>
              <w:topLinePunct w:val="0"/>
              <w:bidi w:val="0"/>
              <w:spacing w:line="240" w:lineRule="auto"/>
              <w:jc w:val="center"/>
              <w:textAlignment w:val="center"/>
              <w:rPr>
                <w:rFonts w:ascii="宋体" w:cs="宋体"/>
                <w:b/>
                <w:kern w:val="0"/>
                <w:sz w:val="32"/>
                <w:szCs w:val="32"/>
              </w:rPr>
            </w:pPr>
          </w:p>
        </w:tc>
      </w:tr>
      <w:tr w14:paraId="5979E05A">
        <w:tblPrEx>
          <w:tblCellMar>
            <w:top w:w="0" w:type="dxa"/>
            <w:left w:w="108" w:type="dxa"/>
            <w:bottom w:w="0" w:type="dxa"/>
            <w:right w:w="108" w:type="dxa"/>
          </w:tblCellMar>
        </w:tblPrEx>
        <w:trPr>
          <w:gridAfter w:val="1"/>
          <w:wAfter w:w="234" w:type="dxa"/>
          <w:trHeight w:val="254" w:hRule="atLeast"/>
        </w:trPr>
        <w:tc>
          <w:tcPr>
            <w:tcW w:w="3119" w:type="dxa"/>
            <w:gridSpan w:val="2"/>
            <w:tcBorders>
              <w:top w:val="single" w:color="000000" w:sz="4" w:space="0"/>
              <w:left w:val="single" w:color="000000" w:sz="4" w:space="0"/>
              <w:bottom w:val="single" w:color="000000" w:sz="4" w:space="0"/>
              <w:right w:val="single" w:color="000000" w:sz="4" w:space="0"/>
            </w:tcBorders>
            <w:noWrap/>
            <w:vAlign w:val="center"/>
          </w:tcPr>
          <w:p w14:paraId="67A05FEA">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主管部门及代码</w:t>
            </w:r>
          </w:p>
        </w:tc>
        <w:tc>
          <w:tcPr>
            <w:tcW w:w="2824" w:type="dxa"/>
            <w:gridSpan w:val="2"/>
            <w:tcBorders>
              <w:top w:val="single" w:color="000000" w:sz="4" w:space="0"/>
              <w:left w:val="single" w:color="000000" w:sz="4" w:space="0"/>
              <w:bottom w:val="single" w:color="000000" w:sz="4" w:space="0"/>
              <w:right w:val="single" w:color="000000" w:sz="4" w:space="0"/>
            </w:tcBorders>
            <w:noWrap/>
            <w:vAlign w:val="center"/>
          </w:tcPr>
          <w:p w14:paraId="6FBC442F">
            <w:pPr>
              <w:pageBreakBefore w:val="0"/>
              <w:widowControl/>
              <w:kinsoku/>
              <w:wordWrap/>
              <w:overflowPunct/>
              <w:topLinePunct w:val="0"/>
              <w:bidi w:val="0"/>
              <w:spacing w:line="240" w:lineRule="auto"/>
              <w:textAlignment w:val="center"/>
              <w:rPr>
                <w:rFonts w:hint="default" w:ascii="宋体" w:eastAsia="宋体" w:cs="宋体"/>
                <w:sz w:val="24"/>
                <w:lang w:val="en-US" w:eastAsia="zh-CN"/>
              </w:rPr>
            </w:pPr>
            <w:r>
              <w:rPr>
                <w:rFonts w:hint="eastAsia" w:ascii="宋体" w:cs="宋体"/>
                <w:sz w:val="24"/>
                <w:lang w:val="en-US" w:eastAsia="zh-CN"/>
              </w:rPr>
              <w:t>涉密不予公开</w:t>
            </w:r>
          </w:p>
        </w:tc>
        <w:tc>
          <w:tcPr>
            <w:tcW w:w="1224" w:type="dxa"/>
            <w:tcBorders>
              <w:top w:val="single" w:color="000000" w:sz="4" w:space="0"/>
              <w:left w:val="single" w:color="000000" w:sz="4" w:space="0"/>
              <w:bottom w:val="single" w:color="000000" w:sz="4" w:space="0"/>
              <w:right w:val="single" w:color="000000" w:sz="4" w:space="0"/>
            </w:tcBorders>
            <w:noWrap/>
            <w:vAlign w:val="center"/>
          </w:tcPr>
          <w:p w14:paraId="37F40F88">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实施单位</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5CB78B39">
            <w:pPr>
              <w:pageBreakBefore w:val="0"/>
              <w:widowControl/>
              <w:kinsoku/>
              <w:wordWrap/>
              <w:overflowPunct/>
              <w:topLinePunct w:val="0"/>
              <w:bidi w:val="0"/>
              <w:spacing w:line="240" w:lineRule="auto"/>
              <w:jc w:val="center"/>
              <w:textAlignment w:val="center"/>
              <w:rPr>
                <w:rFonts w:ascii="宋体" w:cs="宋体"/>
                <w:sz w:val="24"/>
              </w:rPr>
            </w:pPr>
          </w:p>
        </w:tc>
      </w:tr>
      <w:tr w14:paraId="63085C68">
        <w:tblPrEx>
          <w:tblCellMar>
            <w:top w:w="0" w:type="dxa"/>
            <w:left w:w="108" w:type="dxa"/>
            <w:bottom w:w="0" w:type="dxa"/>
            <w:right w:w="108" w:type="dxa"/>
          </w:tblCellMar>
        </w:tblPrEx>
        <w:trPr>
          <w:gridAfter w:val="1"/>
          <w:wAfter w:w="234" w:type="dxa"/>
          <w:trHeight w:val="341" w:hRule="atLeast"/>
        </w:trPr>
        <w:tc>
          <w:tcPr>
            <w:tcW w:w="3119" w:type="dxa"/>
            <w:gridSpan w:val="2"/>
            <w:vMerge w:val="restart"/>
            <w:tcBorders>
              <w:top w:val="single" w:color="000000" w:sz="4" w:space="0"/>
              <w:left w:val="single" w:color="000000" w:sz="4" w:space="0"/>
              <w:bottom w:val="single" w:color="000000" w:sz="4" w:space="0"/>
              <w:right w:val="single" w:color="000000" w:sz="4" w:space="0"/>
            </w:tcBorders>
            <w:noWrap/>
            <w:vAlign w:val="center"/>
          </w:tcPr>
          <w:p w14:paraId="543E47E8">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项目预算</w:t>
            </w:r>
            <w:r>
              <w:rPr>
                <w:rFonts w:hint="eastAsia" w:ascii="宋体" w:cs="宋体"/>
                <w:kern w:val="0"/>
                <w:sz w:val="24"/>
              </w:rPr>
              <w:br w:type="textWrapping"/>
            </w:r>
            <w:r>
              <w:rPr>
                <w:rFonts w:hint="eastAsia" w:ascii="宋体" w:cs="宋体"/>
                <w:kern w:val="0"/>
                <w:sz w:val="24"/>
              </w:rPr>
              <w:t>执行情况</w:t>
            </w:r>
            <w:r>
              <w:rPr>
                <w:rFonts w:hint="eastAsia" w:ascii="宋体" w:cs="宋体"/>
                <w:kern w:val="0"/>
                <w:sz w:val="24"/>
              </w:rPr>
              <w:br w:type="textWrapping"/>
            </w:r>
            <w:r>
              <w:rPr>
                <w:rFonts w:hint="eastAsia" w:ascii="宋体" w:cs="宋体"/>
                <w:kern w:val="0"/>
                <w:sz w:val="24"/>
              </w:rPr>
              <w:t>（万元）</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5EE4AC83">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 xml:space="preserve"> 预算数：</w:t>
            </w:r>
          </w:p>
        </w:tc>
        <w:tc>
          <w:tcPr>
            <w:tcW w:w="1189" w:type="dxa"/>
            <w:tcBorders>
              <w:top w:val="single" w:color="000000" w:sz="4" w:space="0"/>
              <w:left w:val="single" w:color="000000" w:sz="4" w:space="0"/>
              <w:bottom w:val="single" w:color="000000" w:sz="4" w:space="0"/>
              <w:right w:val="single" w:color="000000" w:sz="4" w:space="0"/>
            </w:tcBorders>
            <w:noWrap/>
            <w:vAlign w:val="center"/>
          </w:tcPr>
          <w:p w14:paraId="70D9058D">
            <w:pPr>
              <w:pageBreakBefore w:val="0"/>
              <w:widowControl/>
              <w:kinsoku/>
              <w:wordWrap/>
              <w:overflowPunct/>
              <w:topLinePunct w:val="0"/>
              <w:bidi w:val="0"/>
              <w:spacing w:line="240" w:lineRule="auto"/>
              <w:jc w:val="left"/>
              <w:textAlignment w:val="center"/>
              <w:rPr>
                <w:rFonts w:ascii="宋体" w:cs="宋体"/>
                <w:sz w:val="24"/>
              </w:rPr>
            </w:pPr>
          </w:p>
        </w:tc>
        <w:tc>
          <w:tcPr>
            <w:tcW w:w="1224" w:type="dxa"/>
            <w:tcBorders>
              <w:top w:val="single" w:color="000000" w:sz="4" w:space="0"/>
              <w:left w:val="single" w:color="000000" w:sz="4" w:space="0"/>
              <w:bottom w:val="single" w:color="000000" w:sz="4" w:space="0"/>
              <w:right w:val="single" w:color="000000" w:sz="4" w:space="0"/>
            </w:tcBorders>
            <w:noWrap/>
            <w:vAlign w:val="center"/>
          </w:tcPr>
          <w:p w14:paraId="23322766">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 xml:space="preserve"> 执行数：</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4B3EAA1F">
            <w:pPr>
              <w:pageBreakBefore w:val="0"/>
              <w:widowControl/>
              <w:kinsoku/>
              <w:wordWrap/>
              <w:overflowPunct/>
              <w:topLinePunct w:val="0"/>
              <w:bidi w:val="0"/>
              <w:spacing w:line="240" w:lineRule="auto"/>
              <w:jc w:val="right"/>
              <w:textAlignment w:val="center"/>
              <w:rPr>
                <w:rFonts w:ascii="宋体" w:cs="宋体"/>
                <w:sz w:val="24"/>
              </w:rPr>
            </w:pPr>
          </w:p>
        </w:tc>
      </w:tr>
      <w:tr w14:paraId="325AABE7">
        <w:tblPrEx>
          <w:tblCellMar>
            <w:top w:w="0" w:type="dxa"/>
            <w:left w:w="108" w:type="dxa"/>
            <w:bottom w:w="0" w:type="dxa"/>
            <w:right w:w="108" w:type="dxa"/>
          </w:tblCellMar>
        </w:tblPrEx>
        <w:trPr>
          <w:gridAfter w:val="1"/>
          <w:wAfter w:w="234" w:type="dxa"/>
          <w:trHeight w:val="555" w:hRule="atLeast"/>
        </w:trPr>
        <w:tc>
          <w:tcPr>
            <w:tcW w:w="311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2FC193A2">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1AB1B04C">
            <w:pPr>
              <w:pageBreakBefore w:val="0"/>
              <w:widowControl/>
              <w:kinsoku/>
              <w:wordWrap/>
              <w:overflowPunct/>
              <w:topLinePunct w:val="0"/>
              <w:bidi w:val="0"/>
              <w:spacing w:line="240" w:lineRule="auto"/>
              <w:jc w:val="left"/>
              <w:textAlignment w:val="center"/>
              <w:rPr>
                <w:rFonts w:ascii="宋体" w:cs="宋体"/>
                <w:kern w:val="0"/>
                <w:sz w:val="24"/>
              </w:rPr>
            </w:pPr>
            <w:r>
              <w:rPr>
                <w:rFonts w:hint="eastAsia" w:ascii="宋体" w:cs="宋体"/>
                <w:kern w:val="0"/>
                <w:sz w:val="24"/>
              </w:rPr>
              <w:t>其中：</w:t>
            </w:r>
          </w:p>
          <w:p w14:paraId="0E10ED27">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财政拨款</w:t>
            </w:r>
          </w:p>
        </w:tc>
        <w:tc>
          <w:tcPr>
            <w:tcW w:w="1189" w:type="dxa"/>
            <w:tcBorders>
              <w:top w:val="single" w:color="000000" w:sz="4" w:space="0"/>
              <w:left w:val="single" w:color="000000" w:sz="4" w:space="0"/>
              <w:bottom w:val="single" w:color="000000" w:sz="4" w:space="0"/>
              <w:right w:val="single" w:color="000000" w:sz="4" w:space="0"/>
            </w:tcBorders>
            <w:noWrap/>
            <w:vAlign w:val="center"/>
          </w:tcPr>
          <w:p w14:paraId="71A308DE">
            <w:pPr>
              <w:pageBreakBefore w:val="0"/>
              <w:widowControl/>
              <w:kinsoku/>
              <w:wordWrap/>
              <w:overflowPunct/>
              <w:topLinePunct w:val="0"/>
              <w:bidi w:val="0"/>
              <w:spacing w:line="240" w:lineRule="auto"/>
              <w:jc w:val="left"/>
              <w:textAlignment w:val="center"/>
              <w:rPr>
                <w:rFonts w:ascii="宋体" w:cs="宋体"/>
                <w:sz w:val="24"/>
              </w:rPr>
            </w:pPr>
          </w:p>
        </w:tc>
        <w:tc>
          <w:tcPr>
            <w:tcW w:w="1224" w:type="dxa"/>
            <w:tcBorders>
              <w:top w:val="single" w:color="000000" w:sz="4" w:space="0"/>
              <w:left w:val="single" w:color="000000" w:sz="4" w:space="0"/>
              <w:bottom w:val="single" w:color="000000" w:sz="4" w:space="0"/>
              <w:right w:val="single" w:color="000000" w:sz="4" w:space="0"/>
            </w:tcBorders>
            <w:noWrap/>
            <w:vAlign w:val="center"/>
          </w:tcPr>
          <w:p w14:paraId="25BF28C9">
            <w:pPr>
              <w:pageBreakBefore w:val="0"/>
              <w:widowControl/>
              <w:kinsoku/>
              <w:wordWrap/>
              <w:overflowPunct/>
              <w:topLinePunct w:val="0"/>
              <w:bidi w:val="0"/>
              <w:spacing w:line="240" w:lineRule="auto"/>
              <w:jc w:val="left"/>
              <w:textAlignment w:val="center"/>
              <w:rPr>
                <w:rFonts w:ascii="宋体" w:cs="宋体"/>
                <w:kern w:val="0"/>
                <w:sz w:val="24"/>
              </w:rPr>
            </w:pPr>
            <w:r>
              <w:rPr>
                <w:rFonts w:hint="eastAsia" w:ascii="宋体" w:cs="宋体"/>
                <w:kern w:val="0"/>
                <w:sz w:val="24"/>
              </w:rPr>
              <w:t>其中：</w:t>
            </w:r>
          </w:p>
          <w:p w14:paraId="4E60B91D">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财政拨款</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6A18659D">
            <w:pPr>
              <w:pageBreakBefore w:val="0"/>
              <w:widowControl/>
              <w:kinsoku/>
              <w:wordWrap/>
              <w:overflowPunct/>
              <w:topLinePunct w:val="0"/>
              <w:bidi w:val="0"/>
              <w:spacing w:line="240" w:lineRule="auto"/>
              <w:textAlignment w:val="center"/>
              <w:rPr>
                <w:rFonts w:ascii="宋体" w:cs="宋体"/>
                <w:sz w:val="24"/>
              </w:rPr>
            </w:pPr>
          </w:p>
        </w:tc>
      </w:tr>
      <w:tr w14:paraId="40EBA4DE">
        <w:tblPrEx>
          <w:tblCellMar>
            <w:top w:w="0" w:type="dxa"/>
            <w:left w:w="108" w:type="dxa"/>
            <w:bottom w:w="0" w:type="dxa"/>
            <w:right w:w="108" w:type="dxa"/>
          </w:tblCellMar>
        </w:tblPrEx>
        <w:trPr>
          <w:gridAfter w:val="1"/>
          <w:wAfter w:w="234" w:type="dxa"/>
          <w:trHeight w:val="341" w:hRule="atLeast"/>
        </w:trPr>
        <w:tc>
          <w:tcPr>
            <w:tcW w:w="3119" w:type="dxa"/>
            <w:gridSpan w:val="2"/>
            <w:vMerge w:val="continue"/>
            <w:tcBorders>
              <w:top w:val="single" w:color="000000" w:sz="4" w:space="0"/>
              <w:left w:val="single" w:color="000000" w:sz="4" w:space="0"/>
              <w:bottom w:val="single" w:color="000000" w:sz="4" w:space="0"/>
              <w:right w:val="single" w:color="000000" w:sz="4" w:space="0"/>
            </w:tcBorders>
            <w:noWrap/>
            <w:vAlign w:val="center"/>
          </w:tcPr>
          <w:p w14:paraId="314435CE">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74989712">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其他资金</w:t>
            </w:r>
          </w:p>
        </w:tc>
        <w:tc>
          <w:tcPr>
            <w:tcW w:w="1189" w:type="dxa"/>
            <w:tcBorders>
              <w:top w:val="single" w:color="000000" w:sz="4" w:space="0"/>
              <w:left w:val="single" w:color="000000" w:sz="4" w:space="0"/>
              <w:bottom w:val="single" w:color="000000" w:sz="4" w:space="0"/>
              <w:right w:val="single" w:color="000000" w:sz="4" w:space="0"/>
            </w:tcBorders>
            <w:noWrap/>
            <w:vAlign w:val="center"/>
          </w:tcPr>
          <w:p w14:paraId="034ECACF">
            <w:pPr>
              <w:pageBreakBefore w:val="0"/>
              <w:widowControl/>
              <w:kinsoku/>
              <w:wordWrap/>
              <w:overflowPunct/>
              <w:topLinePunct w:val="0"/>
              <w:bidi w:val="0"/>
              <w:spacing w:line="240" w:lineRule="auto"/>
              <w:jc w:val="left"/>
              <w:textAlignment w:val="center"/>
              <w:rPr>
                <w:rFonts w:ascii="宋体" w:cs="宋体"/>
                <w:sz w:val="24"/>
              </w:rPr>
            </w:pPr>
          </w:p>
        </w:tc>
        <w:tc>
          <w:tcPr>
            <w:tcW w:w="1224" w:type="dxa"/>
            <w:tcBorders>
              <w:top w:val="single" w:color="000000" w:sz="4" w:space="0"/>
              <w:left w:val="single" w:color="000000" w:sz="4" w:space="0"/>
              <w:bottom w:val="single" w:color="000000" w:sz="4" w:space="0"/>
              <w:right w:val="single" w:color="000000" w:sz="4" w:space="0"/>
            </w:tcBorders>
            <w:noWrap/>
            <w:vAlign w:val="center"/>
          </w:tcPr>
          <w:p w14:paraId="02B56A06">
            <w:pPr>
              <w:pageBreakBefore w:val="0"/>
              <w:widowControl/>
              <w:kinsoku/>
              <w:wordWrap/>
              <w:overflowPunct/>
              <w:topLinePunct w:val="0"/>
              <w:bidi w:val="0"/>
              <w:spacing w:line="240" w:lineRule="auto"/>
              <w:jc w:val="left"/>
              <w:textAlignment w:val="center"/>
              <w:rPr>
                <w:rFonts w:ascii="宋体" w:cs="宋体"/>
                <w:sz w:val="24"/>
              </w:rPr>
            </w:pPr>
            <w:r>
              <w:rPr>
                <w:rFonts w:hint="eastAsia" w:ascii="宋体" w:cs="宋体"/>
                <w:kern w:val="0"/>
                <w:sz w:val="24"/>
              </w:rPr>
              <w:t>其他资金</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077BD15D">
            <w:pPr>
              <w:pageBreakBefore w:val="0"/>
              <w:widowControl/>
              <w:kinsoku/>
              <w:wordWrap/>
              <w:overflowPunct/>
              <w:topLinePunct w:val="0"/>
              <w:bidi w:val="0"/>
              <w:spacing w:line="240" w:lineRule="auto"/>
              <w:jc w:val="center"/>
              <w:textAlignment w:val="center"/>
              <w:rPr>
                <w:rFonts w:ascii="宋体" w:cs="宋体"/>
                <w:sz w:val="24"/>
              </w:rPr>
            </w:pPr>
          </w:p>
        </w:tc>
      </w:tr>
      <w:tr w14:paraId="60C28B2E">
        <w:tblPrEx>
          <w:tblCellMar>
            <w:top w:w="0" w:type="dxa"/>
            <w:left w:w="108" w:type="dxa"/>
            <w:bottom w:w="0" w:type="dxa"/>
            <w:right w:w="108" w:type="dxa"/>
          </w:tblCellMar>
        </w:tblPrEx>
        <w:trPr>
          <w:gridAfter w:val="1"/>
          <w:wAfter w:w="234" w:type="dxa"/>
          <w:trHeight w:val="217" w:hRule="atLeast"/>
        </w:trPr>
        <w:tc>
          <w:tcPr>
            <w:tcW w:w="1977" w:type="dxa"/>
            <w:vMerge w:val="restart"/>
            <w:tcBorders>
              <w:top w:val="single" w:color="000000" w:sz="4" w:space="0"/>
              <w:left w:val="single" w:color="000000" w:sz="4" w:space="0"/>
              <w:bottom w:val="single" w:color="000000" w:sz="4" w:space="0"/>
              <w:right w:val="single" w:color="000000" w:sz="4" w:space="0"/>
            </w:tcBorders>
            <w:noWrap/>
            <w:vAlign w:val="center"/>
          </w:tcPr>
          <w:p w14:paraId="38F9DA39">
            <w:pPr>
              <w:pageBreakBefore w:val="0"/>
              <w:widowControl/>
              <w:kinsoku/>
              <w:wordWrap/>
              <w:overflowPunct/>
              <w:topLinePunct w:val="0"/>
              <w:bidi w:val="0"/>
              <w:spacing w:line="240" w:lineRule="auto"/>
              <w:jc w:val="center"/>
              <w:textAlignment w:val="center"/>
              <w:rPr>
                <w:rFonts w:ascii="宋体" w:cs="宋体"/>
                <w:kern w:val="0"/>
                <w:sz w:val="24"/>
              </w:rPr>
            </w:pPr>
            <w:r>
              <w:rPr>
                <w:rFonts w:hint="eastAsia" w:ascii="宋体" w:cs="宋体"/>
                <w:kern w:val="0"/>
                <w:sz w:val="24"/>
              </w:rPr>
              <w:t>年度总体目标</w:t>
            </w:r>
          </w:p>
          <w:p w14:paraId="504B9846">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完成情况</w:t>
            </w:r>
          </w:p>
        </w:tc>
        <w:tc>
          <w:tcPr>
            <w:tcW w:w="3966" w:type="dxa"/>
            <w:gridSpan w:val="3"/>
            <w:tcBorders>
              <w:top w:val="single" w:color="000000" w:sz="4" w:space="0"/>
              <w:left w:val="single" w:color="000000" w:sz="4" w:space="0"/>
              <w:bottom w:val="single" w:color="000000" w:sz="4" w:space="0"/>
              <w:right w:val="single" w:color="000000" w:sz="4" w:space="0"/>
            </w:tcBorders>
            <w:noWrap/>
            <w:vAlign w:val="center"/>
          </w:tcPr>
          <w:p w14:paraId="713E9F95">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预期目标</w:t>
            </w:r>
          </w:p>
        </w:tc>
        <w:tc>
          <w:tcPr>
            <w:tcW w:w="3634" w:type="dxa"/>
            <w:gridSpan w:val="2"/>
            <w:tcBorders>
              <w:top w:val="single" w:color="000000" w:sz="4" w:space="0"/>
              <w:left w:val="single" w:color="000000" w:sz="4" w:space="0"/>
              <w:bottom w:val="single" w:color="000000" w:sz="4" w:space="0"/>
              <w:right w:val="single" w:color="000000" w:sz="4" w:space="0"/>
            </w:tcBorders>
            <w:noWrap/>
            <w:vAlign w:val="center"/>
          </w:tcPr>
          <w:p w14:paraId="0A4DC52B">
            <w:pPr>
              <w:pageBreakBefore w:val="0"/>
              <w:widowControl/>
              <w:kinsoku/>
              <w:wordWrap/>
              <w:overflowPunct/>
              <w:topLinePunct w:val="0"/>
              <w:bidi w:val="0"/>
              <w:spacing w:line="240" w:lineRule="auto"/>
              <w:jc w:val="center"/>
              <w:textAlignment w:val="center"/>
              <w:rPr>
                <w:rFonts w:ascii="宋体" w:cs="宋体"/>
                <w:sz w:val="24"/>
              </w:rPr>
            </w:pPr>
            <w:r>
              <w:rPr>
                <w:rFonts w:hint="eastAsia" w:ascii="宋体" w:cs="宋体"/>
                <w:kern w:val="0"/>
                <w:sz w:val="24"/>
              </w:rPr>
              <w:t>目标实际完成情况</w:t>
            </w:r>
          </w:p>
        </w:tc>
      </w:tr>
      <w:tr w14:paraId="4AA2FAC8">
        <w:tblPrEx>
          <w:tblCellMar>
            <w:top w:w="0" w:type="dxa"/>
            <w:left w:w="108" w:type="dxa"/>
            <w:bottom w:w="0" w:type="dxa"/>
            <w:right w:w="108" w:type="dxa"/>
          </w:tblCellMar>
        </w:tblPrEx>
        <w:trPr>
          <w:gridAfter w:val="1"/>
          <w:wAfter w:w="234" w:type="dxa"/>
          <w:trHeight w:val="797" w:hRule="atLeast"/>
        </w:trPr>
        <w:tc>
          <w:tcPr>
            <w:tcW w:w="1977" w:type="dxa"/>
            <w:vMerge w:val="continue"/>
            <w:tcBorders>
              <w:top w:val="single" w:color="000000" w:sz="4" w:space="0"/>
              <w:left w:val="single" w:color="000000" w:sz="4" w:space="0"/>
              <w:bottom w:val="single" w:color="000000" w:sz="4" w:space="0"/>
              <w:right w:val="single" w:color="000000" w:sz="4" w:space="0"/>
            </w:tcBorders>
            <w:noWrap/>
            <w:vAlign w:val="center"/>
          </w:tcPr>
          <w:p w14:paraId="0BEF6ADF">
            <w:pPr>
              <w:pageBreakBefore w:val="0"/>
              <w:kinsoku/>
              <w:wordWrap/>
              <w:overflowPunct/>
              <w:topLinePunct w:val="0"/>
              <w:bidi w:val="0"/>
              <w:spacing w:line="240" w:lineRule="auto"/>
            </w:pPr>
          </w:p>
        </w:tc>
        <w:tc>
          <w:tcPr>
            <w:tcW w:w="3966" w:type="dxa"/>
            <w:gridSpan w:val="3"/>
            <w:tcBorders>
              <w:top w:val="single" w:color="000000" w:sz="4" w:space="0"/>
              <w:left w:val="single" w:color="000000" w:sz="4" w:space="0"/>
              <w:bottom w:val="single" w:color="000000" w:sz="4" w:space="0"/>
              <w:right w:val="single" w:color="000000" w:sz="4" w:space="0"/>
            </w:tcBorders>
            <w:noWrap/>
            <w:vAlign w:val="top"/>
          </w:tcPr>
          <w:p w14:paraId="3B3779E6">
            <w:pPr>
              <w:pageBreakBefore w:val="0"/>
              <w:widowControl/>
              <w:kinsoku/>
              <w:wordWrap/>
              <w:overflowPunct/>
              <w:topLinePunct w:val="0"/>
              <w:bidi w:val="0"/>
              <w:spacing w:line="240" w:lineRule="auto"/>
              <w:jc w:val="left"/>
              <w:textAlignment w:val="top"/>
              <w:rPr>
                <w:rFonts w:ascii="宋体" w:cs="宋体"/>
                <w:sz w:val="24"/>
              </w:rPr>
            </w:pPr>
            <w:r>
              <w:rPr>
                <w:rFonts w:hint="eastAsia" w:ascii="宋体" w:cs="宋体"/>
                <w:sz w:val="24"/>
                <w:lang w:val="en-US" w:eastAsia="zh-CN"/>
              </w:rPr>
              <w:t>涉密不予公开</w:t>
            </w:r>
          </w:p>
        </w:tc>
        <w:tc>
          <w:tcPr>
            <w:tcW w:w="3634" w:type="dxa"/>
            <w:gridSpan w:val="2"/>
            <w:tcBorders>
              <w:top w:val="single" w:color="000000" w:sz="4" w:space="0"/>
              <w:left w:val="single" w:color="000000" w:sz="4" w:space="0"/>
              <w:bottom w:val="single" w:color="000000" w:sz="4" w:space="0"/>
              <w:right w:val="single" w:color="000000" w:sz="4" w:space="0"/>
            </w:tcBorders>
            <w:noWrap/>
            <w:vAlign w:val="top"/>
          </w:tcPr>
          <w:p w14:paraId="37DFB8B5">
            <w:pPr>
              <w:pageBreakBefore w:val="0"/>
              <w:widowControl/>
              <w:kinsoku/>
              <w:wordWrap/>
              <w:overflowPunct/>
              <w:topLinePunct w:val="0"/>
              <w:bidi w:val="0"/>
              <w:spacing w:line="240" w:lineRule="auto"/>
              <w:jc w:val="left"/>
              <w:textAlignment w:val="top"/>
              <w:rPr>
                <w:rFonts w:ascii="宋体" w:cs="宋体"/>
                <w:sz w:val="24"/>
              </w:rPr>
            </w:pPr>
          </w:p>
        </w:tc>
      </w:tr>
      <w:tr w14:paraId="700B4048">
        <w:tblPrEx>
          <w:tblCellMar>
            <w:top w:w="0" w:type="dxa"/>
            <w:left w:w="108" w:type="dxa"/>
            <w:bottom w:w="0" w:type="dxa"/>
            <w:right w:w="108" w:type="dxa"/>
          </w:tblCellMar>
        </w:tblPrEx>
        <w:trPr>
          <w:gridAfter w:val="1"/>
          <w:wAfter w:w="234" w:type="dxa"/>
          <w:trHeight w:val="693" w:hRule="atLeast"/>
        </w:trPr>
        <w:tc>
          <w:tcPr>
            <w:tcW w:w="1977" w:type="dxa"/>
            <w:vMerge w:val="restart"/>
            <w:tcBorders>
              <w:top w:val="single" w:color="000000" w:sz="4" w:space="0"/>
              <w:left w:val="single" w:color="000000" w:sz="4" w:space="0"/>
              <w:bottom w:val="nil"/>
              <w:right w:val="single" w:color="000000" w:sz="4" w:space="0"/>
            </w:tcBorders>
            <w:noWrap/>
            <w:vAlign w:val="center"/>
          </w:tcPr>
          <w:p w14:paraId="28487453">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年度绩效指标完成情况</w:t>
            </w:r>
          </w:p>
        </w:tc>
        <w:tc>
          <w:tcPr>
            <w:tcW w:w="1142" w:type="dxa"/>
            <w:tcBorders>
              <w:top w:val="single" w:color="000000" w:sz="4" w:space="0"/>
              <w:left w:val="nil"/>
              <w:bottom w:val="single" w:color="000000" w:sz="4" w:space="0"/>
              <w:right w:val="single" w:color="000000" w:sz="4" w:space="0"/>
            </w:tcBorders>
            <w:noWrap/>
            <w:vAlign w:val="center"/>
          </w:tcPr>
          <w:p w14:paraId="3C79C2E3">
            <w:pPr>
              <w:pageBreakBefore w:val="0"/>
              <w:widowControl/>
              <w:kinsoku/>
              <w:wordWrap/>
              <w:overflowPunct/>
              <w:topLinePunct w:val="0"/>
              <w:bidi w:val="0"/>
              <w:spacing w:line="240" w:lineRule="auto"/>
              <w:jc w:val="center"/>
              <w:textAlignment w:val="center"/>
              <w:rPr>
                <w:rFonts w:ascii="仿宋_GB2312" w:eastAsia="仿宋_GB2312" w:cs="仿宋_GB2312"/>
                <w:kern w:val="0"/>
                <w:sz w:val="28"/>
                <w:szCs w:val="28"/>
              </w:rPr>
            </w:pPr>
            <w:r>
              <w:rPr>
                <w:rFonts w:hint="eastAsia" w:ascii="仿宋_GB2312" w:eastAsia="仿宋_GB2312" w:cs="仿宋_GB2312"/>
                <w:kern w:val="0"/>
                <w:sz w:val="28"/>
                <w:szCs w:val="28"/>
              </w:rPr>
              <w:t>一级</w:t>
            </w:r>
          </w:p>
          <w:p w14:paraId="4405086E">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指标</w:t>
            </w:r>
          </w:p>
        </w:tc>
        <w:tc>
          <w:tcPr>
            <w:tcW w:w="1635" w:type="dxa"/>
            <w:tcBorders>
              <w:top w:val="single" w:color="000000" w:sz="4" w:space="0"/>
              <w:left w:val="single" w:color="000000" w:sz="4" w:space="0"/>
              <w:bottom w:val="single" w:color="000000" w:sz="4" w:space="0"/>
              <w:right w:val="single" w:color="000000" w:sz="4" w:space="0"/>
            </w:tcBorders>
            <w:noWrap/>
            <w:vAlign w:val="center"/>
          </w:tcPr>
          <w:p w14:paraId="52558423">
            <w:pPr>
              <w:pageBreakBefore w:val="0"/>
              <w:widowControl/>
              <w:kinsoku/>
              <w:wordWrap/>
              <w:overflowPunct/>
              <w:topLinePunct w:val="0"/>
              <w:bidi w:val="0"/>
              <w:spacing w:line="240" w:lineRule="auto"/>
              <w:jc w:val="center"/>
              <w:textAlignment w:val="center"/>
              <w:rPr>
                <w:rFonts w:ascii="仿宋_GB2312" w:eastAsia="仿宋_GB2312" w:cs="仿宋_GB2312"/>
                <w:kern w:val="0"/>
                <w:sz w:val="28"/>
                <w:szCs w:val="28"/>
              </w:rPr>
            </w:pPr>
            <w:r>
              <w:rPr>
                <w:rFonts w:hint="eastAsia" w:ascii="仿宋_GB2312" w:eastAsia="仿宋_GB2312" w:cs="仿宋_GB2312"/>
                <w:kern w:val="0"/>
                <w:sz w:val="28"/>
                <w:szCs w:val="28"/>
              </w:rPr>
              <w:t>二级</w:t>
            </w:r>
          </w:p>
          <w:p w14:paraId="237F4933">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指标</w:t>
            </w:r>
          </w:p>
        </w:tc>
        <w:tc>
          <w:tcPr>
            <w:tcW w:w="1189" w:type="dxa"/>
            <w:tcBorders>
              <w:top w:val="single" w:color="000000" w:sz="4" w:space="0"/>
              <w:left w:val="single" w:color="000000" w:sz="4" w:space="0"/>
              <w:bottom w:val="single" w:color="000000" w:sz="4" w:space="0"/>
              <w:right w:val="single" w:color="000000" w:sz="4" w:space="0"/>
            </w:tcBorders>
            <w:noWrap/>
            <w:vAlign w:val="center"/>
          </w:tcPr>
          <w:p w14:paraId="49A4CADC">
            <w:pPr>
              <w:pageBreakBefore w:val="0"/>
              <w:widowControl/>
              <w:kinsoku/>
              <w:wordWrap/>
              <w:overflowPunct/>
              <w:topLinePunct w:val="0"/>
              <w:bidi w:val="0"/>
              <w:spacing w:line="240" w:lineRule="auto"/>
              <w:jc w:val="center"/>
              <w:textAlignment w:val="center"/>
              <w:rPr>
                <w:rFonts w:ascii="仿宋_GB2312" w:eastAsia="仿宋_GB2312" w:cs="仿宋_GB2312"/>
                <w:kern w:val="0"/>
                <w:sz w:val="28"/>
                <w:szCs w:val="28"/>
              </w:rPr>
            </w:pPr>
            <w:r>
              <w:rPr>
                <w:rFonts w:hint="eastAsia" w:ascii="仿宋_GB2312" w:eastAsia="仿宋_GB2312" w:cs="仿宋_GB2312"/>
                <w:kern w:val="0"/>
                <w:sz w:val="28"/>
                <w:szCs w:val="28"/>
              </w:rPr>
              <w:t>三级</w:t>
            </w:r>
          </w:p>
          <w:p w14:paraId="569765EC">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指标</w:t>
            </w:r>
          </w:p>
        </w:tc>
        <w:tc>
          <w:tcPr>
            <w:tcW w:w="1224" w:type="dxa"/>
            <w:tcBorders>
              <w:top w:val="single" w:color="000000" w:sz="4" w:space="0"/>
              <w:left w:val="single" w:color="000000" w:sz="4" w:space="0"/>
              <w:bottom w:val="single" w:color="000000" w:sz="4" w:space="0"/>
              <w:right w:val="single" w:color="000000" w:sz="4" w:space="0"/>
            </w:tcBorders>
            <w:noWrap/>
            <w:vAlign w:val="center"/>
          </w:tcPr>
          <w:p w14:paraId="28BF4F61">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预期指标值</w:t>
            </w:r>
          </w:p>
        </w:tc>
        <w:tc>
          <w:tcPr>
            <w:tcW w:w="2410" w:type="dxa"/>
            <w:tcBorders>
              <w:top w:val="single" w:color="000000" w:sz="4" w:space="0"/>
              <w:left w:val="single" w:color="000000" w:sz="4" w:space="0"/>
              <w:bottom w:val="single" w:color="000000" w:sz="4" w:space="0"/>
              <w:right w:val="single" w:color="000000" w:sz="4" w:space="0"/>
            </w:tcBorders>
            <w:noWrap/>
            <w:vAlign w:val="center"/>
          </w:tcPr>
          <w:p w14:paraId="710F2211">
            <w:pPr>
              <w:pageBreakBefore w:val="0"/>
              <w:widowControl/>
              <w:kinsoku/>
              <w:wordWrap/>
              <w:overflowPunct/>
              <w:topLinePunct w:val="0"/>
              <w:bidi w:val="0"/>
              <w:spacing w:line="240" w:lineRule="auto"/>
              <w:jc w:val="center"/>
              <w:textAlignment w:val="center"/>
              <w:rPr>
                <w:rFonts w:ascii="仿宋_GB2312" w:eastAsia="仿宋_GB2312" w:cs="仿宋_GB2312"/>
                <w:sz w:val="28"/>
                <w:szCs w:val="28"/>
              </w:rPr>
            </w:pPr>
            <w:r>
              <w:rPr>
                <w:rFonts w:hint="eastAsia" w:ascii="仿宋_GB2312" w:eastAsia="仿宋_GB2312" w:cs="仿宋_GB2312"/>
                <w:kern w:val="0"/>
                <w:sz w:val="28"/>
                <w:szCs w:val="28"/>
              </w:rPr>
              <w:t>实际完成指标值</w:t>
            </w:r>
          </w:p>
        </w:tc>
      </w:tr>
      <w:tr w14:paraId="48DC8765">
        <w:tblPrEx>
          <w:tblCellMar>
            <w:top w:w="0" w:type="dxa"/>
            <w:left w:w="108" w:type="dxa"/>
            <w:bottom w:w="0" w:type="dxa"/>
            <w:right w:w="108" w:type="dxa"/>
          </w:tblCellMar>
        </w:tblPrEx>
        <w:trPr>
          <w:gridAfter w:val="1"/>
          <w:wAfter w:w="234" w:type="dxa"/>
          <w:trHeight w:val="415" w:hRule="atLeast"/>
        </w:trPr>
        <w:tc>
          <w:tcPr>
            <w:tcW w:w="1977" w:type="dxa"/>
            <w:vMerge w:val="continue"/>
            <w:tcBorders>
              <w:top w:val="nil"/>
              <w:left w:val="single" w:color="000000" w:sz="4" w:space="0"/>
              <w:bottom w:val="nil"/>
              <w:right w:val="single" w:color="000000" w:sz="4" w:space="0"/>
            </w:tcBorders>
            <w:noWrap/>
            <w:vAlign w:val="center"/>
          </w:tcPr>
          <w:p w14:paraId="02D177ED">
            <w:pPr>
              <w:pageBreakBefore w:val="0"/>
              <w:kinsoku/>
              <w:wordWrap/>
              <w:overflowPunct/>
              <w:topLinePunct w:val="0"/>
              <w:bidi w:val="0"/>
              <w:spacing w:line="240" w:lineRule="auto"/>
            </w:pPr>
          </w:p>
        </w:tc>
        <w:tc>
          <w:tcPr>
            <w:tcW w:w="1142" w:type="dxa"/>
            <w:vMerge w:val="restart"/>
            <w:tcBorders>
              <w:top w:val="single" w:color="000000" w:sz="4" w:space="0"/>
              <w:left w:val="single" w:color="000000" w:sz="4" w:space="0"/>
              <w:bottom w:val="single" w:color="000000" w:sz="4" w:space="0"/>
              <w:right w:val="single" w:color="000000" w:sz="4" w:space="0"/>
            </w:tcBorders>
            <w:noWrap/>
            <w:vAlign w:val="center"/>
          </w:tcPr>
          <w:p w14:paraId="4C7D07EC">
            <w:pPr>
              <w:pageBreakBefore w:val="0"/>
              <w:widowControl/>
              <w:kinsoku/>
              <w:wordWrap/>
              <w:overflowPunct/>
              <w:topLinePunct w:val="0"/>
              <w:bidi w:val="0"/>
              <w:spacing w:line="240" w:lineRule="auto"/>
              <w:jc w:val="center"/>
              <w:textAlignment w:val="bottom"/>
              <w:rPr>
                <w:rFonts w:ascii="仿宋_GB2312" w:eastAsia="仿宋_GB2312" w:cs="仿宋_GB2312"/>
                <w:kern w:val="0"/>
                <w:sz w:val="28"/>
                <w:szCs w:val="28"/>
              </w:rPr>
            </w:pPr>
            <w:r>
              <w:rPr>
                <w:rFonts w:hint="eastAsia" w:ascii="仿宋_GB2312" w:eastAsia="仿宋_GB2312" w:cs="仿宋_GB2312"/>
                <w:kern w:val="0"/>
                <w:sz w:val="28"/>
                <w:szCs w:val="28"/>
              </w:rPr>
              <w:t>完成</w:t>
            </w:r>
          </w:p>
          <w:p w14:paraId="5C74E8D2">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指标</w:t>
            </w: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36DE4504">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数量指标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57A25685">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29A3A084">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65A55FDB">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20A8B77F">
        <w:tblPrEx>
          <w:tblCellMar>
            <w:top w:w="0" w:type="dxa"/>
            <w:left w:w="108" w:type="dxa"/>
            <w:bottom w:w="0" w:type="dxa"/>
            <w:right w:w="108" w:type="dxa"/>
          </w:tblCellMar>
        </w:tblPrEx>
        <w:trPr>
          <w:gridAfter w:val="1"/>
          <w:wAfter w:w="234" w:type="dxa"/>
          <w:trHeight w:val="415" w:hRule="atLeast"/>
        </w:trPr>
        <w:tc>
          <w:tcPr>
            <w:tcW w:w="1977" w:type="dxa"/>
            <w:vMerge w:val="continue"/>
            <w:tcBorders>
              <w:top w:val="nil"/>
              <w:left w:val="single" w:color="000000" w:sz="4" w:space="0"/>
              <w:bottom w:val="nil"/>
              <w:right w:val="single" w:color="000000" w:sz="4" w:space="0"/>
            </w:tcBorders>
            <w:noWrap/>
            <w:vAlign w:val="center"/>
          </w:tcPr>
          <w:p w14:paraId="2BCC2B05">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5F10831B">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55287386">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质量指标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7F1D40D0">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260E7FC1">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52CDF619">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6E773E9A">
        <w:tblPrEx>
          <w:tblCellMar>
            <w:top w:w="0" w:type="dxa"/>
            <w:left w:w="108" w:type="dxa"/>
            <w:bottom w:w="0" w:type="dxa"/>
            <w:right w:w="108" w:type="dxa"/>
          </w:tblCellMar>
        </w:tblPrEx>
        <w:trPr>
          <w:gridAfter w:val="1"/>
          <w:wAfter w:w="234" w:type="dxa"/>
          <w:trHeight w:val="415" w:hRule="atLeast"/>
        </w:trPr>
        <w:tc>
          <w:tcPr>
            <w:tcW w:w="1977" w:type="dxa"/>
            <w:vMerge w:val="continue"/>
            <w:tcBorders>
              <w:top w:val="nil"/>
              <w:left w:val="single" w:color="000000" w:sz="4" w:space="0"/>
              <w:bottom w:val="nil"/>
              <w:right w:val="single" w:color="000000" w:sz="4" w:space="0"/>
            </w:tcBorders>
            <w:noWrap/>
            <w:vAlign w:val="center"/>
          </w:tcPr>
          <w:p w14:paraId="09180A7A">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37BF03B4">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1993F965">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时效指标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361D533F">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26204D59">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0C2DB6A3">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0B0A59EF">
        <w:tblPrEx>
          <w:tblCellMar>
            <w:top w:w="0" w:type="dxa"/>
            <w:left w:w="108" w:type="dxa"/>
            <w:bottom w:w="0" w:type="dxa"/>
            <w:right w:w="108" w:type="dxa"/>
          </w:tblCellMar>
        </w:tblPrEx>
        <w:trPr>
          <w:gridAfter w:val="1"/>
          <w:wAfter w:w="234" w:type="dxa"/>
          <w:trHeight w:val="480" w:hRule="atLeast"/>
        </w:trPr>
        <w:tc>
          <w:tcPr>
            <w:tcW w:w="1977" w:type="dxa"/>
            <w:vMerge w:val="continue"/>
            <w:tcBorders>
              <w:top w:val="nil"/>
              <w:left w:val="single" w:color="000000" w:sz="4" w:space="0"/>
              <w:bottom w:val="nil"/>
              <w:right w:val="single" w:color="000000" w:sz="4" w:space="0"/>
            </w:tcBorders>
            <w:noWrap/>
            <w:vAlign w:val="center"/>
          </w:tcPr>
          <w:p w14:paraId="69D0C53A">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40E73E09">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41C84BA0">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成本指标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02311233">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47B59CC7">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586CC4F5">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5AA9E8BF">
        <w:tblPrEx>
          <w:tblCellMar>
            <w:top w:w="0" w:type="dxa"/>
            <w:left w:w="108" w:type="dxa"/>
            <w:bottom w:w="0" w:type="dxa"/>
            <w:right w:w="108" w:type="dxa"/>
          </w:tblCellMar>
        </w:tblPrEx>
        <w:trPr>
          <w:gridAfter w:val="1"/>
          <w:wAfter w:w="234" w:type="dxa"/>
          <w:trHeight w:val="480" w:hRule="atLeast"/>
        </w:trPr>
        <w:tc>
          <w:tcPr>
            <w:tcW w:w="1977" w:type="dxa"/>
            <w:vMerge w:val="continue"/>
            <w:tcBorders>
              <w:top w:val="nil"/>
              <w:left w:val="single" w:color="000000" w:sz="4" w:space="0"/>
              <w:bottom w:val="nil"/>
              <w:right w:val="single" w:color="000000" w:sz="4" w:space="0"/>
            </w:tcBorders>
            <w:noWrap/>
            <w:vAlign w:val="center"/>
          </w:tcPr>
          <w:p w14:paraId="57BA00FB">
            <w:pPr>
              <w:pageBreakBefore w:val="0"/>
              <w:kinsoku/>
              <w:wordWrap/>
              <w:overflowPunct/>
              <w:topLinePunct w:val="0"/>
              <w:bidi w:val="0"/>
              <w:spacing w:line="240" w:lineRule="auto"/>
            </w:pPr>
          </w:p>
        </w:tc>
        <w:tc>
          <w:tcPr>
            <w:tcW w:w="1142" w:type="dxa"/>
            <w:vMerge w:val="restart"/>
            <w:tcBorders>
              <w:top w:val="single" w:color="000000" w:sz="4" w:space="0"/>
              <w:left w:val="single" w:color="000000" w:sz="4" w:space="0"/>
              <w:bottom w:val="single" w:color="000000" w:sz="4" w:space="0"/>
              <w:right w:val="single" w:color="000000" w:sz="4" w:space="0"/>
            </w:tcBorders>
            <w:noWrap/>
            <w:vAlign w:val="center"/>
          </w:tcPr>
          <w:p w14:paraId="514BEA2C">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效益</w:t>
            </w:r>
            <w:r>
              <w:rPr>
                <w:rFonts w:hint="eastAsia" w:ascii="仿宋_GB2312" w:eastAsia="仿宋_GB2312" w:cs="仿宋_GB2312"/>
                <w:kern w:val="0"/>
                <w:sz w:val="28"/>
                <w:szCs w:val="28"/>
              </w:rPr>
              <w:br w:type="textWrapping"/>
            </w:r>
            <w:r>
              <w:rPr>
                <w:rFonts w:hint="eastAsia" w:ascii="仿宋_GB2312" w:eastAsia="仿宋_GB2312" w:cs="仿宋_GB2312"/>
                <w:kern w:val="0"/>
                <w:sz w:val="28"/>
                <w:szCs w:val="28"/>
              </w:rPr>
              <w:t>指标</w:t>
            </w: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021F5FCB">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经济效益  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4B363652">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587EF089">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46CB9383">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531D584B">
        <w:tblPrEx>
          <w:tblCellMar>
            <w:top w:w="0" w:type="dxa"/>
            <w:left w:w="108" w:type="dxa"/>
            <w:bottom w:w="0" w:type="dxa"/>
            <w:right w:w="108" w:type="dxa"/>
          </w:tblCellMar>
        </w:tblPrEx>
        <w:trPr>
          <w:gridAfter w:val="1"/>
          <w:wAfter w:w="234" w:type="dxa"/>
          <w:trHeight w:val="480" w:hRule="atLeast"/>
        </w:trPr>
        <w:tc>
          <w:tcPr>
            <w:tcW w:w="1977" w:type="dxa"/>
            <w:vMerge w:val="continue"/>
            <w:tcBorders>
              <w:top w:val="nil"/>
              <w:left w:val="single" w:color="000000" w:sz="4" w:space="0"/>
              <w:bottom w:val="nil"/>
              <w:right w:val="single" w:color="000000" w:sz="4" w:space="0"/>
            </w:tcBorders>
            <w:noWrap/>
            <w:vAlign w:val="center"/>
          </w:tcPr>
          <w:p w14:paraId="1320D184">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52D7B625">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4215E38A">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社会效益  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057FACC8">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3A93E66F">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0650BAB8">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5801B98F">
        <w:tblPrEx>
          <w:tblCellMar>
            <w:top w:w="0" w:type="dxa"/>
            <w:left w:w="108" w:type="dxa"/>
            <w:bottom w:w="0" w:type="dxa"/>
            <w:right w:w="108" w:type="dxa"/>
          </w:tblCellMar>
        </w:tblPrEx>
        <w:trPr>
          <w:gridAfter w:val="1"/>
          <w:wAfter w:w="234" w:type="dxa"/>
          <w:trHeight w:val="577" w:hRule="atLeast"/>
        </w:trPr>
        <w:tc>
          <w:tcPr>
            <w:tcW w:w="1977" w:type="dxa"/>
            <w:vMerge w:val="continue"/>
            <w:tcBorders>
              <w:top w:val="nil"/>
              <w:left w:val="single" w:color="000000" w:sz="4" w:space="0"/>
              <w:bottom w:val="nil"/>
              <w:right w:val="single" w:color="000000" w:sz="4" w:space="0"/>
            </w:tcBorders>
            <w:noWrap/>
            <w:vAlign w:val="center"/>
          </w:tcPr>
          <w:p w14:paraId="02C05121">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416B29FC">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692EDBC6">
            <w:pPr>
              <w:pageBreakBefore w:val="0"/>
              <w:widowControl/>
              <w:kinsoku/>
              <w:wordWrap/>
              <w:overflowPunct/>
              <w:topLinePunct w:val="0"/>
              <w:bidi w:val="0"/>
              <w:spacing w:line="240" w:lineRule="auto"/>
              <w:ind w:left="463" w:leftChars="87" w:hanging="280" w:hangingChars="100"/>
              <w:jc w:val="left"/>
              <w:textAlignment w:val="bottom"/>
              <w:rPr>
                <w:rFonts w:ascii="仿宋_GB2312" w:eastAsia="仿宋_GB2312" w:cs="仿宋_GB2312"/>
                <w:sz w:val="28"/>
                <w:szCs w:val="28"/>
              </w:rPr>
            </w:pPr>
            <w:r>
              <w:rPr>
                <w:rFonts w:hint="eastAsia" w:ascii="仿宋_GB2312" w:eastAsia="仿宋_GB2312" w:cs="仿宋_GB2312"/>
                <w:kern w:val="0"/>
                <w:sz w:val="28"/>
                <w:szCs w:val="28"/>
              </w:rPr>
              <w:t>生态效益  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2E2C3CE5">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71C91B95">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23940063">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6079A976">
        <w:tblPrEx>
          <w:tblCellMar>
            <w:top w:w="0" w:type="dxa"/>
            <w:left w:w="108" w:type="dxa"/>
            <w:bottom w:w="0" w:type="dxa"/>
            <w:right w:w="108" w:type="dxa"/>
          </w:tblCellMar>
        </w:tblPrEx>
        <w:trPr>
          <w:gridAfter w:val="1"/>
          <w:wAfter w:w="234" w:type="dxa"/>
          <w:trHeight w:val="480" w:hRule="atLeast"/>
        </w:trPr>
        <w:tc>
          <w:tcPr>
            <w:tcW w:w="1977" w:type="dxa"/>
            <w:vMerge w:val="continue"/>
            <w:tcBorders>
              <w:top w:val="nil"/>
              <w:left w:val="single" w:color="000000" w:sz="4" w:space="0"/>
              <w:bottom w:val="nil"/>
              <w:right w:val="single" w:color="000000" w:sz="4" w:space="0"/>
            </w:tcBorders>
            <w:noWrap/>
            <w:vAlign w:val="center"/>
          </w:tcPr>
          <w:p w14:paraId="0F85C842">
            <w:pPr>
              <w:pageBreakBefore w:val="0"/>
              <w:kinsoku/>
              <w:wordWrap/>
              <w:overflowPunct/>
              <w:topLinePunct w:val="0"/>
              <w:bidi w:val="0"/>
              <w:spacing w:line="240" w:lineRule="auto"/>
            </w:pPr>
          </w:p>
        </w:tc>
        <w:tc>
          <w:tcPr>
            <w:tcW w:w="1142" w:type="dxa"/>
            <w:vMerge w:val="continue"/>
            <w:tcBorders>
              <w:top w:val="single" w:color="000000" w:sz="4" w:space="0"/>
              <w:left w:val="single" w:color="000000" w:sz="4" w:space="0"/>
              <w:bottom w:val="single" w:color="000000" w:sz="4" w:space="0"/>
              <w:right w:val="single" w:color="000000" w:sz="4" w:space="0"/>
            </w:tcBorders>
            <w:noWrap/>
            <w:vAlign w:val="bottom"/>
          </w:tcPr>
          <w:p w14:paraId="713BFD6D">
            <w:pPr>
              <w:pageBreakBefore w:val="0"/>
              <w:kinsoku/>
              <w:wordWrap/>
              <w:overflowPunct/>
              <w:topLinePunct w:val="0"/>
              <w:bidi w:val="0"/>
              <w:spacing w:line="240" w:lineRule="auto"/>
            </w:pP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6B5593EF">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可持续影响 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1F6BA6F4">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57C73742">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46354B63">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r w14:paraId="10E8E531">
        <w:tblPrEx>
          <w:tblCellMar>
            <w:top w:w="0" w:type="dxa"/>
            <w:left w:w="108" w:type="dxa"/>
            <w:bottom w:w="0" w:type="dxa"/>
            <w:right w:w="108" w:type="dxa"/>
          </w:tblCellMar>
        </w:tblPrEx>
        <w:trPr>
          <w:gridAfter w:val="1"/>
          <w:wAfter w:w="234" w:type="dxa"/>
          <w:trHeight w:val="530" w:hRule="atLeast"/>
        </w:trPr>
        <w:tc>
          <w:tcPr>
            <w:tcW w:w="1977" w:type="dxa"/>
            <w:vMerge w:val="continue"/>
            <w:tcBorders>
              <w:top w:val="nil"/>
              <w:left w:val="single" w:color="000000" w:sz="4" w:space="0"/>
              <w:bottom w:val="single" w:color="000000" w:sz="4" w:space="0"/>
              <w:right w:val="single" w:color="000000" w:sz="4" w:space="0"/>
            </w:tcBorders>
            <w:noWrap/>
            <w:vAlign w:val="center"/>
          </w:tcPr>
          <w:p w14:paraId="7F472564">
            <w:pPr>
              <w:pageBreakBefore w:val="0"/>
              <w:kinsoku/>
              <w:wordWrap/>
              <w:overflowPunct/>
              <w:topLinePunct w:val="0"/>
              <w:bidi w:val="0"/>
              <w:spacing w:line="240" w:lineRule="auto"/>
            </w:pPr>
          </w:p>
        </w:tc>
        <w:tc>
          <w:tcPr>
            <w:tcW w:w="1142" w:type="dxa"/>
            <w:tcBorders>
              <w:top w:val="single" w:color="000000" w:sz="4" w:space="0"/>
              <w:left w:val="single" w:color="000000" w:sz="4" w:space="0"/>
              <w:bottom w:val="single" w:color="000000" w:sz="4" w:space="0"/>
              <w:right w:val="single" w:color="000000" w:sz="4" w:space="0"/>
            </w:tcBorders>
            <w:noWrap/>
            <w:vAlign w:val="bottom"/>
          </w:tcPr>
          <w:p w14:paraId="54A750A1">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满意</w:t>
            </w:r>
            <w:r>
              <w:rPr>
                <w:rFonts w:hint="eastAsia" w:ascii="仿宋_GB2312" w:eastAsia="仿宋_GB2312" w:cs="仿宋_GB2312"/>
                <w:kern w:val="0"/>
                <w:sz w:val="28"/>
                <w:szCs w:val="28"/>
              </w:rPr>
              <w:br w:type="textWrapping"/>
            </w:r>
            <w:r>
              <w:rPr>
                <w:rFonts w:hint="eastAsia" w:ascii="仿宋_GB2312" w:eastAsia="仿宋_GB2312" w:cs="仿宋_GB2312"/>
                <w:kern w:val="0"/>
                <w:sz w:val="28"/>
                <w:szCs w:val="28"/>
              </w:rPr>
              <w:t>度指标</w:t>
            </w:r>
          </w:p>
        </w:tc>
        <w:tc>
          <w:tcPr>
            <w:tcW w:w="1635" w:type="dxa"/>
            <w:tcBorders>
              <w:top w:val="single" w:color="000000" w:sz="4" w:space="0"/>
              <w:left w:val="single" w:color="000000" w:sz="4" w:space="0"/>
              <w:bottom w:val="single" w:color="000000" w:sz="4" w:space="0"/>
              <w:right w:val="single" w:color="000000" w:sz="4" w:space="0"/>
            </w:tcBorders>
            <w:noWrap/>
            <w:vAlign w:val="bottom"/>
          </w:tcPr>
          <w:p w14:paraId="409E6E9C">
            <w:pPr>
              <w:pageBreakBefore w:val="0"/>
              <w:widowControl/>
              <w:kinsoku/>
              <w:wordWrap/>
              <w:overflowPunct/>
              <w:topLinePunct w:val="0"/>
              <w:bidi w:val="0"/>
              <w:spacing w:line="240" w:lineRule="auto"/>
              <w:jc w:val="center"/>
              <w:textAlignment w:val="bottom"/>
              <w:rPr>
                <w:rFonts w:ascii="仿宋_GB2312" w:eastAsia="仿宋_GB2312" w:cs="仿宋_GB2312"/>
                <w:kern w:val="0"/>
                <w:sz w:val="28"/>
                <w:szCs w:val="28"/>
              </w:rPr>
            </w:pPr>
            <w:r>
              <w:rPr>
                <w:rFonts w:hint="eastAsia" w:ascii="仿宋_GB2312" w:eastAsia="仿宋_GB2312" w:cs="仿宋_GB2312"/>
                <w:kern w:val="0"/>
                <w:sz w:val="28"/>
                <w:szCs w:val="28"/>
              </w:rPr>
              <w:t>满意度</w:t>
            </w:r>
          </w:p>
          <w:p w14:paraId="64EFD28D">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r>
              <w:rPr>
                <w:rFonts w:hint="eastAsia" w:ascii="仿宋_GB2312" w:eastAsia="仿宋_GB2312" w:cs="仿宋_GB2312"/>
                <w:kern w:val="0"/>
                <w:sz w:val="28"/>
                <w:szCs w:val="28"/>
              </w:rPr>
              <w:t>指标</w:t>
            </w:r>
          </w:p>
        </w:tc>
        <w:tc>
          <w:tcPr>
            <w:tcW w:w="1189" w:type="dxa"/>
            <w:tcBorders>
              <w:top w:val="single" w:color="000000" w:sz="4" w:space="0"/>
              <w:left w:val="single" w:color="000000" w:sz="4" w:space="0"/>
              <w:bottom w:val="single" w:color="000000" w:sz="4" w:space="0"/>
              <w:right w:val="single" w:color="000000" w:sz="4" w:space="0"/>
            </w:tcBorders>
            <w:noWrap/>
            <w:vAlign w:val="bottom"/>
          </w:tcPr>
          <w:p w14:paraId="22C79A1B">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1224" w:type="dxa"/>
            <w:tcBorders>
              <w:top w:val="single" w:color="000000" w:sz="4" w:space="0"/>
              <w:left w:val="single" w:color="000000" w:sz="4" w:space="0"/>
              <w:bottom w:val="single" w:color="000000" w:sz="4" w:space="0"/>
              <w:right w:val="single" w:color="000000" w:sz="4" w:space="0"/>
            </w:tcBorders>
            <w:noWrap/>
            <w:vAlign w:val="bottom"/>
          </w:tcPr>
          <w:p w14:paraId="541D8D4E">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c>
          <w:tcPr>
            <w:tcW w:w="2410" w:type="dxa"/>
            <w:tcBorders>
              <w:top w:val="single" w:color="000000" w:sz="4" w:space="0"/>
              <w:left w:val="single" w:color="000000" w:sz="4" w:space="0"/>
              <w:bottom w:val="single" w:color="000000" w:sz="4" w:space="0"/>
              <w:right w:val="single" w:color="000000" w:sz="4" w:space="0"/>
            </w:tcBorders>
            <w:noWrap/>
            <w:vAlign w:val="bottom"/>
          </w:tcPr>
          <w:p w14:paraId="15C18C6D">
            <w:pPr>
              <w:pageBreakBefore w:val="0"/>
              <w:widowControl/>
              <w:kinsoku/>
              <w:wordWrap/>
              <w:overflowPunct/>
              <w:topLinePunct w:val="0"/>
              <w:bidi w:val="0"/>
              <w:spacing w:line="240" w:lineRule="auto"/>
              <w:jc w:val="center"/>
              <w:textAlignment w:val="bottom"/>
              <w:rPr>
                <w:rFonts w:ascii="仿宋_GB2312" w:eastAsia="仿宋_GB2312" w:cs="仿宋_GB2312"/>
                <w:sz w:val="28"/>
                <w:szCs w:val="28"/>
              </w:rPr>
            </w:pPr>
          </w:p>
        </w:tc>
      </w:tr>
    </w:tbl>
    <w:p w14:paraId="53B18DD1">
      <w:pPr>
        <w:pageBreakBefore w:val="0"/>
        <w:kinsoku/>
        <w:wordWrap/>
        <w:overflowPunct/>
        <w:topLinePunct w:val="0"/>
        <w:bidi w:val="0"/>
        <w:spacing w:line="240" w:lineRule="auto"/>
        <w:jc w:val="center"/>
        <w:outlineLvl w:val="9"/>
        <w:rPr>
          <w:rFonts w:ascii="黑体" w:eastAsia="黑体"/>
          <w:sz w:val="44"/>
          <w:szCs w:val="44"/>
        </w:rPr>
      </w:pPr>
    </w:p>
    <w:p w14:paraId="767B4615">
      <w:pPr>
        <w:pageBreakBefore w:val="0"/>
        <w:widowControl/>
        <w:kinsoku/>
        <w:wordWrap/>
        <w:overflowPunct/>
        <w:topLinePunct w:val="0"/>
        <w:bidi w:val="0"/>
        <w:adjustRightInd w:val="0"/>
        <w:snapToGrid w:val="0"/>
        <w:spacing w:line="240" w:lineRule="auto"/>
        <w:contextualSpacing/>
        <w:jc w:val="left"/>
      </w:pPr>
      <w:r>
        <w:rPr>
          <w:rFonts w:hint="eastAsia" w:ascii="仿宋_GB2312" w:eastAsia="仿宋_GB2312" w:cs="宋体"/>
          <w:color w:val="000000"/>
          <w:kern w:val="0"/>
          <w:sz w:val="32"/>
          <w:szCs w:val="32"/>
          <w:shd w:val="clear" w:color="auto" w:fill="FFFFFF"/>
        </w:rPr>
        <w:t>（注：有两个及以上100万元以上（含）特定目标类部门预算项目的，需分别开展绩效目标自评并填写附表）</w:t>
      </w:r>
    </w:p>
    <w:p w14:paraId="54968CFC">
      <w:pPr>
        <w:pageBreakBefore w:val="0"/>
        <w:kinsoku/>
        <w:wordWrap/>
        <w:overflowPunct/>
        <w:topLinePunct w:val="0"/>
        <w:bidi w:val="0"/>
        <w:spacing w:line="240" w:lineRule="auto"/>
        <w:jc w:val="center"/>
        <w:outlineLvl w:val="9"/>
        <w:rPr>
          <w:rFonts w:ascii="黑体" w:eastAsia="黑体"/>
          <w:sz w:val="44"/>
          <w:szCs w:val="44"/>
        </w:rPr>
      </w:pPr>
    </w:p>
    <w:p w14:paraId="27D989DD">
      <w:pPr>
        <w:pageBreakBefore w:val="0"/>
        <w:kinsoku/>
        <w:wordWrap/>
        <w:overflowPunct/>
        <w:topLinePunct w:val="0"/>
        <w:bidi w:val="0"/>
        <w:spacing w:line="240" w:lineRule="auto"/>
        <w:jc w:val="center"/>
        <w:outlineLvl w:val="9"/>
        <w:rPr>
          <w:rFonts w:ascii="黑体" w:eastAsia="黑体"/>
          <w:sz w:val="44"/>
          <w:szCs w:val="44"/>
        </w:rPr>
      </w:pPr>
    </w:p>
    <w:p w14:paraId="20C0DF32">
      <w:pPr>
        <w:pageBreakBefore w:val="0"/>
        <w:kinsoku/>
        <w:wordWrap/>
        <w:overflowPunct/>
        <w:topLinePunct w:val="0"/>
        <w:bidi w:val="0"/>
        <w:spacing w:line="240" w:lineRule="auto"/>
        <w:jc w:val="center"/>
        <w:outlineLvl w:val="0"/>
        <w:rPr>
          <w:rFonts w:hint="eastAsia" w:ascii="黑体" w:eastAsia="黑体"/>
          <w:sz w:val="44"/>
          <w:szCs w:val="44"/>
        </w:rPr>
      </w:pPr>
      <w:bookmarkStart w:id="78" w:name="_Toc6576"/>
    </w:p>
    <w:p w14:paraId="18C0CD9D">
      <w:pPr>
        <w:pageBreakBefore w:val="0"/>
        <w:kinsoku/>
        <w:wordWrap/>
        <w:overflowPunct/>
        <w:topLinePunct w:val="0"/>
        <w:bidi w:val="0"/>
        <w:spacing w:line="240" w:lineRule="auto"/>
        <w:jc w:val="center"/>
        <w:outlineLvl w:val="0"/>
        <w:rPr>
          <w:rFonts w:hint="eastAsia" w:ascii="黑体" w:eastAsia="黑体"/>
          <w:sz w:val="44"/>
          <w:szCs w:val="44"/>
        </w:rPr>
      </w:pPr>
    </w:p>
    <w:p w14:paraId="5C64165C">
      <w:pPr>
        <w:pageBreakBefore w:val="0"/>
        <w:kinsoku/>
        <w:wordWrap/>
        <w:overflowPunct/>
        <w:topLinePunct w:val="0"/>
        <w:bidi w:val="0"/>
        <w:spacing w:line="240" w:lineRule="auto"/>
        <w:jc w:val="center"/>
        <w:outlineLvl w:val="0"/>
        <w:rPr>
          <w:rFonts w:hint="eastAsia" w:ascii="黑体" w:eastAsia="黑体"/>
          <w:sz w:val="44"/>
          <w:szCs w:val="44"/>
        </w:rPr>
      </w:pPr>
    </w:p>
    <w:p w14:paraId="10B8D820">
      <w:pPr>
        <w:pageBreakBefore w:val="0"/>
        <w:kinsoku/>
        <w:wordWrap/>
        <w:overflowPunct/>
        <w:topLinePunct w:val="0"/>
        <w:bidi w:val="0"/>
        <w:spacing w:line="240" w:lineRule="auto"/>
        <w:jc w:val="center"/>
        <w:outlineLvl w:val="0"/>
        <w:rPr>
          <w:rFonts w:hint="eastAsia" w:ascii="黑体" w:eastAsia="黑体"/>
          <w:sz w:val="44"/>
          <w:szCs w:val="44"/>
        </w:rPr>
      </w:pPr>
    </w:p>
    <w:p w14:paraId="14322107">
      <w:pPr>
        <w:pageBreakBefore w:val="0"/>
        <w:kinsoku/>
        <w:wordWrap/>
        <w:overflowPunct/>
        <w:topLinePunct w:val="0"/>
        <w:bidi w:val="0"/>
        <w:spacing w:line="240" w:lineRule="auto"/>
        <w:jc w:val="center"/>
        <w:outlineLvl w:val="0"/>
        <w:rPr>
          <w:rFonts w:hint="eastAsia" w:ascii="黑体" w:eastAsia="黑体"/>
          <w:sz w:val="44"/>
          <w:szCs w:val="44"/>
        </w:rPr>
      </w:pPr>
    </w:p>
    <w:p w14:paraId="4204CCA4">
      <w:pPr>
        <w:pageBreakBefore w:val="0"/>
        <w:kinsoku/>
        <w:wordWrap/>
        <w:overflowPunct/>
        <w:topLinePunct w:val="0"/>
        <w:bidi w:val="0"/>
        <w:spacing w:line="240" w:lineRule="auto"/>
        <w:jc w:val="center"/>
        <w:outlineLvl w:val="0"/>
        <w:rPr>
          <w:rFonts w:hint="eastAsia" w:ascii="黑体" w:eastAsia="黑体"/>
          <w:sz w:val="44"/>
          <w:szCs w:val="44"/>
        </w:rPr>
      </w:pPr>
    </w:p>
    <w:p w14:paraId="79FC5F94">
      <w:pPr>
        <w:pageBreakBefore w:val="0"/>
        <w:kinsoku/>
        <w:wordWrap/>
        <w:overflowPunct/>
        <w:topLinePunct w:val="0"/>
        <w:bidi w:val="0"/>
        <w:spacing w:line="240" w:lineRule="auto"/>
        <w:jc w:val="center"/>
        <w:outlineLvl w:val="0"/>
        <w:rPr>
          <w:rFonts w:hint="eastAsia" w:ascii="黑体" w:eastAsia="黑体"/>
          <w:sz w:val="44"/>
          <w:szCs w:val="44"/>
        </w:rPr>
      </w:pPr>
    </w:p>
    <w:p w14:paraId="4653B780">
      <w:pPr>
        <w:pageBreakBefore w:val="0"/>
        <w:kinsoku/>
        <w:wordWrap/>
        <w:overflowPunct/>
        <w:topLinePunct w:val="0"/>
        <w:bidi w:val="0"/>
        <w:spacing w:line="240" w:lineRule="auto"/>
        <w:jc w:val="center"/>
        <w:outlineLvl w:val="0"/>
        <w:rPr>
          <w:rFonts w:hint="eastAsia" w:ascii="黑体" w:eastAsia="黑体"/>
          <w:sz w:val="44"/>
          <w:szCs w:val="44"/>
        </w:rPr>
      </w:pPr>
    </w:p>
    <w:p w14:paraId="3A338FEA">
      <w:pPr>
        <w:pageBreakBefore w:val="0"/>
        <w:kinsoku/>
        <w:wordWrap/>
        <w:overflowPunct/>
        <w:topLinePunct w:val="0"/>
        <w:bidi w:val="0"/>
        <w:spacing w:line="240" w:lineRule="auto"/>
        <w:jc w:val="center"/>
        <w:outlineLvl w:val="0"/>
        <w:rPr>
          <w:rFonts w:hint="eastAsia" w:ascii="黑体" w:eastAsia="黑体"/>
          <w:sz w:val="44"/>
          <w:szCs w:val="44"/>
        </w:rPr>
      </w:pPr>
    </w:p>
    <w:p w14:paraId="6134A143">
      <w:pPr>
        <w:pageBreakBefore w:val="0"/>
        <w:kinsoku/>
        <w:wordWrap/>
        <w:overflowPunct/>
        <w:topLinePunct w:val="0"/>
        <w:bidi w:val="0"/>
        <w:spacing w:line="240" w:lineRule="auto"/>
        <w:jc w:val="center"/>
        <w:outlineLvl w:val="0"/>
        <w:rPr>
          <w:rFonts w:hint="eastAsia" w:ascii="黑体" w:eastAsia="黑体"/>
          <w:sz w:val="44"/>
          <w:szCs w:val="44"/>
        </w:rPr>
      </w:pPr>
    </w:p>
    <w:p w14:paraId="275F498E">
      <w:pPr>
        <w:pageBreakBefore w:val="0"/>
        <w:kinsoku/>
        <w:wordWrap/>
        <w:overflowPunct/>
        <w:topLinePunct w:val="0"/>
        <w:bidi w:val="0"/>
        <w:spacing w:line="240" w:lineRule="auto"/>
        <w:jc w:val="center"/>
        <w:outlineLvl w:val="0"/>
        <w:rPr>
          <w:rFonts w:hint="eastAsia" w:ascii="黑体" w:eastAsia="黑体"/>
          <w:sz w:val="44"/>
          <w:szCs w:val="44"/>
        </w:rPr>
      </w:pPr>
    </w:p>
    <w:p w14:paraId="0EAA08CA">
      <w:pPr>
        <w:pageBreakBefore w:val="0"/>
        <w:kinsoku/>
        <w:wordWrap/>
        <w:overflowPunct/>
        <w:topLinePunct w:val="0"/>
        <w:bidi w:val="0"/>
        <w:spacing w:line="240" w:lineRule="auto"/>
        <w:jc w:val="center"/>
        <w:outlineLvl w:val="0"/>
        <w:rPr>
          <w:rFonts w:hint="eastAsia" w:ascii="黑体" w:eastAsia="黑体"/>
          <w:sz w:val="44"/>
          <w:szCs w:val="44"/>
        </w:rPr>
      </w:pPr>
    </w:p>
    <w:p w14:paraId="54AD97B5">
      <w:pPr>
        <w:pageBreakBefore w:val="0"/>
        <w:kinsoku/>
        <w:wordWrap/>
        <w:overflowPunct/>
        <w:topLinePunct w:val="0"/>
        <w:bidi w:val="0"/>
        <w:spacing w:line="240" w:lineRule="auto"/>
        <w:jc w:val="center"/>
        <w:outlineLvl w:val="0"/>
        <w:rPr>
          <w:rFonts w:hint="eastAsia" w:ascii="黑体" w:eastAsia="黑体"/>
          <w:sz w:val="44"/>
          <w:szCs w:val="44"/>
        </w:rPr>
      </w:pPr>
    </w:p>
    <w:p w14:paraId="623352DB">
      <w:pPr>
        <w:pageBreakBefore w:val="0"/>
        <w:kinsoku/>
        <w:wordWrap/>
        <w:overflowPunct/>
        <w:topLinePunct w:val="0"/>
        <w:bidi w:val="0"/>
        <w:spacing w:line="240" w:lineRule="auto"/>
        <w:jc w:val="center"/>
        <w:outlineLvl w:val="0"/>
        <w:rPr>
          <w:rFonts w:hint="eastAsia" w:ascii="黑体" w:eastAsia="黑体"/>
          <w:sz w:val="44"/>
          <w:szCs w:val="44"/>
        </w:rPr>
      </w:pPr>
    </w:p>
    <w:p w14:paraId="79F237FC">
      <w:pPr>
        <w:pageBreakBefore w:val="0"/>
        <w:kinsoku/>
        <w:wordWrap/>
        <w:overflowPunct/>
        <w:topLinePunct w:val="0"/>
        <w:bidi w:val="0"/>
        <w:spacing w:line="240" w:lineRule="auto"/>
        <w:jc w:val="center"/>
        <w:outlineLvl w:val="0"/>
        <w:rPr>
          <w:rFonts w:hint="eastAsia" w:ascii="黑体" w:eastAsia="黑体"/>
          <w:sz w:val="44"/>
          <w:szCs w:val="44"/>
        </w:rPr>
      </w:pPr>
    </w:p>
    <w:p w14:paraId="3A3489BE">
      <w:pPr>
        <w:pageBreakBefore w:val="0"/>
        <w:kinsoku/>
        <w:wordWrap/>
        <w:overflowPunct/>
        <w:topLinePunct w:val="0"/>
        <w:bidi w:val="0"/>
        <w:spacing w:line="240" w:lineRule="auto"/>
        <w:jc w:val="center"/>
        <w:outlineLvl w:val="0"/>
        <w:rPr>
          <w:rFonts w:ascii="仿宋" w:eastAsia="仿宋"/>
        </w:rPr>
      </w:pPr>
      <w:r>
        <w:rPr>
          <w:rFonts w:hint="eastAsia" w:ascii="黑体" w:eastAsia="黑体"/>
          <w:sz w:val="44"/>
          <w:szCs w:val="44"/>
        </w:rPr>
        <w:t>第</w:t>
      </w:r>
      <w:r>
        <w:rPr>
          <w:rStyle w:val="20"/>
          <w:rFonts w:hint="eastAsia" w:ascii="黑体" w:eastAsia="黑体"/>
          <w:b w:val="0"/>
        </w:rPr>
        <w:t>五部分 附表</w:t>
      </w:r>
      <w:bookmarkEnd w:id="74"/>
      <w:bookmarkEnd w:id="77"/>
      <w:bookmarkEnd w:id="78"/>
      <w:bookmarkStart w:id="79" w:name="_Toc15396619"/>
    </w:p>
    <w:p w14:paraId="477BCCA2">
      <w:pPr>
        <w:pStyle w:val="4"/>
        <w:pageBreakBefore w:val="0"/>
        <w:kinsoku/>
        <w:wordWrap/>
        <w:overflowPunct/>
        <w:topLinePunct w:val="0"/>
        <w:bidi w:val="0"/>
        <w:spacing w:line="240" w:lineRule="auto"/>
        <w:rPr>
          <w:rFonts w:ascii="仿宋" w:eastAsia="仿宋"/>
        </w:rPr>
      </w:pPr>
      <w:bookmarkStart w:id="80" w:name="_Toc10494"/>
      <w:r>
        <w:rPr>
          <w:rFonts w:hint="eastAsia" w:ascii="仿宋" w:eastAsia="仿宋"/>
          <w:b w:val="0"/>
        </w:rPr>
        <w:t>一、收</w:t>
      </w:r>
      <w:r>
        <w:rPr>
          <w:rStyle w:val="21"/>
          <w:rFonts w:hint="eastAsia" w:ascii="仿宋" w:eastAsia="仿宋"/>
          <w:b w:val="0"/>
          <w:bCs w:val="0"/>
        </w:rPr>
        <w:t>入支出决算总表</w:t>
      </w:r>
      <w:bookmarkEnd w:id="79"/>
      <w:bookmarkEnd w:id="80"/>
    </w:p>
    <w:p w14:paraId="521E5312">
      <w:pPr>
        <w:pStyle w:val="4"/>
        <w:pageBreakBefore w:val="0"/>
        <w:kinsoku/>
        <w:wordWrap/>
        <w:overflowPunct/>
        <w:topLinePunct w:val="0"/>
        <w:bidi w:val="0"/>
        <w:spacing w:line="240" w:lineRule="auto"/>
        <w:rPr>
          <w:rFonts w:ascii="仿宋" w:eastAsia="仿宋"/>
        </w:rPr>
      </w:pPr>
      <w:bookmarkStart w:id="81" w:name="_Toc15396620"/>
      <w:bookmarkStart w:id="82" w:name="_Toc15730"/>
      <w:r>
        <w:rPr>
          <w:rFonts w:hint="eastAsia" w:ascii="仿宋" w:eastAsia="仿宋"/>
          <w:b w:val="0"/>
        </w:rPr>
        <w:t>二、收</w:t>
      </w:r>
      <w:r>
        <w:rPr>
          <w:rStyle w:val="21"/>
          <w:rFonts w:hint="eastAsia" w:ascii="仿宋" w:eastAsia="仿宋"/>
          <w:b w:val="0"/>
          <w:bCs w:val="0"/>
        </w:rPr>
        <w:t>入决算表</w:t>
      </w:r>
      <w:bookmarkEnd w:id="81"/>
      <w:bookmarkEnd w:id="82"/>
    </w:p>
    <w:p w14:paraId="733C8E56">
      <w:pPr>
        <w:pStyle w:val="4"/>
        <w:pageBreakBefore w:val="0"/>
        <w:kinsoku/>
        <w:wordWrap/>
        <w:overflowPunct/>
        <w:topLinePunct w:val="0"/>
        <w:bidi w:val="0"/>
        <w:spacing w:line="240" w:lineRule="auto"/>
        <w:rPr>
          <w:rFonts w:ascii="仿宋" w:eastAsia="仿宋"/>
        </w:rPr>
      </w:pPr>
      <w:bookmarkStart w:id="83" w:name="_Toc29932"/>
      <w:bookmarkStart w:id="84" w:name="_Toc15396621"/>
      <w:r>
        <w:rPr>
          <w:rStyle w:val="21"/>
          <w:rFonts w:hint="eastAsia" w:ascii="仿宋" w:eastAsia="仿宋"/>
          <w:b w:val="0"/>
          <w:bCs w:val="0"/>
        </w:rPr>
        <w:t>三、</w:t>
      </w:r>
      <w:r>
        <w:rPr>
          <w:rFonts w:hint="eastAsia" w:ascii="仿宋" w:eastAsia="仿宋"/>
          <w:b w:val="0"/>
        </w:rPr>
        <w:t>支</w:t>
      </w:r>
      <w:r>
        <w:rPr>
          <w:rStyle w:val="21"/>
          <w:rFonts w:hint="eastAsia" w:ascii="仿宋" w:eastAsia="仿宋"/>
          <w:b w:val="0"/>
          <w:bCs w:val="0"/>
        </w:rPr>
        <w:t>出决算表</w:t>
      </w:r>
      <w:bookmarkEnd w:id="83"/>
      <w:bookmarkEnd w:id="84"/>
    </w:p>
    <w:p w14:paraId="4A51E2B2">
      <w:pPr>
        <w:pStyle w:val="4"/>
        <w:pageBreakBefore w:val="0"/>
        <w:kinsoku/>
        <w:wordWrap/>
        <w:overflowPunct/>
        <w:topLinePunct w:val="0"/>
        <w:bidi w:val="0"/>
        <w:spacing w:line="240" w:lineRule="auto"/>
        <w:rPr>
          <w:rFonts w:ascii="仿宋" w:eastAsia="仿宋"/>
          <w:b w:val="0"/>
        </w:rPr>
      </w:pPr>
      <w:bookmarkStart w:id="85" w:name="_Toc31790"/>
      <w:bookmarkStart w:id="86" w:name="_Toc15396622"/>
      <w:r>
        <w:rPr>
          <w:rStyle w:val="21"/>
          <w:rFonts w:hint="eastAsia" w:ascii="仿宋" w:eastAsia="仿宋"/>
          <w:b w:val="0"/>
          <w:bCs w:val="0"/>
        </w:rPr>
        <w:t>四、</w:t>
      </w:r>
      <w:r>
        <w:rPr>
          <w:rFonts w:hint="eastAsia" w:ascii="仿宋" w:eastAsia="仿宋"/>
          <w:b w:val="0"/>
        </w:rPr>
        <w:t>财</w:t>
      </w:r>
      <w:r>
        <w:rPr>
          <w:rStyle w:val="21"/>
          <w:rFonts w:hint="eastAsia" w:ascii="仿宋" w:eastAsia="仿宋"/>
          <w:b w:val="0"/>
          <w:bCs w:val="0"/>
        </w:rPr>
        <w:t>政拨款收入支出决算总表</w:t>
      </w:r>
      <w:bookmarkEnd w:id="85"/>
      <w:bookmarkEnd w:id="86"/>
    </w:p>
    <w:p w14:paraId="2EB31B63">
      <w:pPr>
        <w:pStyle w:val="4"/>
        <w:pageBreakBefore w:val="0"/>
        <w:kinsoku/>
        <w:wordWrap/>
        <w:overflowPunct/>
        <w:topLinePunct w:val="0"/>
        <w:bidi w:val="0"/>
        <w:spacing w:line="240" w:lineRule="auto"/>
        <w:rPr>
          <w:rStyle w:val="21"/>
          <w:rFonts w:ascii="仿宋" w:eastAsia="仿宋"/>
          <w:b w:val="0"/>
          <w:bCs w:val="0"/>
        </w:rPr>
      </w:pPr>
      <w:bookmarkStart w:id="87" w:name="_Toc15396623"/>
      <w:bookmarkStart w:id="88" w:name="_Toc30920"/>
      <w:r>
        <w:rPr>
          <w:rStyle w:val="21"/>
          <w:rFonts w:hint="eastAsia" w:ascii="仿宋" w:eastAsia="仿宋"/>
          <w:b w:val="0"/>
          <w:bCs w:val="0"/>
        </w:rPr>
        <w:t>五、</w:t>
      </w:r>
      <w:r>
        <w:rPr>
          <w:rFonts w:hint="eastAsia" w:ascii="仿宋" w:eastAsia="仿宋"/>
          <w:b w:val="0"/>
        </w:rPr>
        <w:t>财</w:t>
      </w:r>
      <w:r>
        <w:rPr>
          <w:rStyle w:val="21"/>
          <w:rFonts w:hint="eastAsia" w:ascii="仿宋" w:eastAsia="仿宋"/>
          <w:b w:val="0"/>
          <w:bCs w:val="0"/>
        </w:rPr>
        <w:t>政拨款支出决算明细表</w:t>
      </w:r>
      <w:bookmarkEnd w:id="87"/>
      <w:bookmarkEnd w:id="88"/>
      <w:bookmarkStart w:id="89" w:name="_Toc15396624"/>
    </w:p>
    <w:p w14:paraId="3B01BAD5">
      <w:pPr>
        <w:pStyle w:val="4"/>
        <w:pageBreakBefore w:val="0"/>
        <w:kinsoku/>
        <w:wordWrap/>
        <w:overflowPunct/>
        <w:topLinePunct w:val="0"/>
        <w:bidi w:val="0"/>
        <w:spacing w:line="240" w:lineRule="auto"/>
        <w:rPr>
          <w:rFonts w:ascii="仿宋" w:eastAsia="仿宋"/>
        </w:rPr>
      </w:pPr>
      <w:bookmarkStart w:id="90" w:name="_Toc14731"/>
      <w:r>
        <w:rPr>
          <w:rStyle w:val="21"/>
          <w:rFonts w:hint="eastAsia" w:ascii="仿宋" w:eastAsia="仿宋"/>
          <w:b w:val="0"/>
          <w:bCs w:val="0"/>
        </w:rPr>
        <w:t>六、</w:t>
      </w:r>
      <w:r>
        <w:rPr>
          <w:rFonts w:hint="eastAsia" w:ascii="仿宋" w:eastAsia="仿宋"/>
          <w:b w:val="0"/>
        </w:rPr>
        <w:t>一</w:t>
      </w:r>
      <w:r>
        <w:rPr>
          <w:rStyle w:val="21"/>
          <w:rFonts w:hint="eastAsia" w:ascii="仿宋" w:eastAsia="仿宋"/>
          <w:b w:val="0"/>
          <w:bCs w:val="0"/>
        </w:rPr>
        <w:t>般公共预算财政拨款支出决算表</w:t>
      </w:r>
      <w:bookmarkEnd w:id="89"/>
      <w:bookmarkEnd w:id="90"/>
    </w:p>
    <w:p w14:paraId="65753B01">
      <w:pPr>
        <w:pStyle w:val="4"/>
        <w:pageBreakBefore w:val="0"/>
        <w:kinsoku/>
        <w:wordWrap/>
        <w:overflowPunct/>
        <w:topLinePunct w:val="0"/>
        <w:bidi w:val="0"/>
        <w:spacing w:line="240" w:lineRule="auto"/>
        <w:rPr>
          <w:rFonts w:ascii="仿宋" w:eastAsia="仿宋"/>
        </w:rPr>
      </w:pPr>
      <w:bookmarkStart w:id="91" w:name="_Toc19072"/>
      <w:bookmarkStart w:id="92" w:name="_Toc15396625"/>
      <w:r>
        <w:rPr>
          <w:rStyle w:val="21"/>
          <w:rFonts w:hint="eastAsia" w:ascii="仿宋" w:eastAsia="仿宋"/>
          <w:b w:val="0"/>
          <w:bCs w:val="0"/>
        </w:rPr>
        <w:t>七、</w:t>
      </w:r>
      <w:r>
        <w:rPr>
          <w:rFonts w:hint="eastAsia" w:ascii="仿宋" w:eastAsia="仿宋"/>
          <w:b w:val="0"/>
        </w:rPr>
        <w:t>一</w:t>
      </w:r>
      <w:r>
        <w:rPr>
          <w:rStyle w:val="21"/>
          <w:rFonts w:hint="eastAsia" w:ascii="仿宋" w:eastAsia="仿宋"/>
          <w:b w:val="0"/>
          <w:bCs w:val="0"/>
        </w:rPr>
        <w:t>般公共预算财政拨款支出决算明细表</w:t>
      </w:r>
      <w:bookmarkEnd w:id="91"/>
      <w:bookmarkEnd w:id="92"/>
    </w:p>
    <w:p w14:paraId="7BAC7739">
      <w:pPr>
        <w:pStyle w:val="4"/>
        <w:pageBreakBefore w:val="0"/>
        <w:kinsoku/>
        <w:wordWrap/>
        <w:overflowPunct/>
        <w:topLinePunct w:val="0"/>
        <w:bidi w:val="0"/>
        <w:spacing w:line="240" w:lineRule="auto"/>
        <w:rPr>
          <w:rFonts w:ascii="仿宋" w:eastAsia="仿宋"/>
        </w:rPr>
      </w:pPr>
      <w:bookmarkStart w:id="93" w:name="_Toc15396626"/>
      <w:bookmarkStart w:id="94" w:name="_Toc31002"/>
      <w:r>
        <w:rPr>
          <w:rStyle w:val="21"/>
          <w:rFonts w:hint="eastAsia" w:ascii="仿宋" w:eastAsia="仿宋"/>
          <w:b w:val="0"/>
          <w:bCs w:val="0"/>
        </w:rPr>
        <w:t>八、</w:t>
      </w:r>
      <w:r>
        <w:rPr>
          <w:rFonts w:hint="eastAsia" w:ascii="仿宋" w:eastAsia="仿宋"/>
          <w:b w:val="0"/>
        </w:rPr>
        <w:t>一</w:t>
      </w:r>
      <w:r>
        <w:rPr>
          <w:rStyle w:val="21"/>
          <w:rFonts w:hint="eastAsia" w:ascii="仿宋" w:eastAsia="仿宋"/>
          <w:b w:val="0"/>
          <w:bCs w:val="0"/>
        </w:rPr>
        <w:t>般公共预算财政拨款基本支出决算表</w:t>
      </w:r>
      <w:bookmarkEnd w:id="93"/>
      <w:bookmarkEnd w:id="94"/>
    </w:p>
    <w:p w14:paraId="62970FDA">
      <w:pPr>
        <w:pStyle w:val="4"/>
        <w:pageBreakBefore w:val="0"/>
        <w:kinsoku/>
        <w:wordWrap/>
        <w:overflowPunct/>
        <w:topLinePunct w:val="0"/>
        <w:bidi w:val="0"/>
        <w:spacing w:line="240" w:lineRule="auto"/>
        <w:rPr>
          <w:rFonts w:ascii="仿宋" w:eastAsia="仿宋"/>
        </w:rPr>
      </w:pPr>
      <w:bookmarkStart w:id="95" w:name="_Toc15396627"/>
      <w:bookmarkStart w:id="96" w:name="_Toc30545"/>
      <w:r>
        <w:rPr>
          <w:rStyle w:val="21"/>
          <w:rFonts w:hint="eastAsia" w:ascii="仿宋" w:eastAsia="仿宋"/>
          <w:b w:val="0"/>
          <w:bCs w:val="0"/>
        </w:rPr>
        <w:t>九、</w:t>
      </w:r>
      <w:r>
        <w:rPr>
          <w:rFonts w:hint="eastAsia" w:ascii="仿宋" w:eastAsia="仿宋"/>
          <w:b w:val="0"/>
        </w:rPr>
        <w:t>一</w:t>
      </w:r>
      <w:r>
        <w:rPr>
          <w:rStyle w:val="21"/>
          <w:rFonts w:hint="eastAsia" w:ascii="仿宋" w:eastAsia="仿宋"/>
          <w:b w:val="0"/>
          <w:bCs w:val="0"/>
        </w:rPr>
        <w:t>般公共预算财政拨款项目支出决算表</w:t>
      </w:r>
      <w:bookmarkEnd w:id="95"/>
      <w:bookmarkEnd w:id="96"/>
    </w:p>
    <w:p w14:paraId="071444B3">
      <w:pPr>
        <w:pStyle w:val="4"/>
        <w:pageBreakBefore w:val="0"/>
        <w:kinsoku/>
        <w:wordWrap/>
        <w:overflowPunct/>
        <w:topLinePunct w:val="0"/>
        <w:bidi w:val="0"/>
        <w:spacing w:line="240" w:lineRule="auto"/>
        <w:rPr>
          <w:rFonts w:ascii="仿宋" w:eastAsia="仿宋"/>
        </w:rPr>
      </w:pPr>
      <w:bookmarkStart w:id="97" w:name="_Toc15396628"/>
      <w:bookmarkStart w:id="98" w:name="_Toc4939"/>
      <w:r>
        <w:rPr>
          <w:rStyle w:val="21"/>
          <w:rFonts w:hint="eastAsia" w:ascii="仿宋" w:eastAsia="仿宋"/>
          <w:b w:val="0"/>
          <w:bCs w:val="0"/>
        </w:rPr>
        <w:t>十、</w:t>
      </w:r>
      <w:r>
        <w:rPr>
          <w:rFonts w:hint="eastAsia" w:ascii="仿宋" w:eastAsia="仿宋"/>
          <w:b w:val="0"/>
        </w:rPr>
        <w:t>一</w:t>
      </w:r>
      <w:r>
        <w:rPr>
          <w:rStyle w:val="21"/>
          <w:rFonts w:hint="eastAsia" w:ascii="仿宋" w:eastAsia="仿宋"/>
          <w:b w:val="0"/>
          <w:bCs w:val="0"/>
        </w:rPr>
        <w:t>般公共预算财政拨款“三公”经费支出决算表</w:t>
      </w:r>
      <w:bookmarkEnd w:id="97"/>
      <w:bookmarkEnd w:id="98"/>
    </w:p>
    <w:p w14:paraId="04A939FE">
      <w:pPr>
        <w:pStyle w:val="4"/>
        <w:pageBreakBefore w:val="0"/>
        <w:kinsoku/>
        <w:wordWrap/>
        <w:overflowPunct/>
        <w:topLinePunct w:val="0"/>
        <w:bidi w:val="0"/>
        <w:spacing w:line="240" w:lineRule="auto"/>
        <w:rPr>
          <w:rFonts w:ascii="仿宋" w:eastAsia="仿宋"/>
        </w:rPr>
      </w:pPr>
      <w:bookmarkStart w:id="99" w:name="_Toc15396629"/>
      <w:bookmarkStart w:id="100" w:name="_Toc7534"/>
      <w:r>
        <w:rPr>
          <w:rStyle w:val="21"/>
          <w:rFonts w:hint="eastAsia" w:ascii="仿宋" w:eastAsia="仿宋"/>
          <w:b w:val="0"/>
          <w:bCs w:val="0"/>
        </w:rPr>
        <w:t>十一、</w:t>
      </w:r>
      <w:r>
        <w:rPr>
          <w:rFonts w:hint="eastAsia" w:ascii="仿宋" w:eastAsia="仿宋"/>
          <w:b w:val="0"/>
        </w:rPr>
        <w:t>政</w:t>
      </w:r>
      <w:r>
        <w:rPr>
          <w:rStyle w:val="21"/>
          <w:rFonts w:hint="eastAsia" w:ascii="仿宋" w:eastAsia="仿宋"/>
          <w:b w:val="0"/>
          <w:bCs w:val="0"/>
        </w:rPr>
        <w:t>府性基金预算财政拨款收入支出决算表</w:t>
      </w:r>
      <w:bookmarkEnd w:id="99"/>
      <w:bookmarkEnd w:id="100"/>
    </w:p>
    <w:p w14:paraId="2E55A6A6">
      <w:pPr>
        <w:pStyle w:val="4"/>
        <w:pageBreakBefore w:val="0"/>
        <w:kinsoku/>
        <w:wordWrap/>
        <w:overflowPunct/>
        <w:topLinePunct w:val="0"/>
        <w:bidi w:val="0"/>
        <w:spacing w:line="240" w:lineRule="auto"/>
        <w:rPr>
          <w:rFonts w:ascii="仿宋" w:eastAsia="仿宋"/>
        </w:rPr>
      </w:pPr>
      <w:bookmarkStart w:id="101" w:name="_Toc16130"/>
      <w:bookmarkStart w:id="102" w:name="_Toc15396630"/>
      <w:r>
        <w:rPr>
          <w:rStyle w:val="21"/>
          <w:rFonts w:hint="eastAsia" w:ascii="仿宋" w:eastAsia="仿宋"/>
          <w:b w:val="0"/>
          <w:bCs w:val="0"/>
        </w:rPr>
        <w:t>十二、</w:t>
      </w:r>
      <w:r>
        <w:rPr>
          <w:rFonts w:hint="eastAsia" w:ascii="仿宋" w:eastAsia="仿宋"/>
          <w:b w:val="0"/>
        </w:rPr>
        <w:t>政</w:t>
      </w:r>
      <w:r>
        <w:rPr>
          <w:rStyle w:val="21"/>
          <w:rFonts w:hint="eastAsia" w:ascii="仿宋" w:eastAsia="仿宋"/>
          <w:b w:val="0"/>
          <w:bCs w:val="0"/>
        </w:rPr>
        <w:t>府性基金预算财政拨款“三公”经费支出决算表</w:t>
      </w:r>
      <w:bookmarkEnd w:id="101"/>
      <w:bookmarkEnd w:id="102"/>
    </w:p>
    <w:p w14:paraId="196A3FC4">
      <w:pPr>
        <w:pStyle w:val="4"/>
        <w:pageBreakBefore w:val="0"/>
        <w:kinsoku/>
        <w:wordWrap/>
        <w:overflowPunct/>
        <w:topLinePunct w:val="0"/>
        <w:bidi w:val="0"/>
        <w:spacing w:line="240" w:lineRule="auto"/>
        <w:rPr>
          <w:rStyle w:val="21"/>
          <w:rFonts w:ascii="仿宋" w:eastAsia="仿宋"/>
          <w:b w:val="0"/>
          <w:bCs w:val="0"/>
        </w:rPr>
      </w:pPr>
      <w:bookmarkStart w:id="103" w:name="_Toc15396631"/>
      <w:bookmarkStart w:id="104" w:name="_Toc19390"/>
      <w:r>
        <w:rPr>
          <w:rStyle w:val="21"/>
          <w:rFonts w:hint="eastAsia" w:ascii="仿宋" w:eastAsia="仿宋"/>
          <w:b w:val="0"/>
          <w:bCs w:val="0"/>
        </w:rPr>
        <w:t>十三、</w:t>
      </w:r>
      <w:r>
        <w:rPr>
          <w:rFonts w:hint="eastAsia" w:ascii="仿宋" w:eastAsia="仿宋"/>
          <w:b w:val="0"/>
        </w:rPr>
        <w:t>国</w:t>
      </w:r>
      <w:r>
        <w:rPr>
          <w:rStyle w:val="21"/>
          <w:rFonts w:hint="eastAsia" w:ascii="仿宋" w:eastAsia="仿宋"/>
          <w:b w:val="0"/>
          <w:bCs w:val="0"/>
        </w:rPr>
        <w:t>有资本经营预算财政拨款收入支出决算表</w:t>
      </w:r>
      <w:bookmarkEnd w:id="103"/>
      <w:bookmarkEnd w:id="104"/>
    </w:p>
    <w:p w14:paraId="55466A4F">
      <w:pPr>
        <w:pageBreakBefore w:val="0"/>
        <w:kinsoku/>
        <w:wordWrap/>
        <w:overflowPunct/>
        <w:topLinePunct w:val="0"/>
        <w:bidi w:val="0"/>
        <w:spacing w:line="240" w:lineRule="auto"/>
        <w:rPr>
          <w:rFonts w:eastAsia="仿宋"/>
        </w:rPr>
      </w:pPr>
      <w:bookmarkStart w:id="105" w:name="_Toc31956"/>
      <w:r>
        <w:rPr>
          <w:rStyle w:val="21"/>
          <w:rFonts w:hint="eastAsia" w:ascii="仿宋" w:eastAsia="仿宋"/>
          <w:b w:val="0"/>
          <w:bCs w:val="0"/>
        </w:rPr>
        <w:t>十四、国有资本经营预算财政拨款支出决算表</w:t>
      </w:r>
      <w:bookmarkEnd w:id="105"/>
    </w:p>
    <w:sectPr>
      <w:headerReference r:id="rId3" w:type="default"/>
      <w:footerReference r:id="rId4" w:type="default"/>
      <w:pgSz w:w="11906" w:h="16838"/>
      <w:pgMar w:top="1440" w:right="1800" w:bottom="1440" w:left="1800" w:header="851" w:footer="992" w:gutter="0"/>
      <w:pgNumType w:start="1"/>
      <w:cols w:space="720" w:num="1"/>
      <w:titlePg/>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panose1 w:val="02010609030101010101"/>
    <w:charset w:val="86"/>
    <w:family w:val="modern"/>
    <w:pitch w:val="default"/>
    <w:sig w:usb0="00000001" w:usb1="080E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方正小标宋简体">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AE7A53A">
    <w:pPr>
      <w:pStyle w:val="11"/>
      <w:jc w:val="center"/>
    </w:pPr>
    <w:r>
      <w:fldChar w:fldCharType="begin"/>
    </w:r>
    <w:r>
      <w:instrText xml:space="preserve">PAGE   \* MERGEFORMAT</w:instrText>
    </w:r>
    <w:r>
      <w:fldChar w:fldCharType="separate"/>
    </w:r>
    <w:r>
      <w:rPr>
        <w:lang w:val="zh-CN"/>
      </w:rPr>
      <w:t>17</w:t>
    </w:r>
    <w:r>
      <w:fldChar w:fldCharType="end"/>
    </w:r>
  </w:p>
  <w:p w14:paraId="24A6714E">
    <w:pPr>
      <w:pStyle w:val="11"/>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DCFD67">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9A07B85"/>
    <w:multiLevelType w:val="singleLevel"/>
    <w:tmpl w:val="A9A07B85"/>
    <w:lvl w:ilvl="0" w:tentative="0">
      <w:start w:val="1"/>
      <w:numFmt w:val="chineseCounting"/>
      <w:suff w:val="nothing"/>
      <w:lvlText w:val="%1、"/>
      <w:lvlJc w:val="left"/>
      <w:rPr>
        <w:rFonts w:hint="eastAsia"/>
      </w:rPr>
    </w:lvl>
  </w:abstractNum>
  <w:abstractNum w:abstractNumId="1">
    <w:nsid w:val="CF652CEC"/>
    <w:multiLevelType w:val="singleLevel"/>
    <w:tmpl w:val="CF652CEC"/>
    <w:lvl w:ilvl="0" w:tentative="0">
      <w:start w:val="9"/>
      <w:numFmt w:val="chineseCounting"/>
      <w:suff w:val="nothing"/>
      <w:lvlText w:val="%1、"/>
      <w:lvlJc w:val="left"/>
      <w:pPr>
        <w:ind w:left="0" w:firstLine="0"/>
      </w:pPr>
      <w:rPr>
        <w:rFonts w:hint="eastAsia"/>
      </w:rPr>
    </w:lvl>
  </w:abstractNum>
  <w:abstractNum w:abstractNumId="2">
    <w:nsid w:val="E2FA047D"/>
    <w:multiLevelType w:val="singleLevel"/>
    <w:tmpl w:val="E2FA047D"/>
    <w:lvl w:ilvl="0" w:tentative="0">
      <w:start w:val="3"/>
      <w:numFmt w:val="chineseCounting"/>
      <w:suff w:val="space"/>
      <w:lvlText w:val="第%1部分"/>
      <w:lvlJc w:val="left"/>
      <w:pPr>
        <w:ind w:left="0" w:firstLine="0"/>
      </w:pPr>
      <w:rPr>
        <w:rFonts w:hint="eastAsia" w:ascii="黑体" w:hAnsi="黑体" w:eastAsia="黑体" w:cs="黑体"/>
        <w:sz w:val="44"/>
        <w:szCs w:val="44"/>
      </w:rPr>
    </w:lvl>
  </w:abstractNum>
  <w:abstractNum w:abstractNumId="3">
    <w:nsid w:val="1272550B"/>
    <w:multiLevelType w:val="multilevel"/>
    <w:tmpl w:val="1272550B"/>
    <w:lvl w:ilvl="0" w:tentative="0">
      <w:start w:val="1"/>
      <w:numFmt w:val="japaneseCounting"/>
      <w:lvlText w:val="%1、"/>
      <w:lvlJc w:val="left"/>
      <w:pPr>
        <w:ind w:left="1360" w:hanging="720"/>
      </w:pPr>
      <w:rPr>
        <w:rFonts w:hint="default"/>
        <w:b w:val="0"/>
      </w:rPr>
    </w:lvl>
    <w:lvl w:ilvl="1" w:tentative="0">
      <w:start w:val="1"/>
      <w:numFmt w:val="lowerLetter"/>
      <w:lvlText w:val="%2)"/>
      <w:lvlJc w:val="left"/>
      <w:pPr>
        <w:ind w:left="1480" w:hanging="420"/>
      </w:pPr>
    </w:lvl>
    <w:lvl w:ilvl="2" w:tentative="0">
      <w:start w:val="1"/>
      <w:numFmt w:val="lowerRoman"/>
      <w:lvlText w:val="%3."/>
      <w:lvlJc w:val="right"/>
      <w:pPr>
        <w:ind w:left="1900" w:hanging="420"/>
      </w:pPr>
    </w:lvl>
    <w:lvl w:ilvl="3" w:tentative="0">
      <w:start w:val="1"/>
      <w:numFmt w:val="decimal"/>
      <w:lvlText w:val="%4."/>
      <w:lvlJc w:val="left"/>
      <w:pPr>
        <w:ind w:left="2320" w:hanging="420"/>
      </w:pPr>
    </w:lvl>
    <w:lvl w:ilvl="4" w:tentative="0">
      <w:start w:val="1"/>
      <w:numFmt w:val="lowerLetter"/>
      <w:lvlText w:val="%5)"/>
      <w:lvlJc w:val="left"/>
      <w:pPr>
        <w:ind w:left="2740" w:hanging="420"/>
      </w:pPr>
    </w:lvl>
    <w:lvl w:ilvl="5" w:tentative="0">
      <w:start w:val="1"/>
      <w:numFmt w:val="lowerRoman"/>
      <w:lvlText w:val="%6."/>
      <w:lvlJc w:val="right"/>
      <w:pPr>
        <w:ind w:left="3160" w:hanging="420"/>
      </w:pPr>
    </w:lvl>
    <w:lvl w:ilvl="6" w:tentative="0">
      <w:start w:val="1"/>
      <w:numFmt w:val="decimal"/>
      <w:lvlText w:val="%7."/>
      <w:lvlJc w:val="left"/>
      <w:pPr>
        <w:ind w:left="3580" w:hanging="420"/>
      </w:pPr>
    </w:lvl>
    <w:lvl w:ilvl="7" w:tentative="0">
      <w:start w:val="1"/>
      <w:numFmt w:val="lowerLetter"/>
      <w:lvlText w:val="%8)"/>
      <w:lvlJc w:val="left"/>
      <w:pPr>
        <w:ind w:left="4000" w:hanging="420"/>
      </w:pPr>
    </w:lvl>
    <w:lvl w:ilvl="8" w:tentative="0">
      <w:start w:val="1"/>
      <w:numFmt w:val="lowerRoman"/>
      <w:lvlText w:val="%9."/>
      <w:lvlJc w:val="right"/>
      <w:pPr>
        <w:ind w:left="4420" w:hanging="420"/>
      </w:p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documentProtection w:edit="readOnly" w:enforcement="0"/>
  <w:defaultTabStop w:val="420"/>
  <w:hyphenationZone w:val="36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QwYWEzYzI5NTllYjAyMTNiNjQ3ZWNkNWQ5Zjg0MWMifQ=="/>
  </w:docVars>
  <w:rsids>
    <w:rsidRoot w:val="008C6A67"/>
    <w:rsid w:val="000420BF"/>
    <w:rsid w:val="00190606"/>
    <w:rsid w:val="004F482C"/>
    <w:rsid w:val="008C6A67"/>
    <w:rsid w:val="008C7398"/>
    <w:rsid w:val="00A87252"/>
    <w:rsid w:val="00D270EF"/>
    <w:rsid w:val="00DD5748"/>
    <w:rsid w:val="00E32D5A"/>
    <w:rsid w:val="01553334"/>
    <w:rsid w:val="01802811"/>
    <w:rsid w:val="0256755B"/>
    <w:rsid w:val="041534AD"/>
    <w:rsid w:val="047C599F"/>
    <w:rsid w:val="04CA0275"/>
    <w:rsid w:val="05017C52"/>
    <w:rsid w:val="051F632A"/>
    <w:rsid w:val="053E0EA6"/>
    <w:rsid w:val="05947C79"/>
    <w:rsid w:val="05B66C8F"/>
    <w:rsid w:val="05BB6053"/>
    <w:rsid w:val="064E3C78"/>
    <w:rsid w:val="06532730"/>
    <w:rsid w:val="065338B0"/>
    <w:rsid w:val="06CC2B97"/>
    <w:rsid w:val="075E313A"/>
    <w:rsid w:val="07935F9B"/>
    <w:rsid w:val="07A34FF1"/>
    <w:rsid w:val="081E5E8C"/>
    <w:rsid w:val="08670714"/>
    <w:rsid w:val="096D1D5A"/>
    <w:rsid w:val="09AA6B0A"/>
    <w:rsid w:val="09AB746B"/>
    <w:rsid w:val="09B24246"/>
    <w:rsid w:val="0A2F0DBE"/>
    <w:rsid w:val="0AF0679F"/>
    <w:rsid w:val="0B200132"/>
    <w:rsid w:val="0B293A5F"/>
    <w:rsid w:val="0B947D13"/>
    <w:rsid w:val="0C2F779B"/>
    <w:rsid w:val="0C8C699B"/>
    <w:rsid w:val="0CDA7CB4"/>
    <w:rsid w:val="0D2C7836"/>
    <w:rsid w:val="0D3816F5"/>
    <w:rsid w:val="0D464D9C"/>
    <w:rsid w:val="0D7F3BC3"/>
    <w:rsid w:val="0DBF68FD"/>
    <w:rsid w:val="0DF20370"/>
    <w:rsid w:val="0E9E29B6"/>
    <w:rsid w:val="0E9E6512"/>
    <w:rsid w:val="0EA31D7A"/>
    <w:rsid w:val="0F3C1CFE"/>
    <w:rsid w:val="0FCC70AF"/>
    <w:rsid w:val="0FFD7DA5"/>
    <w:rsid w:val="100A5B1A"/>
    <w:rsid w:val="10196798"/>
    <w:rsid w:val="102D0139"/>
    <w:rsid w:val="108D2A4C"/>
    <w:rsid w:val="10DE353E"/>
    <w:rsid w:val="110D13B1"/>
    <w:rsid w:val="122A23F0"/>
    <w:rsid w:val="12C3582F"/>
    <w:rsid w:val="131821D8"/>
    <w:rsid w:val="137D5290"/>
    <w:rsid w:val="13E26EA1"/>
    <w:rsid w:val="140371A0"/>
    <w:rsid w:val="14432035"/>
    <w:rsid w:val="145004CF"/>
    <w:rsid w:val="14B20F69"/>
    <w:rsid w:val="14EB1A29"/>
    <w:rsid w:val="15510782"/>
    <w:rsid w:val="1565422D"/>
    <w:rsid w:val="162B4D52"/>
    <w:rsid w:val="16A11295"/>
    <w:rsid w:val="16D5325A"/>
    <w:rsid w:val="172D48D7"/>
    <w:rsid w:val="175355D1"/>
    <w:rsid w:val="19B80DD0"/>
    <w:rsid w:val="1A7F5449"/>
    <w:rsid w:val="1AA56D4E"/>
    <w:rsid w:val="1B1069E9"/>
    <w:rsid w:val="1B1F09DB"/>
    <w:rsid w:val="1B285AE1"/>
    <w:rsid w:val="1BC53330"/>
    <w:rsid w:val="1BCB46BE"/>
    <w:rsid w:val="1BD25A4D"/>
    <w:rsid w:val="1BDB6FF7"/>
    <w:rsid w:val="1C8A6328"/>
    <w:rsid w:val="1CAD0994"/>
    <w:rsid w:val="1D4806BC"/>
    <w:rsid w:val="1D5030CD"/>
    <w:rsid w:val="1E042157"/>
    <w:rsid w:val="1E357A05"/>
    <w:rsid w:val="1F202FF0"/>
    <w:rsid w:val="200C59D1"/>
    <w:rsid w:val="201725C8"/>
    <w:rsid w:val="205921D7"/>
    <w:rsid w:val="20803CC9"/>
    <w:rsid w:val="20C165EF"/>
    <w:rsid w:val="20EC5803"/>
    <w:rsid w:val="20F841A8"/>
    <w:rsid w:val="21792B89"/>
    <w:rsid w:val="217B610C"/>
    <w:rsid w:val="21DA4716"/>
    <w:rsid w:val="21EA18AD"/>
    <w:rsid w:val="22F56BF1"/>
    <w:rsid w:val="23947CBC"/>
    <w:rsid w:val="23BC326A"/>
    <w:rsid w:val="23DD1433"/>
    <w:rsid w:val="241661CD"/>
    <w:rsid w:val="24343749"/>
    <w:rsid w:val="24404E85"/>
    <w:rsid w:val="248B67B4"/>
    <w:rsid w:val="24AA38A8"/>
    <w:rsid w:val="24C0764C"/>
    <w:rsid w:val="24DF6C29"/>
    <w:rsid w:val="252D4FBC"/>
    <w:rsid w:val="252E1F46"/>
    <w:rsid w:val="25813496"/>
    <w:rsid w:val="258204E4"/>
    <w:rsid w:val="25861B66"/>
    <w:rsid w:val="268E5E3D"/>
    <w:rsid w:val="26FF4AE5"/>
    <w:rsid w:val="27723D21"/>
    <w:rsid w:val="277B343D"/>
    <w:rsid w:val="278C06A4"/>
    <w:rsid w:val="27AC6781"/>
    <w:rsid w:val="27F54F9D"/>
    <w:rsid w:val="281F6039"/>
    <w:rsid w:val="28F416F8"/>
    <w:rsid w:val="28F65471"/>
    <w:rsid w:val="29E96D83"/>
    <w:rsid w:val="2A41271B"/>
    <w:rsid w:val="2A5F7045"/>
    <w:rsid w:val="2A9D0C3C"/>
    <w:rsid w:val="2B30421D"/>
    <w:rsid w:val="2B6B0546"/>
    <w:rsid w:val="2B9920E3"/>
    <w:rsid w:val="2BB02055"/>
    <w:rsid w:val="2BC730F4"/>
    <w:rsid w:val="2C106849"/>
    <w:rsid w:val="2C5D1AF0"/>
    <w:rsid w:val="2C9805ED"/>
    <w:rsid w:val="2D481DCB"/>
    <w:rsid w:val="2D584392"/>
    <w:rsid w:val="2D8363D0"/>
    <w:rsid w:val="2E100266"/>
    <w:rsid w:val="2E2A29B7"/>
    <w:rsid w:val="2E310CF9"/>
    <w:rsid w:val="2E7F7CB6"/>
    <w:rsid w:val="2E860788"/>
    <w:rsid w:val="2E982B26"/>
    <w:rsid w:val="2EF04710"/>
    <w:rsid w:val="30456417"/>
    <w:rsid w:val="304E5B92"/>
    <w:rsid w:val="3050460D"/>
    <w:rsid w:val="30A25EDE"/>
    <w:rsid w:val="313E79B5"/>
    <w:rsid w:val="319E7BAE"/>
    <w:rsid w:val="322E543B"/>
    <w:rsid w:val="329A50BF"/>
    <w:rsid w:val="329D4BAF"/>
    <w:rsid w:val="32EA3BB0"/>
    <w:rsid w:val="34C71A6F"/>
    <w:rsid w:val="351078BA"/>
    <w:rsid w:val="3511718E"/>
    <w:rsid w:val="35230286"/>
    <w:rsid w:val="35EA0FD5"/>
    <w:rsid w:val="360A6B9A"/>
    <w:rsid w:val="36363350"/>
    <w:rsid w:val="36C070BE"/>
    <w:rsid w:val="36E56B24"/>
    <w:rsid w:val="37133692"/>
    <w:rsid w:val="371D1589"/>
    <w:rsid w:val="372633C5"/>
    <w:rsid w:val="373D2C45"/>
    <w:rsid w:val="37D83F93"/>
    <w:rsid w:val="387939C8"/>
    <w:rsid w:val="38D3500A"/>
    <w:rsid w:val="393671C3"/>
    <w:rsid w:val="3A1A4D37"/>
    <w:rsid w:val="3A3E4582"/>
    <w:rsid w:val="3B523CAD"/>
    <w:rsid w:val="3BC92571"/>
    <w:rsid w:val="3BDD7DCA"/>
    <w:rsid w:val="3BE455FD"/>
    <w:rsid w:val="3C051B27"/>
    <w:rsid w:val="3C97266F"/>
    <w:rsid w:val="3CAC2C97"/>
    <w:rsid w:val="3CB04C94"/>
    <w:rsid w:val="3CC2593E"/>
    <w:rsid w:val="3DA52B6A"/>
    <w:rsid w:val="3E1F0B6E"/>
    <w:rsid w:val="3E4405D4"/>
    <w:rsid w:val="3EDA6843"/>
    <w:rsid w:val="3F116709"/>
    <w:rsid w:val="3F1F5DA0"/>
    <w:rsid w:val="3F3C78B5"/>
    <w:rsid w:val="3F3D7BE8"/>
    <w:rsid w:val="3F692A15"/>
    <w:rsid w:val="3F9B4224"/>
    <w:rsid w:val="3FCE0156"/>
    <w:rsid w:val="404228F2"/>
    <w:rsid w:val="412047DA"/>
    <w:rsid w:val="41807B75"/>
    <w:rsid w:val="4185309F"/>
    <w:rsid w:val="41A82C28"/>
    <w:rsid w:val="42093C6B"/>
    <w:rsid w:val="424741EF"/>
    <w:rsid w:val="428D254A"/>
    <w:rsid w:val="42D812EB"/>
    <w:rsid w:val="42DA60A2"/>
    <w:rsid w:val="431C1B20"/>
    <w:rsid w:val="431E31A2"/>
    <w:rsid w:val="432E32DF"/>
    <w:rsid w:val="43AD1D66"/>
    <w:rsid w:val="449F6696"/>
    <w:rsid w:val="45905EAD"/>
    <w:rsid w:val="45CA13BF"/>
    <w:rsid w:val="45F60406"/>
    <w:rsid w:val="461A4B16"/>
    <w:rsid w:val="466E0628"/>
    <w:rsid w:val="46801C9C"/>
    <w:rsid w:val="46CC1167"/>
    <w:rsid w:val="46DB2F1F"/>
    <w:rsid w:val="47017063"/>
    <w:rsid w:val="481700D5"/>
    <w:rsid w:val="491A08B0"/>
    <w:rsid w:val="496A3433"/>
    <w:rsid w:val="499E328F"/>
    <w:rsid w:val="4A5E2A1E"/>
    <w:rsid w:val="4A8F0E29"/>
    <w:rsid w:val="4AA444DD"/>
    <w:rsid w:val="4BDA3277"/>
    <w:rsid w:val="4BFC24EE"/>
    <w:rsid w:val="4CAC5CC3"/>
    <w:rsid w:val="4CC529EA"/>
    <w:rsid w:val="4CC90623"/>
    <w:rsid w:val="4CD86AB8"/>
    <w:rsid w:val="4E4361B3"/>
    <w:rsid w:val="4E5D35AC"/>
    <w:rsid w:val="4EB97668"/>
    <w:rsid w:val="51654692"/>
    <w:rsid w:val="516A1CA8"/>
    <w:rsid w:val="51850890"/>
    <w:rsid w:val="51883FCB"/>
    <w:rsid w:val="52AD0048"/>
    <w:rsid w:val="52CD0741"/>
    <w:rsid w:val="535913BF"/>
    <w:rsid w:val="53C733E2"/>
    <w:rsid w:val="53CC27A6"/>
    <w:rsid w:val="54210D44"/>
    <w:rsid w:val="5425781E"/>
    <w:rsid w:val="549C486F"/>
    <w:rsid w:val="54BA080E"/>
    <w:rsid w:val="551B611D"/>
    <w:rsid w:val="554E3DBB"/>
    <w:rsid w:val="55794BB0"/>
    <w:rsid w:val="55E22755"/>
    <w:rsid w:val="56197D89"/>
    <w:rsid w:val="56332FB1"/>
    <w:rsid w:val="56881C22"/>
    <w:rsid w:val="579E601C"/>
    <w:rsid w:val="58516BDE"/>
    <w:rsid w:val="58823544"/>
    <w:rsid w:val="58B959EF"/>
    <w:rsid w:val="594828CF"/>
    <w:rsid w:val="59AF2EAE"/>
    <w:rsid w:val="59DB7BE7"/>
    <w:rsid w:val="59E00D5A"/>
    <w:rsid w:val="59E051FD"/>
    <w:rsid w:val="5A2971D5"/>
    <w:rsid w:val="5B6B4F9B"/>
    <w:rsid w:val="5C3E1A6D"/>
    <w:rsid w:val="5C6739B4"/>
    <w:rsid w:val="5CA37ECD"/>
    <w:rsid w:val="5CA52605"/>
    <w:rsid w:val="5CDB3A5A"/>
    <w:rsid w:val="5CDC6150"/>
    <w:rsid w:val="5E14191A"/>
    <w:rsid w:val="5EE80859"/>
    <w:rsid w:val="5F353660"/>
    <w:rsid w:val="5F683CCB"/>
    <w:rsid w:val="605A6759"/>
    <w:rsid w:val="60F76287"/>
    <w:rsid w:val="625B1405"/>
    <w:rsid w:val="625D4D8C"/>
    <w:rsid w:val="62970423"/>
    <w:rsid w:val="63161C90"/>
    <w:rsid w:val="632162B1"/>
    <w:rsid w:val="63242A40"/>
    <w:rsid w:val="63D5361B"/>
    <w:rsid w:val="64191A38"/>
    <w:rsid w:val="64220C2D"/>
    <w:rsid w:val="64591E34"/>
    <w:rsid w:val="64664551"/>
    <w:rsid w:val="647E7AED"/>
    <w:rsid w:val="649C61C5"/>
    <w:rsid w:val="64AA2690"/>
    <w:rsid w:val="64FA7A7E"/>
    <w:rsid w:val="651641C9"/>
    <w:rsid w:val="66417024"/>
    <w:rsid w:val="66601B65"/>
    <w:rsid w:val="66C13CC1"/>
    <w:rsid w:val="66ED4AB6"/>
    <w:rsid w:val="68424519"/>
    <w:rsid w:val="685F19E3"/>
    <w:rsid w:val="68C11A93"/>
    <w:rsid w:val="68F77E6E"/>
    <w:rsid w:val="68FC644B"/>
    <w:rsid w:val="69A15FF7"/>
    <w:rsid w:val="6AFF4CEF"/>
    <w:rsid w:val="6AFF5C1B"/>
    <w:rsid w:val="6C8A1C94"/>
    <w:rsid w:val="6DE309C1"/>
    <w:rsid w:val="6E675A4C"/>
    <w:rsid w:val="6EEE3AC1"/>
    <w:rsid w:val="6F9401C4"/>
    <w:rsid w:val="6FDB386D"/>
    <w:rsid w:val="70D32F6E"/>
    <w:rsid w:val="713F6856"/>
    <w:rsid w:val="71526589"/>
    <w:rsid w:val="71777D9E"/>
    <w:rsid w:val="71874638"/>
    <w:rsid w:val="71B33558"/>
    <w:rsid w:val="71F44E84"/>
    <w:rsid w:val="72080C08"/>
    <w:rsid w:val="72F1592E"/>
    <w:rsid w:val="730275C0"/>
    <w:rsid w:val="733123D6"/>
    <w:rsid w:val="737E18B7"/>
    <w:rsid w:val="73EE3117"/>
    <w:rsid w:val="73EF1E6D"/>
    <w:rsid w:val="74277859"/>
    <w:rsid w:val="74337071"/>
    <w:rsid w:val="74416441"/>
    <w:rsid w:val="744A79EB"/>
    <w:rsid w:val="744B4216"/>
    <w:rsid w:val="748968B8"/>
    <w:rsid w:val="74C50E20"/>
    <w:rsid w:val="750122A0"/>
    <w:rsid w:val="75096F5F"/>
    <w:rsid w:val="7531703D"/>
    <w:rsid w:val="756E770A"/>
    <w:rsid w:val="75AA6994"/>
    <w:rsid w:val="75BB6B8A"/>
    <w:rsid w:val="75EC138D"/>
    <w:rsid w:val="76595CC4"/>
    <w:rsid w:val="765D3A06"/>
    <w:rsid w:val="76BD692E"/>
    <w:rsid w:val="76D4637C"/>
    <w:rsid w:val="76F1500F"/>
    <w:rsid w:val="77194B93"/>
    <w:rsid w:val="77493F8A"/>
    <w:rsid w:val="77516029"/>
    <w:rsid w:val="77B07B65"/>
    <w:rsid w:val="77B75398"/>
    <w:rsid w:val="782642CC"/>
    <w:rsid w:val="782E61C7"/>
    <w:rsid w:val="79724C28"/>
    <w:rsid w:val="797A0365"/>
    <w:rsid w:val="79881DD4"/>
    <w:rsid w:val="79E078FD"/>
    <w:rsid w:val="7A2A00A3"/>
    <w:rsid w:val="7A5E7D4D"/>
    <w:rsid w:val="7A631F74"/>
    <w:rsid w:val="7B5F1FCE"/>
    <w:rsid w:val="7C345209"/>
    <w:rsid w:val="7C3D3992"/>
    <w:rsid w:val="7CBE0F77"/>
    <w:rsid w:val="7D1D4F36"/>
    <w:rsid w:val="7DE440D5"/>
    <w:rsid w:val="7E924469"/>
    <w:rsid w:val="7EA71A11"/>
    <w:rsid w:val="7F5434CC"/>
    <w:rsid w:val="7F82189E"/>
    <w:rsid w:val="7F930498"/>
    <w:rsid w:val="7FBA3C77"/>
    <w:rsid w:val="7FBB6EFF"/>
    <w:rsid w:val="7FFF5B2E"/>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qFormat="1" w:unhideWhenUsed="0" w:uiPriority="0" w:semiHidden="0" w:name="toc 2"/>
    <w:lsdException w:qFormat="1" w:unhideWhenUsed="0" w:uiPriority="0"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nhideWhenUsed="0" w:uiPriority="0" w:semiHidden="0" w:name="header"/>
    <w:lsdException w:qFormat="1" w:unhideWhenUsed="0"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0"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semiHidden="0"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0"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20"/>
    <w:qFormat/>
    <w:uiPriority w:val="9"/>
    <w:pPr>
      <w:keepNext/>
      <w:keepLines/>
      <w:spacing w:before="340" w:after="330" w:line="578" w:lineRule="auto"/>
      <w:outlineLvl w:val="0"/>
    </w:pPr>
    <w:rPr>
      <w:b/>
      <w:bCs/>
      <w:kern w:val="44"/>
      <w:sz w:val="44"/>
      <w:szCs w:val="44"/>
    </w:rPr>
  </w:style>
  <w:style w:type="paragraph" w:styleId="4">
    <w:name w:val="heading 2"/>
    <w:basedOn w:val="1"/>
    <w:next w:val="1"/>
    <w:link w:val="21"/>
    <w:unhideWhenUsed/>
    <w:qFormat/>
    <w:uiPriority w:val="9"/>
    <w:pPr>
      <w:keepNext/>
      <w:keepLines/>
      <w:spacing w:before="260" w:after="260" w:line="415" w:lineRule="auto"/>
      <w:outlineLvl w:val="1"/>
    </w:pPr>
    <w:rPr>
      <w:rFonts w:ascii="Cambria" w:hAnsi="Cambria"/>
      <w:b/>
      <w:bCs/>
      <w:sz w:val="32"/>
      <w:szCs w:val="32"/>
    </w:rPr>
  </w:style>
  <w:style w:type="paragraph" w:styleId="5">
    <w:name w:val="heading 3"/>
    <w:basedOn w:val="1"/>
    <w:next w:val="1"/>
    <w:unhideWhenUsed/>
    <w:qFormat/>
    <w:uiPriority w:val="9"/>
    <w:pPr>
      <w:keepNext/>
      <w:keepLines/>
      <w:spacing w:before="260" w:after="260" w:line="415" w:lineRule="auto"/>
      <w:outlineLvl w:val="2"/>
    </w:pPr>
    <w:rPr>
      <w:b/>
      <w:bCs/>
      <w:sz w:val="32"/>
      <w:szCs w:val="32"/>
    </w:rPr>
  </w:style>
  <w:style w:type="character" w:default="1" w:styleId="17">
    <w:name w:val="Default Paragraph Font"/>
    <w:unhideWhenUsed/>
    <w:qFormat/>
    <w:uiPriority w:val="1"/>
  </w:style>
  <w:style w:type="table" w:default="1" w:styleId="16">
    <w:name w:val="Normal Table"/>
    <w:unhideWhenUsed/>
    <w:qFormat/>
    <w:uiPriority w:val="99"/>
    <w:tblPr>
      <w:tblCellMar>
        <w:top w:w="0" w:type="dxa"/>
        <w:left w:w="108" w:type="dxa"/>
        <w:bottom w:w="0" w:type="dxa"/>
        <w:right w:w="108" w:type="dxa"/>
      </w:tblCellMar>
    </w:tblPr>
  </w:style>
  <w:style w:type="paragraph" w:customStyle="1" w:styleId="2">
    <w:name w:val="首行缩进"/>
    <w:basedOn w:val="1"/>
    <w:qFormat/>
    <w:uiPriority w:val="0"/>
    <w:pPr>
      <w:ind w:firstLine="200" w:firstLineChars="200"/>
    </w:pPr>
  </w:style>
  <w:style w:type="paragraph" w:styleId="6">
    <w:name w:val="Body Text"/>
    <w:basedOn w:val="1"/>
    <w:qFormat/>
    <w:uiPriority w:val="0"/>
    <w:pPr>
      <w:spacing w:beforeLines="30"/>
    </w:pPr>
    <w:rPr>
      <w:rFonts w:ascii="仿宋_GB2312" w:eastAsia="仿宋_GB2312"/>
      <w:kern w:val="0"/>
      <w:sz w:val="30"/>
    </w:rPr>
  </w:style>
  <w:style w:type="paragraph" w:styleId="7">
    <w:name w:val="Body Text Indent"/>
    <w:basedOn w:val="1"/>
    <w:next w:val="8"/>
    <w:unhideWhenUsed/>
    <w:qFormat/>
    <w:uiPriority w:val="99"/>
    <w:pPr>
      <w:spacing w:after="120"/>
      <w:ind w:left="420" w:leftChars="200"/>
    </w:pPr>
  </w:style>
  <w:style w:type="paragraph" w:styleId="8">
    <w:name w:val="Body Text First Indent 2"/>
    <w:basedOn w:val="7"/>
    <w:next w:val="1"/>
    <w:qFormat/>
    <w:uiPriority w:val="0"/>
    <w:pPr>
      <w:spacing w:after="0" w:line="560" w:lineRule="atLeast"/>
      <w:ind w:left="0" w:leftChars="0" w:firstLine="420" w:firstLineChars="200"/>
    </w:pPr>
    <w:rPr>
      <w:rFonts w:ascii="仿宋_GB2312" w:hAnsi="Calibri" w:eastAsia="仿宋_GB2312" w:cs="Times New Roman"/>
      <w:sz w:val="32"/>
      <w:szCs w:val="24"/>
    </w:rPr>
  </w:style>
  <w:style w:type="paragraph" w:styleId="9">
    <w:name w:val="toc 3"/>
    <w:basedOn w:val="1"/>
    <w:next w:val="1"/>
    <w:qFormat/>
    <w:uiPriority w:val="0"/>
    <w:pPr>
      <w:tabs>
        <w:tab w:val="right" w:leader="dot" w:pos="8296"/>
      </w:tabs>
      <w:ind w:left="400" w:leftChars="400"/>
    </w:pPr>
  </w:style>
  <w:style w:type="paragraph" w:styleId="10">
    <w:name w:val="Balloon Text"/>
    <w:basedOn w:val="1"/>
    <w:qFormat/>
    <w:uiPriority w:val="0"/>
    <w:rPr>
      <w:sz w:val="18"/>
      <w:szCs w:val="18"/>
    </w:rPr>
  </w:style>
  <w:style w:type="paragraph" w:styleId="11">
    <w:name w:val="footer"/>
    <w:basedOn w:val="1"/>
    <w:qFormat/>
    <w:uiPriority w:val="0"/>
    <w:pPr>
      <w:tabs>
        <w:tab w:val="center" w:pos="4153"/>
        <w:tab w:val="right" w:pos="8306"/>
      </w:tabs>
      <w:snapToGrid w:val="0"/>
      <w:jc w:val="left"/>
    </w:pPr>
    <w:rPr>
      <w:rFonts w:ascii="Calibri" w:hAnsi="Calibri"/>
      <w:kern w:val="0"/>
      <w:sz w:val="18"/>
      <w:szCs w:val="18"/>
    </w:rPr>
  </w:style>
  <w:style w:type="paragraph" w:styleId="12">
    <w:name w:val="header"/>
    <w:basedOn w:val="1"/>
    <w:qFormat/>
    <w:uiPriority w:val="0"/>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qFormat/>
    <w:uiPriority w:val="0"/>
    <w:pPr>
      <w:tabs>
        <w:tab w:val="right" w:leader="dot" w:pos="8296"/>
      </w:tabs>
      <w:spacing w:before="93"/>
      <w:jc w:val="center"/>
    </w:pPr>
    <w:rPr>
      <w:rFonts w:ascii="仿宋" w:eastAsia="仿宋"/>
      <w:sz w:val="28"/>
      <w:szCs w:val="28"/>
    </w:rPr>
  </w:style>
  <w:style w:type="paragraph" w:styleId="14">
    <w:name w:val="toc 2"/>
    <w:basedOn w:val="1"/>
    <w:next w:val="1"/>
    <w:qFormat/>
    <w:uiPriority w:val="0"/>
    <w:pPr>
      <w:tabs>
        <w:tab w:val="right" w:leader="dot" w:pos="8296"/>
      </w:tabs>
      <w:ind w:left="200" w:leftChars="200"/>
    </w:pPr>
  </w:style>
  <w:style w:type="paragraph" w:styleId="15">
    <w:name w:val="Normal (Web)"/>
    <w:basedOn w:val="1"/>
    <w:qFormat/>
    <w:uiPriority w:val="0"/>
    <w:pPr>
      <w:spacing w:before="100" w:beforeAutospacing="1" w:after="100" w:afterAutospacing="1"/>
      <w:ind w:left="0" w:right="0"/>
      <w:jc w:val="left"/>
    </w:pPr>
    <w:rPr>
      <w:rFonts w:hint="default" w:ascii="宋体" w:hAnsi="宋体" w:eastAsia="宋体" w:cs="宋体"/>
      <w:kern w:val="0"/>
      <w:sz w:val="24"/>
      <w:lang w:val="en-US" w:eastAsia="zh-CN" w:bidi="ar"/>
    </w:rPr>
  </w:style>
  <w:style w:type="character" w:styleId="18">
    <w:name w:val="Strong"/>
    <w:basedOn w:val="17"/>
    <w:qFormat/>
    <w:uiPriority w:val="0"/>
    <w:rPr>
      <w:b/>
    </w:rPr>
  </w:style>
  <w:style w:type="character" w:styleId="19">
    <w:name w:val="Hyperlink"/>
    <w:basedOn w:val="17"/>
    <w:qFormat/>
    <w:uiPriority w:val="0"/>
    <w:rPr>
      <w:color w:val="0000FF"/>
      <w:u w:val="single"/>
    </w:rPr>
  </w:style>
  <w:style w:type="character" w:customStyle="1" w:styleId="20">
    <w:name w:val="标题 1 Char"/>
    <w:basedOn w:val="17"/>
    <w:link w:val="3"/>
    <w:qFormat/>
    <w:uiPriority w:val="0"/>
    <w:rPr>
      <w:rFonts w:ascii="Times New Roman" w:hAnsi="Times New Roman" w:eastAsia="宋体" w:cs="Times New Roman"/>
      <w:b/>
      <w:bCs/>
      <w:kern w:val="44"/>
      <w:sz w:val="44"/>
      <w:szCs w:val="44"/>
      <w:lang w:val="en-US" w:eastAsia="zh-CN" w:bidi="ar-SA"/>
    </w:rPr>
  </w:style>
  <w:style w:type="character" w:customStyle="1" w:styleId="21">
    <w:name w:val="标题 2 Char"/>
    <w:basedOn w:val="17"/>
    <w:link w:val="4"/>
    <w:qFormat/>
    <w:uiPriority w:val="0"/>
    <w:rPr>
      <w:rFonts w:ascii="Cambria" w:hAnsi="Cambria" w:eastAsia="宋体" w:cs="Times New Roman"/>
      <w:b/>
      <w:bCs/>
      <w:kern w:val="2"/>
      <w:sz w:val="32"/>
      <w:szCs w:val="32"/>
      <w:lang w:val="en-US" w:eastAsia="zh-CN" w:bidi="ar-SA"/>
    </w:rPr>
  </w:style>
  <w:style w:type="character" w:customStyle="1" w:styleId="22">
    <w:name w:val="Header Char"/>
    <w:basedOn w:val="17"/>
    <w:qFormat/>
    <w:uiPriority w:val="0"/>
    <w:rPr>
      <w:rFonts w:ascii="Times New Roman" w:hAnsi="Times New Roman"/>
      <w:sz w:val="18"/>
      <w:szCs w:val="18"/>
    </w:rPr>
  </w:style>
  <w:style w:type="character" w:customStyle="1" w:styleId="23">
    <w:name w:val="Footer Char"/>
    <w:basedOn w:val="17"/>
    <w:qFormat/>
    <w:uiPriority w:val="0"/>
    <w:rPr>
      <w:rFonts w:ascii="Times New Roman" w:hAnsi="Times New Roman"/>
      <w:sz w:val="18"/>
      <w:szCs w:val="18"/>
    </w:rPr>
  </w:style>
  <w:style w:type="character" w:customStyle="1" w:styleId="24">
    <w:name w:val="Body Text Char"/>
    <w:basedOn w:val="17"/>
    <w:qFormat/>
    <w:uiPriority w:val="0"/>
    <w:rPr>
      <w:rFonts w:ascii="Times New Roman" w:hAnsi="Times New Roman"/>
      <w:szCs w:val="24"/>
    </w:rPr>
  </w:style>
  <w:style w:type="paragraph" w:customStyle="1" w:styleId="25">
    <w:name w:val="Default"/>
    <w:qFormat/>
    <w:uiPriority w:val="0"/>
    <w:pPr>
      <w:widowControl w:val="0"/>
      <w:autoSpaceDE w:val="0"/>
      <w:autoSpaceDN w:val="0"/>
      <w:adjustRightInd w:val="0"/>
    </w:pPr>
    <w:rPr>
      <w:rFonts w:ascii="仿宋" w:hAnsi="Times New Roman" w:eastAsia="仿宋" w:cs="仿宋"/>
      <w:color w:val="000000"/>
      <w:sz w:val="24"/>
      <w:szCs w:val="24"/>
      <w:lang w:val="en-US" w:eastAsia="zh-CN" w:bidi="ar-SA"/>
    </w:rPr>
  </w:style>
  <w:style w:type="paragraph" w:styleId="26">
    <w:name w:val="List Paragraph"/>
    <w:basedOn w:val="1"/>
    <w:qFormat/>
    <w:uiPriority w:val="0"/>
    <w:pPr>
      <w:ind w:firstLine="200" w:firstLineChars="200"/>
    </w:pPr>
  </w:style>
  <w:style w:type="paragraph" w:customStyle="1" w:styleId="27">
    <w:name w:val="TOC 标题1"/>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28">
    <w:name w:val="TOC 标题2"/>
    <w:basedOn w:val="3"/>
    <w:next w:val="1"/>
    <w:qFormat/>
    <w:uiPriority w:val="0"/>
    <w:pPr>
      <w:widowControl/>
      <w:spacing w:before="480" w:after="0" w:line="276" w:lineRule="auto"/>
      <w:jc w:val="left"/>
      <w:outlineLvl w:val="9"/>
    </w:pPr>
    <w:rPr>
      <w:rFonts w:ascii="Cambria" w:hAnsi="Cambria"/>
      <w:color w:val="376092"/>
      <w:kern w:val="0"/>
      <w:sz w:val="28"/>
      <w:szCs w:val="28"/>
    </w:rPr>
  </w:style>
  <w:style w:type="paragraph" w:customStyle="1" w:styleId="29">
    <w:name w:val="WPSOffice手动目录 1"/>
    <w:qFormat/>
    <w:uiPriority w:val="0"/>
    <w:pPr>
      <w:ind w:leftChars="0"/>
    </w:pPr>
    <w:rPr>
      <w:rFonts w:ascii="Times New Roman" w:hAnsi="Times New Roman" w:eastAsia="宋体" w:cs="Times New Roman"/>
      <w:sz w:val="20"/>
      <w:szCs w:val="20"/>
    </w:rPr>
  </w:style>
  <w:style w:type="paragraph" w:customStyle="1" w:styleId="30">
    <w:name w:val="WPSOffice手动目录 2"/>
    <w:qFormat/>
    <w:uiPriority w:val="0"/>
    <w:pPr>
      <w:ind w:leftChars="200"/>
    </w:pPr>
    <w:rPr>
      <w:rFonts w:ascii="Times New Roman" w:hAnsi="Times New Roman" w:eastAsia="宋体" w:cs="Times New Roman"/>
      <w:sz w:val="20"/>
      <w:szCs w:val="20"/>
    </w:rPr>
  </w:style>
  <w:style w:type="paragraph" w:customStyle="1" w:styleId="31">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image" Target="media/image2.png"/><Relationship Id="rId8" Type="http://www.wps.cn/officeDocument/2018/webExtension" Target="webExtensions/webExtension2.xml"/><Relationship Id="rId7" Type="http://schemas.openxmlformats.org/officeDocument/2006/relationships/image" Target="media/image1.png"/><Relationship Id="rId6" Type="http://www.wps.cn/officeDocument/2018/webExtension" Target="webExtensions/webExtension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numbering" Target="numbering.xml"/><Relationship Id="rId2" Type="http://schemas.openxmlformats.org/officeDocument/2006/relationships/settings" Target="settings.xml"/><Relationship Id="rId19" Type="http://schemas.openxmlformats.org/officeDocument/2006/relationships/image" Target="media/image7.png"/><Relationship Id="rId18" Type="http://www.wps.cn/officeDocument/2018/webExtension" Target="webExtensions/webExtension7.xml"/><Relationship Id="rId17" Type="http://schemas.openxmlformats.org/officeDocument/2006/relationships/image" Target="media/image6.png"/><Relationship Id="rId16" Type="http://www.wps.cn/officeDocument/2018/webExtension" Target="webExtensions/webExtension6.xml"/><Relationship Id="rId15" Type="http://schemas.openxmlformats.org/officeDocument/2006/relationships/image" Target="media/image5.png"/><Relationship Id="rId14" Type="http://www.wps.cn/officeDocument/2018/webExtension" Target="webExtensions/webExtension5.xml"/><Relationship Id="rId13" Type="http://schemas.openxmlformats.org/officeDocument/2006/relationships/image" Target="media/image4.png"/><Relationship Id="rId12" Type="http://www.wps.cn/officeDocument/2018/webExtension" Target="webExtensions/webExtension4.xml"/><Relationship Id="rId11" Type="http://schemas.openxmlformats.org/officeDocument/2006/relationships/image" Target="media/image3.png"/><Relationship Id="rId10" Type="http://www.wps.cn/officeDocument/2018/webExtension" Target="webExtensions/webExtension3.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CCE8C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word/webExtensions/_rels/webExtension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oleObject" Target="C:/Users/Administrator/AppData/Local/Temp/wps.exJRkg/Workbook1.xlsx" TargetMode="External"/></Relationships>
</file>

<file path=word/webExtensions/_rels/webExtension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_rels/webExtension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_rels/webExtension4.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_rels/webExtension5.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_rels/webExtension6.xml.rels><?xml version="1.0" encoding="UTF-8" standalone="yes"?>
<Relationships xmlns="http://schemas.openxmlformats.org/package/2006/relationships"><Relationship Id="rId2" Type="http://schemas.openxmlformats.org/officeDocument/2006/relationships/image" Target="../media/image6.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_rels/webExtension7.xml.rels><?xml version="1.0" encoding="UTF-8" standalone="yes"?>
<Relationships xmlns="http://schemas.openxmlformats.org/package/2006/relationships"><Relationship Id="rId2" Type="http://schemas.openxmlformats.org/officeDocument/2006/relationships/image" Target="../media/image7.png"/><Relationship Id="rId1" Type="http://schemas.openxmlformats.org/officeDocument/2006/relationships/oleObject" Target="file:///C:\Users\Administrator\Desktop\2023&#37096;&#38376;&#20915;&#31639;&#20844;&#24320;\2023&#37096;&#38376;&#20915;&#31639;&#20844;&#24320;&#34920;&#26684;&#27169;&#26495;.xlsx" TargetMode="External"/></Relationships>
</file>

<file path=word/webExtensions/webExtension1.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3067136694757&quot;,&quot;chart_type&quot;:&quot;柱状图&quot;,&quot;classifty_type&quot;:[&quot;比较类&quot;],&quot;dataSrc&quot;:{&quot;data&quot;:[[[&quot;&quot;,&quot;2024年&quot;,&quot;2025年&quot;,&quot;增减变化&quot;],[&quot;收入&quot;,&quot;1174.59&quot;,&quot;1611.17&quot;,&quot;37.17%&quot;],[&quot;支出&quot;,&quot;1174.59&quot;,&quot;1611.17&quot;,&quot;37.17%&quot;]]],&quot;dataType&quot;:&quot;cross-table&quot;,&quot;download&quot;:false,&quot;srcType&quot;:&quot;local&quot;,&quot;url&quot;:&quot;&quot;},&quot;function_type&quot;:[&quot;柱形图&quot;],&quot;gif&quot;:&quot;//web.docer.wpscdn.cn/docer/ds-page/images/3612096174443311105.gif?imageView2/2/w/500/quality/90&quot;,&quot;index&quot;:1,&quot;isFree&quot;:&quot;0&quot;,&quot;label&quot;:&quot;&lt;e-barmultiple-chart&gt;&quot;,&quot;projectId&quot;:&quot;3612096174443311105&quot;,&quot;props&quot;:{&quot;animation&quot;:{&quot;duration&quot;:&quot;2&quot;,&quot;easeStyle&quot;:&quot;&quot;,&quot;endPause&quot;:&quot;1&quot;,&quot;moveOptions&quot;:[&quot;纵向整体拉伸&quot;,&quot;纵向分组拉伸&quot;,&quot;纵向分类拉伸&quot;,&quot;横向分组展开&quot;,&quot;横向同步展开&quot;,&quot;横向分类展开&quot;],&quot;moveStyle&quot;:&quot;纵向整体拉伸&quot;,&quot;startDelay&quot;:&quot;0&quot;,&quot;transition&quot;:true},&quot;axis&quot;:{&quot;color&quot;:&quot;#a1a1a1&quot;,&quot;grid&quot;:{&quot;color&quot;:&quot;#ccc&quot;,&quot;gridLineWidth&quot;:&quot;1&quot;,&quot;lineStyle&quot;:&quot;dashline&quot;,&quot;show&quot;:&quot;x&quot;},&quot;x&quot;:{&quot;axisColor&quot;:&quot;#bfbfbf&quot;,&quot;axisLineWidth&quot;:&quot;1&quot;,&quot;axisShow&quot;:true,&quot;labelAngle&quot;:&quot;0&quot;,&quot;labelDirection&quot;:&quot;自动&quot;,&quot;labelDirectionOptions&quot;:[&quot;自动&quot;,&quot;横排&quot;,&quot;竖排&quot;],&quot;labelShow&quot;:true,&quot;name&quot;:&quot;&quot;},&quot;y&quot;:{&quot;axisColor&quot;:&quot;#bfbfbf&quot;,&quot;axisLineWidth&quot;:&quot;1&quot;,&quot;axisShow&quot;:false,&quot;labelShow&quot;:true,&quot;labelSuffix&quot;:&quot;&quot;,&quot;name&quot;:&quot;&quot;,&quot;range&quot;:[],&quot;stepOfLabel&quot;:&quot;&quot;}},&quot;backgroundColor&quot;:&quot;#FEFFFF&quot;,&quot;colors&quot;:{&quot;colorControlers&quot;:[&quot;multiple&quot;],&quot;list&quot;:[0,1,2],&quot;type&quot;:&quot;multiple&quot;},&quot;display&quot;:{&quot;bar4CornerRadius&quot;:[0,0,0,0],&quot;barWidthPercent&quot;:&quot;0.7&quot;,&quot;barborderColor&quot;:&quot;&quot;,&quot;barborderWidth&quot;:&quot;0&quot;,&quot;fillOpacity&quot;:&quot;1&quot;},&quot;font&quot;:{&quot;color&quot;:&quot;#545454&quot;,&quot;fontFamily&quot;:&quot;阿里巴巴普惠体常规&quot;,&quot;fontSize&quot;:&quot;14&quot;},&quot;label&quot;:{&quot;display&quot;:true,&quot;positionChoice&quot;:&quot;上面&quot;,&quot;positionOptions&quot;:[&quot;上面&quot;,&quot;内部居下&quot;],&quot;suffix&quot;:&quot;&quot;,&quot;textLabel&quot;:{&quot;color&quot;:&quot;#545454&quot;,&quot;fontFamily&quot;:&quot;黑体&quot;,&quot;fontSize&quot;:&quot;14&quot;}},&quot;legend&quot;:{&quot;color&quot;:[&quot;#545454&quot;],&quot;fontFamily&quot;:[&quot;阿里巴巴普惠体常规&quot;],&quot;fontSize&quot;:&quot;14&quot;,&quot;lineHeight&quot;:&quot;15&quot;,&quot;show&quot;:true,&quot;style&quot;:&quot;&quot;,&quot;styleOptions&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false,&quot;name&quot;:&quot;X轴对象&quot;},{&quot;allowType&quot;:[&quot;number&quot;],&quot;configurable&quot;:true,&quot;function&quot;:&quot;vCol&quot;,&quot;index&quot;:1,&quot;isLegend&quot;:false,&quot;name&quot;:&quot;数值列&quot;},{&quot;allowType&quot;:[&quot;number&quot;],&quot;configurable&quot;:true,&quot;function&quot;:&quot;vCol&quot;,&quot;index&quot;:2,&quot;isLegend&quot;:false,&quot;name&quot;:&quot;数值列&quot;},{&quot;allowType&quot;:[&quot;number&quot;],&quot;configurable&quot;:true,&quot;function&quot;:&quot;vCol&quot;,&quot;index&quot;:3,&quot;isLegend&quot;:false,&quot;name&quot;:&quot;数值列&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false,&quot;shadowAngle&quot;:&quot;45&quot;,&quot;shadowBlur&quot;:&quot;5&quot;,&quot;shadowColor&quot;:&quot;#c6c6c6&quot;,&quot;shadowOpacity&quot;:&quot;100&quot;,&quot;shadowRadius&quot;:&quot;3&quot;},&quot;size&quot;:{&quot;height&quot;:331,&quot;ratio&quot;:&quot;&quot;,&quot;rotate&quot;:0,&quot;width&quot;:499},&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36&quot;,&quot;lineHeight&quot;:&quot;10&quot;,&quot;show&quot;:true,&quot;text&quot;:&quot;收入支出决算总体情况&quot;,&quot;totalHeight&quot;:&quot;39&quot;,&quot;xPosition&quot;:&quot;center&quot;,&quot;yPosition&quot;:&quot;top&quot;},&quot;tooltip&quot;:true,&quot;unitDisplay&quot;:{&quot;bottomLineHeight&quot;:&quot;15&quot;,&quot;color&quot;:&quot;#878787&quot;,&quot;fontFamily&quot;:&quot;阿里巴巴普惠体常规&quot;,&quot;fontSize&quot;:&quot;14&quot;,&quot;show&quot;:true,&quot;text&quot;:&quot;单位：万元&quot;,&quot;xPosition&quot;:&quot;left&quot;,&quot;yPosition&quot;:&quot;top&quot;},&quot;watermarkDisplay&quot;:{&quot;imgHeight&quot;:&quot;80&quot;,&quot;imgUrl&quot;:&quot;https://ss1.dydata.io/newchartWatermark.png&quot;,&quot;imgWidth&quot;:&quot;80&quot;,&quot;show&quot;:false}},&quot;templateId&quot;:&quot;3612096174443311105-4&quot;,&quot;templateSwitch&quot;:&quot;cross&quot;,&quot;theme&quot;:{&quot;_id&quot;:44,&quot;axis&quot;:{&quot;color&quot;:&quot;#a1a1a1&quot;},&quot;backgroundColor&quot;:&quot;#FEFFFF&quot;,&quot;card_color&quot;:&quot;#E4F2F9&quot;,&quot;colors&quot;:[&quot;#5CA8CB&quot;,&quot;#397EA8&quot;,&quot;#7D6A87&quot;,&quot;#D19F99&quot;,&quot;#ECC4B7&quot;,&quot;#FAE0D3&quot;,&quot;#5CA8CB&quot;,&quot;#397EA8&quot;,&quot;#7D6A87&quot;,&quot;#D19F99&quot;,&quot;#ECC4B7&quot;,&quot;#FAE0D3&quot;,&quot;#ECC4B7&quot;,&quot;#FAE0D3&quot;],&quot;fonts&quot;:{&quot;accessoryColor&quot;:&quot;#878787&quot;,&quot;color&quot;:&quot;#545454&quot;,&quot;fontFamily&quot;:&quot;阿里巴巴普惠体常规&quot;,&quot;fontSize&quot;:&quot;14&quot;},&quot;grid&quot;:{&quot;color&quot;:&quot;#ccc&quot;},&quot;name&quot;:&quot;从容自若&quot;,&quot;price&quot;:0,&quot;shapeColor&quot;:1,&quot;themeId&quot;:44,&quot;thumb&quot;:&quot;https://ss1.dydata.io/v2/themes/44.png&quot;,&quot;titleFont&quot;:{&quot;color&quot;:&quot;#4c4c4c&quot;,&quot;fontFamily&quot;:&quot;阿里巴巴普惠体 常规&quot;,&quot;fontSize&quot;:&quot;36&quot;},&quot;typeColor&quot;:{&quot;name&quot;:[&quot;蓝色&quot;],&quot;num&quot;:[&quot;3&quot;]},&quot;typeStyle&quot;:{&quot;name&quot;:[&quot;简约&quot;],&quot;num&quot;:[&quot;1&quot;]},&quot;typeSystem&quot;:{&quot;name&quot;:[&quot;浅色系&quot;,&quot;多彩系&quot;],&quot;num&quot;:[&quot;4&quot;,&quot;1&quot;]}},&quot;thumb&quot;:&quot;./images/3612096174443311105-4.png&quot;,&quot;title&quot;:&quot;分组柱状图&quot;,&quot;type&quot;:&quot;chart&quot;},&quot;dschart_id&quot;:&quot;3612096174443311105-4&quot;,&quot;id&quot;:&quot;40&quot;}"/>
    <wpswe:property key="isUseCommonErrorPage" value="false"/>
    <wpswe:property key="loadingImage" value="res:/icons/DsWebShapeDefaultPage.svg"/>
  </wpswe:properties>
  <wpswe:watchingCache>
    <wpswe:linkPath>C:/Users/Administrator/AppData/Local/Temp/wps.exJRkg/Workbook1.xlsx</wpswe:linkPath>
    <wpswe:dataRange>
      <wpswe:key>data_source</wpswe:key>
      <wpswe:context>Sheet1!$A$3:$D$5</wpswe:context>
      <wpswe:count>3</wpswe:count>
      <wpswe:cells wpswe:idx="0">
        <wpswe:count>4</wpswe:count>
        <wpswe:formatCode>General</wpswe:formatCode>
        <wpswe:cell wpswe:idx="1" wpswe:formatCode="@">
          <wpswe:value>2024年</wpswe:value>
        </wpswe:cell>
        <wpswe:cell wpswe:idx="2" wpswe:formatCode="@">
          <wpswe:value>2025年</wpswe:value>
        </wpswe:cell>
        <wpswe:cell wpswe:idx="3" wpswe:formatCode="@">
          <wpswe:value>增减变化</wpswe:value>
        </wpswe:cell>
      </wpswe:cells>
      <wpswe:cells wpswe:idx="1">
        <wpswe:count>4</wpswe:count>
        <wpswe:formatCode>General</wpswe:formatCode>
        <wpswe:cell wpswe:idx="0">
          <wpswe:value>收入</wpswe:value>
        </wpswe:cell>
        <wpswe:cell wpswe:idx="1" wpswe:formatCode="@">
          <wpswe:value>1174.59</wpswe:value>
        </wpswe:cell>
        <wpswe:cell wpswe:idx="2" wpswe:formatCode="@">
          <wpswe:value>1611.17</wpswe:value>
        </wpswe:cell>
        <wpswe:cell wpswe:idx="3" wpswe:formatCode="0.00%">
          <wpswe:value>0.3717</wpswe:value>
        </wpswe:cell>
      </wpswe:cells>
      <wpswe:cells wpswe:idx="2">
        <wpswe:count>4</wpswe:count>
        <wpswe:formatCode>General</wpswe:formatCode>
        <wpswe:cell wpswe:idx="0">
          <wpswe:value>支出</wpswe:value>
        </wpswe:cell>
        <wpswe:cell wpswe:idx="1" wpswe:formatCode="@">
          <wpswe:value>1174.59</wpswe:value>
        </wpswe:cell>
        <wpswe:cell wpswe:idx="2" wpswe:formatCode="@">
          <wpswe:value>1611.17</wpswe:value>
        </wpswe:cell>
        <wpswe:cell wpswe:idx="3" wpswe:formatCode="0.00%">
          <wpswe:value>0.3717</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https://clientweb.docer.wps.cn/ds/1.0.0/webShapeView?id=40&amp;dschart_id=444734748594536323&amp;from=chartwins&amp;productEntry=insert&amp;sceneEntry=rec</wpswe:url>
  <wpswe:constantSnapshot>false</wpswe:constantSnapshot>
</wpswe:webExtension>
</file>

<file path=word/webExtensions/webExtension2.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3067158731941&quot;,&quot;chart_type&quot;:&quot;饼图&quot;,&quot;classifty_type&quot;:[&quot;占比类&quot;],&quot;dataSrc&quot;:{&quot;data&quot;:[[[&quot;收入决算结构&quot;,&quot;&quot;],[&quot;一般公共预算收入&quot;,&quot;1611.17&quot;],[&quot;政府性基金预算财政拨款收入&quot;,&quot;0.00&quot;],[&quot;国有资本经营预算财政拨款收入&quot;,&quot;0.00&quot;],[&quot;上级补助收入&quot;,&quot;0.00&quot;],[&quot;事业收入&quot;,&quot;0.00&quot;],[&quot;经营收入&quot;,&quot;0.00&quot;],[&quot;附属单位上缴收入&quot;,&quot;0.00&quot;]]],&quot;dataType&quot;:&quot;obejct-table&quot;,&quot;download&quot;:false,&quot;srcType&quot;:&quot;local&quot;,&quot;url&quot;:&quot;&quot;},&quot;function_type&quot;:[&quot;饼图&quot;],&quot;gif&quot;:&quot;//web.docer.wpscdn.cn/docer/ds-page/images/444746070325460997.gif?imageView2/2/w/500/quality/90&quot;,&quot;isFree&quot;:&quot;0&quot;,&quot;label&quot;:&quot;&lt;e-piebasic-chart&gt;&quot;,&quot;projectId&quot;:&quot;444746070325460997&quot;,&quot;props&quot;:{&quot;animation&quot;:{&quot;duration&quot;:&quot;1.5&quot;,&quot;easeStyle&quot;:&quot;&quot;,&quot;endPause&quot;:&quot;1&quot;,&quot;moveOptions&quot;:[&quot;轮子&quot;,&quot;百叶窗&quot;,&quot;折扇&quot;,&quot;径向展开&quot;],&quot;moveStyle&quot;:&quot;轮子&quot;,&quot;startDelay&quot;:&quot;0&quot;,&quot;transition&quot;:true},&quot;axis&quot;:&quot;&quot;,&quot;backgroundColor&quot;:&quot;#FEFFFF&quot;,&quot;colors&quot;:{&quot;colorControlers&quot;:[&quot;multiple&quot;,&quot;linear&quot;],&quot;list&quot;:[0,1,2,3,4,5,6],&quot;type&quot;:&quot;multiple&quot;},&quot;display&quot;:{&quot;borderColor&quot;:&quot;#FFFFFF&quot;,&quot;borderWidth&quot;:&quot;1&quot;,&quot;cornerRadius&quot;:&quot;0&quot;,&quot;fillOpacity&quot;:&quot;1&quot;,&quot;gapPercentage&quot;:&quot;0&quot;,&quot;innerRadiusRatio&quot;:&quot;0&quot;},&quot;label&quot;:{&quot;contentChoice&quot;:[&quot;百分比&quot;],&quot;contentOption&quot;:[&quot;名称&quot;,&quot;百分比&quot;,&quot;数值&quot;],&quot;display&quot;:true,&quot;positionChoice&quot;:&quot;内部水平&quot;,&quot;positionOptions&quot;:[&quot;内部周向&quot;,&quot;内部水平&quot;,&quot;外部&quot;],&quot;suffix&quot;:&quot;&quot;,&quot;textLabel&quot;:{&quot;color&quot;:&quot;#545454&quot;,&quot;fontFamily&quot;:&quot;黑体&quot;,&quot;fontSize&quot;:&quot;14&quot;}},&quot;legend&quot;:{&quot;color&quot;:[&quot;#545454&quot;],&quot;fontFamily&quot;:[&quot;阿里巴巴普惠体常规&quot;],&quot;fontSize&quot;:&quot;14&quot;,&quot;lineHeight&quot;:&quot;15&quot;,&quot;show&quot;:true,&quot;style&quot;:&quot;&quot;,&quot;styleOptions&quot;:&quot;&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true,&quot;name&quot;:&quot;名称&quot;},{&quot;allowType&quot;:[&quot;number&quot;],&quot;configurable&quot;:false,&quot;function&quot;:&quot;vCol&quot;,&quot;index&quot;:1,&quot;isLegend&quot;:false,&quot;name&quot;:&quot;值&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false,&quot;shadowAngle&quot;:&quot;45&quot;,&quot;shadowBlur&quot;:&quot;5&quot;,&quot;shadowColor&quot;:&quot;#c6c6c6&quot;,&quot;shadowOpacity&quot;:&quot;100&quot;,&quot;shadowRadius&quot;:&quot;3&quot;},&quot;size&quot;:{&quot;height&quot;:305,&quot;ratio&quot;:&quot;&quot;,&quot;rotate&quot;:0,&quot;width&quot;:541},&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36&quot;,&quot;lineHeight&quot;:&quot;10&quot;,&quot;show&quot;:true,&quot;text&quot;:&quot;收入决算结构&quot;,&quot;totalHeight&quot;:&quot;39&quot;,&quot;xPosition&quot;:&quot;center&quot;,&quot;yPosition&quot;:&quot;top&quot;},&quot;tooltip&quot;:true,&quot;unitDisplay&quot;:{&quot;bottomLineHeight&quot;:&quot;15&quot;,&quot;color&quot;:&quot;#878787&quot;,&quot;fontFamily&quot;:&quot;阿里巴巴普惠体常规&quot;,&quot;fontSize&quot;:&quot;14&quot;,&quot;show&quot;:false,&quot;text&quot;:&quot;单位：%&quot;,&quot;xPosition&quot;:&quot;left&quot;,&quot;yPosition&quot;:&quot;top&quot;},&quot;watermarkDisplay&quot;:{&quot;imgHeight&quot;:&quot;80&quot;,&quot;imgUrl&quot;:&quot;https://ss1.dydata.io/newchartWatermark.png&quot;,&quot;imgWidth&quot;:&quot;80&quot;,&quot;show&quot;:false}},&quot;templateId&quot;:&quot;444746070325460997&quot;,&quot;templateSwitch&quot;:&quot;key-value&quot;,&quot;theme&quot;:{&quot;_id&quot;:44,&quot;axis&quot;:{&quot;color&quot;:&quot;#a1a1a1&quot;},&quot;backgroundColor&quot;:&quot;#FEFFFF&quot;,&quot;card_color&quot;:&quot;#E4F2F9&quot;,&quot;colors&quot;:[&quot;#5CA8CB&quot;,&quot;#397EA8&quot;,&quot;#7D6A87&quot;,&quot;#D19F99&quot;,&quot;#ECC4B7&quot;,&quot;#FAE0D3&quot;,&quot;#5CA8CB&quot;,&quot;#397EA8&quot;,&quot;#7D6A87&quot;,&quot;#D19F99&quot;,&quot;#ECC4B7&quot;,&quot;#FAE0D3&quot;,&quot;#ECC4B7&quot;,&quot;#FAE0D3&quot;],&quot;fonts&quot;:{&quot;accessoryColor&quot;:&quot;#878787&quot;,&quot;color&quot;:&quot;#545454&quot;,&quot;fontFamily&quot;:&quot;阿里巴巴普惠体常规&quot;,&quot;fontSize&quot;:&quot;14&quot;},&quot;grid&quot;:{&quot;color&quot;:&quot;#ccc&quot;},&quot;name&quot;:&quot;从容自若&quot;,&quot;price&quot;:0,&quot;shapeColor&quot;:1,&quot;themeId&quot;:44,&quot;thumb&quot;:&quot;https://ss1.dydata.io/v2/themes/44.png&quot;,&quot;titleFont&quot;:{&quot;color&quot;:&quot;#4c4c4c&quot;,&quot;fontFamily&quot;:&quot;阿里巴巴普惠体 常规&quot;,&quot;fontSize&quot;:&quot;36&quot;},&quot;typeColor&quot;:{&quot;name&quot;:[&quot;蓝色&quot;],&quot;num&quot;:[&quot;3&quot;]},&quot;typeStyle&quot;:{&quot;name&quot;:[&quot;简约&quot;],&quot;num&quot;:[&quot;1&quot;]},&quot;typeSystem&quot;:{&quot;name&quot;:[&quot;浅色系&quot;,&quot;多彩系&quot;],&quot;num&quot;:[&quot;4&quot;,&quot;1&quot;]}},&quot;thumb&quot;:&quot;//web.docer.wpscdn.cn/docer/ds-page/images/E8hjxBcbsDqAkMBMmTgoN2.D0C288B1.jpg?imageView2/2/w/500/quality/90&quot;,&quot;title&quot;:&quot;基础饼图&quot;,&quot;type&quot;:&quot;chart&quot;},&quot;dschart_id&quot;:&quot;444746070325460997&quot;,&quot;id&quot;:&quot;50&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Sheet1!$A$24:$B$31</wpswe:context>
      <wpswe:count>8</wpswe:count>
      <wpswe:cells wpswe:idx="0">
        <wpswe:count>2</wpswe:count>
        <wpswe:formatCode>General</wpswe:formatCode>
        <wpswe:cell wpswe:idx="0">
          <wpswe:value>收入决算结构</wpswe:value>
        </wpswe:cell>
      </wpswe:cells>
      <wpswe:cells wpswe:idx="1">
        <wpswe:count>2</wpswe:count>
        <wpswe:formatCode>General</wpswe:formatCode>
        <wpswe:cell wpswe:idx="0">
          <wpswe:value>一般公共预算收入</wpswe:value>
        </wpswe:cell>
        <wpswe:cell wpswe:idx="1" wpswe:formatCode="0.00_ ">
          <wpswe:value>1611.17</wpswe:value>
        </wpswe:cell>
      </wpswe:cells>
      <wpswe:cells wpswe:idx="2">
        <wpswe:count>2</wpswe:count>
        <wpswe:formatCode>General</wpswe:formatCode>
        <wpswe:cell wpswe:idx="0">
          <wpswe:value>政府性基金预算财政拨款收入</wpswe:value>
        </wpswe:cell>
        <wpswe:cell wpswe:idx="1" wpswe:formatCode="0.00_ ">
          <wpswe:value>0</wpswe:value>
        </wpswe:cell>
      </wpswe:cells>
      <wpswe:cells wpswe:idx="3">
        <wpswe:count>2</wpswe:count>
        <wpswe:formatCode>General</wpswe:formatCode>
        <wpswe:cell wpswe:idx="0">
          <wpswe:value>国有资本经营预算财政拨款收入</wpswe:value>
        </wpswe:cell>
        <wpswe:cell wpswe:idx="1" wpswe:formatCode="0.00_ ">
          <wpswe:value>0</wpswe:value>
        </wpswe:cell>
      </wpswe:cells>
      <wpswe:cells wpswe:idx="4">
        <wpswe:count>2</wpswe:count>
        <wpswe:formatCode>General</wpswe:formatCode>
        <wpswe:cell wpswe:idx="0">
          <wpswe:value>上级补助收入</wpswe:value>
        </wpswe:cell>
        <wpswe:cell wpswe:idx="1" wpswe:formatCode="0.00_ ">
          <wpswe:value>0</wpswe:value>
        </wpswe:cell>
      </wpswe:cells>
      <wpswe:cells wpswe:idx="5">
        <wpswe:count>2</wpswe:count>
        <wpswe:formatCode>General</wpswe:formatCode>
        <wpswe:cell wpswe:idx="0">
          <wpswe:value>事业收入</wpswe:value>
        </wpswe:cell>
        <wpswe:cell wpswe:idx="1" wpswe:formatCode="0.00_ ">
          <wpswe:value>0</wpswe:value>
        </wpswe:cell>
      </wpswe:cells>
      <wpswe:cells wpswe:idx="6">
        <wpswe:count>2</wpswe:count>
        <wpswe:formatCode>General</wpswe:formatCode>
        <wpswe:cell wpswe:idx="0">
          <wpswe:value>经营收入</wpswe:value>
        </wpswe:cell>
        <wpswe:cell wpswe:idx="1" wpswe:formatCode="0.00_ ">
          <wpswe:value>0</wpswe:value>
        </wpswe:cell>
      </wpswe:cells>
      <wpswe:cells wpswe:idx="7">
        <wpswe:count>2</wpswe:count>
        <wpswe:formatCode>General</wpswe:formatCode>
        <wpswe:cell wpswe:idx="0">
          <wpswe:value>附属单位上缴收入</wpswe:value>
        </wpswe:cell>
        <wpswe:cell wpswe:idx="1" wpswe:formatCode="0.00_ ">
          <wpswe:value>0</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https://clientweb.docer.wps.cn/ds/1.0.0/webShapeView?id=50&amp;dschart_id=444746070325460997&amp;from=chartwins&amp;productEntry=insert&amp;sceneEntry=rec</wpswe:url>
  <wpswe:constantSnapshot>false</wpswe:constantSnapshot>
</wpswe:webExtension>
</file>

<file path=word/webExtensions/webExtension3.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3067126556290&quot;,&quot;chart_type&quot;:&quot;饼图&quot;,&quot;classifty_type&quot;:[&quot;占比类&quot;],&quot;dataSrc&quot;:{&quot;data&quot;:[[[&quot;支出决算情况&quot;,&quot;&quot;],[&quot;基本支出&quot;,&quot;1023.48&quot;],[&quot;项目支出&quot;,&quot;587.69&quot;]]],&quot;dataType&quot;:&quot;object-table&quot;,&quot;download&quot;:false,&quot;srcType&quot;:&quot;local&quot;,&quot;url&quot;:&quot;&quot;},&quot;function_type&quot;:[&quot;饼图&quot;],&quot;gif&quot;:&quot;//web.docer.wpscdn.cn/docer/ds-page/images/5544734748594536493.gif?imageView2/2/w/500/quality/90&quot;,&quot;index&quot;:0,&quot;isFree&quot;:&quot;1&quot;,&quot;label&quot;:&quot;&lt;d-corner-pie-chart&gt;&quot;,&quot;projectId&quot;:&quot;5544734748594536493&quot;,&quot;props&quot;:{&quot;animation&quot;:{&quot;duration&quot;:&quot;1.5&quot;,&quot;easeStyle&quot;:&quot;&quot;,&quot;endPause&quot;:&quot;1&quot;,&quot;moveOptions&quot;:[&quot;轮子&quot;,&quot;百叶窗&quot;,&quot;折扇&quot;,&quot;径向展开&quot;],&quot;moveStyle&quot;:&quot;轮子&quot;,&quot;startDelay&quot;:&quot;0&quot;,&quot;transition&quot;:true},&quot;axis&quot;:&quot;&quot;,&quot;backgroundColor&quot;:&quot;&quot;,&quot;colors&quot;:{&quot;colorControlers&quot;:[&quot;multiple&quot;,&quot;linear&quot;],&quot;list&quot;:[0,1],&quot;type&quot;:&quot;multiple&quot;},&quot;display&quot;:{&quot;borderColor&quot;:&quot;#FFFFFF&quot;,&quot;borderWidth&quot;:&quot;1&quot;,&quot;cornerRadius&quot;:&quot;10&quot;,&quot;fillOpacity&quot;:&quot;1&quot;,&quot;gapPercentage&quot;:&quot;0&quot;,&quot;innerRadiusRatio&quot;:&quot;0&quot;},&quot;label&quot;:{&quot;contentChoice&quot;:[&quot;名称&quot;,&quot;百分比&quot;],&quot;contentOption&quot;:[&quot;名称&quot;,&quot;百分比&quot;,&quot;数值&quot;],&quot;display&quot;:true,&quot;positionChoice&quot;:&quot;内部周向&quot;,&quot;positionOptions&quot;:[&quot;内部周向&quot;,&quot;内部水平&quot;,&quot;外部&quot;],&quot;suffix&quot;:&quot;&quot;,&quot;textLabel&quot;:{&quot;color&quot;:&quot;#545454&quot;,&quot;fontFamily&quot;:&quot;黑体&quot;,&quot;fontSize&quot;:&quot;8&quot;}},&quot;legend&quot;:{&quot;color&quot;:[&quot;#545454&quot;],&quot;fontFamily&quot;:[&quot;阿里巴巴普惠体 常规&quot;],&quot;fontSize&quot;:&quot;14&quot;,&quot;lineHeight&quot;:&quot;15&quot;,&quot;show&quot;:true,&quot;style&quot;:&quot;&quot;,&quot;styleOptions&quot;:&quot;&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true,&quot;name&quot;:&quot;名称&quot;},{&quot;allowType&quot;:[&quot;number&quot;],&quot;configurable&quot;:false,&quot;function&quot;:&quot;vCol&quot;,&quot;index&quot;:1,&quot;isLegend&quot;:false,&quot;name&quot;:&quot;值&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true,&quot;shadowAngle&quot;:&quot;45&quot;,&quot;shadowBlur&quot;:&quot;5&quot;,&quot;shadowColor&quot;:&quot;#b0b0b0ff&quot;,&quot;shadowOpacity&quot;:&quot;100&quot;,&quot;shadowRadius&quot;:&quot;3&quot;},&quot;size&quot;:{&quot;height&quot;:288,&quot;ratio&quot;:&quot;&quot;,&quot;rotate&quot;:0,&quot;width&quot;:558},&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30&quot;,&quot;lineHeight&quot;:&quot;10&quot;,&quot;show&quot;:true,&quot;text&quot;:&quot;支出决算情况&quot;,&quot;totalHeight&quot;:&quot;39&quot;,&quot;xPosition&quot;:&quot;center&quot;,&quot;yPosition&quot;:&quot;top&quot;},&quot;tooltip&quot;:true,&quot;unitDisplay&quot;:{&quot;bottomLineHeight&quot;:&quot;15&quot;,&quot;color&quot;:&quot;#878787&quot;,&quot;fontFamily&quot;:&quot;阿里巴巴普惠体 常规&quot;,&quot;fontSize&quot;:&quot;14&quot;,&quot;show&quot;:false,&quot;text&quot;:&quot;单位：%&quot;,&quot;xPosition&quot;:&quot;left&quot;,&quot;yPosition&quot;:&quot;top&quot;},&quot;watermarkDisplay&quot;:{&quot;imgHeight&quot;:&quot;80&quot;,&quot;imgUrl&quot;:&quot;https://ss1.dydata.io/newchartWatermark.png&quot;,&quot;imgWidth&quot;:&quot;80&quot;,&quot;show&quot;:false}},&quot;templateId&quot;:&quot;5544734748594536493&quot;,&quot;templateSwitch&quot;:&quot;key-value&quot;,&quot;theme&quot;:{&quot;axis&quot;:{&quot;color&quot;:&quot;#a1a1a1&quot;},&quot;backgroundColor&quot;:&quot;#FFFFFF&quot;,&quot;colors&quot;:[&quot;#5AAEF3&quot;,&quot;#62D9AD&quot;,&quot;#5B6E96&quot;,&quot;#a8dffa&quot;,&quot;#ffdc4c&quot;,&quot;#FF974C&quot;,&quot;#E65A56&quot;,&quot;#6D61E4&quot;,&quot;#4A6FE2&quot;,&quot;#6D9AE7&quot;,&quot;#23C2DB&quot;,&quot;#D4EC59&quot;,&quot;#FFE88E&quot;,&quot;#FEB64D&quot;,&quot;#FB6E6C&quot;],&quot;fonts&quot;:{&quot;accessoryColor&quot;:&quot;#878787&quot;,&quot;color&quot;:&quot;#545454&quot;,&quot;fontFamily&quot;:&quot;黑体&quot;,&quot;fontSize&quot;:&quot;14&quot;},&quot;grid&quot;:{&quot;color&quot;:&quot;#ccc&quot;},&quot;name&quot;:&quot;默认主题&quot;,&quot;price&quot;:&quot;0.0&quot;,&quot;shapeColor&quot;:1,&quot;themeId&quot;:&quot;18&quot;,&quot;titleFont&quot;:{&quot;color&quot;:&quot;#4c4c4c&quot;,&quot;fontFamily&quot;:&quot;黑体&quot;,&quot;fontSize&quot;:&quot;36&quot;}},&quot;thumb&quot;:&quot;//web.docer.wpscdn.cn/docer/ds-page/images/TX1uSMvdp16D12h5XrG9jv.CE6FB975.jpg?imageView2/2/w/500/quality/90&quot;,&quot;title&quot;:&quot;基础饼图（圆角）&quot;,&quot;type&quot;:&quot;chart&quot;},&quot;dschart_id&quot;:&quot;5544734748594536493&quot;,&quot;id&quot;:&quot;97&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Sheet1!$A$52:$B$54</wpswe:context>
      <wpswe:count>3</wpswe:count>
      <wpswe:cells wpswe:idx="0">
        <wpswe:count>2</wpswe:count>
        <wpswe:formatCode>General</wpswe:formatCode>
        <wpswe:cell wpswe:idx="0">
          <wpswe:value>支出决算情况</wpswe:value>
        </wpswe:cell>
      </wpswe:cells>
      <wpswe:cells wpswe:idx="1">
        <wpswe:count>2</wpswe:count>
        <wpswe:formatCode>General</wpswe:formatCode>
        <wpswe:cell wpswe:idx="0">
          <wpswe:value>基本支出</wpswe:value>
        </wpswe:cell>
        <wpswe:cell wpswe:idx="1" wpswe:formatCode="0.00_ ">
          <wpswe:value>1023.48</wpswe:value>
        </wpswe:cell>
      </wpswe:cells>
      <wpswe:cells wpswe:idx="2">
        <wpswe:count>2</wpswe:count>
        <wpswe:formatCode>General</wpswe:formatCode>
        <wpswe:cell wpswe:idx="0">
          <wpswe:value>项目支出</wpswe:value>
        </wpswe:cell>
        <wpswe:cell wpswe:idx="1" wpswe:formatCode="0.00_ ">
          <wpswe:value>587.69</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https://clientweb.docer.wps.cn/ds/1.0.0/webShapeView?id=97&amp;dschart_id=444746070325460997-5&amp;from=chartwins&amp;productEntry=insert&amp;sceneEntry=rec</wpswe:url>
  <wpswe:constantSnapshot>false</wpswe:constantSnapshot>
</wpswe:webExtension>
</file>

<file path=word/webExtensions/webExtension4.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3946333864720385&quot;,&quot;chart_type&quot;:&quot;柱状图&quot;,&quot;classifty_type&quot;:[&quot;比较类&quot;],&quot;dataSrc&quot;:{&quot;data&quot;:[[[&quot;&quot;,&quot;收入&quot;,&quot;支出&quot;],[&quot;2024&quot;,&quot;1174.59&quot;,&quot;1174.59&quot;],[&quot;2025&quot;,&quot;1611.17&quot;,&quot;1611.17&quot;],[&quot;增减变化&quot;,&quot;37.17%&quot;,&quot;37.17%&quot;]]],&quot;dataType&quot;:&quot;obejct-table&quot;,&quot;download&quot;:false,&quot;srcType&quot;:&quot;local&quot;,&quot;url&quot;:&quot;&quot;},&quot;function_type&quot;:[&quot;柱形图&quot;],&quot;gif&quot;:&quot;https://image.dycharts.com/444734748594536323.gif?imageView2/2/w/500/quality/90&quot;,&quot;index&quot;:7,&quot;isFree&quot;:&quot;0&quot;,&quot;label&quot;:&quot;&lt;e-barbasic-chart&gt;&quot;,&quot;position&quot;:{&quot;left&quot;:0,&quot;top&quot;:0},&quot;price&quot;:0,&quot;projectId&quot;:&quot;164784560082398152&quot;,&quot;props&quot;:{&quot;animation&quot;:{&quot;duration&quot;:&quot;2&quot;,&quot;easeStyle&quot;:&quot;&quot;,&quot;endPause&quot;:&quot;1&quot;,&quot;moveOptions&quot;:[&quot;纵向整体拉伸&quot;,&quot;纵向分组拉伸&quot;,&quot;纵向分类拉伸&quot;,&quot;横向分组展开&quot;,&quot;横向同步展开&quot;,&quot;横向分类展开&quot;],&quot;moveStyle&quot;:&quot;纵向整体拉伸&quot;,&quot;startDelay&quot;:&quot;0&quot;,&quot;transition&quot;:true},&quot;axis&quot;:{&quot;color&quot;:&quot;#a1a1a1&quot;,&quot;grid&quot;:{&quot;color&quot;:&quot;#ccc&quot;,&quot;gridLineWidth&quot;:&quot;1&quot;,&quot;lineStyle&quot;:&quot;dashline&quot;,&quot;show&quot;:&quot;none&quot;},&quot;x&quot;:{&quot;axisColor&quot;:&quot;#bfbfbf&quot;,&quot;axisLineWidth&quot;:&quot;1&quot;,&quot;axisShow&quot;:true,&quot;labelAngle&quot;:&quot;0&quot;,&quot;labelDirection&quot;:&quot;自动&quot;,&quot;labelDirectionOptions&quot;:[&quot;自动&quot;,&quot;横排&quot;,&quot;竖排&quot;],&quot;labelShow&quot;:true,&quot;name&quot;:&quot;&quot;},&quot;y&quot;:{&quot;axisColor&quot;:&quot;#bfbfbf&quot;,&quot;axisLineWidth&quot;:&quot;1&quot;,&quot;axisShow&quot;:false,&quot;labelShow&quot;:false,&quot;labelSuffix&quot;:&quot;&quot;,&quot;name&quot;:&quot;&quot;,&quot;range&quot;:[],&quot;stepOfLabel&quot;:&quot;&quot;}},&quot;backgroundColor&quot;:&quot;#FEFFFF&quot;,&quot;colors&quot;:{&quot;colorControlers&quot;:[&quot;single&quot;,&quot;multiple&quot;,&quot;linear&quot;],&quot;list&quot;:[0,1],&quot;type&quot;:&quot;multiple&quot;},&quot;display&quot;:{&quot;bar4CornerRadius&quot;:[5,5,5,5],&quot;barWidthPercent&quot;:&quot;0.5&quot;,&quot;barborderColor&quot;:&quot;&quot;,&quot;barborderWidth&quot;:&quot;0&quot;,&quot;fillOpacity&quot;:&quot;1&quot;},&quot;font&quot;:{&quot;color&quot;:&quot;#545454&quot;,&quot;fontFamily&quot;:&quot;阿里巴巴普惠体常规&quot;,&quot;fontSize&quot;:&quot;14&quot;},&quot;label&quot;:{&quot;display&quot;:true,&quot;positionChoice&quot;:&quot;上面&quot;,&quot;positionOptions&quot;:[&quot;上面&quot;,&quot;内部居下&quot;],&quot;suffix&quot;:&quot;&quot;,&quot;textLabel&quot;:{&quot;color&quot;:&quot;#333333ff&quot;,&quot;fontFamily&quot;:&quot;Times New Roman&quot;,&quot;fontSize&quot;:&quot;14&quot;}},&quot;legend&quot;:{&quot;color&quot;:[&quot;#545454&quot;],&quot;fontFamily&quot;:&quot;阿里巴巴普惠体常规&quot;,&quot;fontSize&quot;:&quot;14&quot;,&quot;lineHeight&quot;:&quot;15&quot;,&quot;show&quot;:true,&quot;style&quot;:&quot;&quot;,&quot;styleOptions&quot;:&quot;&quot;,&quot;xPosition&quot;:&quot;center&quot;,&quot;yPosition&quot;:&quot;bottom&quot;},&quot;logoDisplay&quot;:{&quot;bottomLineHeight&quot;:&quot;15&quot;,&quot;imgHeight&quot;:&quot;32&quot;,&quot;imgUrl&quot;:&quot;https://ss1.dycharts.com/newchartLogo.png&quot;,&quot;show&quot;:false,&quot;topLineHeight&quot;:&quot;11&quot;},&quot;map&quot;:[[{&quot;allowType&quot;:[&quot;string&quot;],&quot;configurable&quot;:false,&quot;function&quot;:&quot;objCol&quot;,&quot;index&quot;:0,&quot;isLegend&quot;:false,&quot;name&quot;:&quot;X轴对象&quot;},{&quot;allowType&quot;:[&quot;number&quot;],&quot;configurable&quot;:true,&quot;function&quot;:&quot;vCol&quot;,&quot;index&quot;:1,&quot;isLegend&quot;:false,&quot;name&quot;:&quot;数值列&quot;},{&quot;allowType&quot;:[&quot;number&quot;],&quot;configurable&quot;:true,&quot;function&quot;:&quot;vCol&quot;,&quot;index&quot;:2,&quot;isLegend&quot;:false,&quot;name&quot;:&quot;数值列&quot;}]],&quot;numberFormat&quot;:{&quot;decimalPlaces&quot;:&quot;&quot;,&quot;style&quot;:&quot;1000.00&quot;},&quot;paddings&quot;:{&quot;bottom&quot;:&quot;23&quot;,&quot;chartBottom&quot;:&quot;5&quot;,&quot;left&quot;:&quot;24&quot;,&quot;right&quot;:&quot;24&quot;,&quot;top&quot;:&quot;20&quot;},&quot;publishDisplay&quot;:{&quot;color&quot;:&quot;#878787&quot;,&quot;fontFamily&quot;:&quot;阿里巴巴普惠体 常规&quot;,&quot;fontSize&quot;:&quot;14&quot;,&quot;show&quot;:false,&quot;text&quot;:&quot;镝数出品&quot;},&quot;shadow&quot;:{&quot;display&quot;:false,&quot;shadowAngle&quot;:&quot;45&quot;,&quot;shadowBlur&quot;:&quot;5&quot;,&quot;shadowColor&quot;:&quot;#c6c6c6&quot;,&quot;shadowOpacity&quot;:&quot;100&quot;,&quot;shadowRadius&quot;:&quot;3&quot;},&quot;size&quot;:{&quot;height&quot;:282,&quot;ratio&quot;:&quot;&quot;,&quot;rotate&quot;:0,&quot;width&quot;:591},&quot;sourceDisplay&quot;:{&quot;color&quot;:&quot;#878787&quot;,&quot;fontFamily&quot;:&quot;阿里巴巴普惠体 常规&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36&quot;,&quot;lineHeight&quot;:&quot;10&quot;,&quot;show&quot;:true,&quot;text&quot;:&quot;财政拨款收入支出决算总体情况&quot;,&quot;totalHeight&quot;:&quot;39&quot;,&quot;xPosition&quot;:&quot;left&quot;,&quot;yPosition&quot;:&quot;top&quot;},&quot;tooltip&quot;:true,&quot;unitDisplay&quot;:{&quot;bottomLineHeight&quot;:&quot;15&quot;,&quot;color&quot;:&quot;#878787&quot;,&quot;fontFamily&quot;:&quot;阿里巴巴普惠体常规&quot;,&quot;fontSize&quot;:&quot;14&quot;,&quot;show&quot;:true,&quot;text&quot;:&quot;单位：万元&quot;,&quot;xPosition&quot;:&quot;left&quot;,&quot;yPosition&quot;:&quot;top&quot;},&quot;watermarkDisplay&quot;:{&quot;imgHeight&quot;:&quot;80&quot;,&quot;imgUrl&quot;:&quot;https://ss1.dycharts.com/newchartWatermark.png&quot;,&quot;imgWidth&quot;:&quot;80&quot;,&quot;show&quot;:false}},&quot;templateId&quot;:&quot;444734748594536323-3&quot;,&quot;templateSwitch&quot;:&quot;cross&quot;,&quot;theme&quot;:{&quot;_id&quot;:44,&quot;axis&quot;:{&quot;color&quot;:&quot;#a1a1a1&quot;},&quot;backgroundColor&quot;:&quot;#FEFFFF&quot;,&quot;card_color&quot;:&quot;#E4F2F9&quot;,&quot;colors&quot;:[&quot;#5CA8CB&quot;,&quot;#397EA8&quot;,&quot;#7D6A87&quot;,&quot;#D19F99&quot;,&quot;#ECC4B7&quot;,&quot;#FAE0D3&quot;,&quot;#5CA8CB&quot;,&quot;#397EA8&quot;,&quot;#7D6A87&quot;,&quot;#D19F99&quot;,&quot;#ECC4B7&quot;,&quot;#FAE0D3&quot;,&quot;#ECC4B7&quot;,&quot;#FAE0D3&quot;],&quot;fonts&quot;:{&quot;accessoryColor&quot;:&quot;#878787&quot;,&quot;color&quot;:&quot;#545454&quot;,&quot;fontFamily&quot;:&quot;阿里巴巴普惠体常规&quot;,&quot;fontSize&quot;:&quot;14&quot;},&quot;grid&quot;:{&quot;color&quot;:&quot;#ccc&quot;},&quot;name&quot;:&quot;从容自若&quot;,&quot;price&quot;:0,&quot;shapeColor&quot;:1,&quot;themeId&quot;:44,&quot;thumb&quot;:&quot;https://ss1.dydata.io/v2/themes/44.png&quot;,&quot;titleFont&quot;:{&quot;color&quot;:&quot;#4c4c4c&quot;,&quot;fontFamily&quot;:&quot;阿里巴巴普惠体 常规&quot;,&quot;fontSize&quot;:&quot;36&quot;},&quot;typeColor&quot;:{&quot;name&quot;:[&quot;蓝色&quot;],&quot;num&quot;:[&quot;3&quot;]},&quot;typeStyle&quot;:{&quot;name&quot;:[&quot;简约&quot;],&quot;num&quot;:[&quot;1&quot;]},&quot;typeSystem&quot;:{&quot;name&quot;:[&quot;浅色系&quot;,&quot;多彩系&quot;],&quot;num&quot;:[&quot;4&quot;,&quot;1&quot;]}},&quot;thumb&quot;:&quot;//web.docer.wpscdn.cn/docer/ds-page/images/444734748594536323-3.png&quot;,&quot;title&quot;:&quot;基础柱状图&quot;,&quot;type&quot;:&quot;chart&quot;},&quot;dschart_id&quot;:&quot;444734748594536323-3&quot;,&quot;id&quot;:&quot;40&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Sheet1!$A$78:$C$81</wpswe:context>
      <wpswe:count>4</wpswe:count>
      <wpswe:cells wpswe:idx="0">
        <wpswe:count>3</wpswe:count>
        <wpswe:formatCode>General</wpswe:formatCode>
        <wpswe:cell wpswe:idx="1" wpswe:formatCode="@">
          <wpswe:value>收入</wpswe:value>
        </wpswe:cell>
        <wpswe:cell wpswe:idx="2" wpswe:formatCode="@">
          <wpswe:value>支出</wpswe:value>
        </wpswe:cell>
      </wpswe:cells>
      <wpswe:cells wpswe:idx="1">
        <wpswe:count>3</wpswe:count>
        <wpswe:formatCode>General</wpswe:formatCode>
        <wpswe:cell wpswe:idx="0">
          <wpswe:value>2024</wpswe:value>
        </wpswe:cell>
        <wpswe:cell wpswe:idx="1" wpswe:formatCode="@">
          <wpswe:value>1174.59</wpswe:value>
        </wpswe:cell>
        <wpswe:cell wpswe:idx="2" wpswe:formatCode="@">
          <wpswe:value>1174.59</wpswe:value>
        </wpswe:cell>
      </wpswe:cells>
      <wpswe:cells wpswe:idx="2">
        <wpswe:count>3</wpswe:count>
        <wpswe:formatCode>General</wpswe:formatCode>
        <wpswe:cell wpswe:idx="0">
          <wpswe:value>2025</wpswe:value>
        </wpswe:cell>
        <wpswe:cell wpswe:idx="1" wpswe:formatCode="@">
          <wpswe:value>1611.17</wpswe:value>
        </wpswe:cell>
        <wpswe:cell wpswe:idx="2" wpswe:formatCode="@">
          <wpswe:value>1611.17</wpswe:value>
        </wpswe:cell>
      </wpswe:cells>
      <wpswe:cells wpswe:idx="3">
        <wpswe:count>3</wpswe:count>
        <wpswe:formatCode>General</wpswe:formatCode>
        <wpswe:cell wpswe:idx="0">
          <wpswe:value>增减变化</wpswe:value>
        </wpswe:cell>
        <wpswe:cell wpswe:idx="1" wpswe:formatCode="@">
          <wpswe:value>37.17%</wpswe:value>
        </wpswe:cell>
        <wpswe:cell wpswe:idx="2" wpswe:formatCode="@">
          <wpswe:value>37.17%</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https://clientweb.docer.wps.cn/ds/1.0.0/webShapeView?id=40&amp;dschart_id=444734748594536323&amp;from=chartwins&amp;productEntry=insert&amp;sceneEntry=rec</wpswe:url>
  <wpswe:constantSnapshot>false</wpswe:constantSnapshot>
</wpswe:webExtension>
</file>

<file path=word/webExtensions/webExtension5.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9688700346085&quot;,&quot;chart_type&quot;:&quot;柱状图&quot;,&quot;classifty_type&quot;:[&quot;比较类&quot;],&quot;dataSrc&quot;:{&quot;data&quot;:[[[&quot;年份&quot;,&quot;&quot;],[&quot;2024&quot;,&quot;1174.59&quot;],[&quot;2025&quot;,&quot;1611.17&quot;],[&quot;变动比例&quot;,&quot;37.17%&quot;]]],&quot;dataType&quot;:&quot;obejct-table&quot;,&quot;download&quot;:false,&quot;srcType&quot;:&quot;local&quot;,&quot;url&quot;:&quot;&quot;},&quot;function_type&quot;:[&quot;柱形图&quot;],&quot;gif&quot;:&quot;//web.docer.wpscdn.cn/docer/ds-page/images/444734748594536323.gif?imageView2/2/w/500/quality/90&quot;,&quot;isFree&quot;:&quot;0&quot;,&quot;label&quot;:&quot;&lt;e-barbasic-chart&gt;&quot;,&quot;projectId&quot;:&quot;444734748594536323&quot;,&quot;props&quot;:{&quot;animation&quot;:{&quot;duration&quot;:&quot;2&quot;,&quot;easeStyle&quot;:&quot;&quot;,&quot;endPause&quot;:&quot;1&quot;,&quot;moveOptions&quot;:[&quot;纵向整体拉伸&quot;,&quot;纵向分组拉伸&quot;,&quot;纵向分类拉伸&quot;,&quot;横向分组展开&quot;,&quot;横向同步展开&quot;,&quot;横向分类展开&quot;],&quot;moveStyle&quot;:&quot;纵向整体拉伸&quot;,&quot;startDelay&quot;:&quot;0&quot;,&quot;transition&quot;:true},&quot;axis&quot;:{&quot;grid&quot;:{&quot;color&quot;:&quot;#e9e9e9&quot;,&quot;gridLineWidth&quot;:&quot;1&quot;,&quot;lineStyle&quot;:&quot;dashline&quot;,&quot;show&quot;:&quot;x&quot;},&quot;x&quot;:{&quot;axisColor&quot;:&quot;#bfbfbf&quot;,&quot;axisLineWidth&quot;:&quot;1&quot;,&quot;axisShow&quot;:true,&quot;labelAngle&quot;:&quot;0&quot;,&quot;labelDirection&quot;:&quot;自动&quot;,&quot;labelDirectionOptions&quot;:[&quot;自动&quot;,&quot;横排&quot;,&quot;竖排&quot;],&quot;labelShow&quot;:true,&quot;name&quot;:&quot;&quot;},&quot;y&quot;:{&quot;axisColor&quot;:&quot;#bfbfbf&quot;,&quot;axisLineWidth&quot;:&quot;1&quot;,&quot;axisShow&quot;:false,&quot;labelShow&quot;:true,&quot;labelSuffix&quot;:&quot;&quot;,&quot;name&quot;:&quot;&quot;,&quot;range&quot;:[],&quot;stepOfLabel&quot;:&quot;&quot;}},&quot;backgroundColor&quot;:&quot;&quot;,&quot;colors&quot;:{&quot;colorControlers&quot;:[&quot;multiple&quot;],&quot;list&quot;:[0],&quot;type&quot;:&quot;multiple&quot;},&quot;display&quot;:{&quot;bar4CornerRadius&quot;:[0,0,0,0],&quot;barWidthPercent&quot;:&quot;0.5&quot;,&quot;barborderColor&quot;:&quot;&quot;,&quot;barborderWidth&quot;:&quot;0&quot;,&quot;fillOpacity&quot;:&quot;1&quot;},&quot;font&quot;:{&quot;color&quot;:&quot;#545454&quot;,&quot;fontFamily&quot;:&quot;黑体&quot;,&quot;fontSize&quot;:&quot;14&quot;},&quot;label&quot;:{&quot;display&quot;:true,&quot;positionChoice&quot;:&quot;上面&quot;,&quot;positionOptions&quot;:[&quot;上面&quot;,&quot;内部居下&quot;],&quot;suffix&quot;:&quot;&quot;,&quot;textLabel&quot;:{&quot;color&quot;:&quot;#545454&quot;,&quot;fontFamily&quot;:&quot;黑体&quot;,&quot;fontSize&quot;:&quot;14&quot;}},&quot;legend&quot;:{&quot;color&quot;:[&quot;#545454&quot;],&quot;fontFamily&quot;:[&quot;黑体&quot;],&quot;fontSize&quot;:&quot;14&quot;,&quot;lineHeight&quot;:&quot;15&quot;,&quot;show&quot;:true,&quot;style&quot;:&quot;&quot;,&quot;styleOptions&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false,&quot;name&quot;:&quot;X轴对象&quot;},{&quot;allowType&quot;:[&quot;number&quot;],&quot;configurable&quot;:true,&quot;function&quot;:&quot;vCol&quot;,&quot;index&quot;:1,&quot;isLegend&quot;:false,&quot;name&quot;:&quot;数值列&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false,&quot;shadowAngle&quot;:&quot;45&quot;,&quot;shadowBlur&quot;:&quot;5&quot;,&quot;shadowColor&quot;:&quot;#c6c6c6&quot;,&quot;shadowOpacity&quot;:&quot;100&quot;,&quot;shadowRadius&quot;:&quot;3&quot;},&quot;size&quot;:{&quot;height&quot;:288,&quot;ratio&quot;:&quot;&quot;,&quot;rotate&quot;:0,&quot;width&quot;:499},&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黑体&quot;,&quot;fontSize&quot;:&quot;22&quot;,&quot;lineHeight&quot;:&quot;10&quot;,&quot;show&quot;:true,&quot;text&quot;:&quot;一般公共预算财政拨款支出决算变动情况&quot;,&quot;totalHeight&quot;:&quot;39&quot;,&quot;xPosition&quot;:&quot;center&quot;,&quot;yPosition&quot;:&quot;top&quot;},&quot;tooltip&quot;:true,&quot;unitDisplay&quot;:{&quot;bottomLineHeight&quot;:&quot;15&quot;,&quot;color&quot;:&quot;#878787&quot;,&quot;fontFamily&quot;:&quot;黑体&quot;,&quot;fontSize&quot;:&quot;14&quot;,&quot;show&quot;:true,&quot;text&quot;:&quot;单位：万元&quot;,&quot;xPosition&quot;:&quot;left&quot;,&quot;yPosition&quot;:&quot;top&quot;},&quot;watermarkDisplay&quot;:{&quot;imgHeight&quot;:&quot;80&quot;,&quot;imgUrl&quot;:&quot;https://ss1.dydata.io/newchartWatermark.png&quot;,&quot;imgWidth&quot;:&quot;80&quot;,&quot;show&quot;:false}},&quot;templateId&quot;:&quot;444734748594536323&quot;,&quot;templateSwitch&quot;:&quot;cross&quot;,&quot;theme&quot;:{&quot;axis&quot;:{&quot;color&quot;:&quot;#a1a1a1&quot;},&quot;backgroundColor&quot;:&quot;#FFFFFF&quot;,&quot;colors&quot;:[&quot;#5AAEF3&quot;,&quot;#62D9AD&quot;,&quot;#5B6E96&quot;,&quot;#a8dffa&quot;,&quot;#ffdc4c&quot;,&quot;#FF974C&quot;,&quot;#E65A56&quot;,&quot;#6D61E4&quot;,&quot;#4A6FE2&quot;,&quot;#6D9AE7&quot;,&quot;#23C2DB&quot;,&quot;#D4EC59&quot;,&quot;#FFE88E&quot;,&quot;#FEB64D&quot;,&quot;#FB6E6C&quot;],&quot;fonts&quot;:{&quot;accessoryColor&quot;:&quot;#878787&quot;,&quot;color&quot;:&quot;#545454&quot;,&quot;fontFamily&quot;:&quot;黑体&quot;,&quot;fontSize&quot;:&quot;14&quot;},&quot;grid&quot;:{&quot;color&quot;:&quot;#ccc&quot;},&quot;name&quot;:&quot;默认主题&quot;,&quot;price&quot;:&quot;0.0&quot;,&quot;shapeColor&quot;:1,&quot;themeId&quot;:&quot;18&quot;,&quot;titleFont&quot;:{&quot;color&quot;:&quot;#4c4c4c&quot;,&quot;fontFamily&quot;:&quot;黑体&quot;,&quot;fontSize&quot;:&quot;36&quot;}},&quot;thumb&quot;:&quot;//web.docer.wpscdn.cn/docer/ds-page/images/S9mQy7TtDPRefubPR9f5hY.CBEB17BE.jpg?imageView2/2/w/500/quality/90&quot;,&quot;title&quot;:&quot;基础柱状图&quot;,&quot;type&quot;:&quot;chart&quot;},&quot;dschart_id&quot;:&quot;444734748594536323&quot;,&quot;id&quot;:&quot;40&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Sheet1!$A$89:$B$92</wpswe:context>
      <wpswe:count>4</wpswe:count>
      <wpswe:cells wpswe:idx="0">
        <wpswe:count>2</wpswe:count>
        <wpswe:formatCode>General</wpswe:formatCode>
        <wpswe:cell wpswe:idx="0">
          <wpswe:value>年份</wpswe:value>
        </wpswe:cell>
      </wpswe:cells>
      <wpswe:cells wpswe:idx="1">
        <wpswe:count>2</wpswe:count>
        <wpswe:formatCode>General</wpswe:formatCode>
        <wpswe:cell wpswe:idx="0">
          <wpswe:value>2024</wpswe:value>
        </wpswe:cell>
        <wpswe:cell wpswe:idx="1" wpswe:formatCode="@">
          <wpswe:value>1174.59</wpswe:value>
        </wpswe:cell>
      </wpswe:cells>
      <wpswe:cells wpswe:idx="2">
        <wpswe:count>2</wpswe:count>
        <wpswe:formatCode>General</wpswe:formatCode>
        <wpswe:cell wpswe:idx="0">
          <wpswe:value>2025</wpswe:value>
        </wpswe:cell>
        <wpswe:cell wpswe:idx="1" wpswe:formatCode="@">
          <wpswe:value>1611.17</wpswe:value>
        </wpswe:cell>
      </wpswe:cells>
      <wpswe:cells wpswe:idx="3">
        <wpswe:count>2</wpswe:count>
        <wpswe:formatCode>General</wpswe:formatCode>
        <wpswe:cell wpswe:idx="0">
          <wpswe:value>变动比例</wpswe:value>
        </wpswe:cell>
        <wpswe:cell wpswe:idx="1" wpswe:formatCode="@">
          <wpswe:value>37.17%</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https://clientweb.docer.wps.cn/ds/1.0.0/webShapeView?id=40&amp;dschart_id=444734748594536323&amp;from=chartwins&amp;productEntry=insert&amp;sceneEntry=rec</wpswe:url>
  <wpswe:constantSnapshot>false</wpswe:constantSnapshot>
</wpswe:webExtension>
</file>

<file path=word/webExtensions/webExtension6.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3067158731941&quot;,&quot;chart_type&quot;:&quot;饼图&quot;,&quot;classifty_type&quot;:[&quot;占比类&quot;],&quot;dataSrc&quot;:{&quot;data&quot;:[[[&quot;一般公共预算财政拨款支出决算结构&quot;,&quot;&quot;],[&quot;一般公共服务（类）支出&quot;,&quot;1091.66&quot;],[&quot;社会保障和就业（类）支出&quot;,&quot;136.32&quot;],[&quot;卫生健康支出&quot;,&quot;50.57&quot;],[&quot;住房保障支出&quot;,&quot;72.27&quot;],[&quot;资源勘探工业信息等支出&quot;,&quot;260.36&quot;]]],&quot;dataType&quot;:&quot;obejct-table&quot;,&quot;download&quot;:false,&quot;srcType&quot;:&quot;local&quot;,&quot;url&quot;:&quot;&quot;},&quot;function_type&quot;:[&quot;饼图&quot;],&quot;gif&quot;:&quot;//web.docer.wpscdn.cn/docer/ds-page/images/444746070325460997.gif?imageView2/2/w/500/quality/90&quot;,&quot;isDocNotWatermark&quot;:true,&quot;isFree&quot;:&quot;0&quot;,&quot;label&quot;:&quot;&lt;e-piebasic-chart&gt;&quot;,&quot;projectId&quot;:&quot;444746070325460997&quot;,&quot;props&quot;:{&quot;animation&quot;:{&quot;duration&quot;:&quot;1.5&quot;,&quot;easeStyle&quot;:&quot;&quot;,&quot;endPause&quot;:&quot;1&quot;,&quot;moveOptions&quot;:[&quot;轮子&quot;,&quot;百叶窗&quot;,&quot;折扇&quot;,&quot;径向展开&quot;],&quot;moveStyle&quot;:&quot;轮子&quot;,&quot;startDelay&quot;:&quot;0&quot;,&quot;transition&quot;:true},&quot;axis&quot;:&quot;&quot;,&quot;backgroundColor&quot;:&quot;#FEFFFF&quot;,&quot;colors&quot;:{&quot;colorControlers&quot;:[&quot;multiple&quot;,&quot;linear&quot;],&quot;list&quot;:[0,1,2,3,4,5],&quot;type&quot;:&quot;multiple&quot;},&quot;display&quot;:{&quot;borderColor&quot;:&quot;#FFFFFF&quot;,&quot;borderWidth&quot;:&quot;1&quot;,&quot;cornerRadius&quot;:&quot;0&quot;,&quot;fillOpacity&quot;:&quot;1&quot;,&quot;gapPercentage&quot;:&quot;0&quot;,&quot;innerRadiusRatio&quot;:&quot;0&quot;},&quot;label&quot;:{&quot;contentChoice&quot;:[&quot;名称&quot;,&quot;百分比&quot;],&quot;contentOption&quot;:[&quot;名称&quot;,&quot;百分比&quot;,&quot;数值&quot;],&quot;display&quot;:true,&quot;positionChoice&quot;:&quot;内部水平&quot;,&quot;positionOptions&quot;:[&quot;内部周向&quot;,&quot;内部水平&quot;,&quot;外部&quot;],&quot;suffix&quot;:&quot;&quot;,&quot;textLabel&quot;:{&quot;color&quot;:&quot;#545454&quot;,&quot;fontFamily&quot;:&quot;黑体&quot;,&quot;fontSize&quot;:&quot;10&quot;}},&quot;legend&quot;:{&quot;color&quot;:[&quot;#545454&quot;],&quot;fontFamily&quot;:[&quot;阿里巴巴普惠体常规&quot;],&quot;fontSize&quot;:&quot;14&quot;,&quot;lineHeight&quot;:&quot;15&quot;,&quot;show&quot;:true,&quot;style&quot;:&quot;&quot;,&quot;styleOptions&quot;:&quot;&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true,&quot;name&quot;:&quot;名称&quot;},{&quot;allowType&quot;:[&quot;number&quot;],&quot;configurable&quot;:false,&quot;function&quot;:&quot;vCol&quot;,&quot;index&quot;:1,&quot;isLegend&quot;:false,&quot;name&quot;:&quot;值&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false,&quot;shadowAngle&quot;:&quot;45&quot;,&quot;shadowBlur&quot;:&quot;5&quot;,&quot;shadowColor&quot;:&quot;#c6c6c6&quot;,&quot;shadowOpacity&quot;:&quot;100&quot;,&quot;shadowRadius&quot;:&quot;3&quot;},&quot;size&quot;:{&quot;height&quot;:370,&quot;ratio&quot;:&quot;&quot;,&quot;rotate&quot;:0,&quot;width&quot;:509},&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25&quot;,&quot;lineHeight&quot;:&quot;10&quot;,&quot;show&quot;:true,&quot;text&quot;:&quot;一般公共预算财政拨款支出决算结构&quot;,&quot;totalHeight&quot;:&quot;39&quot;,&quot;xPosition&quot;:&quot;center&quot;,&quot;yPosition&quot;:&quot;top&quot;},&quot;tooltip&quot;:true,&quot;unitDisplay&quot;:{&quot;bottomLineHeight&quot;:&quot;15&quot;,&quot;color&quot;:&quot;#878787&quot;,&quot;fontFamily&quot;:&quot;阿里巴巴普惠体常规&quot;,&quot;fontSize&quot;:&quot;14&quot;,&quot;show&quot;:false,&quot;text&quot;:&quot;单位：%&quot;,&quot;xPosition&quot;:&quot;left&quot;,&quot;yPosition&quot;:&quot;top&quot;},&quot;watermarkDisplay&quot;:{&quot;imgHeight&quot;:&quot;80&quot;,&quot;imgUrl&quot;:&quot;https://ss1.dydata.io/newchartWatermark.png&quot;,&quot;imgWidth&quot;:&quot;80&quot;,&quot;show&quot;:false}},&quot;templateId&quot;:&quot;444746070325460997&quot;,&quot;templateSwitch&quot;:&quot;key-value&quot;,&quot;theme&quot;:{&quot;_id&quot;:44,&quot;axis&quot;:{&quot;color&quot;:&quot;#a1a1a1&quot;},&quot;backgroundColor&quot;:&quot;#FEFFFF&quot;,&quot;card_color&quot;:&quot;#E4F2F9&quot;,&quot;colors&quot;:[&quot;#5CA8CB&quot;,&quot;#397EA8&quot;,&quot;#7D6A87&quot;,&quot;#D19F99&quot;,&quot;#ECC4B7&quot;,&quot;#FAE0D3&quot;,&quot;#5CA8CB&quot;,&quot;#397EA8&quot;,&quot;#7D6A87&quot;,&quot;#D19F99&quot;,&quot;#ECC4B7&quot;,&quot;#FAE0D3&quot;,&quot;#ECC4B7&quot;,&quot;#FAE0D3&quot;],&quot;fonts&quot;:{&quot;accessoryColor&quot;:&quot;#878787&quot;,&quot;color&quot;:&quot;#545454&quot;,&quot;fontFamily&quot;:&quot;阿里巴巴普惠体常规&quot;,&quot;fontSize&quot;:&quot;14&quot;},&quot;grid&quot;:{&quot;color&quot;:&quot;#ccc&quot;},&quot;name&quot;:&quot;从容自若&quot;,&quot;price&quot;:0,&quot;shapeColor&quot;:1,&quot;themeId&quot;:44,&quot;thumb&quot;:&quot;https://ss1.dydata.io/v2/themes/44.png&quot;,&quot;titleFont&quot;:{&quot;color&quot;:&quot;#4c4c4c&quot;,&quot;fontFamily&quot;:&quot;阿里巴巴普惠体 常规&quot;,&quot;fontSize&quot;:&quot;36&quot;},&quot;typeColor&quot;:{&quot;name&quot;:[&quot;蓝色&quot;],&quot;num&quot;:[&quot;3&quot;]},&quot;typeStyle&quot;:{&quot;name&quot;:[&quot;简约&quot;],&quot;num&quot;:[&quot;1&quot;]},&quot;typeSystem&quot;:{&quot;name&quot;:[&quot;浅色系&quot;,&quot;多彩系&quot;],&quot;num&quot;:[&quot;4&quot;,&quot;1&quot;]}},&quot;thumb&quot;:&quot;//web.docer.wpscdn.cn/docer/ds-page/images/E8hjxBcbsDqAkMBMmTgoN2.D0C288B1.jpg?imageView2/2/w/500/quality/90&quot;,&quot;title&quot;:&quot;基础饼图&quot;,&quot;type&quot;:&quot;chart&quot;},&quot;dschart_id&quot;:&quot;444746070325460997&quot;,&quot;id&quot;:&quot;50&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Sheet1!$A$116:$B$121</wpswe:context>
      <wpswe:count>6</wpswe:count>
      <wpswe:cells wpswe:idx="0">
        <wpswe:count>2</wpswe:count>
        <wpswe:formatCode>General</wpswe:formatCode>
        <wpswe:cell wpswe:idx="0">
          <wpswe:value>一般公共预算财政拨款支出决算结构</wpswe:value>
        </wpswe:cell>
      </wpswe:cells>
      <wpswe:cells wpswe:idx="1">
        <wpswe:count>2</wpswe:count>
        <wpswe:formatCode>General</wpswe:formatCode>
        <wpswe:cell wpswe:idx="0">
          <wpswe:value>一般公共服务（类）支出</wpswe:value>
        </wpswe:cell>
        <wpswe:cell wpswe:idx="1">
          <wpswe:value>1091.66</wpswe:value>
        </wpswe:cell>
      </wpswe:cells>
      <wpswe:cells wpswe:idx="2">
        <wpswe:count>2</wpswe:count>
        <wpswe:formatCode>General</wpswe:formatCode>
        <wpswe:cell wpswe:idx="0">
          <wpswe:value>社会保障和就业（类）支出</wpswe:value>
        </wpswe:cell>
        <wpswe:cell wpswe:idx="1">
          <wpswe:value>136.32</wpswe:value>
        </wpswe:cell>
      </wpswe:cells>
      <wpswe:cells wpswe:idx="3">
        <wpswe:count>2</wpswe:count>
        <wpswe:formatCode>General</wpswe:formatCode>
        <wpswe:cell wpswe:idx="0">
          <wpswe:value>卫生健康支出</wpswe:value>
        </wpswe:cell>
        <wpswe:cell wpswe:idx="1">
          <wpswe:value>50.57</wpswe:value>
        </wpswe:cell>
      </wpswe:cells>
      <wpswe:cells wpswe:idx="4">
        <wpswe:count>2</wpswe:count>
        <wpswe:formatCode>General</wpswe:formatCode>
        <wpswe:cell wpswe:idx="0">
          <wpswe:value>住房保障支出</wpswe:value>
        </wpswe:cell>
        <wpswe:cell wpswe:idx="1">
          <wpswe:value>72.27</wpswe:value>
        </wpswe:cell>
      </wpswe:cells>
      <wpswe:cells wpswe:idx="5">
        <wpswe:count>2</wpswe:count>
        <wpswe:formatCode>General</wpswe:formatCode>
        <wpswe:cell wpswe:idx="0">
          <wpswe:value>资源勘探工业信息等支出</wpswe:value>
        </wpswe:cell>
        <wpswe:cell wpswe:idx="1">
          <wpswe:value>260.36</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https://clientweb.docer.wps.cn/ds/1.0.0/webShapeView?id=50&amp;dschart_id=444746070325460997&amp;from=chartwins&amp;productEntry=insert&amp;sceneEntry=rec</wpswe:url>
  <wpswe:constantSnapshot>false</wpswe:constantSnapshot>
</wpswe:webExtension>
</file>

<file path=word/webExtensions/webExtension7.xml><?xml version="1.0" encoding="utf-8"?>
<wpswe:webExtension xmlns:wpswe="http://www.wps.cn/officeDocument/2018/webExtension" xmlns:webet="https://web.wps.cn/et/2018/main" webet:type="Normal" type="0" webet:id="">
  <wpswe:extSource id="dschart" version="1.0"/>
  <wpswe:properties>
    <wpswe:property key="DiscardFirstCodeChange" value="0"/>
    <wpswe:property key="autoSnapshot" value="0"/>
    <wpswe:property key="dschart" value="{&quot;dschart_data&quot;:{&quot;blockId&quot;:&quot;161243067158731941&quot;,&quot;chart_type&quot;:&quot;饼图&quot;,&quot;classifty_type&quot;:[&quot;占比类&quot;],&quot;dataSrc&quot;:{&quot;data&quot;:[[[&quot;“三公”经费财政拨款支出结构&quot;,&quot;&quot;],[&quot;因公出国（境）费支出&quot;,&quot;0&quot;],[&quot;公务用车购置及运行维护费支出&quot;,&quot;133.39&quot;],[&quot;公务接待费支出&quot;,&quot;0.04&quot;]]],&quot;dataType&quot;:&quot;obejct-table&quot;,&quot;download&quot;:false,&quot;srcType&quot;:&quot;local&quot;,&quot;url&quot;:&quot;&quot;},&quot;function_type&quot;:[&quot;饼图&quot;],&quot;gif&quot;:&quot;//web.docer.wpscdn.cn/docer/ds-page/images/444746070325460997.gif?imageView2/2/w/500/quality/90&quot;,&quot;isFree&quot;:&quot;0&quot;,&quot;label&quot;:&quot;&lt;e-piebasic-chart&gt;&quot;,&quot;projectId&quot;:&quot;444746070325460997&quot;,&quot;props&quot;:{&quot;animation&quot;:{&quot;duration&quot;:&quot;1.5&quot;,&quot;easeStyle&quot;:&quot;&quot;,&quot;endPause&quot;:&quot;1&quot;,&quot;moveOptions&quot;:[&quot;轮子&quot;,&quot;百叶窗&quot;,&quot;折扇&quot;,&quot;径向展开&quot;],&quot;moveStyle&quot;:&quot;轮子&quot;,&quot;startDelay&quot;:&quot;0&quot;,&quot;transition&quot;:true},&quot;axis&quot;:&quot;&quot;,&quot;backgroundColor&quot;:&quot;#FEFFFF&quot;,&quot;colors&quot;:{&quot;colorControlers&quot;:[&quot;multiple&quot;,&quot;linear&quot;],&quot;list&quot;:[0,1,2],&quot;type&quot;:&quot;multiple&quot;},&quot;display&quot;:{&quot;borderColor&quot;:&quot;#FFFFFF&quot;,&quot;borderWidth&quot;:&quot;1&quot;,&quot;cornerRadius&quot;:&quot;0&quot;,&quot;fillOpacity&quot;:&quot;1&quot;,&quot;gapPercentage&quot;:&quot;0&quot;,&quot;innerRadiusRatio&quot;:&quot;0&quot;},&quot;label&quot;:{&quot;contentChoice&quot;:[&quot;名称&quot;,&quot;百分比&quot;],&quot;contentOption&quot;:[&quot;名称&quot;,&quot;百分比&quot;,&quot;数值&quot;],&quot;display&quot;:true,&quot;positionChoice&quot;:&quot;内部水平&quot;,&quot;positionOptions&quot;:[&quot;内部周向&quot;,&quot;内部水平&quot;,&quot;外部&quot;],&quot;suffix&quot;:&quot;&quot;,&quot;textLabel&quot;:{&quot;color&quot;:&quot;#545454&quot;,&quot;fontFamily&quot;:&quot;黑体&quot;,&quot;fontSize&quot;:&quot;12&quot;}},&quot;legend&quot;:{&quot;color&quot;:[&quot;#545454&quot;],&quot;fontFamily&quot;:[&quot;阿里巴巴普惠体常规&quot;],&quot;fontSize&quot;:&quot;14&quot;,&quot;lineHeight&quot;:&quot;15&quot;,&quot;show&quot;:true,&quot;style&quot;:&quot;&quot;,&quot;styleOptions&quot;:&quot;&quot;,&quot;xPosition&quot;:&quot;center&quot;,&quot;yPosition&quot;:&quot;bottom&quot;},&quot;logoDisplay&quot;:{&quot;bottomLineHeight&quot;:&quot;15&quot;,&quot;imgHeight&quot;:&quot;32&quot;,&quot;imgUrl&quot;:&quot;https://ss1.dydata.io/newchartLogo.png&quot;,&quot;show&quot;:true,&quot;topLineHeight&quot;:&quot;11&quot;},&quot;map&quot;:[[{&quot;allowType&quot;:[&quot;string&quot;],&quot;configurable&quot;:false,&quot;function&quot;:&quot;objCol&quot;,&quot;index&quot;:0,&quot;isLegend&quot;:true,&quot;name&quot;:&quot;名称&quot;},{&quot;allowType&quot;:[&quot;number&quot;],&quot;configurable&quot;:false,&quot;function&quot;:&quot;vCol&quot;,&quot;index&quot;:1,&quot;isLegend&quot;:false,&quot;name&quot;:&quot;值&quot;}]],&quot;numberFormat&quot;:{&quot;decimalPlaces&quot;:&quot;&quot;,&quot;style&quot;:&quot;1000.00&quot;},&quot;paddings&quot;:{&quot;bottom&quot;:&quot;33&quot;,&quot;chartBottom&quot;:&quot;5&quot;,&quot;left&quot;:&quot;24&quot;,&quot;right&quot;:&quot;24&quot;,&quot;top&quot;:&quot;24&quot;},&quot;publishDisplay&quot;:{&quot;color&quot;:&quot;#878787&quot;,&quot;fontFamily&quot;:&quot;黑体&quot;,&quot;fontSize&quot;:&quot;14&quot;,&quot;show&quot;:true,&quot;text&quot;:&quot;镝数出品&quot;},&quot;shadow&quot;:{&quot;display&quot;:false,&quot;shadowAngle&quot;:&quot;45&quot;,&quot;shadowBlur&quot;:&quot;5&quot;,&quot;shadowColor&quot;:&quot;#c6c6c6&quot;,&quot;shadowOpacity&quot;:&quot;100&quot;,&quot;shadowRadius&quot;:&quot;3&quot;},&quot;size&quot;:{&quot;height&quot;:288,&quot;ratio&quot;:&quot;&quot;,&quot;rotate&quot;:0,&quot;width&quot;:480},&quot;sourceDisplay&quot;:{&quot;color&quot;:&quot;#878787&quot;,&quot;fontFamily&quot;:&quot;黑体&quot;,&quot;fontSize&quot;:&quot;14&quot;,&quot;show&quot;:false,&quot;text&quot;:&quot;数据来源：示例数据&quot;,&quot;topLineHeight&quot;:&quot;15&quot;,&quot;xPosition&quot;:&quot;left&quot;,&quot;yPosition&quot;:&quot;bottom&quot;},&quot;titleDisplay&quot;:{&quot;color&quot;:&quot;#4c4c4c&quot;,&quot;fontFamily&quot;:&quot;阿里巴巴普惠体 常规&quot;,&quot;fontSize&quot;:&quot;22&quot;,&quot;lineHeight&quot;:&quot;10&quot;,&quot;show&quot;:true,&quot;text&quot;:&quot;“三公”经费财政拨款支出结构&quot;,&quot;totalHeight&quot;:&quot;39&quot;,&quot;xPosition&quot;:&quot;center&quot;,&quot;yPosition&quot;:&quot;top&quot;},&quot;tooltip&quot;:true,&quot;unitDisplay&quot;:{&quot;bottomLineHeight&quot;:&quot;15&quot;,&quot;color&quot;:&quot;#878787&quot;,&quot;fontFamily&quot;:&quot;阿里巴巴普惠体常规&quot;,&quot;fontSize&quot;:&quot;14&quot;,&quot;show&quot;:true,&quot;text&quot;:&quot;单位：%&quot;,&quot;xPosition&quot;:&quot;left&quot;,&quot;yPosition&quot;:&quot;top&quot;},&quot;watermarkDisplay&quot;:{&quot;imgHeight&quot;:&quot;80&quot;,&quot;imgUrl&quot;:&quot;https://ss1.dydata.io/newchartWatermark.png&quot;,&quot;imgWidth&quot;:&quot;80&quot;,&quot;show&quot;:false}},&quot;templateId&quot;:&quot;444746070325460997&quot;,&quot;templateSwitch&quot;:&quot;key-value&quot;,&quot;theme&quot;:{&quot;_id&quot;:44,&quot;axis&quot;:{&quot;color&quot;:&quot;#a1a1a1&quot;},&quot;backgroundColor&quot;:&quot;#FEFFFF&quot;,&quot;card_color&quot;:&quot;#E4F2F9&quot;,&quot;colors&quot;:[&quot;#5CA8CB&quot;,&quot;#397EA8&quot;,&quot;#7D6A87&quot;,&quot;#D19F99&quot;,&quot;#ECC4B7&quot;,&quot;#FAE0D3&quot;,&quot;#5CA8CB&quot;,&quot;#397EA8&quot;,&quot;#7D6A87&quot;,&quot;#D19F99&quot;,&quot;#ECC4B7&quot;,&quot;#FAE0D3&quot;,&quot;#ECC4B7&quot;,&quot;#FAE0D3&quot;],&quot;fonts&quot;:{&quot;accessoryColor&quot;:&quot;#878787&quot;,&quot;color&quot;:&quot;#545454&quot;,&quot;fontFamily&quot;:&quot;阿里巴巴普惠体常规&quot;,&quot;fontSize&quot;:&quot;14&quot;},&quot;grid&quot;:{&quot;color&quot;:&quot;#ccc&quot;},&quot;name&quot;:&quot;从容自若&quot;,&quot;price&quot;:0,&quot;shapeColor&quot;:1,&quot;themeId&quot;:44,&quot;thumb&quot;:&quot;https://ss1.dydata.io/v2/themes/44.png&quot;,&quot;titleFont&quot;:{&quot;color&quot;:&quot;#4c4c4c&quot;,&quot;fontFamily&quot;:&quot;阿里巴巴普惠体 常规&quot;,&quot;fontSize&quot;:&quot;36&quot;},&quot;typeColor&quot;:{&quot;name&quot;:[&quot;蓝色&quot;],&quot;num&quot;:[&quot;3&quot;]},&quot;typeStyle&quot;:{&quot;name&quot;:[&quot;简约&quot;],&quot;num&quot;:[&quot;1&quot;]},&quot;typeSystem&quot;:{&quot;name&quot;:[&quot;浅色系&quot;,&quot;多彩系&quot;],&quot;num&quot;:[&quot;4&quot;,&quot;1&quot;]}},&quot;thumb&quot;:&quot;//web.docer.wpscdn.cn/docer/ds-page/images/E8hjxBcbsDqAkMBMmTgoN2.D0C288B1.jpg?imageView2/2/w/500/quality/90&quot;,&quot;title&quot;:&quot;基础饼图&quot;,&quot;type&quot;:&quot;chart&quot;},&quot;dschart_id&quot;:&quot;444746070325460997&quot;,&quot;id&quot;:&quot;50&quot;}"/>
    <wpswe:property key="isUseCommonErrorPage" value="false"/>
    <wpswe:property key="loadingImage" value="res:/icons/DsWebShapeDefaultPage.svg"/>
  </wpswe:properties>
  <wpswe:watchingCache>
    <wpswe:linkPath>C:\Users\Administrator\Desktop\2023部门决算公开\2023部门决算公开表格模板.xlsx</wpswe:linkPath>
    <wpswe:dataRange>
      <wpswe:key>data_source</wpswe:key>
      <wpswe:context>Sheet1!$A$135:$B$138</wpswe:context>
      <wpswe:count>4</wpswe:count>
      <wpswe:cells wpswe:idx="0">
        <wpswe:count>2</wpswe:count>
        <wpswe:formatCode>General</wpswe:formatCode>
        <wpswe:cell wpswe:idx="0">
          <wpswe:value>“三公”经费财政拨款支出结构</wpswe:value>
        </wpswe:cell>
      </wpswe:cells>
      <wpswe:cells wpswe:idx="1">
        <wpswe:count>2</wpswe:count>
        <wpswe:formatCode>General</wpswe:formatCode>
        <wpswe:cell wpswe:idx="0">
          <wpswe:value>因公出国（境）费支出</wpswe:value>
        </wpswe:cell>
        <wpswe:cell wpswe:idx="1">
          <wpswe:value>0</wpswe:value>
        </wpswe:cell>
      </wpswe:cells>
      <wpswe:cells wpswe:idx="2">
        <wpswe:count>2</wpswe:count>
        <wpswe:formatCode>General</wpswe:formatCode>
        <wpswe:cell wpswe:idx="0">
          <wpswe:value>公务用车购置及运行维护费支出</wpswe:value>
        </wpswe:cell>
        <wpswe:cell wpswe:idx="1">
          <wpswe:value>133.39</wpswe:value>
        </wpswe:cell>
      </wpswe:cells>
      <wpswe:cells wpswe:idx="3">
        <wpswe:count>2</wpswe:count>
        <wpswe:formatCode>General</wpswe:formatCode>
        <wpswe:cell wpswe:idx="0">
          <wpswe:value>公务接待费支出</wpswe:value>
        </wpswe:cell>
        <wpswe:cell wpswe:idx="1">
          <wpswe:value>0.04</wpswe:value>
        </wpswe:cell>
      </wpswe:cells>
    </wpswe:dataRange>
  </wpswe:watchingCache>
  <wpswe:snapshot xmlns:r="http://schemas.openxmlformats.org/officeDocument/2006/relationships" r:embed="rId2"/>
  <wpswe:externalData xmlns:r="http://schemas.openxmlformats.org/officeDocument/2006/relationships" r:id="rId1"/>
  <wpswe:url>https://clientweb.docer.wps.cn/ds/1.0.0/webShapeView?id=50&amp;dschart_id=444746070325460997&amp;from=chartwins&amp;productEntry=insert&amp;sceneEntry=rec</wpswe:url>
  <wpswe:constantSnapshot>false</wpswe:constantSnapshot>
</wps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7a34f88c-fae3-43d8-857a-3f5768a01f3f</errorID>
      <errorWord>，</errorWord>
      <group>L1_Punc</group>
      <groupName>标点问题</groupName>
      <ability>L2_Punc_CN</ability>
      <abilityName>标点符号问题</abilityName>
      <candidateList>
        <item>、</item>
      </candidateList>
      <explain/>
      <paraID>3C5C7603</paraID>
      <start>121</start>
      <end>122</end>
      <status>modified</status>
      <modifiedWord>、</modifiedWord>
      <trackRevisions>false</trackRevisions>
    </reviewItem>
    <reviewItem>
      <errorID>9e3997fb-939c-4afe-aefb-8dfe1183b2c0</errorID>
      <errorWord>，</errorWord>
      <group>L1_Punc</group>
      <groupName>标点问题</groupName>
      <ability>L2_Punc_CN</ability>
      <abilityName>标点符号问题</abilityName>
      <candidateList>
        <item>、</item>
      </candidateList>
      <explain/>
      <paraID>3C5C7603</paraID>
      <start>129</start>
      <end>130</end>
      <status>modified</status>
      <modifiedWord>、</modifiedWord>
      <trackRevisions>false</trackRevisions>
    </reviewItem>
    <reviewItem>
      <errorID>090f3365-df39-4d9c-a18a-38c898806c95</errorID>
      <errorWord>拖压</errorWord>
      <group>L1_Word</group>
      <groupName>字词问题</groupName>
      <ability>L2_Typo</ability>
      <abilityName>字词错误</abilityName>
      <candidateList>
        <item>拖延</item>
      </candidateList>
      <explain/>
      <paraID>3C5C7603</paraID>
      <start>275</start>
      <end>277</end>
      <status>modified</status>
      <modifiedWord>拖延</modifiedWord>
      <trackRevisions>false</trackRevisions>
    </reviewItem>
    <reviewItem>
      <errorID>b4fa9e6c-3f10-459b-9bc8-2103960de756</errorID>
      <errorWord>增加了</errorWord>
      <group>L1_Word</group>
      <groupName>字词问题</groupName>
      <ability>L2_Typo</ability>
      <abilityName>字词错误</abilityName>
      <candidateList>
        <item>增加</item>
      </candidateList>
      <explain/>
      <paraID>5134E4ED</paraID>
      <start>88</start>
      <end>90</end>
      <status>modified</status>
      <modifiedWord>增加</modifiedWord>
      <trackRevisions>false</trackRevisions>
    </reviewItem>
    <reviewItem>
      <errorID>171dbb08-0045-4626-a707-61230cccf7a3</errorID>
      <errorWord>机构数</errorWord>
      <group>L1_Word</group>
      <groupName>字词问题</groupName>
      <ability>L2_Typo</ability>
      <abilityName>字词错误</abilityName>
      <candidateList>
        <item>机构</item>
      </candidateList>
      <explain/>
      <paraID>5134E4ED</paraID>
      <start>120</start>
      <end>122</end>
      <status>modified</status>
      <modifiedWord>机构</modifiedWord>
      <trackRevisions>false</trackRevisions>
    </reviewItem>
    <reviewItem>
      <errorID>135ef6db-4ce7-4f46-b6f6-2e2bc2c8d476</errorID>
      <errorWord>：</errorWord>
      <group>L1_Punc</group>
      <groupName>标点问题</groupName>
      <ability>L2_Punc_CN</ability>
      <abilityName>标点符号问题</abilityName>
      <candidateList>
        <item/>
      </candidateList>
      <explain/>
      <paraID> 2F137F9</paraID>
      <start>200</start>
      <end>200</end>
      <status>modified</status>
      <modifiedWord/>
      <trackRevisions>false</trackRevisions>
    </reviewItem>
    <reviewItem>
      <errorID>4774baeb-2a5f-4657-b626-435459884fb8</errorID>
      <errorWord>支出</errorWord>
      <group>L1_Punc</group>
      <groupName>标点问题</groupName>
      <ability>L2_Punc_CN</ability>
      <abilityName>标点符号问题</abilityName>
      <candidateList>
        <item>：支出</item>
      </candidateList>
      <explain/>
      <paraID>2161E60C</paraID>
      <start>15</start>
      <end>18</end>
      <status>modified</status>
      <modifiedWord>：支出</modifiedWord>
      <trackRevisions>false</trackRevisions>
    </reviewItem>
    <reviewItem>
      <errorID>6606dec4-d0d9-4b0b-a075-79490f2e96ac</errorID>
      <errorWord>万元等</errorWord>
      <group>L1_Word</group>
      <groupName>字词问题</groupName>
      <ability>L2_Typo</ability>
      <abilityName>字词错误</abilityName>
      <candidateList>
        <item>万元</item>
      </candidateList>
      <explain/>
      <paraID>4748E247</paraID>
      <start>224</start>
      <end>226</end>
      <status>modified</status>
      <modifiedWord>万元</modifiedWord>
      <trackRevisions>false</trackRevisions>
    </reviewItem>
    <reviewItem>
      <errorID>6ec8c72a-0755-4d7d-9b8d-cd80ff4a6881</errorID>
      <errorWord>元</errorWord>
      <group>L1_Word</group>
      <groupName>字词问题</groupName>
      <ability>L2_Typo</ability>
      <abilityName>字词错误</abilityName>
      <candidateList>
        <item>万元</item>
      </candidateList>
      <explain/>
      <paraID>  A1D483</paraID>
      <start>63</start>
      <end>65</end>
      <status>modified</status>
      <modifiedWord>万元</modifiedWord>
      <trackRevisions>false</trackRevisions>
    </reviewItem>
    <reviewItem>
      <errorID>3855f109-040e-4b67-ad5d-2259a3611050</errorID>
      <errorWord>按</errorWord>
      <group>L1_Word</group>
      <groupName>字词问题</groupName>
      <ability>L2_Typo</ability>
      <abilityName>字词错误</abilityName>
      <candidateList>
        <item>年按</item>
      </candidateList>
      <explain/>
      <paraID>  A1D483</paraID>
      <start>84</start>
      <end>86</end>
      <status>modified</status>
      <modifiedWord>年按</modifiedWord>
      <trackRevisions>false</trackRevisions>
    </reviewItem>
    <reviewItem>
      <errorID>6c317ae0-117b-46ca-8c80-1e2e89acdcc4</errorID>
      <errorWord>…</errorWord>
      <group>L1_Punc</group>
      <groupName>标点问题</groupName>
      <ability>L2_Punc_CN</ability>
      <abilityName>标点符号问题</abilityName>
      <candidateList>
        <item>……</item>
      </candidateList>
      <explain/>
      <paraID>4FC83DA1</paraID>
      <start>45</start>
      <end>46</end>
      <status>unmodified</status>
      <modifiedWord/>
      <trackRevisions>false</trackRevisions>
    </reviewItem>
    <reviewItem>
      <errorID>bd2fcffa-eea4-4b72-b511-65078902dc3c</errorID>
      <errorWord>…</errorWord>
      <group>L1_Punc</group>
      <groupName>标点问题</groupName>
      <ability>L2_Punc_CN</ability>
      <abilityName>标点符号问题</abilityName>
      <candidateList>
        <item>……</item>
      </candidateList>
      <explain/>
      <paraID>79347150</paraID>
      <start>29</start>
      <end>30</end>
      <status>unmodified</status>
      <modifiedWord/>
      <trackRevisions>false</trackRevisions>
    </reviewItem>
  </reviewItems>
  <config/>
</contractReview>
</file>

<file path=customXml/itemProps1.xml><?xml version="1.0" encoding="utf-8"?>
<ds:datastoreItem xmlns:ds="http://schemas.openxmlformats.org/officeDocument/2006/customXml" ds:itemID="{e1650b63-cf86-454e-a0f2-e96740884aab}">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23</Pages>
  <Words>5624</Words>
  <Characters>6377</Characters>
  <Lines>44</Lines>
  <Paragraphs>12</Paragraphs>
  <TotalTime>16</TotalTime>
  <ScaleCrop>false</ScaleCrop>
  <LinksUpToDate>false</LinksUpToDate>
  <CharactersWithSpaces>6483</CharactersWithSpaces>
  <Application>WPS Office_12.1.0.28802_F1E327BC-269C-435d-A152-05C5408002CA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2022-12-07T04:44:00Z</dcterms:created>
  <dc:creator>曹颖</dc:creator>
  <cp:lastModifiedBy>ledger</cp:lastModifiedBy>
  <cp:lastPrinted>2025-09-28T01:40:00Z</cp:lastPrinted>
  <dcterms:modified xsi:type="dcterms:W3CDTF">2026-10-22T07:10:15Z</dcterms:modified>
  <dc:title>四川省***</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2052-12.1.0.28802</vt:lpwstr>
  </property>
  <property fmtid="{D5CDD505-2E9C-101B-9397-08002B2CF9AE}" pid="3" name="ICV">
    <vt:lpwstr>1DE624BD8C904896B35763FA346D9D3A_13</vt:lpwstr>
  </property>
  <property fmtid="{D5CDD505-2E9C-101B-9397-08002B2CF9AE}" pid="4" name="KSOTemplateDocerSaveRecord">
    <vt:lpwstr>eyJoZGlkIjoiNDM3YTc5NzU0NzFiNTcxZjliYWI5ZTkxNWIyYjA0MzkiLCJ1c2VySWQiOiI0MTM2ODA0MjEifQ==</vt:lpwstr>
  </property>
</Properties>
</file>