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80EB4">
      <w:pPr>
        <w:pStyle w:val="22"/>
        <w:rPr>
          <w:rFonts w:hint="eastAsia" w:eastAsia="方正小标宋_GBK"/>
          <w:lang w:val="en-US" w:eastAsia="zh-CN"/>
        </w:rPr>
      </w:pPr>
    </w:p>
    <w:p w14:paraId="6028E63B">
      <w:pPr>
        <w:pStyle w:val="22"/>
        <w:rPr>
          <w:rFonts w:hint="default"/>
        </w:rPr>
      </w:pPr>
    </w:p>
    <w:p w14:paraId="73254225">
      <w:pPr>
        <w:ind w:firstLine="0" w:firstLineChars="0"/>
        <w:jc w:val="center"/>
        <w:rPr>
          <w:rFonts w:hint="eastAsia" w:ascii="方正小标宋_GBK" w:hAnsi="方正小标宋_GBK" w:eastAsia="方正小标宋_GBK" w:cs="方正小标宋_GBK"/>
          <w:sz w:val="48"/>
          <w:szCs w:val="48"/>
        </w:rPr>
      </w:pPr>
      <w:bookmarkStart w:id="0" w:name="_Toc13719"/>
      <w:r>
        <w:rPr>
          <w:rFonts w:hint="eastAsia" w:ascii="方正小标宋_GBK" w:hAnsi="方正小标宋_GBK" w:eastAsia="方正小标宋_GBK" w:cs="方正小标宋_GBK"/>
          <w:sz w:val="48"/>
          <w:szCs w:val="48"/>
        </w:rPr>
        <w:t>红原县综合交通运输发展</w:t>
      </w:r>
    </w:p>
    <w:p w14:paraId="7928AF91">
      <w:pPr>
        <w:ind w:firstLine="0" w:firstLineChars="0"/>
        <w:jc w:val="center"/>
        <w:rPr>
          <w:rFonts w:ascii="方正小标宋_GBK" w:hAnsi="方正小标宋_GBK" w:eastAsia="方正小标宋_GBK" w:cs="方正小标宋_GBK"/>
          <w:sz w:val="48"/>
          <w:szCs w:val="48"/>
        </w:rPr>
      </w:pPr>
      <w:r>
        <w:rPr>
          <w:rFonts w:hint="eastAsia" w:ascii="方正小标宋_GBK" w:hAnsi="方正小标宋_GBK" w:eastAsia="方正小标宋_GBK" w:cs="方正小标宋_GBK"/>
          <w:sz w:val="48"/>
          <w:szCs w:val="48"/>
        </w:rPr>
        <w:t>“十五五”</w:t>
      </w:r>
      <w:bookmarkEnd w:id="0"/>
      <w:bookmarkStart w:id="1" w:name="_Toc29070"/>
      <w:r>
        <w:rPr>
          <w:rFonts w:hint="eastAsia" w:ascii="方正小标宋_GBK" w:hAnsi="方正小标宋_GBK" w:eastAsia="方正小标宋_GBK" w:cs="方正小标宋_GBK"/>
          <w:sz w:val="48"/>
          <w:szCs w:val="48"/>
        </w:rPr>
        <w:t>规划</w:t>
      </w:r>
      <w:bookmarkEnd w:id="1"/>
    </w:p>
    <w:p w14:paraId="28E459A5">
      <w:pPr>
        <w:ind w:firstLine="0" w:firstLineChars="0"/>
        <w:jc w:val="center"/>
        <w:rPr>
          <w:rFonts w:ascii="方正小标宋_GBK" w:hAnsi="方正小标宋_GBK" w:eastAsia="方正小标宋_GBK" w:cs="方正小标宋_GBK"/>
          <w:sz w:val="48"/>
          <w:szCs w:val="48"/>
        </w:rPr>
      </w:pPr>
      <w:r>
        <w:rPr>
          <w:rFonts w:hint="eastAsia" w:ascii="方正小标宋_GBK" w:hAnsi="方正小标宋_GBK" w:eastAsia="方正小标宋_GBK" w:cs="方正小标宋_GBK"/>
          <w:sz w:val="48"/>
          <w:szCs w:val="48"/>
        </w:rPr>
        <w:t>（</w:t>
      </w:r>
      <w:r>
        <w:rPr>
          <w:rFonts w:hint="eastAsia" w:ascii="方正小标宋_GBK" w:hAnsi="方正小标宋_GBK" w:eastAsia="方正小标宋_GBK" w:cs="方正小标宋_GBK"/>
          <w:sz w:val="48"/>
          <w:szCs w:val="48"/>
          <w:lang w:val="en-US" w:eastAsia="zh-CN"/>
        </w:rPr>
        <w:t>征求意见稿</w:t>
      </w:r>
      <w:r>
        <w:rPr>
          <w:rFonts w:hint="eastAsia" w:ascii="方正小标宋_GBK" w:hAnsi="方正小标宋_GBK" w:eastAsia="方正小标宋_GBK" w:cs="方正小标宋_GBK"/>
          <w:sz w:val="48"/>
          <w:szCs w:val="48"/>
        </w:rPr>
        <w:t>）</w:t>
      </w:r>
    </w:p>
    <w:p w14:paraId="5B4FCE1B">
      <w:pPr>
        <w:ind w:firstLine="0" w:firstLineChars="0"/>
        <w:jc w:val="center"/>
      </w:pPr>
    </w:p>
    <w:p w14:paraId="1FA2C05F">
      <w:pPr>
        <w:ind w:firstLine="0" w:firstLineChars="0"/>
        <w:jc w:val="center"/>
      </w:pPr>
    </w:p>
    <w:p w14:paraId="41BAB8D4">
      <w:pPr>
        <w:ind w:firstLine="0" w:firstLineChars="0"/>
        <w:jc w:val="center"/>
      </w:pPr>
      <w:bookmarkStart w:id="74" w:name="_GoBack"/>
      <w:bookmarkEnd w:id="74"/>
    </w:p>
    <w:p w14:paraId="33517F53">
      <w:pPr>
        <w:ind w:firstLine="0" w:firstLineChars="0"/>
        <w:jc w:val="center"/>
      </w:pPr>
    </w:p>
    <w:p w14:paraId="588E529E">
      <w:pPr>
        <w:ind w:firstLine="0" w:firstLineChars="0"/>
        <w:jc w:val="center"/>
      </w:pPr>
    </w:p>
    <w:p w14:paraId="67044B77">
      <w:pPr>
        <w:ind w:firstLine="0" w:firstLineChars="0"/>
        <w:jc w:val="center"/>
      </w:pPr>
    </w:p>
    <w:p w14:paraId="2AD00CCB">
      <w:pPr>
        <w:ind w:firstLine="0" w:firstLineChars="0"/>
        <w:jc w:val="center"/>
      </w:pPr>
    </w:p>
    <w:p w14:paraId="0A878531">
      <w:pPr>
        <w:ind w:firstLine="0" w:firstLineChars="0"/>
        <w:jc w:val="center"/>
      </w:pPr>
    </w:p>
    <w:p w14:paraId="0C0D5A2F">
      <w:pPr>
        <w:ind w:firstLine="0" w:firstLineChars="0"/>
        <w:jc w:val="center"/>
      </w:pPr>
    </w:p>
    <w:p w14:paraId="77496515">
      <w:pPr>
        <w:ind w:firstLine="0" w:firstLineChars="0"/>
        <w:jc w:val="center"/>
      </w:pPr>
    </w:p>
    <w:p w14:paraId="55B7D6AE">
      <w:pPr>
        <w:ind w:firstLine="0" w:firstLineChars="0"/>
        <w:jc w:val="center"/>
      </w:pPr>
    </w:p>
    <w:p w14:paraId="6A699507">
      <w:pPr>
        <w:ind w:firstLine="0" w:firstLineChars="0"/>
        <w:jc w:val="center"/>
      </w:pPr>
    </w:p>
    <w:p w14:paraId="08B3BB63">
      <w:pPr>
        <w:ind w:firstLine="0" w:firstLineChars="0"/>
        <w:jc w:val="center"/>
      </w:pPr>
    </w:p>
    <w:p w14:paraId="72288733">
      <w:pPr>
        <w:ind w:firstLine="0" w:firstLineChars="0"/>
        <w:jc w:val="center"/>
        <w:rPr>
          <w:rFonts w:hint="eastAsia" w:ascii="Times New Roman" w:hAnsi="Times New Roman" w:eastAsia="方正小标宋_GBK" w:cs="方正小标宋_GBK"/>
          <w:b w:val="0"/>
          <w:bCs w:val="0"/>
          <w:sz w:val="36"/>
          <w:szCs w:val="32"/>
        </w:rPr>
      </w:pPr>
      <w:r>
        <w:rPr>
          <w:rFonts w:hint="eastAsia" w:ascii="Times New Roman" w:hAnsi="Times New Roman" w:eastAsia="方正小标宋_GBK" w:cs="方正小标宋_GBK"/>
          <w:b w:val="0"/>
          <w:bCs w:val="0"/>
          <w:sz w:val="36"/>
          <w:szCs w:val="32"/>
        </w:rPr>
        <w:t>红原县交通运输局</w:t>
      </w:r>
    </w:p>
    <w:p w14:paraId="17D79F40">
      <w:pPr>
        <w:ind w:firstLine="0" w:firstLineChars="0"/>
        <w:jc w:val="center"/>
        <w:rPr>
          <w:rFonts w:hint="eastAsia" w:ascii="Times New Roman" w:hAnsi="Times New Roman" w:eastAsia="方正小标宋_GBK" w:cs="方正小标宋_GBK"/>
          <w:b w:val="0"/>
          <w:bCs w:val="0"/>
          <w:sz w:val="36"/>
          <w:szCs w:val="32"/>
        </w:rPr>
      </w:pPr>
      <w:r>
        <w:rPr>
          <w:rFonts w:hint="eastAsia" w:ascii="Times New Roman" w:hAnsi="Times New Roman" w:eastAsia="方正小标宋_GBK" w:cs="方正小标宋_GBK"/>
          <w:b w:val="0"/>
          <w:bCs w:val="0"/>
          <w:sz w:val="36"/>
          <w:szCs w:val="32"/>
        </w:rPr>
        <w:t>二〇二六年</w:t>
      </w:r>
      <w:r>
        <w:rPr>
          <w:rFonts w:hint="eastAsia" w:eastAsia="方正小标宋_GBK" w:cs="方正小标宋_GBK"/>
          <w:b w:val="0"/>
          <w:bCs w:val="0"/>
          <w:sz w:val="36"/>
          <w:szCs w:val="32"/>
          <w:lang w:val="en-US" w:eastAsia="zh-CN"/>
        </w:rPr>
        <w:t>八</w:t>
      </w:r>
      <w:r>
        <w:rPr>
          <w:rFonts w:hint="eastAsia" w:ascii="Times New Roman" w:hAnsi="Times New Roman" w:eastAsia="方正小标宋_GBK" w:cs="方正小标宋_GBK"/>
          <w:b w:val="0"/>
          <w:bCs w:val="0"/>
          <w:sz w:val="36"/>
          <w:szCs w:val="32"/>
        </w:rPr>
        <w:t>月</w:t>
      </w:r>
    </w:p>
    <w:p w14:paraId="02803F8A">
      <w:pPr>
        <w:ind w:firstLine="0" w:firstLineChars="0"/>
        <w:jc w:val="center"/>
      </w:pPr>
    </w:p>
    <w:p w14:paraId="0F5722F0">
      <w:pPr>
        <w:ind w:firstLine="0" w:firstLineChars="0"/>
        <w:jc w:val="center"/>
      </w:pPr>
    </w:p>
    <w:p w14:paraId="03B835A0">
      <w:pPr>
        <w:ind w:firstLine="0" w:firstLineChars="0"/>
        <w:jc w:val="center"/>
      </w:pPr>
    </w:p>
    <w:p w14:paraId="0D123E65">
      <w:pPr>
        <w:ind w:firstLine="0" w:firstLineChars="0"/>
        <w:jc w:val="center"/>
      </w:pPr>
    </w:p>
    <w:p w14:paraId="0FF05115">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rFonts w:ascii="宋体" w:hAnsi="宋体" w:eastAsia="宋体"/>
          <w:sz w:val="36"/>
          <w:szCs w:val="36"/>
        </w:rPr>
        <w:id w:val="147458788"/>
        <w15:color w:val="DBDBDB"/>
        <w:docPartObj>
          <w:docPartGallery w:val="Table of Contents"/>
          <w:docPartUnique/>
        </w:docPartObj>
      </w:sdtPr>
      <w:sdtEndPr>
        <w:rPr>
          <w:rFonts w:hint="eastAsia" w:ascii="Times New Roman" w:hAnsi="Times New Roman" w:eastAsia="仿宋_GB2312"/>
          <w:sz w:val="28"/>
          <w:szCs w:val="24"/>
        </w:rPr>
      </w:sdtEndPr>
      <w:sdtContent>
        <w:p w14:paraId="1163596E">
          <w:pPr>
            <w:spacing w:line="240" w:lineRule="auto"/>
            <w:ind w:firstLine="0" w:firstLineChars="0"/>
            <w:jc w:val="center"/>
            <w:rPr>
              <w:rFonts w:ascii="华文中宋" w:hAnsi="华文中宋" w:eastAsia="华文中宋" w:cs="华文中宋"/>
              <w:sz w:val="36"/>
              <w:szCs w:val="36"/>
            </w:rPr>
          </w:pPr>
          <w:r>
            <w:rPr>
              <w:rFonts w:hint="eastAsia" w:ascii="华文中宋" w:hAnsi="华文中宋" w:eastAsia="华文中宋" w:cs="华文中宋"/>
              <w:sz w:val="36"/>
              <w:szCs w:val="36"/>
            </w:rPr>
            <w:t>目</w:t>
          </w:r>
          <w:r>
            <w:rPr>
              <w:rFonts w:hint="eastAsia" w:ascii="华文中宋" w:hAnsi="华文中宋" w:eastAsia="华文中宋" w:cs="华文中宋"/>
              <w:sz w:val="36"/>
              <w:szCs w:val="36"/>
              <w:lang w:val="en-US" w:eastAsia="zh-CN"/>
            </w:rPr>
            <w:t xml:space="preserve">  </w:t>
          </w:r>
          <w:r>
            <w:rPr>
              <w:rFonts w:hint="eastAsia" w:ascii="华文中宋" w:hAnsi="华文中宋" w:eastAsia="华文中宋" w:cs="华文中宋"/>
              <w:sz w:val="36"/>
              <w:szCs w:val="36"/>
            </w:rPr>
            <w:t>录</w:t>
          </w:r>
        </w:p>
        <w:p w14:paraId="514D1908">
          <w:pPr>
            <w:pStyle w:val="16"/>
            <w:tabs>
              <w:tab w:val="right" w:leader="dot" w:pos="8306"/>
            </w:tabs>
          </w:pPr>
          <w:r>
            <w:fldChar w:fldCharType="begin"/>
          </w:r>
          <w:r>
            <w:instrText xml:space="preserve">TOC \o "1-2" \h \u </w:instrText>
          </w:r>
          <w:r>
            <w:fldChar w:fldCharType="separate"/>
          </w:r>
          <w:r>
            <w:fldChar w:fldCharType="begin"/>
          </w:r>
          <w:r>
            <w:instrText xml:space="preserve"> HYPERLINK \l _Toc14938 </w:instrText>
          </w:r>
          <w:r>
            <w:fldChar w:fldCharType="separate"/>
          </w:r>
          <w:r>
            <w:rPr>
              <w:rFonts w:hint="eastAsia"/>
            </w:rPr>
            <w:t>前言</w:t>
          </w:r>
          <w:r>
            <w:tab/>
          </w:r>
          <w:r>
            <w:fldChar w:fldCharType="begin"/>
          </w:r>
          <w:r>
            <w:instrText xml:space="preserve"> PAGEREF _Toc14938 \h </w:instrText>
          </w:r>
          <w:r>
            <w:fldChar w:fldCharType="separate"/>
          </w:r>
          <w:r>
            <w:t>1</w:t>
          </w:r>
          <w:r>
            <w:fldChar w:fldCharType="end"/>
          </w:r>
          <w:r>
            <w:fldChar w:fldCharType="end"/>
          </w:r>
        </w:p>
        <w:p w14:paraId="25DD7800">
          <w:pPr>
            <w:pStyle w:val="16"/>
            <w:tabs>
              <w:tab w:val="right" w:leader="dot" w:pos="8306"/>
            </w:tabs>
          </w:pPr>
          <w:r>
            <w:fldChar w:fldCharType="begin"/>
          </w:r>
          <w:r>
            <w:instrText xml:space="preserve"> HYPERLINK \l _Toc15897 </w:instrText>
          </w:r>
          <w:r>
            <w:fldChar w:fldCharType="separate"/>
          </w:r>
          <w:r>
            <w:rPr>
              <w:rFonts w:hint="eastAsia"/>
            </w:rPr>
            <w:t>一、 发展基础</w:t>
          </w:r>
          <w:r>
            <w:tab/>
          </w:r>
          <w:r>
            <w:fldChar w:fldCharType="begin"/>
          </w:r>
          <w:r>
            <w:instrText xml:space="preserve"> PAGEREF _Toc15897 \h </w:instrText>
          </w:r>
          <w:r>
            <w:fldChar w:fldCharType="separate"/>
          </w:r>
          <w:r>
            <w:t>3</w:t>
          </w:r>
          <w:r>
            <w:fldChar w:fldCharType="end"/>
          </w:r>
          <w:r>
            <w:fldChar w:fldCharType="end"/>
          </w:r>
        </w:p>
        <w:p w14:paraId="2DE2E20D">
          <w:pPr>
            <w:pStyle w:val="17"/>
            <w:tabs>
              <w:tab w:val="right" w:leader="dot" w:pos="8306"/>
            </w:tabs>
          </w:pPr>
          <w:r>
            <w:fldChar w:fldCharType="begin"/>
          </w:r>
          <w:r>
            <w:instrText xml:space="preserve"> HYPERLINK \l _Toc7558 </w:instrText>
          </w:r>
          <w:r>
            <w:fldChar w:fldCharType="separate"/>
          </w:r>
          <w:r>
            <w:rPr>
              <w:rFonts w:hint="eastAsia"/>
            </w:rPr>
            <w:t>（一） 发展成就</w:t>
          </w:r>
          <w:r>
            <w:tab/>
          </w:r>
          <w:r>
            <w:fldChar w:fldCharType="begin"/>
          </w:r>
          <w:r>
            <w:instrText xml:space="preserve"> PAGEREF _Toc7558 \h </w:instrText>
          </w:r>
          <w:r>
            <w:fldChar w:fldCharType="separate"/>
          </w:r>
          <w:r>
            <w:t>3</w:t>
          </w:r>
          <w:r>
            <w:fldChar w:fldCharType="end"/>
          </w:r>
          <w:r>
            <w:fldChar w:fldCharType="end"/>
          </w:r>
        </w:p>
        <w:p w14:paraId="327ED83C">
          <w:pPr>
            <w:pStyle w:val="17"/>
            <w:tabs>
              <w:tab w:val="right" w:leader="dot" w:pos="8306"/>
            </w:tabs>
          </w:pPr>
          <w:r>
            <w:fldChar w:fldCharType="begin"/>
          </w:r>
          <w:r>
            <w:instrText xml:space="preserve"> HYPERLINK \l _Toc10358 </w:instrText>
          </w:r>
          <w:r>
            <w:fldChar w:fldCharType="separate"/>
          </w:r>
          <w:r>
            <w:rPr>
              <w:rFonts w:hint="eastAsia"/>
            </w:rPr>
            <w:t>（二） 存在问题</w:t>
          </w:r>
          <w:r>
            <w:tab/>
          </w:r>
          <w:r>
            <w:fldChar w:fldCharType="begin"/>
          </w:r>
          <w:r>
            <w:instrText xml:space="preserve"> PAGEREF _Toc10358 \h </w:instrText>
          </w:r>
          <w:r>
            <w:fldChar w:fldCharType="separate"/>
          </w:r>
          <w:r>
            <w:t>20</w:t>
          </w:r>
          <w:r>
            <w:fldChar w:fldCharType="end"/>
          </w:r>
          <w:r>
            <w:fldChar w:fldCharType="end"/>
          </w:r>
        </w:p>
        <w:p w14:paraId="524D222A">
          <w:pPr>
            <w:pStyle w:val="16"/>
            <w:tabs>
              <w:tab w:val="right" w:leader="dot" w:pos="8306"/>
            </w:tabs>
          </w:pPr>
          <w:r>
            <w:fldChar w:fldCharType="begin"/>
          </w:r>
          <w:r>
            <w:instrText xml:space="preserve"> HYPERLINK \l _Toc4210 </w:instrText>
          </w:r>
          <w:r>
            <w:fldChar w:fldCharType="separate"/>
          </w:r>
          <w:r>
            <w:rPr>
              <w:rFonts w:hint="eastAsia"/>
            </w:rPr>
            <w:t>二、 形势要求</w:t>
          </w:r>
          <w:r>
            <w:tab/>
          </w:r>
          <w:r>
            <w:fldChar w:fldCharType="begin"/>
          </w:r>
          <w:r>
            <w:instrText xml:space="preserve"> PAGEREF _Toc4210 \h </w:instrText>
          </w:r>
          <w:r>
            <w:fldChar w:fldCharType="separate"/>
          </w:r>
          <w:r>
            <w:t>23</w:t>
          </w:r>
          <w:r>
            <w:fldChar w:fldCharType="end"/>
          </w:r>
          <w:r>
            <w:fldChar w:fldCharType="end"/>
          </w:r>
        </w:p>
        <w:p w14:paraId="412053F8">
          <w:pPr>
            <w:pStyle w:val="17"/>
            <w:tabs>
              <w:tab w:val="right" w:leader="dot" w:pos="8306"/>
            </w:tabs>
          </w:pPr>
          <w:r>
            <w:fldChar w:fldCharType="begin"/>
          </w:r>
          <w:r>
            <w:instrText xml:space="preserve"> HYPERLINK \l _Toc28870 </w:instrText>
          </w:r>
          <w:r>
            <w:fldChar w:fldCharType="separate"/>
          </w:r>
          <w:r>
            <w:rPr>
              <w:rFonts w:hint="eastAsia"/>
            </w:rPr>
            <w:t>（一） 形势分析</w:t>
          </w:r>
          <w:r>
            <w:tab/>
          </w:r>
          <w:r>
            <w:fldChar w:fldCharType="begin"/>
          </w:r>
          <w:r>
            <w:instrText xml:space="preserve"> PAGEREF _Toc28870 \h </w:instrText>
          </w:r>
          <w:r>
            <w:fldChar w:fldCharType="separate"/>
          </w:r>
          <w:r>
            <w:t>23</w:t>
          </w:r>
          <w:r>
            <w:fldChar w:fldCharType="end"/>
          </w:r>
          <w:r>
            <w:fldChar w:fldCharType="end"/>
          </w:r>
        </w:p>
        <w:p w14:paraId="375B8BAD">
          <w:pPr>
            <w:pStyle w:val="17"/>
            <w:tabs>
              <w:tab w:val="right" w:leader="dot" w:pos="8306"/>
            </w:tabs>
          </w:pPr>
          <w:r>
            <w:fldChar w:fldCharType="begin"/>
          </w:r>
          <w:r>
            <w:instrText xml:space="preserve"> HYPERLINK \l _Toc12000 </w:instrText>
          </w:r>
          <w:r>
            <w:fldChar w:fldCharType="separate"/>
          </w:r>
          <w:r>
            <w:rPr>
              <w:rFonts w:hint="eastAsia"/>
            </w:rPr>
            <w:t>（二） 阶段特征</w:t>
          </w:r>
          <w:r>
            <w:tab/>
          </w:r>
          <w:r>
            <w:fldChar w:fldCharType="begin"/>
          </w:r>
          <w:r>
            <w:instrText xml:space="preserve"> PAGEREF _Toc12000 \h </w:instrText>
          </w:r>
          <w:r>
            <w:fldChar w:fldCharType="separate"/>
          </w:r>
          <w:r>
            <w:t>28</w:t>
          </w:r>
          <w:r>
            <w:fldChar w:fldCharType="end"/>
          </w:r>
          <w:r>
            <w:fldChar w:fldCharType="end"/>
          </w:r>
        </w:p>
        <w:p w14:paraId="10B82449">
          <w:pPr>
            <w:pStyle w:val="17"/>
            <w:tabs>
              <w:tab w:val="right" w:leader="dot" w:pos="8306"/>
            </w:tabs>
          </w:pPr>
          <w:r>
            <w:fldChar w:fldCharType="begin"/>
          </w:r>
          <w:r>
            <w:instrText xml:space="preserve"> HYPERLINK \l _Toc8068 </w:instrText>
          </w:r>
          <w:r>
            <w:fldChar w:fldCharType="separate"/>
          </w:r>
          <w:r>
            <w:rPr>
              <w:rFonts w:hint="eastAsia"/>
            </w:rPr>
            <w:t>（三） 发展要求</w:t>
          </w:r>
          <w:r>
            <w:tab/>
          </w:r>
          <w:r>
            <w:fldChar w:fldCharType="begin"/>
          </w:r>
          <w:r>
            <w:instrText xml:space="preserve"> PAGEREF _Toc8068 \h </w:instrText>
          </w:r>
          <w:r>
            <w:fldChar w:fldCharType="separate"/>
          </w:r>
          <w:r>
            <w:t>31</w:t>
          </w:r>
          <w:r>
            <w:fldChar w:fldCharType="end"/>
          </w:r>
          <w:r>
            <w:fldChar w:fldCharType="end"/>
          </w:r>
        </w:p>
        <w:p w14:paraId="2FE07300">
          <w:pPr>
            <w:pStyle w:val="16"/>
            <w:tabs>
              <w:tab w:val="right" w:leader="dot" w:pos="8306"/>
            </w:tabs>
          </w:pPr>
          <w:r>
            <w:fldChar w:fldCharType="begin"/>
          </w:r>
          <w:r>
            <w:instrText xml:space="preserve"> HYPERLINK \l _Toc13360 </w:instrText>
          </w:r>
          <w:r>
            <w:fldChar w:fldCharType="separate"/>
          </w:r>
          <w:r>
            <w:rPr>
              <w:rFonts w:hint="eastAsia"/>
            </w:rPr>
            <w:t>三、 总体思路</w:t>
          </w:r>
          <w:r>
            <w:tab/>
          </w:r>
          <w:r>
            <w:fldChar w:fldCharType="begin"/>
          </w:r>
          <w:r>
            <w:instrText xml:space="preserve"> PAGEREF _Toc13360 \h </w:instrText>
          </w:r>
          <w:r>
            <w:fldChar w:fldCharType="separate"/>
          </w:r>
          <w:r>
            <w:t>37</w:t>
          </w:r>
          <w:r>
            <w:fldChar w:fldCharType="end"/>
          </w:r>
          <w:r>
            <w:fldChar w:fldCharType="end"/>
          </w:r>
        </w:p>
        <w:p w14:paraId="154CB827">
          <w:pPr>
            <w:pStyle w:val="17"/>
            <w:tabs>
              <w:tab w:val="right" w:leader="dot" w:pos="8306"/>
            </w:tabs>
          </w:pPr>
          <w:r>
            <w:fldChar w:fldCharType="begin"/>
          </w:r>
          <w:r>
            <w:instrText xml:space="preserve"> HYPERLINK \l _Toc19479 </w:instrText>
          </w:r>
          <w:r>
            <w:fldChar w:fldCharType="separate"/>
          </w:r>
          <w:r>
            <w:rPr>
              <w:rFonts w:hint="eastAsia"/>
            </w:rPr>
            <w:t>（一） 指导思想</w:t>
          </w:r>
          <w:r>
            <w:tab/>
          </w:r>
          <w:r>
            <w:fldChar w:fldCharType="begin"/>
          </w:r>
          <w:r>
            <w:instrText xml:space="preserve"> PAGEREF _Toc19479 \h </w:instrText>
          </w:r>
          <w:r>
            <w:fldChar w:fldCharType="separate"/>
          </w:r>
          <w:r>
            <w:t>37</w:t>
          </w:r>
          <w:r>
            <w:fldChar w:fldCharType="end"/>
          </w:r>
          <w:r>
            <w:fldChar w:fldCharType="end"/>
          </w:r>
        </w:p>
        <w:p w14:paraId="4F0BF62D">
          <w:pPr>
            <w:pStyle w:val="17"/>
            <w:tabs>
              <w:tab w:val="right" w:leader="dot" w:pos="8306"/>
            </w:tabs>
          </w:pPr>
          <w:r>
            <w:fldChar w:fldCharType="begin"/>
          </w:r>
          <w:r>
            <w:instrText xml:space="preserve"> HYPERLINK \l _Toc9613 </w:instrText>
          </w:r>
          <w:r>
            <w:fldChar w:fldCharType="separate"/>
          </w:r>
          <w:r>
            <w:rPr>
              <w:rFonts w:hint="eastAsia"/>
            </w:rPr>
            <w:t>（二） 基本原则</w:t>
          </w:r>
          <w:r>
            <w:tab/>
          </w:r>
          <w:r>
            <w:fldChar w:fldCharType="begin"/>
          </w:r>
          <w:r>
            <w:instrText xml:space="preserve"> PAGEREF _Toc9613 \h </w:instrText>
          </w:r>
          <w:r>
            <w:fldChar w:fldCharType="separate"/>
          </w:r>
          <w:r>
            <w:t>37</w:t>
          </w:r>
          <w:r>
            <w:fldChar w:fldCharType="end"/>
          </w:r>
          <w:r>
            <w:fldChar w:fldCharType="end"/>
          </w:r>
        </w:p>
        <w:p w14:paraId="248FDF96">
          <w:pPr>
            <w:pStyle w:val="17"/>
            <w:tabs>
              <w:tab w:val="right" w:leader="dot" w:pos="8306"/>
            </w:tabs>
          </w:pPr>
          <w:r>
            <w:fldChar w:fldCharType="begin"/>
          </w:r>
          <w:r>
            <w:instrText xml:space="preserve"> HYPERLINK \l _Toc3287 </w:instrText>
          </w:r>
          <w:r>
            <w:fldChar w:fldCharType="separate"/>
          </w:r>
          <w:r>
            <w:rPr>
              <w:rFonts w:hint="eastAsia"/>
            </w:rPr>
            <w:t>（三） 发展思路</w:t>
          </w:r>
          <w:r>
            <w:tab/>
          </w:r>
          <w:r>
            <w:fldChar w:fldCharType="begin"/>
          </w:r>
          <w:r>
            <w:instrText xml:space="preserve"> PAGEREF _Toc3287 \h </w:instrText>
          </w:r>
          <w:r>
            <w:fldChar w:fldCharType="separate"/>
          </w:r>
          <w:r>
            <w:t>38</w:t>
          </w:r>
          <w:r>
            <w:fldChar w:fldCharType="end"/>
          </w:r>
          <w:r>
            <w:fldChar w:fldCharType="end"/>
          </w:r>
        </w:p>
        <w:p w14:paraId="424CE295">
          <w:pPr>
            <w:pStyle w:val="16"/>
            <w:tabs>
              <w:tab w:val="right" w:leader="dot" w:pos="8306"/>
            </w:tabs>
          </w:pPr>
          <w:r>
            <w:fldChar w:fldCharType="begin"/>
          </w:r>
          <w:r>
            <w:instrText xml:space="preserve"> HYPERLINK \l _Toc13925 </w:instrText>
          </w:r>
          <w:r>
            <w:fldChar w:fldCharType="separate"/>
          </w:r>
          <w:r>
            <w:rPr>
              <w:rFonts w:hint="eastAsia"/>
            </w:rPr>
            <w:t>四、 规划目标</w:t>
          </w:r>
          <w:r>
            <w:tab/>
          </w:r>
          <w:r>
            <w:fldChar w:fldCharType="begin"/>
          </w:r>
          <w:r>
            <w:instrText xml:space="preserve"> PAGEREF _Toc13925 \h </w:instrText>
          </w:r>
          <w:r>
            <w:fldChar w:fldCharType="separate"/>
          </w:r>
          <w:r>
            <w:t>40</w:t>
          </w:r>
          <w:r>
            <w:fldChar w:fldCharType="end"/>
          </w:r>
          <w:r>
            <w:fldChar w:fldCharType="end"/>
          </w:r>
        </w:p>
        <w:p w14:paraId="429CBD92">
          <w:pPr>
            <w:pStyle w:val="17"/>
            <w:tabs>
              <w:tab w:val="right" w:leader="dot" w:pos="8306"/>
            </w:tabs>
          </w:pPr>
          <w:r>
            <w:fldChar w:fldCharType="begin"/>
          </w:r>
          <w:r>
            <w:instrText xml:space="preserve"> HYPERLINK \l _Toc11303 </w:instrText>
          </w:r>
          <w:r>
            <w:fldChar w:fldCharType="separate"/>
          </w:r>
          <w:r>
            <w:rPr>
              <w:rFonts w:hint="eastAsia"/>
            </w:rPr>
            <w:t>（一） 总体目标</w:t>
          </w:r>
          <w:r>
            <w:tab/>
          </w:r>
          <w:r>
            <w:fldChar w:fldCharType="begin"/>
          </w:r>
          <w:r>
            <w:instrText xml:space="preserve"> PAGEREF _Toc11303 \h </w:instrText>
          </w:r>
          <w:r>
            <w:fldChar w:fldCharType="separate"/>
          </w:r>
          <w:r>
            <w:t>40</w:t>
          </w:r>
          <w:r>
            <w:fldChar w:fldCharType="end"/>
          </w:r>
          <w:r>
            <w:fldChar w:fldCharType="end"/>
          </w:r>
        </w:p>
        <w:p w14:paraId="21E8D63E">
          <w:pPr>
            <w:pStyle w:val="17"/>
            <w:tabs>
              <w:tab w:val="right" w:leader="dot" w:pos="8306"/>
            </w:tabs>
          </w:pPr>
          <w:r>
            <w:fldChar w:fldCharType="begin"/>
          </w:r>
          <w:r>
            <w:instrText xml:space="preserve"> HYPERLINK \l _Toc402 </w:instrText>
          </w:r>
          <w:r>
            <w:fldChar w:fldCharType="separate"/>
          </w:r>
          <w:r>
            <w:rPr>
              <w:rFonts w:hint="eastAsia"/>
            </w:rPr>
            <w:t>（二） 具体目标</w:t>
          </w:r>
          <w:r>
            <w:tab/>
          </w:r>
          <w:r>
            <w:fldChar w:fldCharType="begin"/>
          </w:r>
          <w:r>
            <w:instrText xml:space="preserve"> PAGEREF _Toc402 \h </w:instrText>
          </w:r>
          <w:r>
            <w:fldChar w:fldCharType="separate"/>
          </w:r>
          <w:r>
            <w:t>41</w:t>
          </w:r>
          <w:r>
            <w:fldChar w:fldCharType="end"/>
          </w:r>
          <w:r>
            <w:fldChar w:fldCharType="end"/>
          </w:r>
        </w:p>
        <w:p w14:paraId="0955361C">
          <w:pPr>
            <w:pStyle w:val="17"/>
            <w:tabs>
              <w:tab w:val="right" w:leader="dot" w:pos="8306"/>
            </w:tabs>
          </w:pPr>
          <w:r>
            <w:fldChar w:fldCharType="begin"/>
          </w:r>
          <w:r>
            <w:instrText xml:space="preserve"> HYPERLINK \l _Toc29552 </w:instrText>
          </w:r>
          <w:r>
            <w:fldChar w:fldCharType="separate"/>
          </w:r>
          <w:r>
            <w:rPr>
              <w:rFonts w:hint="eastAsia"/>
            </w:rPr>
            <w:t>（三） 远期目标</w:t>
          </w:r>
          <w:r>
            <w:tab/>
          </w:r>
          <w:r>
            <w:fldChar w:fldCharType="begin"/>
          </w:r>
          <w:r>
            <w:instrText xml:space="preserve"> PAGEREF _Toc29552 \h </w:instrText>
          </w:r>
          <w:r>
            <w:fldChar w:fldCharType="separate"/>
          </w:r>
          <w:r>
            <w:t>46</w:t>
          </w:r>
          <w:r>
            <w:fldChar w:fldCharType="end"/>
          </w:r>
          <w:r>
            <w:fldChar w:fldCharType="end"/>
          </w:r>
        </w:p>
        <w:p w14:paraId="79B7B6F4">
          <w:pPr>
            <w:pStyle w:val="16"/>
            <w:tabs>
              <w:tab w:val="right" w:leader="dot" w:pos="8306"/>
            </w:tabs>
          </w:pPr>
          <w:r>
            <w:fldChar w:fldCharType="begin"/>
          </w:r>
          <w:r>
            <w:instrText xml:space="preserve"> HYPERLINK \l _Toc17636 </w:instrText>
          </w:r>
          <w:r>
            <w:fldChar w:fldCharType="separate"/>
          </w:r>
          <w:r>
            <w:rPr>
              <w:rFonts w:hint="eastAsia"/>
            </w:rPr>
            <w:t>五、 重点任务</w:t>
          </w:r>
          <w:r>
            <w:tab/>
          </w:r>
          <w:r>
            <w:fldChar w:fldCharType="begin"/>
          </w:r>
          <w:r>
            <w:instrText xml:space="preserve"> PAGEREF _Toc17636 \h </w:instrText>
          </w:r>
          <w:r>
            <w:fldChar w:fldCharType="separate"/>
          </w:r>
          <w:r>
            <w:t>48</w:t>
          </w:r>
          <w:r>
            <w:fldChar w:fldCharType="end"/>
          </w:r>
          <w:r>
            <w:fldChar w:fldCharType="end"/>
          </w:r>
        </w:p>
        <w:p w14:paraId="4D6CFCD5">
          <w:pPr>
            <w:pStyle w:val="17"/>
            <w:tabs>
              <w:tab w:val="right" w:leader="dot" w:pos="8306"/>
            </w:tabs>
          </w:pPr>
          <w:r>
            <w:fldChar w:fldCharType="begin"/>
          </w:r>
          <w:r>
            <w:instrText xml:space="preserve"> HYPERLINK \l _Toc8975 </w:instrText>
          </w:r>
          <w:r>
            <w:fldChar w:fldCharType="separate"/>
          </w:r>
          <w:r>
            <w:rPr>
              <w:rFonts w:hint="eastAsia"/>
            </w:rPr>
            <w:t>（一） 畅通对外综合通道，提升区域联通能级</w:t>
          </w:r>
          <w:r>
            <w:tab/>
          </w:r>
          <w:r>
            <w:fldChar w:fldCharType="begin"/>
          </w:r>
          <w:r>
            <w:instrText xml:space="preserve"> PAGEREF _Toc8975 \h </w:instrText>
          </w:r>
          <w:r>
            <w:fldChar w:fldCharType="separate"/>
          </w:r>
          <w:r>
            <w:t>48</w:t>
          </w:r>
          <w:r>
            <w:fldChar w:fldCharType="end"/>
          </w:r>
          <w:r>
            <w:fldChar w:fldCharType="end"/>
          </w:r>
        </w:p>
        <w:p w14:paraId="4DAAC4A8">
          <w:pPr>
            <w:pStyle w:val="17"/>
            <w:tabs>
              <w:tab w:val="right" w:leader="dot" w:pos="8306"/>
            </w:tabs>
          </w:pPr>
          <w:r>
            <w:fldChar w:fldCharType="begin"/>
          </w:r>
          <w:r>
            <w:instrText xml:space="preserve"> HYPERLINK \l _Toc31214 </w:instrText>
          </w:r>
          <w:r>
            <w:fldChar w:fldCharType="separate"/>
          </w:r>
          <w:r>
            <w:rPr>
              <w:rFonts w:hint="eastAsia"/>
            </w:rPr>
            <w:t>（二） 完善普通国省干线，强化县域骨架支撑</w:t>
          </w:r>
          <w:r>
            <w:tab/>
          </w:r>
          <w:r>
            <w:fldChar w:fldCharType="begin"/>
          </w:r>
          <w:r>
            <w:instrText xml:space="preserve"> PAGEREF _Toc31214 \h </w:instrText>
          </w:r>
          <w:r>
            <w:fldChar w:fldCharType="separate"/>
          </w:r>
          <w:r>
            <w:t>49</w:t>
          </w:r>
          <w:r>
            <w:fldChar w:fldCharType="end"/>
          </w:r>
          <w:r>
            <w:fldChar w:fldCharType="end"/>
          </w:r>
        </w:p>
        <w:p w14:paraId="5A221C3D">
          <w:pPr>
            <w:pStyle w:val="17"/>
            <w:tabs>
              <w:tab w:val="right" w:leader="dot" w:pos="8306"/>
            </w:tabs>
          </w:pPr>
          <w:r>
            <w:fldChar w:fldCharType="begin"/>
          </w:r>
          <w:r>
            <w:instrText xml:space="preserve"> HYPERLINK \l _Toc9826 </w:instrText>
          </w:r>
          <w:r>
            <w:fldChar w:fldCharType="separate"/>
          </w:r>
          <w:r>
            <w:rPr>
              <w:rFonts w:hint="eastAsia"/>
            </w:rPr>
            <w:t>（三） 推进农村公路提质扩面，服务乡村振兴发展</w:t>
          </w:r>
          <w:r>
            <w:tab/>
          </w:r>
          <w:r>
            <w:fldChar w:fldCharType="begin"/>
          </w:r>
          <w:r>
            <w:instrText xml:space="preserve"> PAGEREF _Toc9826 \h </w:instrText>
          </w:r>
          <w:r>
            <w:fldChar w:fldCharType="separate"/>
          </w:r>
          <w:r>
            <w:t>51</w:t>
          </w:r>
          <w:r>
            <w:fldChar w:fldCharType="end"/>
          </w:r>
          <w:r>
            <w:fldChar w:fldCharType="end"/>
          </w:r>
        </w:p>
        <w:p w14:paraId="5A28B988">
          <w:pPr>
            <w:pStyle w:val="17"/>
            <w:tabs>
              <w:tab w:val="right" w:leader="dot" w:pos="8306"/>
            </w:tabs>
          </w:pPr>
          <w:r>
            <w:fldChar w:fldCharType="begin"/>
          </w:r>
          <w:r>
            <w:instrText xml:space="preserve"> HYPERLINK \l _Toc15937 </w:instrText>
          </w:r>
          <w:r>
            <w:fldChar w:fldCharType="separate"/>
          </w:r>
          <w:r>
            <w:rPr>
              <w:rFonts w:hint="eastAsia"/>
            </w:rPr>
            <w:t>（四） 完善客货运输体系，提升城乡服务品质</w:t>
          </w:r>
          <w:r>
            <w:tab/>
          </w:r>
          <w:r>
            <w:fldChar w:fldCharType="begin"/>
          </w:r>
          <w:r>
            <w:instrText xml:space="preserve"> PAGEREF _Toc15937 \h </w:instrText>
          </w:r>
          <w:r>
            <w:fldChar w:fldCharType="separate"/>
          </w:r>
          <w:r>
            <w:t>52</w:t>
          </w:r>
          <w:r>
            <w:fldChar w:fldCharType="end"/>
          </w:r>
          <w:r>
            <w:fldChar w:fldCharType="end"/>
          </w:r>
        </w:p>
        <w:p w14:paraId="0B4A726C">
          <w:pPr>
            <w:pStyle w:val="17"/>
            <w:tabs>
              <w:tab w:val="right" w:leader="dot" w:pos="8306"/>
            </w:tabs>
          </w:pPr>
          <w:r>
            <w:fldChar w:fldCharType="begin"/>
          </w:r>
          <w:r>
            <w:instrText xml:space="preserve"> HYPERLINK \l _Toc19873 </w:instrText>
          </w:r>
          <w:r>
            <w:fldChar w:fldCharType="separate"/>
          </w:r>
          <w:r>
            <w:rPr>
              <w:rFonts w:hint="eastAsia"/>
            </w:rPr>
            <w:t>（五） 深化交旅融合发展，培育交通消费新动能</w:t>
          </w:r>
          <w:r>
            <w:tab/>
          </w:r>
          <w:r>
            <w:fldChar w:fldCharType="begin"/>
          </w:r>
          <w:r>
            <w:instrText xml:space="preserve"> PAGEREF _Toc19873 \h </w:instrText>
          </w:r>
          <w:r>
            <w:fldChar w:fldCharType="separate"/>
          </w:r>
          <w:r>
            <w:t>53</w:t>
          </w:r>
          <w:r>
            <w:fldChar w:fldCharType="end"/>
          </w:r>
          <w:r>
            <w:fldChar w:fldCharType="end"/>
          </w:r>
        </w:p>
        <w:p w14:paraId="011F3272">
          <w:pPr>
            <w:pStyle w:val="17"/>
            <w:tabs>
              <w:tab w:val="right" w:leader="dot" w:pos="8306"/>
            </w:tabs>
          </w:pPr>
          <w:r>
            <w:fldChar w:fldCharType="begin"/>
          </w:r>
          <w:r>
            <w:instrText xml:space="preserve"> HYPERLINK \l _Toc20092 </w:instrText>
          </w:r>
          <w:r>
            <w:fldChar w:fldCharType="separate"/>
          </w:r>
          <w:r>
            <w:rPr>
              <w:rFonts w:hint="eastAsia"/>
            </w:rPr>
            <w:t>（六） 强化养护安防和应急保障，提升交通安全韧性</w:t>
          </w:r>
          <w:r>
            <w:tab/>
          </w:r>
          <w:r>
            <w:fldChar w:fldCharType="begin"/>
          </w:r>
          <w:r>
            <w:instrText xml:space="preserve"> PAGEREF _Toc20092 \h </w:instrText>
          </w:r>
          <w:r>
            <w:fldChar w:fldCharType="separate"/>
          </w:r>
          <w:r>
            <w:t>54</w:t>
          </w:r>
          <w:r>
            <w:fldChar w:fldCharType="end"/>
          </w:r>
          <w:r>
            <w:fldChar w:fldCharType="end"/>
          </w:r>
        </w:p>
        <w:p w14:paraId="49895A8D">
          <w:pPr>
            <w:pStyle w:val="17"/>
            <w:tabs>
              <w:tab w:val="right" w:leader="dot" w:pos="8306"/>
            </w:tabs>
          </w:pPr>
          <w:r>
            <w:fldChar w:fldCharType="begin"/>
          </w:r>
          <w:r>
            <w:instrText xml:space="preserve"> HYPERLINK \l _Toc25385 </w:instrText>
          </w:r>
          <w:r>
            <w:fldChar w:fldCharType="separate"/>
          </w:r>
          <w:r>
            <w:rPr>
              <w:rFonts w:hint="eastAsia"/>
            </w:rPr>
            <w:t>（七） 推进智慧绿色低空发展，提升行业现代治理能力</w:t>
          </w:r>
          <w:r>
            <w:tab/>
          </w:r>
          <w:r>
            <w:fldChar w:fldCharType="begin"/>
          </w:r>
          <w:r>
            <w:instrText xml:space="preserve"> PAGEREF _Toc25385 \h </w:instrText>
          </w:r>
          <w:r>
            <w:fldChar w:fldCharType="separate"/>
          </w:r>
          <w:r>
            <w:t>55</w:t>
          </w:r>
          <w:r>
            <w:fldChar w:fldCharType="end"/>
          </w:r>
          <w:r>
            <w:fldChar w:fldCharType="end"/>
          </w:r>
        </w:p>
        <w:p w14:paraId="0C51739E">
          <w:pPr>
            <w:pStyle w:val="16"/>
            <w:tabs>
              <w:tab w:val="right" w:leader="dot" w:pos="8306"/>
            </w:tabs>
          </w:pPr>
          <w:r>
            <w:fldChar w:fldCharType="begin"/>
          </w:r>
          <w:r>
            <w:instrText xml:space="preserve"> HYPERLINK \l _Toc13016 </w:instrText>
          </w:r>
          <w:r>
            <w:fldChar w:fldCharType="separate"/>
          </w:r>
          <w:r>
            <w:rPr>
              <w:rFonts w:hint="eastAsia"/>
            </w:rPr>
            <w:t>六、 资金需求</w:t>
          </w:r>
          <w:r>
            <w:tab/>
          </w:r>
          <w:r>
            <w:fldChar w:fldCharType="begin"/>
          </w:r>
          <w:r>
            <w:instrText xml:space="preserve"> PAGEREF _Toc13016 \h </w:instrText>
          </w:r>
          <w:r>
            <w:fldChar w:fldCharType="separate"/>
          </w:r>
          <w:r>
            <w:t>57</w:t>
          </w:r>
          <w:r>
            <w:fldChar w:fldCharType="end"/>
          </w:r>
          <w:r>
            <w:fldChar w:fldCharType="end"/>
          </w:r>
        </w:p>
        <w:p w14:paraId="71F5C7D6">
          <w:pPr>
            <w:pStyle w:val="17"/>
            <w:tabs>
              <w:tab w:val="right" w:leader="dot" w:pos="8306"/>
            </w:tabs>
          </w:pPr>
          <w:r>
            <w:fldChar w:fldCharType="begin"/>
          </w:r>
          <w:r>
            <w:instrText xml:space="preserve"> HYPERLINK \l _Toc24665 </w:instrText>
          </w:r>
          <w:r>
            <w:fldChar w:fldCharType="separate"/>
          </w:r>
          <w:r>
            <w:rPr>
              <w:rFonts w:hint="eastAsia"/>
            </w:rPr>
            <w:t>（一） 投资构成</w:t>
          </w:r>
          <w:r>
            <w:tab/>
          </w:r>
          <w:r>
            <w:fldChar w:fldCharType="begin"/>
          </w:r>
          <w:r>
            <w:instrText xml:space="preserve"> PAGEREF _Toc24665 \h </w:instrText>
          </w:r>
          <w:r>
            <w:fldChar w:fldCharType="separate"/>
          </w:r>
          <w:r>
            <w:t>57</w:t>
          </w:r>
          <w:r>
            <w:fldChar w:fldCharType="end"/>
          </w:r>
          <w:r>
            <w:fldChar w:fldCharType="end"/>
          </w:r>
        </w:p>
        <w:p w14:paraId="6A687B3C">
          <w:pPr>
            <w:pStyle w:val="17"/>
            <w:tabs>
              <w:tab w:val="right" w:leader="dot" w:pos="8306"/>
            </w:tabs>
          </w:pPr>
          <w:r>
            <w:fldChar w:fldCharType="begin"/>
          </w:r>
          <w:r>
            <w:instrText xml:space="preserve"> HYPERLINK \l _Toc28954 </w:instrText>
          </w:r>
          <w:r>
            <w:fldChar w:fldCharType="separate"/>
          </w:r>
          <w:r>
            <w:rPr>
              <w:rFonts w:hint="eastAsia"/>
            </w:rPr>
            <w:t>（二） 资金筹措</w:t>
          </w:r>
          <w:r>
            <w:tab/>
          </w:r>
          <w:r>
            <w:fldChar w:fldCharType="begin"/>
          </w:r>
          <w:r>
            <w:instrText xml:space="preserve"> PAGEREF _Toc28954 \h </w:instrText>
          </w:r>
          <w:r>
            <w:fldChar w:fldCharType="separate"/>
          </w:r>
          <w:r>
            <w:t>63</w:t>
          </w:r>
          <w:r>
            <w:fldChar w:fldCharType="end"/>
          </w:r>
          <w:r>
            <w:fldChar w:fldCharType="end"/>
          </w:r>
        </w:p>
        <w:p w14:paraId="796169E9">
          <w:pPr>
            <w:pStyle w:val="16"/>
            <w:tabs>
              <w:tab w:val="right" w:leader="dot" w:pos="8306"/>
            </w:tabs>
          </w:pPr>
          <w:r>
            <w:fldChar w:fldCharType="begin"/>
          </w:r>
          <w:r>
            <w:instrText xml:space="preserve"> HYPERLINK \l _Toc26172 </w:instrText>
          </w:r>
          <w:r>
            <w:fldChar w:fldCharType="separate"/>
          </w:r>
          <w:r>
            <w:rPr>
              <w:rFonts w:hint="eastAsia"/>
            </w:rPr>
            <w:t>七、 保障措施</w:t>
          </w:r>
          <w:r>
            <w:tab/>
          </w:r>
          <w:r>
            <w:fldChar w:fldCharType="begin"/>
          </w:r>
          <w:r>
            <w:instrText xml:space="preserve"> PAGEREF _Toc26172 \h </w:instrText>
          </w:r>
          <w:r>
            <w:fldChar w:fldCharType="separate"/>
          </w:r>
          <w:r>
            <w:t>65</w:t>
          </w:r>
          <w:r>
            <w:fldChar w:fldCharType="end"/>
          </w:r>
          <w:r>
            <w:fldChar w:fldCharType="end"/>
          </w:r>
        </w:p>
        <w:p w14:paraId="495CAEFB">
          <w:pPr>
            <w:pStyle w:val="17"/>
            <w:tabs>
              <w:tab w:val="right" w:leader="dot" w:pos="8306"/>
            </w:tabs>
          </w:pPr>
          <w:r>
            <w:fldChar w:fldCharType="begin"/>
          </w:r>
          <w:r>
            <w:instrText xml:space="preserve"> HYPERLINK \l _Toc30481 </w:instrText>
          </w:r>
          <w:r>
            <w:fldChar w:fldCharType="separate"/>
          </w:r>
          <w:r>
            <w:rPr>
              <w:rFonts w:hint="eastAsia"/>
            </w:rPr>
            <w:t>（一） 加强组织领导</w:t>
          </w:r>
          <w:r>
            <w:tab/>
          </w:r>
          <w:r>
            <w:fldChar w:fldCharType="begin"/>
          </w:r>
          <w:r>
            <w:instrText xml:space="preserve"> PAGEREF _Toc30481 \h </w:instrText>
          </w:r>
          <w:r>
            <w:fldChar w:fldCharType="separate"/>
          </w:r>
          <w:r>
            <w:t>65</w:t>
          </w:r>
          <w:r>
            <w:fldChar w:fldCharType="end"/>
          </w:r>
          <w:r>
            <w:fldChar w:fldCharType="end"/>
          </w:r>
        </w:p>
        <w:p w14:paraId="444C7E1E">
          <w:pPr>
            <w:pStyle w:val="17"/>
            <w:tabs>
              <w:tab w:val="right" w:leader="dot" w:pos="8306"/>
            </w:tabs>
          </w:pPr>
          <w:r>
            <w:fldChar w:fldCharType="begin"/>
          </w:r>
          <w:r>
            <w:instrText xml:space="preserve"> HYPERLINK \l _Toc144 </w:instrText>
          </w:r>
          <w:r>
            <w:fldChar w:fldCharType="separate"/>
          </w:r>
          <w:r>
            <w:rPr>
              <w:rFonts w:hint="eastAsia"/>
            </w:rPr>
            <w:t>（二） 加强监督管理</w:t>
          </w:r>
          <w:r>
            <w:tab/>
          </w:r>
          <w:r>
            <w:fldChar w:fldCharType="begin"/>
          </w:r>
          <w:r>
            <w:instrText xml:space="preserve"> PAGEREF _Toc144 \h </w:instrText>
          </w:r>
          <w:r>
            <w:fldChar w:fldCharType="separate"/>
          </w:r>
          <w:r>
            <w:t>65</w:t>
          </w:r>
          <w:r>
            <w:fldChar w:fldCharType="end"/>
          </w:r>
          <w:r>
            <w:fldChar w:fldCharType="end"/>
          </w:r>
        </w:p>
        <w:p w14:paraId="78FAC7AA">
          <w:pPr>
            <w:pStyle w:val="17"/>
            <w:tabs>
              <w:tab w:val="right" w:leader="dot" w:pos="8306"/>
            </w:tabs>
          </w:pPr>
          <w:r>
            <w:fldChar w:fldCharType="begin"/>
          </w:r>
          <w:r>
            <w:instrText xml:space="preserve"> HYPERLINK \l _Toc18955 </w:instrText>
          </w:r>
          <w:r>
            <w:fldChar w:fldCharType="separate"/>
          </w:r>
          <w:r>
            <w:rPr>
              <w:rFonts w:hint="eastAsia"/>
            </w:rPr>
            <w:t>（三） 强化资金保障</w:t>
          </w:r>
          <w:r>
            <w:tab/>
          </w:r>
          <w:r>
            <w:fldChar w:fldCharType="begin"/>
          </w:r>
          <w:r>
            <w:instrText xml:space="preserve"> PAGEREF _Toc18955 \h </w:instrText>
          </w:r>
          <w:r>
            <w:fldChar w:fldCharType="separate"/>
          </w:r>
          <w:r>
            <w:t>66</w:t>
          </w:r>
          <w:r>
            <w:fldChar w:fldCharType="end"/>
          </w:r>
          <w:r>
            <w:fldChar w:fldCharType="end"/>
          </w:r>
        </w:p>
        <w:p w14:paraId="59D60971">
          <w:pPr>
            <w:pStyle w:val="17"/>
            <w:tabs>
              <w:tab w:val="right" w:leader="dot" w:pos="8306"/>
            </w:tabs>
          </w:pPr>
          <w:r>
            <w:fldChar w:fldCharType="begin"/>
          </w:r>
          <w:r>
            <w:instrText xml:space="preserve"> HYPERLINK \l _Toc11750 </w:instrText>
          </w:r>
          <w:r>
            <w:fldChar w:fldCharType="separate"/>
          </w:r>
          <w:r>
            <w:rPr>
              <w:rFonts w:hint="eastAsia"/>
            </w:rPr>
            <w:t>（四） 加强人才保障</w:t>
          </w:r>
          <w:r>
            <w:tab/>
          </w:r>
          <w:r>
            <w:fldChar w:fldCharType="begin"/>
          </w:r>
          <w:r>
            <w:instrText xml:space="preserve"> PAGEREF _Toc11750 \h </w:instrText>
          </w:r>
          <w:r>
            <w:fldChar w:fldCharType="separate"/>
          </w:r>
          <w:r>
            <w:t>67</w:t>
          </w:r>
          <w:r>
            <w:fldChar w:fldCharType="end"/>
          </w:r>
          <w:r>
            <w:fldChar w:fldCharType="end"/>
          </w:r>
        </w:p>
        <w:p w14:paraId="05D57AAF">
          <w:pPr>
            <w:pStyle w:val="16"/>
            <w:tabs>
              <w:tab w:val="right" w:leader="dot" w:pos="8306"/>
            </w:tabs>
          </w:pPr>
          <w:r>
            <w:fldChar w:fldCharType="begin"/>
          </w:r>
          <w:r>
            <w:instrText xml:space="preserve"> HYPERLINK \l _Toc10979 </w:instrText>
          </w:r>
          <w:r>
            <w:fldChar w:fldCharType="separate"/>
          </w:r>
          <w:r>
            <w:rPr>
              <w:rFonts w:hint="eastAsia"/>
            </w:rPr>
            <w:t>附表1：红原县综合交通运输发展“十五五”规划项目清单</w:t>
          </w:r>
          <w:r>
            <w:tab/>
          </w:r>
          <w:r>
            <w:fldChar w:fldCharType="begin"/>
          </w:r>
          <w:r>
            <w:instrText xml:space="preserve"> PAGEREF _Toc10979 \h </w:instrText>
          </w:r>
          <w:r>
            <w:fldChar w:fldCharType="separate"/>
          </w:r>
          <w:r>
            <w:t>68</w:t>
          </w:r>
          <w:r>
            <w:fldChar w:fldCharType="end"/>
          </w:r>
          <w:r>
            <w:fldChar w:fldCharType="end"/>
          </w:r>
        </w:p>
        <w:p w14:paraId="7C018F4E">
          <w:pPr>
            <w:pStyle w:val="16"/>
            <w:tabs>
              <w:tab w:val="right" w:leader="dot" w:pos="8306"/>
            </w:tabs>
          </w:pPr>
          <w:r>
            <w:fldChar w:fldCharType="begin"/>
          </w:r>
          <w:r>
            <w:instrText xml:space="preserve"> HYPERLINK \l _Toc15859 </w:instrText>
          </w:r>
          <w:r>
            <w:fldChar w:fldCharType="separate"/>
          </w:r>
          <w:r>
            <w:rPr>
              <w:rFonts w:hint="eastAsia"/>
            </w:rPr>
            <w:t>附图1：红原县综合交通运输发展“十五五”现状图</w:t>
          </w:r>
          <w:r>
            <w:tab/>
          </w:r>
          <w:r>
            <w:fldChar w:fldCharType="begin"/>
          </w:r>
          <w:r>
            <w:instrText xml:space="preserve"> PAGEREF _Toc15859 \h </w:instrText>
          </w:r>
          <w:r>
            <w:fldChar w:fldCharType="separate"/>
          </w:r>
          <w:r>
            <w:t>74</w:t>
          </w:r>
          <w:r>
            <w:fldChar w:fldCharType="end"/>
          </w:r>
          <w:r>
            <w:fldChar w:fldCharType="end"/>
          </w:r>
        </w:p>
        <w:p w14:paraId="150A4003">
          <w:pPr>
            <w:pStyle w:val="16"/>
            <w:tabs>
              <w:tab w:val="right" w:leader="dot" w:pos="8306"/>
            </w:tabs>
          </w:pPr>
          <w:r>
            <w:fldChar w:fldCharType="begin"/>
          </w:r>
          <w:r>
            <w:instrText xml:space="preserve"> HYPERLINK \l _Toc7066 </w:instrText>
          </w:r>
          <w:r>
            <w:fldChar w:fldCharType="separate"/>
          </w:r>
          <w:r>
            <w:rPr>
              <w:rFonts w:hint="eastAsia"/>
            </w:rPr>
            <w:t>附图</w:t>
          </w:r>
          <w:r>
            <w:rPr>
              <w:rFonts w:hint="eastAsia"/>
              <w:lang w:val="en-US" w:eastAsia="zh-CN"/>
            </w:rPr>
            <w:t>2</w:t>
          </w:r>
          <w:r>
            <w:rPr>
              <w:rFonts w:hint="eastAsia"/>
            </w:rPr>
            <w:t>：红原机场一小时等时圈覆盖范围图</w:t>
          </w:r>
          <w:r>
            <w:tab/>
          </w:r>
          <w:r>
            <w:fldChar w:fldCharType="begin"/>
          </w:r>
          <w:r>
            <w:instrText xml:space="preserve"> PAGEREF _Toc7066 \h </w:instrText>
          </w:r>
          <w:r>
            <w:fldChar w:fldCharType="separate"/>
          </w:r>
          <w:r>
            <w:t>75</w:t>
          </w:r>
          <w:r>
            <w:fldChar w:fldCharType="end"/>
          </w:r>
          <w:r>
            <w:fldChar w:fldCharType="end"/>
          </w:r>
        </w:p>
        <w:p w14:paraId="08CFD8A7">
          <w:pPr>
            <w:pStyle w:val="16"/>
            <w:tabs>
              <w:tab w:val="right" w:leader="dot" w:pos="8306"/>
            </w:tabs>
          </w:pPr>
          <w:r>
            <w:fldChar w:fldCharType="begin"/>
          </w:r>
          <w:r>
            <w:instrText xml:space="preserve"> HYPERLINK \l _Toc24401 </w:instrText>
          </w:r>
          <w:r>
            <w:fldChar w:fldCharType="separate"/>
          </w:r>
          <w:r>
            <w:rPr>
              <w:rFonts w:hint="eastAsia"/>
            </w:rPr>
            <w:t>附图</w:t>
          </w:r>
          <w:r>
            <w:rPr>
              <w:rFonts w:hint="eastAsia"/>
              <w:lang w:val="en-US" w:eastAsia="zh-CN"/>
            </w:rPr>
            <w:t>3</w:t>
          </w:r>
          <w:r>
            <w:rPr>
              <w:rFonts w:hint="eastAsia"/>
            </w:rPr>
            <w:t>：红原县高速公路一小时等时圈覆盖范围图</w:t>
          </w:r>
          <w:r>
            <w:tab/>
          </w:r>
          <w:r>
            <w:fldChar w:fldCharType="begin"/>
          </w:r>
          <w:r>
            <w:instrText xml:space="preserve"> PAGEREF _Toc24401 \h </w:instrText>
          </w:r>
          <w:r>
            <w:fldChar w:fldCharType="separate"/>
          </w:r>
          <w:r>
            <w:t>76</w:t>
          </w:r>
          <w:r>
            <w:fldChar w:fldCharType="end"/>
          </w:r>
          <w:r>
            <w:fldChar w:fldCharType="end"/>
          </w:r>
        </w:p>
        <w:p w14:paraId="29697E80">
          <w:pPr>
            <w:pStyle w:val="16"/>
            <w:tabs>
              <w:tab w:val="right" w:leader="dot" w:pos="8306"/>
            </w:tabs>
          </w:pPr>
          <w:r>
            <w:fldChar w:fldCharType="begin"/>
          </w:r>
          <w:r>
            <w:instrText xml:space="preserve"> HYPERLINK \l _Toc23191 </w:instrText>
          </w:r>
          <w:r>
            <w:fldChar w:fldCharType="separate"/>
          </w:r>
          <w:r>
            <w:rPr>
              <w:rFonts w:hint="eastAsia"/>
            </w:rPr>
            <w:t>附图</w:t>
          </w:r>
          <w:r>
            <w:rPr>
              <w:rFonts w:hint="eastAsia"/>
              <w:lang w:val="en-US" w:eastAsia="zh-CN"/>
            </w:rPr>
            <w:t>4</w:t>
          </w:r>
          <w:r>
            <w:rPr>
              <w:rFonts w:hint="eastAsia"/>
            </w:rPr>
            <w:t>：红原县综合交通运输发展“十五五”规划图</w:t>
          </w:r>
          <w:r>
            <w:tab/>
          </w:r>
          <w:r>
            <w:fldChar w:fldCharType="begin"/>
          </w:r>
          <w:r>
            <w:instrText xml:space="preserve"> PAGEREF _Toc23191 \h </w:instrText>
          </w:r>
          <w:r>
            <w:fldChar w:fldCharType="separate"/>
          </w:r>
          <w:r>
            <w:t>77</w:t>
          </w:r>
          <w:r>
            <w:fldChar w:fldCharType="end"/>
          </w:r>
          <w:r>
            <w:fldChar w:fldCharType="end"/>
          </w:r>
        </w:p>
        <w:p w14:paraId="662836EC">
          <w:pPr>
            <w:ind w:firstLine="560"/>
          </w:pPr>
          <w:r>
            <w:fldChar w:fldCharType="end"/>
          </w:r>
        </w:p>
      </w:sdtContent>
    </w:sdt>
    <w:p w14:paraId="2FCFFB0A">
      <w:pPr>
        <w:ind w:firstLine="560"/>
      </w:pPr>
    </w:p>
    <w:p w14:paraId="58DE7969">
      <w:pPr>
        <w:ind w:firstLine="560"/>
        <w:sectPr>
          <w:footerReference r:id="rId11" w:type="default"/>
          <w:type w:val="oddPage"/>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69E4959F">
      <w:pPr>
        <w:pStyle w:val="2"/>
        <w:numPr>
          <w:ilvl w:val="0"/>
          <w:numId w:val="0"/>
        </w:numPr>
        <w:jc w:val="center"/>
        <w:rPr>
          <w:rFonts w:hint="eastAsia" w:ascii="华文中宋" w:hAnsi="华文中宋" w:eastAsia="华文中宋" w:cs="华文中宋"/>
          <w:b w:val="0"/>
          <w:kern w:val="2"/>
          <w:sz w:val="36"/>
          <w:szCs w:val="36"/>
          <w:lang w:val="en-US" w:eastAsia="zh-CN" w:bidi="ar-SA"/>
        </w:rPr>
      </w:pPr>
      <w:bookmarkStart w:id="2" w:name="_Toc14938"/>
      <w:bookmarkStart w:id="3" w:name="_Toc30609"/>
      <w:r>
        <w:rPr>
          <w:rFonts w:hint="eastAsia" w:ascii="华文中宋" w:hAnsi="华文中宋" w:eastAsia="华文中宋" w:cs="华文中宋"/>
          <w:b w:val="0"/>
          <w:kern w:val="2"/>
          <w:sz w:val="36"/>
          <w:szCs w:val="36"/>
          <w:lang w:val="en-US" w:eastAsia="zh-CN" w:bidi="ar-SA"/>
        </w:rPr>
        <w:t>前  言</w:t>
      </w:r>
      <w:bookmarkEnd w:id="2"/>
      <w:bookmarkEnd w:id="3"/>
    </w:p>
    <w:p w14:paraId="014CE4DC">
      <w:pPr>
        <w:ind w:firstLine="560"/>
      </w:pPr>
      <w:r>
        <w:rPr>
          <w:rFonts w:hint="eastAsia"/>
        </w:rPr>
        <w:t>“十五五”时期（2026—2030年）是我国基本实现社会主义现代化承上启下的关键时期，是全面推进交通强国建设、加快构建现代化基础设施体系的重要阶段，也是四川由交通大省迈向交通强省、阿坝州加快建设现代综合交通运输体系的重要时期。科学编制并实施《红原县综合交通运输发展“十五五”规划》，对于主动融入国家和省州重大战略布局，提升县域综合交通发展水平，增强交通运输支撑保障能力，服务全县经济社会高质量发展，具有十分重要的意义。</w:t>
      </w:r>
    </w:p>
    <w:p w14:paraId="7DF47534">
      <w:pPr>
        <w:ind w:firstLine="560"/>
      </w:pPr>
      <w:r>
        <w:rPr>
          <w:rFonts w:hint="eastAsia"/>
        </w:rPr>
        <w:t>红原县地处四川省西北部、阿坝州中部，位于川甘青结合部重要节点区域，是黄河上游重要水源涵养地、川西北生态示范区重要组成部分，也是全州重要牧业基地和特色旅游目的地。县域生态地位突出、区位优势独特、资源禀赋良好，在服务国家生态安全格局、推动涉藏地区长治久安和促进区域协调发展中具有重要作用。随着新时代西部大开发、黄河流域生态保护和高质量发展、成渝地区双城经济圈建设、交通强国建设等重大战略深入实施，红原县交通运输发展迎来重大历史机遇。</w:t>
      </w:r>
    </w:p>
    <w:p w14:paraId="26414F51">
      <w:pPr>
        <w:ind w:firstLine="560"/>
      </w:pPr>
      <w:r>
        <w:rPr>
          <w:rFonts w:hint="eastAsia"/>
        </w:rPr>
        <w:t>“十四五”以来，在县委、县政府坚强领导和上级部门关心支持下，全县综合交通运输发展取得显著成效。G0615久治（川青界）至马尔康段高速公路红原段建成通车，西成铁路</w:t>
      </w:r>
      <w:r>
        <w:rPr>
          <w:rFonts w:hint="eastAsia"/>
          <w:lang w:val="en-US" w:eastAsia="zh-CN"/>
        </w:rPr>
        <w:t>红原段</w:t>
      </w:r>
      <w:r>
        <w:rPr>
          <w:rFonts w:hint="eastAsia"/>
        </w:rPr>
        <w:t>有序推进，红原机场服务能力持续提升，普通国省干线和农村公路网络不断完善，城乡运输服务体系逐步健全，交通运输对稳增长、惠民生、促发展、保稳定的支撑作用持续增强，综合交通运输发展迈上新台阶。</w:t>
      </w:r>
    </w:p>
    <w:p w14:paraId="328CAC5F">
      <w:pPr>
        <w:ind w:firstLine="560"/>
      </w:pPr>
      <w:r>
        <w:rPr>
          <w:rFonts w:hint="eastAsia"/>
        </w:rPr>
        <w:t>同时也要看到，受高寒高海拔、生态环境敏感、建设养护成本高等因素影响，红原县交通运输发展仍存在对外通道能级不高、内部路网结构不优、运输服务品质不强、产业支撑能力不足、要素保障约束趋紧等短板弱项，与人民群众美好出行需求和县域高质量发展要求相比仍有差距，迫切需要通过系统谋划和持续攻坚加以解决。</w:t>
      </w:r>
    </w:p>
    <w:p w14:paraId="59BD7919">
      <w:pPr>
        <w:ind w:firstLine="560"/>
      </w:pPr>
      <w:r>
        <w:rPr>
          <w:rFonts w:hint="eastAsia"/>
        </w:rPr>
        <w:t>“十五五”时期，红原县综合交通运输发展必须坚持以习近平新时代中国特色社会主义思想为指导，全面贯彻党的二十大和二十届历次全会精神，深入落实习近平总书记关于交通强国的重要论述和对四川工作系列重要指示精神，坚持稳中求进工作总基调，完整准确全面贯彻新发展理念，主动服务和融入新发展格局，以推动高质量发展为主题，以满足人民群众美好出行需求为根本目的，以建设人民满意交通为价值导向，加快构建安全、便捷、高效、绿色、经济的现代综合交通运输体系。</w:t>
      </w:r>
    </w:p>
    <w:p w14:paraId="54DBA3F3">
      <w:pPr>
        <w:ind w:firstLine="560"/>
      </w:pPr>
      <w:r>
        <w:rPr>
          <w:rFonts w:hint="eastAsia"/>
        </w:rPr>
        <w:t>本规划依据国家、省、州有关规划部署和《红原县国民经济和社会发展第十五个五年规划纲要》编制，是“十五五”时期红原县综合交通运输发展的行动纲领，是安排重大项目建设、制定行业政策、配置公共资源、推进重点任务实施的重要依据。规划范围为红原县行政区域，规划期为2026—2030年，远景展望至2035年。</w:t>
      </w:r>
    </w:p>
    <w:p w14:paraId="092D8263">
      <w:pPr>
        <w:ind w:firstLine="560"/>
      </w:pPr>
    </w:p>
    <w:p w14:paraId="31EFD307">
      <w:pPr>
        <w:ind w:firstLine="560"/>
      </w:pPr>
    </w:p>
    <w:p w14:paraId="587F7CD2">
      <w:pPr>
        <w:ind w:firstLine="560"/>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DE476DB">
      <w:pPr>
        <w:pStyle w:val="2"/>
        <w:bidi w:val="0"/>
      </w:pPr>
      <w:bookmarkStart w:id="4" w:name="_Toc23348"/>
      <w:bookmarkStart w:id="5" w:name="_Toc15897"/>
      <w:r>
        <w:rPr>
          <w:rFonts w:hint="eastAsia"/>
        </w:rPr>
        <w:t>发展基础</w:t>
      </w:r>
      <w:bookmarkEnd w:id="4"/>
      <w:bookmarkEnd w:id="5"/>
    </w:p>
    <w:p w14:paraId="30B07EFC">
      <w:pPr>
        <w:ind w:firstLine="560"/>
      </w:pPr>
      <w:r>
        <w:rPr>
          <w:rFonts w:hint="eastAsia"/>
        </w:rPr>
        <w:t>红原县是四川省阿坝藏族羌族自治州辖县，位于四川省西北部、阿坝藏族羌族自治州中部，北与若尔盖县相接，东、西与松潘县、黑水县、阿坝县相邻，南与马尔康市、理县相连，属大陆性高原寒温带季风气候，四季界线不明显。全县总面积8398</w:t>
      </w:r>
      <w:r>
        <w:rPr>
          <w:rFonts w:hint="eastAsia"/>
          <w:highlight w:val="none"/>
        </w:rPr>
        <w:t>.23平方千米。截至2024年，红原县辖6个镇、4个乡，户籍户数1.35万户，常住人口4.72万人，城镇化率43.19%。2024年，全县实现地区生产总值27亿元，同比增长5.1%。当前，红原县正依托高原特色农</w:t>
      </w:r>
      <w:r>
        <w:rPr>
          <w:rFonts w:hint="eastAsia"/>
        </w:rPr>
        <w:t>牧业、生态文化旅游业和现代服务业，加快推动县域经济高质量发展，对外联通、城乡通达、旅游集散、农畜产品运输等交通需求持续提升，为“十五五”时期进一步完善综合交通运输体系、提升交通支撑保障能力奠定了现实基础。</w:t>
      </w:r>
    </w:p>
    <w:p w14:paraId="7E0451B3">
      <w:pPr>
        <w:pStyle w:val="3"/>
      </w:pPr>
      <w:bookmarkStart w:id="6" w:name="_Toc7558"/>
      <w:bookmarkStart w:id="7" w:name="_Toc12363"/>
      <w:r>
        <w:rPr>
          <w:rFonts w:hint="eastAsia"/>
        </w:rPr>
        <w:t>发展成就</w:t>
      </w:r>
      <w:bookmarkEnd w:id="6"/>
      <w:bookmarkEnd w:id="7"/>
    </w:p>
    <w:p w14:paraId="5C69D4B0">
      <w:pPr>
        <w:ind w:firstLine="560"/>
        <w:rPr>
          <w:rFonts w:hint="eastAsia"/>
        </w:rPr>
      </w:pPr>
      <w:bookmarkStart w:id="8" w:name="_Toc14577"/>
      <w:r>
        <w:rPr>
          <w:rFonts w:hint="eastAsia"/>
        </w:rPr>
        <w:t>“十四五”时期，在县委、县政府坚强领导下，在省、州交通主管部门关心支持下，红原县坚持交通先行发展理念，紧扣补短板、强基础、优服务、促融合总体要求，把交通运输作为支撑县域经济发展、服务群众出行、促进文旅融合和保障民生改善的重要抓手，持续推进重大交通项目建设，加快完善综合交通运输网络，着力提升运输服务保障水平。</w:t>
      </w:r>
    </w:p>
    <w:p w14:paraId="06BF3D29">
      <w:pPr>
        <w:ind w:firstLine="560"/>
      </w:pPr>
      <w:r>
        <w:rPr>
          <w:rFonts w:hint="eastAsia"/>
        </w:rPr>
        <w:t>五年来，红原县对外通道建设取得历史性突破，高速公路从无到有并加快成网，西成铁路</w:t>
      </w:r>
      <w:r>
        <w:rPr>
          <w:rFonts w:hint="eastAsia"/>
          <w:lang w:val="en-US" w:eastAsia="zh-CN"/>
        </w:rPr>
        <w:t>红原段</w:t>
      </w:r>
      <w:r>
        <w:rPr>
          <w:rFonts w:hint="eastAsia"/>
        </w:rPr>
        <w:t>加快建设，航空服务能力持续</w:t>
      </w:r>
      <w:r>
        <w:rPr>
          <w:rFonts w:hint="eastAsia"/>
          <w:lang w:val="en-US" w:eastAsia="zh-CN"/>
        </w:rPr>
        <w:t>提升</w:t>
      </w:r>
      <w:r>
        <w:rPr>
          <w:rFonts w:hint="eastAsia"/>
        </w:rPr>
        <w:t>，综合立体交通发展基础不断夯实；县域路网体系持续完善，普通国省干线、农村公路、旅游道路和产业道路建设稳步推进，城乡交通通达水平和路网服务能力不断提升；运输服务保障能力逐步增强，城乡客运、旅游集散、农村物流和交通服务设施不断完善，群众出行和农畜产品运输条件持续改善；交通融合发展成效初显，交通与旅游、农牧业、乡村振兴等领域联动更加紧密，为草原生态旅游、特色农畜产品流通和县域产业发展提供了有力支撑；行业治理能力持续增强，公路养护、安全监管、应急保障和绿色发展水平稳步提升。</w:t>
      </w:r>
    </w:p>
    <w:bookmarkEnd w:id="8"/>
    <w:p w14:paraId="3E2D546C">
      <w:pPr>
        <w:pStyle w:val="4"/>
        <w:ind w:firstLine="562"/>
      </w:pPr>
      <w:r>
        <w:rPr>
          <w:rFonts w:hint="eastAsia"/>
        </w:rPr>
        <w:t>综合立体通道建设实现突破</w:t>
      </w:r>
    </w:p>
    <w:p w14:paraId="6C0C905E">
      <w:pPr>
        <w:ind w:firstLine="560"/>
      </w:pPr>
      <w:r>
        <w:rPr>
          <w:rFonts w:hint="eastAsia"/>
        </w:rPr>
        <w:t>红原县坚持把畅通对外大通道作为交通发展的重中之重，统筹推进铁路、航空、高速公路等重大基础设施建设和前期研究工作，对外交通条件持续改善，综合立体交通发展基础不断夯实。</w:t>
      </w:r>
    </w:p>
    <w:p w14:paraId="2720369F">
      <w:pPr>
        <w:pStyle w:val="5"/>
        <w:bidi w:val="0"/>
        <w:rPr>
          <w:rFonts w:hint="eastAsia"/>
          <w:lang w:eastAsia="zh-CN"/>
        </w:rPr>
      </w:pPr>
      <w:r>
        <w:rPr>
          <w:rFonts w:hint="eastAsia"/>
          <w:lang w:val="en-US" w:eastAsia="zh-CN"/>
        </w:rPr>
        <w:t>铁路</w:t>
      </w:r>
    </w:p>
    <w:p w14:paraId="205B8961">
      <w:pPr>
        <w:ind w:firstLine="560"/>
      </w:pPr>
      <w:r>
        <w:rPr>
          <w:rFonts w:hint="eastAsia"/>
        </w:rPr>
        <w:t>红原县积极对接区域铁路通道布局，持续跟进西宁至成都铁路、成都至格尔木铁路、合作经马尔康至理塘至香格里拉铁路等重大铁路项目建设及前期研究工作。其中，西宁至成都铁路建设取得实质性进展，并在红原设站，铁路通道建设实现重要突破，项目建成后将显著提升红原对外快速铁路通达能力；合作经马尔康至理塘至香格里拉铁路为</w:t>
      </w:r>
      <w:r>
        <w:rPr>
          <w:rFonts w:hint="eastAsia"/>
          <w:lang w:val="en-US" w:eastAsia="zh-CN"/>
        </w:rPr>
        <w:t>阿坝</w:t>
      </w:r>
      <w:r>
        <w:rPr>
          <w:rFonts w:hint="eastAsia"/>
        </w:rPr>
        <w:t>州</w:t>
      </w:r>
      <w:r>
        <w:rPr>
          <w:rFonts w:hint="eastAsia"/>
          <w:lang w:val="en-US" w:eastAsia="zh-CN"/>
        </w:rPr>
        <w:t>综合</w:t>
      </w:r>
      <w:r>
        <w:rPr>
          <w:rFonts w:hint="eastAsia"/>
        </w:rPr>
        <w:t>交通“十五五”规划研究论证项目，设计时速160公里/小时。“十四五”期间，红原县铁路交通发展取得积极进展，西宁至成都铁路建设稳步推进，其他铁路通道前期研究和规划衔接持续深化，为“十五五”及更长远时期进一步完善铁路网络、提升综合交通枢纽功能奠定了基础。</w:t>
      </w:r>
    </w:p>
    <w:p w14:paraId="041D8B23">
      <w:pPr>
        <w:pStyle w:val="5"/>
        <w:bidi w:val="0"/>
        <w:rPr>
          <w:rFonts w:hint="eastAsia"/>
          <w:lang w:val="en-US" w:eastAsia="zh-CN"/>
        </w:rPr>
      </w:pPr>
      <w:r>
        <w:rPr>
          <w:rFonts w:hint="eastAsia"/>
          <w:lang w:val="en-US" w:eastAsia="zh-CN"/>
        </w:rPr>
        <w:t>航空</w:t>
      </w:r>
    </w:p>
    <w:p w14:paraId="7C6F5DA2">
      <w:pPr>
        <w:ind w:firstLine="560"/>
      </w:pPr>
      <w:r>
        <w:rPr>
          <w:rFonts w:hint="eastAsia"/>
        </w:rPr>
        <w:t>红原机场作为阿坝州重要旅游支线机场，在服务高原旅游快速进出、应急保障和区域开放等方面持续发挥作用。“十四五”以来，红原机场航班运行总体保持稳定，旅客吞吐量在波动中逐步恢复。2016</w:t>
      </w:r>
      <w:r>
        <w:rPr>
          <w:rFonts w:hint="eastAsia"/>
          <w:lang w:val="en-US" w:eastAsia="zh-CN"/>
        </w:rPr>
        <w:t>至</w:t>
      </w:r>
      <w:r>
        <w:rPr>
          <w:rFonts w:hint="eastAsia"/>
        </w:rPr>
        <w:t>2025年，红原机场旅客吞吐量由2016年的2.50万人次波动增长至2025年</w:t>
      </w:r>
      <w:r>
        <w:rPr>
          <w:rFonts w:hint="eastAsia"/>
          <w:lang w:eastAsia="zh-CN"/>
        </w:rPr>
        <w:t>的</w:t>
      </w:r>
      <w:r>
        <w:rPr>
          <w:rFonts w:hint="eastAsia"/>
        </w:rPr>
        <w:t>2.81万人次；飞机起降架次由2016年的346架次增长至2025年</w:t>
      </w:r>
      <w:r>
        <w:rPr>
          <w:rFonts w:hint="eastAsia"/>
          <w:lang w:eastAsia="zh-CN"/>
        </w:rPr>
        <w:t>的</w:t>
      </w:r>
      <w:r>
        <w:rPr>
          <w:rFonts w:hint="eastAsia"/>
        </w:rPr>
        <w:t>550架次。总体来看，红原机场是支撑县域旅游集散和远距离快速通达的重要交通资源，为后续推动机场功能完善、航线优化、通用航空和低空经济发展奠定了基础。</w:t>
      </w:r>
    </w:p>
    <w:p w14:paraId="4AAAA3F5">
      <w:pPr>
        <w:pStyle w:val="25"/>
      </w:pPr>
      <w:r>
        <w:t xml:space="preserve">表 </w:t>
      </w:r>
      <w:r>
        <w:fldChar w:fldCharType="begin"/>
      </w:r>
      <w:r>
        <w:instrText xml:space="preserve"> SEQ 表 \* ARABIC </w:instrText>
      </w:r>
      <w:r>
        <w:fldChar w:fldCharType="separate"/>
      </w:r>
      <w:r>
        <w:t>1</w:t>
      </w:r>
      <w:r>
        <w:fldChar w:fldCharType="end"/>
      </w:r>
      <w:r>
        <w:rPr>
          <w:rFonts w:hint="eastAsia"/>
        </w:rPr>
        <w:t xml:space="preserve"> 红原机场2016—2025年运输情况</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1644"/>
        <w:gridCol w:w="2268"/>
        <w:gridCol w:w="2268"/>
      </w:tblGrid>
      <w:tr w14:paraId="70D7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57" w:type="dxa"/>
            <w:tcBorders>
              <w:top w:val="single" w:color="000000" w:sz="12" w:space="0"/>
              <w:left w:val="nil"/>
              <w:bottom w:val="single" w:color="000000" w:sz="8" w:space="0"/>
              <w:right w:val="single" w:color="000000" w:sz="4" w:space="0"/>
            </w:tcBorders>
            <w:shd w:val="clear" w:color="auto" w:fill="FFFFFF"/>
            <w:vAlign w:val="center"/>
          </w:tcPr>
          <w:p w14:paraId="0F60D482">
            <w:pPr>
              <w:pStyle w:val="24"/>
            </w:pPr>
            <w:r>
              <w:rPr>
                <w:rFonts w:hint="eastAsia"/>
              </w:rPr>
              <w:t>机场</w:t>
            </w:r>
          </w:p>
        </w:tc>
        <w:tc>
          <w:tcPr>
            <w:tcW w:w="1644"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10C5454A">
            <w:pPr>
              <w:pStyle w:val="24"/>
            </w:pPr>
            <w:r>
              <w:rPr>
                <w:rFonts w:hint="eastAsia"/>
              </w:rPr>
              <w:t>年份</w:t>
            </w:r>
          </w:p>
        </w:tc>
        <w:tc>
          <w:tcPr>
            <w:tcW w:w="2268"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7AFFD4FD">
            <w:pPr>
              <w:pStyle w:val="24"/>
            </w:pPr>
            <w:r>
              <w:rPr>
                <w:rFonts w:hint="eastAsia"/>
              </w:rPr>
              <w:t>旅客吞吐量</w:t>
            </w:r>
          </w:p>
          <w:p w14:paraId="439AD516">
            <w:pPr>
              <w:pStyle w:val="24"/>
            </w:pPr>
            <w:r>
              <w:rPr>
                <w:rFonts w:hint="eastAsia"/>
              </w:rPr>
              <w:t>（万人次）</w:t>
            </w:r>
          </w:p>
        </w:tc>
        <w:tc>
          <w:tcPr>
            <w:tcW w:w="2268" w:type="dxa"/>
            <w:tcBorders>
              <w:top w:val="single" w:color="000000" w:sz="12" w:space="0"/>
              <w:left w:val="single" w:color="000000" w:sz="4" w:space="0"/>
              <w:bottom w:val="single" w:color="000000" w:sz="8" w:space="0"/>
              <w:right w:val="nil"/>
            </w:tcBorders>
            <w:shd w:val="clear" w:color="auto" w:fill="FFFFFF"/>
            <w:vAlign w:val="center"/>
          </w:tcPr>
          <w:p w14:paraId="25ED8B7B">
            <w:pPr>
              <w:pStyle w:val="24"/>
            </w:pPr>
            <w:r>
              <w:rPr>
                <w:rFonts w:hint="eastAsia"/>
              </w:rPr>
              <w:t>飞机起降</w:t>
            </w:r>
          </w:p>
          <w:p w14:paraId="250CA309">
            <w:pPr>
              <w:pStyle w:val="24"/>
            </w:pPr>
            <w:r>
              <w:rPr>
                <w:rFonts w:hint="eastAsia"/>
              </w:rPr>
              <w:t>（架次）</w:t>
            </w:r>
          </w:p>
        </w:tc>
      </w:tr>
      <w:tr w14:paraId="7EEC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restart"/>
            <w:tcBorders>
              <w:top w:val="single" w:color="000000" w:sz="8" w:space="0"/>
              <w:left w:val="nil"/>
              <w:right w:val="single" w:color="000000" w:sz="4" w:space="0"/>
            </w:tcBorders>
            <w:shd w:val="clear" w:color="auto" w:fill="FFFFFF"/>
            <w:vAlign w:val="center"/>
          </w:tcPr>
          <w:p w14:paraId="0F31B256">
            <w:pPr>
              <w:pStyle w:val="23"/>
            </w:pPr>
            <w:r>
              <w:rPr>
                <w:rFonts w:hint="eastAsia"/>
              </w:rPr>
              <w:t>红原机场</w:t>
            </w:r>
          </w:p>
        </w:tc>
        <w:tc>
          <w:tcPr>
            <w:tcW w:w="1644" w:type="dxa"/>
            <w:tcBorders>
              <w:top w:val="single" w:color="000000" w:sz="8" w:space="0"/>
              <w:left w:val="single" w:color="000000" w:sz="4" w:space="0"/>
              <w:bottom w:val="single" w:color="000000" w:sz="4" w:space="0"/>
              <w:right w:val="single" w:color="000000" w:sz="4" w:space="0"/>
            </w:tcBorders>
            <w:shd w:val="clear" w:color="auto" w:fill="FFFFFF"/>
            <w:vAlign w:val="center"/>
          </w:tcPr>
          <w:p w14:paraId="00933EA0">
            <w:pPr>
              <w:pStyle w:val="23"/>
            </w:pPr>
            <w:r>
              <w:t>2016</w:t>
            </w:r>
          </w:p>
        </w:tc>
        <w:tc>
          <w:tcPr>
            <w:tcW w:w="2268" w:type="dxa"/>
            <w:tcBorders>
              <w:top w:val="single" w:color="000000" w:sz="8" w:space="0"/>
              <w:left w:val="single" w:color="000000" w:sz="4" w:space="0"/>
              <w:bottom w:val="single" w:color="000000" w:sz="4" w:space="0"/>
              <w:right w:val="single" w:color="000000" w:sz="4" w:space="0"/>
            </w:tcBorders>
            <w:shd w:val="clear" w:color="auto" w:fill="FFFFFF"/>
            <w:vAlign w:val="center"/>
          </w:tcPr>
          <w:p w14:paraId="2BD62823">
            <w:pPr>
              <w:pStyle w:val="23"/>
            </w:pPr>
            <w:r>
              <w:rPr>
                <w:rFonts w:hint="eastAsia"/>
              </w:rPr>
              <w:t>2.50</w:t>
            </w:r>
          </w:p>
        </w:tc>
        <w:tc>
          <w:tcPr>
            <w:tcW w:w="2268" w:type="dxa"/>
            <w:tcBorders>
              <w:top w:val="single" w:color="000000" w:sz="8" w:space="0"/>
              <w:left w:val="single" w:color="000000" w:sz="4" w:space="0"/>
              <w:bottom w:val="single" w:color="000000" w:sz="4" w:space="0"/>
              <w:right w:val="nil"/>
            </w:tcBorders>
            <w:shd w:val="clear" w:color="auto" w:fill="FFFFFF"/>
            <w:vAlign w:val="center"/>
          </w:tcPr>
          <w:p w14:paraId="51CEA068">
            <w:pPr>
              <w:pStyle w:val="23"/>
            </w:pPr>
            <w:r>
              <w:rPr>
                <w:rFonts w:hint="eastAsia"/>
              </w:rPr>
              <w:t>346</w:t>
            </w:r>
          </w:p>
        </w:tc>
      </w:tr>
      <w:tr w14:paraId="13AF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52B7DAB2">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DBC66">
            <w:pPr>
              <w:pStyle w:val="23"/>
            </w:pPr>
            <w:r>
              <w:t>2017</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177D0">
            <w:pPr>
              <w:pStyle w:val="23"/>
            </w:pPr>
            <w:r>
              <w:rPr>
                <w:rFonts w:hint="eastAsia"/>
              </w:rPr>
              <w:t>1.25</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099E29A1">
            <w:pPr>
              <w:pStyle w:val="23"/>
            </w:pPr>
            <w:r>
              <w:rPr>
                <w:rFonts w:hint="eastAsia"/>
              </w:rPr>
              <w:t>210</w:t>
            </w:r>
          </w:p>
        </w:tc>
      </w:tr>
      <w:tr w14:paraId="1179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54DC69FB">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AB7F9">
            <w:pPr>
              <w:pStyle w:val="23"/>
            </w:pPr>
            <w:r>
              <w:t>2018</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939D">
            <w:pPr>
              <w:pStyle w:val="23"/>
            </w:pPr>
            <w:r>
              <w:rPr>
                <w:rFonts w:hint="eastAsia"/>
              </w:rPr>
              <w:t>2.80</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6FBBC4CD">
            <w:pPr>
              <w:pStyle w:val="23"/>
            </w:pPr>
            <w:r>
              <w:rPr>
                <w:rFonts w:hint="eastAsia"/>
              </w:rPr>
              <w:t>454</w:t>
            </w:r>
          </w:p>
        </w:tc>
      </w:tr>
      <w:tr w14:paraId="4F40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09ADE64F">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2A88">
            <w:pPr>
              <w:pStyle w:val="23"/>
            </w:pPr>
            <w:r>
              <w:t>2019</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8856">
            <w:pPr>
              <w:pStyle w:val="23"/>
            </w:pPr>
            <w:r>
              <w:rPr>
                <w:rFonts w:hint="eastAsia"/>
              </w:rPr>
              <w:t>3.95</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5A28187E">
            <w:pPr>
              <w:pStyle w:val="23"/>
            </w:pPr>
            <w:r>
              <w:rPr>
                <w:rFonts w:hint="eastAsia"/>
              </w:rPr>
              <w:t>682</w:t>
            </w:r>
          </w:p>
        </w:tc>
      </w:tr>
      <w:tr w14:paraId="522A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782FADBA">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8BAF2">
            <w:pPr>
              <w:pStyle w:val="23"/>
            </w:pPr>
            <w:r>
              <w:t>2020</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8B1DA">
            <w:pPr>
              <w:pStyle w:val="23"/>
            </w:pPr>
            <w:r>
              <w:rPr>
                <w:rFonts w:hint="eastAsia"/>
              </w:rPr>
              <w:t>4.70</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55EBCD2A">
            <w:pPr>
              <w:pStyle w:val="23"/>
            </w:pPr>
            <w:r>
              <w:rPr>
                <w:rFonts w:hint="eastAsia"/>
              </w:rPr>
              <w:t>878</w:t>
            </w:r>
          </w:p>
        </w:tc>
      </w:tr>
      <w:tr w14:paraId="34EF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47E3380C">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A0098">
            <w:pPr>
              <w:pStyle w:val="23"/>
            </w:pPr>
            <w:r>
              <w:t>2021</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5B810">
            <w:pPr>
              <w:pStyle w:val="23"/>
            </w:pPr>
            <w:r>
              <w:rPr>
                <w:rFonts w:hint="eastAsia"/>
              </w:rPr>
              <w:t>2.27</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40130691">
            <w:pPr>
              <w:pStyle w:val="23"/>
            </w:pPr>
            <w:r>
              <w:rPr>
                <w:rFonts w:hint="eastAsia"/>
              </w:rPr>
              <w:t>566</w:t>
            </w:r>
          </w:p>
        </w:tc>
      </w:tr>
      <w:tr w14:paraId="302F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6F2B1AEC">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4BBA1">
            <w:pPr>
              <w:pStyle w:val="23"/>
            </w:pPr>
            <w:r>
              <w:t>2022</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EFEE9">
            <w:pPr>
              <w:pStyle w:val="23"/>
            </w:pPr>
            <w:r>
              <w:rPr>
                <w:rFonts w:hint="eastAsia"/>
              </w:rPr>
              <w:t>1.27</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33D5E7F1">
            <w:pPr>
              <w:pStyle w:val="23"/>
            </w:pPr>
            <w:r>
              <w:rPr>
                <w:rFonts w:hint="eastAsia"/>
              </w:rPr>
              <w:t>362</w:t>
            </w:r>
          </w:p>
        </w:tc>
      </w:tr>
      <w:tr w14:paraId="424C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3857A4A3">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3E28D">
            <w:pPr>
              <w:pStyle w:val="23"/>
            </w:pPr>
            <w:r>
              <w:t>2023</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ECD3">
            <w:pPr>
              <w:pStyle w:val="23"/>
            </w:pPr>
            <w:r>
              <w:rPr>
                <w:rFonts w:hint="eastAsia"/>
              </w:rPr>
              <w:t>2.77</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46583DEF">
            <w:pPr>
              <w:pStyle w:val="23"/>
            </w:pPr>
            <w:r>
              <w:rPr>
                <w:rFonts w:hint="eastAsia"/>
              </w:rPr>
              <w:t>608</w:t>
            </w:r>
          </w:p>
        </w:tc>
      </w:tr>
      <w:tr w14:paraId="76C3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right w:val="single" w:color="000000" w:sz="4" w:space="0"/>
            </w:tcBorders>
            <w:shd w:val="clear" w:color="auto" w:fill="FFFFFF"/>
            <w:vAlign w:val="center"/>
          </w:tcPr>
          <w:p w14:paraId="1680E808">
            <w:pPr>
              <w:pStyle w:val="23"/>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22B9B">
            <w:pPr>
              <w:pStyle w:val="23"/>
            </w:pPr>
            <w:r>
              <w:t>2024</w:t>
            </w:r>
          </w:p>
        </w:tc>
        <w:tc>
          <w:tcPr>
            <w:tcW w:w="22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FDC0E">
            <w:pPr>
              <w:pStyle w:val="23"/>
            </w:pPr>
            <w:r>
              <w:rPr>
                <w:rFonts w:hint="eastAsia"/>
              </w:rPr>
              <w:t>3.10</w:t>
            </w:r>
          </w:p>
        </w:tc>
        <w:tc>
          <w:tcPr>
            <w:tcW w:w="2268" w:type="dxa"/>
            <w:tcBorders>
              <w:top w:val="single" w:color="000000" w:sz="4" w:space="0"/>
              <w:left w:val="single" w:color="000000" w:sz="4" w:space="0"/>
              <w:bottom w:val="single" w:color="000000" w:sz="4" w:space="0"/>
              <w:right w:val="nil"/>
            </w:tcBorders>
            <w:shd w:val="clear" w:color="auto" w:fill="FFFFFF"/>
            <w:vAlign w:val="center"/>
          </w:tcPr>
          <w:p w14:paraId="118A03DE">
            <w:pPr>
              <w:pStyle w:val="23"/>
            </w:pPr>
            <w:r>
              <w:rPr>
                <w:rFonts w:hint="eastAsia"/>
              </w:rPr>
              <w:t>582</w:t>
            </w:r>
          </w:p>
        </w:tc>
      </w:tr>
      <w:tr w14:paraId="221A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57" w:type="dxa"/>
            <w:vMerge w:val="continue"/>
            <w:tcBorders>
              <w:left w:val="nil"/>
              <w:bottom w:val="single" w:color="000000" w:sz="12" w:space="0"/>
              <w:right w:val="single" w:color="000000" w:sz="4" w:space="0"/>
            </w:tcBorders>
            <w:shd w:val="clear" w:color="auto" w:fill="FFFFFF"/>
            <w:vAlign w:val="center"/>
          </w:tcPr>
          <w:p w14:paraId="36167A0E">
            <w:pPr>
              <w:pStyle w:val="23"/>
            </w:pPr>
          </w:p>
        </w:tc>
        <w:tc>
          <w:tcPr>
            <w:tcW w:w="1644"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17553258">
            <w:pPr>
              <w:pStyle w:val="23"/>
            </w:pPr>
            <w:r>
              <w:t>2025</w:t>
            </w:r>
          </w:p>
        </w:tc>
        <w:tc>
          <w:tcPr>
            <w:tcW w:w="2268"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3A7929D8">
            <w:pPr>
              <w:pStyle w:val="23"/>
            </w:pPr>
            <w:r>
              <w:rPr>
                <w:rFonts w:hint="eastAsia"/>
              </w:rPr>
              <w:t>2.81</w:t>
            </w:r>
          </w:p>
        </w:tc>
        <w:tc>
          <w:tcPr>
            <w:tcW w:w="2268" w:type="dxa"/>
            <w:tcBorders>
              <w:top w:val="single" w:color="000000" w:sz="4" w:space="0"/>
              <w:left w:val="single" w:color="000000" w:sz="4" w:space="0"/>
              <w:bottom w:val="single" w:color="000000" w:sz="12" w:space="0"/>
              <w:right w:val="nil"/>
            </w:tcBorders>
            <w:shd w:val="clear" w:color="auto" w:fill="FFFFFF"/>
            <w:vAlign w:val="center"/>
          </w:tcPr>
          <w:p w14:paraId="55470F12">
            <w:pPr>
              <w:pStyle w:val="23"/>
            </w:pPr>
            <w:r>
              <w:rPr>
                <w:rFonts w:hint="eastAsia"/>
              </w:rPr>
              <w:t>550</w:t>
            </w:r>
          </w:p>
        </w:tc>
      </w:tr>
    </w:tbl>
    <w:p w14:paraId="5BFC4BAC">
      <w:pPr>
        <w:ind w:firstLine="560"/>
      </w:pPr>
    </w:p>
    <w:p w14:paraId="1FD28EBF">
      <w:pPr>
        <w:pStyle w:val="5"/>
        <w:bidi w:val="0"/>
        <w:rPr>
          <w:rFonts w:hint="eastAsia"/>
          <w:lang w:val="en-US" w:eastAsia="zh-CN"/>
        </w:rPr>
      </w:pPr>
      <w:r>
        <w:rPr>
          <w:rFonts w:hint="eastAsia"/>
          <w:lang w:val="en-US" w:eastAsia="zh-CN"/>
        </w:rPr>
        <w:t>高速公路</w:t>
      </w:r>
    </w:p>
    <w:p w14:paraId="3280165C">
      <w:pPr>
        <w:ind w:firstLine="560"/>
        <w:rPr>
          <w:rFonts w:hint="eastAsia"/>
        </w:rPr>
      </w:pPr>
      <w:r>
        <w:rPr>
          <w:rFonts w:hint="eastAsia"/>
        </w:rPr>
        <w:t>红原县高速公路建设取得历史性突破，G0615久治（川青界）至马尔康段高速公路红原段</w:t>
      </w:r>
      <w:r>
        <w:rPr>
          <w:rFonts w:hint="eastAsia"/>
          <w:lang w:val="en-US" w:eastAsia="zh-CN"/>
        </w:rPr>
        <w:t>基本</w:t>
      </w:r>
      <w:r>
        <w:rPr>
          <w:rFonts w:hint="eastAsia"/>
        </w:rPr>
        <w:t>建成通车，红原县结束不通高速公路历史，正式迈入“高速时代”。S14川主寺至红原高速公路与G0611郎木寺至川主寺高速公路红原相关路段开工建设，红原成为全州县域内布局多条高速通道的重要节点县。截至2026年4月，红原县境内高速公路已开通刷经寺站、中壤口站和龙日坝站共3个收费站，标志着红原县已实质性融入区域高速公路网络。</w:t>
      </w:r>
    </w:p>
    <w:p w14:paraId="6E048984">
      <w:pPr>
        <w:ind w:firstLine="560"/>
        <w:rPr>
          <w:rFonts w:hint="eastAsia"/>
        </w:rPr>
      </w:pPr>
      <w:r>
        <w:rPr>
          <w:rFonts w:hint="eastAsia"/>
        </w:rPr>
        <w:t>2026年一季度，红原县高速公路出口总交通量达32.17万PCU。其中，客车流量为27.02万PCU，占比84.0%；货车流量为5.16万PCU，占比16.0%。客流量占绝对主体，反映出红原县作为旅游目的地的显著特征。</w:t>
      </w:r>
    </w:p>
    <w:p w14:paraId="52F7AFD0">
      <w:pPr>
        <w:ind w:firstLine="560"/>
        <w:rPr>
          <w:rFonts w:hint="eastAsia"/>
        </w:rPr>
      </w:pPr>
      <w:r>
        <w:rPr>
          <w:rFonts w:hint="eastAsia"/>
        </w:rPr>
        <w:t>从来源省份看，见</w:t>
      </w:r>
      <w:r>
        <w:rPr>
          <w:rFonts w:hint="eastAsia"/>
        </w:rPr>
        <w:fldChar w:fldCharType="begin"/>
      </w:r>
      <w:r>
        <w:rPr>
          <w:rFonts w:hint="eastAsia"/>
        </w:rPr>
        <w:instrText xml:space="preserve"> REF _Ref25383 \h </w:instrText>
      </w:r>
      <w:r>
        <w:rPr>
          <w:rFonts w:hint="eastAsia"/>
        </w:rPr>
        <w:fldChar w:fldCharType="separate"/>
      </w:r>
      <w:r>
        <w:t>表 2</w:t>
      </w:r>
      <w:r>
        <w:rPr>
          <w:rFonts w:hint="eastAsia"/>
        </w:rPr>
        <w:fldChar w:fldCharType="end"/>
      </w:r>
      <w:r>
        <w:rPr>
          <w:rFonts w:hint="eastAsia"/>
        </w:rPr>
        <w:t>，四川省内车辆是绝对主力，出口总流量达30.64万PCU，占总量的95.2%。省外来源中，云南省流量最高（0.89万PCU，占比2.8%），其次为重庆市（0.40万PCU，占比1.3%）和贵州省（0.08万PCU，占比0.3%）。值得注意的是，云南省货车流量（0.81万PCU）明显高于客车流量（0.08万PCU），显示红原县与云南省之间可能存在较为稳定的物资运输通道需求。广西、广东、湖南等省份也有少量流量贡献。</w:t>
      </w:r>
    </w:p>
    <w:p w14:paraId="50144F90">
      <w:pPr>
        <w:ind w:firstLine="560"/>
      </w:pPr>
      <w:r>
        <w:rPr>
          <w:rFonts w:hint="eastAsia"/>
        </w:rPr>
        <w:t>从四川省内来源看，见</w:t>
      </w:r>
      <w:r>
        <w:rPr>
          <w:rFonts w:hint="eastAsia"/>
        </w:rPr>
        <w:fldChar w:fldCharType="begin"/>
      </w:r>
      <w:r>
        <w:rPr>
          <w:rFonts w:hint="eastAsia"/>
        </w:rPr>
        <w:instrText xml:space="preserve"> REF _Ref27841 \h </w:instrText>
      </w:r>
      <w:r>
        <w:rPr>
          <w:rFonts w:hint="eastAsia"/>
        </w:rPr>
        <w:fldChar w:fldCharType="separate"/>
      </w:r>
      <w:r>
        <w:t>表 3</w:t>
      </w:r>
      <w:r>
        <w:rPr>
          <w:rFonts w:hint="eastAsia"/>
        </w:rPr>
        <w:fldChar w:fldCharType="end"/>
      </w:r>
      <w:r>
        <w:rPr>
          <w:rFonts w:hint="eastAsia"/>
        </w:rPr>
        <w:t>，来源为阿坝州的总流量为24.45万PCU，占省内流量的79.8%，反映了县域内部及州内毗邻地区之间的高频交通联系。成都市位居第二，流量为4.65万PCU，占比15.2%，显示出省会城市对红原县旅游、商务、公务等活动的强劲辐射带动作用。德阳市、遂宁市、眉山市、绵阳市、资阳市等成都平原经济区城市位列其后，流量在0.13万—0.19万PCU之间，表明红原县与成都平原经济区的联系较为紧密。</w:t>
      </w:r>
    </w:p>
    <w:p w14:paraId="3FDC0279">
      <w:pPr>
        <w:pStyle w:val="11"/>
      </w:pPr>
      <w:bookmarkStart w:id="9" w:name="_Ref25383"/>
      <w:r>
        <w:t xml:space="preserve">表 </w:t>
      </w:r>
      <w:r>
        <w:fldChar w:fldCharType="begin"/>
      </w:r>
      <w:r>
        <w:instrText xml:space="preserve"> SEQ 表 \* ARABIC </w:instrText>
      </w:r>
      <w:r>
        <w:fldChar w:fldCharType="separate"/>
      </w:r>
      <w:r>
        <w:t>2</w:t>
      </w:r>
      <w:r>
        <w:fldChar w:fldCharType="end"/>
      </w:r>
      <w:bookmarkEnd w:id="9"/>
      <w:r>
        <w:rPr>
          <w:rFonts w:hint="eastAsia"/>
        </w:rPr>
        <w:t xml:space="preserve"> 2026年一季度红原县高速公路出口交通量来源（分省份）</w:t>
      </w:r>
    </w:p>
    <w:tbl>
      <w:tblPr>
        <w:tblStyle w:val="27"/>
        <w:tblW w:w="799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1814"/>
        <w:gridCol w:w="1814"/>
        <w:gridCol w:w="1814"/>
      </w:tblGrid>
      <w:tr w14:paraId="39430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51" w:type="dxa"/>
            <w:tcBorders>
              <w:top w:val="single" w:color="auto" w:sz="12" w:space="0"/>
              <w:left w:val="nil"/>
              <w:bottom w:val="single" w:color="auto" w:sz="8" w:space="0"/>
              <w:right w:val="single" w:color="auto" w:sz="4" w:space="0"/>
              <w:insideH w:val="single" w:sz="6" w:space="0"/>
              <w:insideV w:val="single" w:sz="4" w:space="0"/>
            </w:tcBorders>
            <w:noWrap/>
            <w:vAlign w:val="center"/>
          </w:tcPr>
          <w:p w14:paraId="35458FF1">
            <w:pPr>
              <w:pStyle w:val="24"/>
              <w:bidi w:val="0"/>
            </w:pPr>
            <w:r>
              <w:rPr>
                <w:rFonts w:hint="eastAsia"/>
              </w:rPr>
              <w:t>来源省份</w:t>
            </w:r>
          </w:p>
        </w:tc>
        <w:tc>
          <w:tcPr>
            <w:tcW w:w="1814" w:type="dxa"/>
            <w:tcBorders>
              <w:top w:val="single" w:color="auto" w:sz="12" w:space="0"/>
              <w:bottom w:val="single" w:color="auto" w:sz="8" w:space="0"/>
              <w:right w:val="single" w:color="auto" w:sz="4" w:space="0"/>
              <w:insideH w:val="single" w:sz="6" w:space="0"/>
              <w:insideV w:val="single" w:sz="4" w:space="0"/>
            </w:tcBorders>
            <w:noWrap/>
            <w:vAlign w:val="center"/>
          </w:tcPr>
          <w:p w14:paraId="53B672C5">
            <w:pPr>
              <w:pStyle w:val="24"/>
              <w:bidi w:val="0"/>
            </w:pPr>
            <w:r>
              <w:rPr>
                <w:rFonts w:hint="eastAsia"/>
              </w:rPr>
              <w:t>客车流量</w:t>
            </w:r>
          </w:p>
          <w:p w14:paraId="71E8B21B">
            <w:pPr>
              <w:pStyle w:val="24"/>
              <w:bidi w:val="0"/>
            </w:pPr>
            <w:r>
              <w:rPr>
                <w:rFonts w:hint="eastAsia"/>
              </w:rPr>
              <w:t>（PCU）</w:t>
            </w:r>
          </w:p>
        </w:tc>
        <w:tc>
          <w:tcPr>
            <w:tcW w:w="1814" w:type="dxa"/>
            <w:tcBorders>
              <w:top w:val="single" w:color="auto" w:sz="12" w:space="0"/>
              <w:bottom w:val="single" w:color="auto" w:sz="8" w:space="0"/>
              <w:right w:val="single" w:color="auto" w:sz="4" w:space="0"/>
              <w:insideH w:val="single" w:sz="6" w:space="0"/>
              <w:insideV w:val="single" w:sz="4" w:space="0"/>
            </w:tcBorders>
            <w:noWrap/>
            <w:vAlign w:val="center"/>
          </w:tcPr>
          <w:p w14:paraId="462776CD">
            <w:pPr>
              <w:pStyle w:val="24"/>
              <w:bidi w:val="0"/>
            </w:pPr>
            <w:r>
              <w:rPr>
                <w:rFonts w:hint="eastAsia"/>
              </w:rPr>
              <w:t>货车流量</w:t>
            </w:r>
          </w:p>
          <w:p w14:paraId="6BB3E357">
            <w:pPr>
              <w:pStyle w:val="24"/>
              <w:bidi w:val="0"/>
            </w:pPr>
            <w:r>
              <w:rPr>
                <w:rFonts w:hint="eastAsia"/>
              </w:rPr>
              <w:t>（PCU）</w:t>
            </w:r>
          </w:p>
        </w:tc>
        <w:tc>
          <w:tcPr>
            <w:tcW w:w="1814" w:type="dxa"/>
            <w:tcBorders>
              <w:top w:val="single" w:color="auto" w:sz="12" w:space="0"/>
              <w:bottom w:val="single" w:color="auto" w:sz="8" w:space="0"/>
              <w:right w:val="nil"/>
              <w:insideH w:val="single" w:sz="6" w:space="0"/>
              <w:insideV w:val="single" w:sz="4" w:space="0"/>
            </w:tcBorders>
            <w:noWrap/>
            <w:vAlign w:val="center"/>
          </w:tcPr>
          <w:p w14:paraId="421FA273">
            <w:pPr>
              <w:pStyle w:val="24"/>
              <w:bidi w:val="0"/>
            </w:pPr>
            <w:r>
              <w:rPr>
                <w:rFonts w:hint="eastAsia"/>
              </w:rPr>
              <w:t>总流量</w:t>
            </w:r>
          </w:p>
          <w:p w14:paraId="5774B8A4">
            <w:pPr>
              <w:pStyle w:val="24"/>
              <w:bidi w:val="0"/>
            </w:pPr>
            <w:r>
              <w:rPr>
                <w:rFonts w:hint="eastAsia"/>
              </w:rPr>
              <w:t>（PCU）</w:t>
            </w:r>
          </w:p>
        </w:tc>
      </w:tr>
      <w:tr w14:paraId="6F6CE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tcBorders>
              <w:top w:val="single" w:color="auto" w:sz="8" w:space="0"/>
            </w:tcBorders>
            <w:noWrap/>
            <w:vAlign w:val="center"/>
          </w:tcPr>
          <w:p w14:paraId="4BA1F900">
            <w:pPr>
              <w:pStyle w:val="23"/>
            </w:pPr>
            <w:r>
              <w:rPr>
                <w:rFonts w:hint="eastAsia"/>
              </w:rPr>
              <w:t>总计</w:t>
            </w:r>
          </w:p>
        </w:tc>
        <w:tc>
          <w:tcPr>
            <w:tcW w:w="1814" w:type="dxa"/>
            <w:tcBorders>
              <w:top w:val="single" w:color="auto" w:sz="8" w:space="0"/>
            </w:tcBorders>
            <w:noWrap/>
            <w:vAlign w:val="center"/>
          </w:tcPr>
          <w:p w14:paraId="64F5F4AD">
            <w:pPr>
              <w:pStyle w:val="23"/>
            </w:pPr>
            <w:r>
              <w:rPr>
                <w:rFonts w:hint="eastAsia"/>
              </w:rPr>
              <w:t xml:space="preserve">270170 </w:t>
            </w:r>
          </w:p>
        </w:tc>
        <w:tc>
          <w:tcPr>
            <w:tcW w:w="1814" w:type="dxa"/>
            <w:tcBorders>
              <w:top w:val="single" w:color="auto" w:sz="8" w:space="0"/>
            </w:tcBorders>
            <w:noWrap/>
            <w:vAlign w:val="center"/>
          </w:tcPr>
          <w:p w14:paraId="4BC2CA6D">
            <w:pPr>
              <w:pStyle w:val="23"/>
            </w:pPr>
            <w:r>
              <w:rPr>
                <w:rFonts w:hint="eastAsia"/>
              </w:rPr>
              <w:t xml:space="preserve">51551 </w:t>
            </w:r>
          </w:p>
        </w:tc>
        <w:tc>
          <w:tcPr>
            <w:tcW w:w="1814" w:type="dxa"/>
            <w:tcBorders>
              <w:top w:val="single" w:color="auto" w:sz="8" w:space="0"/>
            </w:tcBorders>
            <w:noWrap/>
            <w:vAlign w:val="center"/>
          </w:tcPr>
          <w:p w14:paraId="53C9E1CF">
            <w:pPr>
              <w:pStyle w:val="23"/>
            </w:pPr>
            <w:r>
              <w:rPr>
                <w:rFonts w:hint="eastAsia"/>
              </w:rPr>
              <w:t xml:space="preserve">321721 </w:t>
            </w:r>
          </w:p>
        </w:tc>
      </w:tr>
      <w:tr w14:paraId="6E7F59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3CB0995B">
            <w:pPr>
              <w:pStyle w:val="23"/>
            </w:pPr>
            <w:r>
              <w:rPr>
                <w:rFonts w:hint="eastAsia"/>
              </w:rPr>
              <w:t>四川省</w:t>
            </w:r>
          </w:p>
        </w:tc>
        <w:tc>
          <w:tcPr>
            <w:tcW w:w="1814" w:type="dxa"/>
            <w:noWrap/>
            <w:vAlign w:val="center"/>
          </w:tcPr>
          <w:p w14:paraId="4175F33E">
            <w:pPr>
              <w:pStyle w:val="23"/>
            </w:pPr>
            <w:r>
              <w:rPr>
                <w:rFonts w:hint="eastAsia"/>
              </w:rPr>
              <w:t xml:space="preserve">264833 </w:t>
            </w:r>
          </w:p>
        </w:tc>
        <w:tc>
          <w:tcPr>
            <w:tcW w:w="1814" w:type="dxa"/>
            <w:noWrap/>
            <w:vAlign w:val="center"/>
          </w:tcPr>
          <w:p w14:paraId="458E04F9">
            <w:pPr>
              <w:pStyle w:val="23"/>
            </w:pPr>
            <w:r>
              <w:rPr>
                <w:rFonts w:hint="eastAsia"/>
              </w:rPr>
              <w:t xml:space="preserve">41537 </w:t>
            </w:r>
          </w:p>
        </w:tc>
        <w:tc>
          <w:tcPr>
            <w:tcW w:w="1814" w:type="dxa"/>
            <w:noWrap/>
            <w:vAlign w:val="center"/>
          </w:tcPr>
          <w:p w14:paraId="32B633FD">
            <w:pPr>
              <w:pStyle w:val="23"/>
            </w:pPr>
            <w:r>
              <w:rPr>
                <w:rFonts w:hint="eastAsia"/>
              </w:rPr>
              <w:t xml:space="preserve">306370 </w:t>
            </w:r>
          </w:p>
        </w:tc>
      </w:tr>
      <w:tr w14:paraId="39AA1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B101438">
            <w:pPr>
              <w:pStyle w:val="23"/>
            </w:pPr>
            <w:r>
              <w:rPr>
                <w:rFonts w:hint="eastAsia"/>
              </w:rPr>
              <w:t>云南省</w:t>
            </w:r>
          </w:p>
        </w:tc>
        <w:tc>
          <w:tcPr>
            <w:tcW w:w="1814" w:type="dxa"/>
            <w:noWrap/>
            <w:vAlign w:val="center"/>
          </w:tcPr>
          <w:p w14:paraId="192D1B7C">
            <w:pPr>
              <w:pStyle w:val="23"/>
            </w:pPr>
            <w:r>
              <w:rPr>
                <w:rFonts w:hint="eastAsia"/>
              </w:rPr>
              <w:t xml:space="preserve">838 </w:t>
            </w:r>
          </w:p>
        </w:tc>
        <w:tc>
          <w:tcPr>
            <w:tcW w:w="1814" w:type="dxa"/>
            <w:noWrap/>
            <w:vAlign w:val="center"/>
          </w:tcPr>
          <w:p w14:paraId="370DD01E">
            <w:pPr>
              <w:pStyle w:val="23"/>
            </w:pPr>
            <w:r>
              <w:rPr>
                <w:rFonts w:hint="eastAsia"/>
              </w:rPr>
              <w:t xml:space="preserve">8112 </w:t>
            </w:r>
          </w:p>
        </w:tc>
        <w:tc>
          <w:tcPr>
            <w:tcW w:w="1814" w:type="dxa"/>
            <w:noWrap/>
            <w:vAlign w:val="center"/>
          </w:tcPr>
          <w:p w14:paraId="326727C6">
            <w:pPr>
              <w:pStyle w:val="23"/>
            </w:pPr>
            <w:r>
              <w:rPr>
                <w:rFonts w:hint="eastAsia"/>
              </w:rPr>
              <w:t xml:space="preserve">8949 </w:t>
            </w:r>
          </w:p>
        </w:tc>
      </w:tr>
      <w:tr w14:paraId="7E01B3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E2091C8">
            <w:pPr>
              <w:pStyle w:val="23"/>
            </w:pPr>
            <w:r>
              <w:rPr>
                <w:rFonts w:hint="eastAsia"/>
              </w:rPr>
              <w:t>重庆市</w:t>
            </w:r>
          </w:p>
        </w:tc>
        <w:tc>
          <w:tcPr>
            <w:tcW w:w="1814" w:type="dxa"/>
            <w:noWrap/>
            <w:vAlign w:val="center"/>
          </w:tcPr>
          <w:p w14:paraId="48005576">
            <w:pPr>
              <w:pStyle w:val="23"/>
            </w:pPr>
            <w:r>
              <w:rPr>
                <w:rFonts w:hint="eastAsia"/>
              </w:rPr>
              <w:t xml:space="preserve">3360 </w:t>
            </w:r>
          </w:p>
        </w:tc>
        <w:tc>
          <w:tcPr>
            <w:tcW w:w="1814" w:type="dxa"/>
            <w:noWrap/>
            <w:vAlign w:val="center"/>
          </w:tcPr>
          <w:p w14:paraId="4B817D6C">
            <w:pPr>
              <w:pStyle w:val="23"/>
            </w:pPr>
            <w:r>
              <w:rPr>
                <w:rFonts w:hint="eastAsia"/>
              </w:rPr>
              <w:t xml:space="preserve">667 </w:t>
            </w:r>
          </w:p>
        </w:tc>
        <w:tc>
          <w:tcPr>
            <w:tcW w:w="1814" w:type="dxa"/>
            <w:noWrap/>
            <w:vAlign w:val="center"/>
          </w:tcPr>
          <w:p w14:paraId="54DA2EF4">
            <w:pPr>
              <w:pStyle w:val="23"/>
            </w:pPr>
            <w:r>
              <w:rPr>
                <w:rFonts w:hint="eastAsia"/>
              </w:rPr>
              <w:t xml:space="preserve">4027 </w:t>
            </w:r>
          </w:p>
        </w:tc>
      </w:tr>
      <w:tr w14:paraId="37433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0ED724DA">
            <w:pPr>
              <w:pStyle w:val="23"/>
            </w:pPr>
            <w:r>
              <w:rPr>
                <w:rFonts w:hint="eastAsia"/>
              </w:rPr>
              <w:t>贵州省</w:t>
            </w:r>
          </w:p>
        </w:tc>
        <w:tc>
          <w:tcPr>
            <w:tcW w:w="1814" w:type="dxa"/>
            <w:noWrap/>
            <w:vAlign w:val="center"/>
          </w:tcPr>
          <w:p w14:paraId="68E28ACB">
            <w:pPr>
              <w:pStyle w:val="23"/>
            </w:pPr>
            <w:r>
              <w:rPr>
                <w:rFonts w:hint="eastAsia"/>
              </w:rPr>
              <w:t xml:space="preserve">653 </w:t>
            </w:r>
          </w:p>
        </w:tc>
        <w:tc>
          <w:tcPr>
            <w:tcW w:w="1814" w:type="dxa"/>
            <w:noWrap/>
            <w:vAlign w:val="center"/>
          </w:tcPr>
          <w:p w14:paraId="46216C5F">
            <w:pPr>
              <w:pStyle w:val="23"/>
            </w:pPr>
            <w:r>
              <w:rPr>
                <w:rFonts w:hint="eastAsia"/>
              </w:rPr>
              <w:t xml:space="preserve">174 </w:t>
            </w:r>
          </w:p>
        </w:tc>
        <w:tc>
          <w:tcPr>
            <w:tcW w:w="1814" w:type="dxa"/>
            <w:noWrap/>
            <w:vAlign w:val="center"/>
          </w:tcPr>
          <w:p w14:paraId="01CEA743">
            <w:pPr>
              <w:pStyle w:val="23"/>
            </w:pPr>
            <w:r>
              <w:rPr>
                <w:rFonts w:hint="eastAsia"/>
              </w:rPr>
              <w:t xml:space="preserve">827 </w:t>
            </w:r>
          </w:p>
        </w:tc>
      </w:tr>
      <w:tr w14:paraId="19C4D6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53DBEA2">
            <w:pPr>
              <w:pStyle w:val="23"/>
            </w:pPr>
            <w:r>
              <w:rPr>
                <w:rFonts w:hint="eastAsia"/>
              </w:rPr>
              <w:t>广西壮族自治区</w:t>
            </w:r>
          </w:p>
        </w:tc>
        <w:tc>
          <w:tcPr>
            <w:tcW w:w="1814" w:type="dxa"/>
            <w:noWrap/>
            <w:vAlign w:val="center"/>
          </w:tcPr>
          <w:p w14:paraId="65E42D68">
            <w:pPr>
              <w:pStyle w:val="23"/>
            </w:pPr>
            <w:r>
              <w:rPr>
                <w:rFonts w:hint="eastAsia"/>
              </w:rPr>
              <w:t xml:space="preserve">69 </w:t>
            </w:r>
          </w:p>
        </w:tc>
        <w:tc>
          <w:tcPr>
            <w:tcW w:w="1814" w:type="dxa"/>
            <w:noWrap/>
            <w:vAlign w:val="center"/>
          </w:tcPr>
          <w:p w14:paraId="5375A37A">
            <w:pPr>
              <w:pStyle w:val="23"/>
            </w:pPr>
            <w:r>
              <w:rPr>
                <w:rFonts w:hint="eastAsia"/>
              </w:rPr>
              <w:t xml:space="preserve">743 </w:t>
            </w:r>
          </w:p>
        </w:tc>
        <w:tc>
          <w:tcPr>
            <w:tcW w:w="1814" w:type="dxa"/>
            <w:noWrap/>
            <w:vAlign w:val="center"/>
          </w:tcPr>
          <w:p w14:paraId="392F1E4E">
            <w:pPr>
              <w:pStyle w:val="23"/>
            </w:pPr>
            <w:r>
              <w:rPr>
                <w:rFonts w:hint="eastAsia"/>
              </w:rPr>
              <w:t xml:space="preserve">812 </w:t>
            </w:r>
          </w:p>
        </w:tc>
      </w:tr>
      <w:tr w14:paraId="21162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2BA88832">
            <w:pPr>
              <w:pStyle w:val="23"/>
            </w:pPr>
            <w:r>
              <w:rPr>
                <w:rFonts w:hint="eastAsia"/>
              </w:rPr>
              <w:t>广东省</w:t>
            </w:r>
          </w:p>
        </w:tc>
        <w:tc>
          <w:tcPr>
            <w:tcW w:w="1814" w:type="dxa"/>
            <w:noWrap/>
            <w:vAlign w:val="center"/>
          </w:tcPr>
          <w:p w14:paraId="44DE63BC">
            <w:pPr>
              <w:pStyle w:val="23"/>
            </w:pPr>
            <w:r>
              <w:rPr>
                <w:rFonts w:hint="eastAsia"/>
              </w:rPr>
              <w:t xml:space="preserve">68 </w:t>
            </w:r>
          </w:p>
        </w:tc>
        <w:tc>
          <w:tcPr>
            <w:tcW w:w="1814" w:type="dxa"/>
            <w:noWrap/>
            <w:vAlign w:val="center"/>
          </w:tcPr>
          <w:p w14:paraId="05610AF9">
            <w:pPr>
              <w:pStyle w:val="23"/>
            </w:pPr>
            <w:r>
              <w:rPr>
                <w:rFonts w:hint="eastAsia"/>
              </w:rPr>
              <w:t xml:space="preserve">227 </w:t>
            </w:r>
          </w:p>
        </w:tc>
        <w:tc>
          <w:tcPr>
            <w:tcW w:w="1814" w:type="dxa"/>
            <w:noWrap/>
            <w:vAlign w:val="center"/>
          </w:tcPr>
          <w:p w14:paraId="50087E17">
            <w:pPr>
              <w:pStyle w:val="23"/>
            </w:pPr>
            <w:r>
              <w:rPr>
                <w:rFonts w:hint="eastAsia"/>
              </w:rPr>
              <w:t xml:space="preserve">295 </w:t>
            </w:r>
          </w:p>
        </w:tc>
      </w:tr>
      <w:tr w14:paraId="6E60F9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E4014FF">
            <w:pPr>
              <w:pStyle w:val="23"/>
            </w:pPr>
            <w:r>
              <w:rPr>
                <w:rFonts w:hint="eastAsia"/>
              </w:rPr>
              <w:t>湖南省</w:t>
            </w:r>
          </w:p>
        </w:tc>
        <w:tc>
          <w:tcPr>
            <w:tcW w:w="1814" w:type="dxa"/>
            <w:noWrap/>
            <w:vAlign w:val="center"/>
          </w:tcPr>
          <w:p w14:paraId="1FB15444">
            <w:pPr>
              <w:pStyle w:val="23"/>
            </w:pPr>
            <w:r>
              <w:rPr>
                <w:rFonts w:hint="eastAsia"/>
              </w:rPr>
              <w:t xml:space="preserve">207 </w:t>
            </w:r>
          </w:p>
        </w:tc>
        <w:tc>
          <w:tcPr>
            <w:tcW w:w="1814" w:type="dxa"/>
            <w:noWrap/>
            <w:vAlign w:val="center"/>
          </w:tcPr>
          <w:p w14:paraId="1824563E">
            <w:pPr>
              <w:pStyle w:val="23"/>
            </w:pPr>
            <w:r>
              <w:rPr>
                <w:rFonts w:hint="eastAsia"/>
              </w:rPr>
              <w:t xml:space="preserve">30 </w:t>
            </w:r>
          </w:p>
        </w:tc>
        <w:tc>
          <w:tcPr>
            <w:tcW w:w="1814" w:type="dxa"/>
            <w:noWrap/>
            <w:vAlign w:val="center"/>
          </w:tcPr>
          <w:p w14:paraId="5883FEA5">
            <w:pPr>
              <w:pStyle w:val="23"/>
            </w:pPr>
            <w:r>
              <w:rPr>
                <w:rFonts w:hint="eastAsia"/>
              </w:rPr>
              <w:t xml:space="preserve">237 </w:t>
            </w:r>
          </w:p>
        </w:tc>
      </w:tr>
      <w:tr w14:paraId="2DD7C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54199655">
            <w:pPr>
              <w:pStyle w:val="23"/>
            </w:pPr>
            <w:r>
              <w:rPr>
                <w:rFonts w:hint="eastAsia"/>
              </w:rPr>
              <w:t>湖北省</w:t>
            </w:r>
          </w:p>
        </w:tc>
        <w:tc>
          <w:tcPr>
            <w:tcW w:w="1814" w:type="dxa"/>
            <w:noWrap/>
            <w:vAlign w:val="center"/>
          </w:tcPr>
          <w:p w14:paraId="5A369159">
            <w:pPr>
              <w:pStyle w:val="23"/>
            </w:pPr>
            <w:r>
              <w:rPr>
                <w:rFonts w:hint="eastAsia"/>
              </w:rPr>
              <w:t xml:space="preserve">106 </w:t>
            </w:r>
          </w:p>
        </w:tc>
        <w:tc>
          <w:tcPr>
            <w:tcW w:w="1814" w:type="dxa"/>
            <w:noWrap/>
            <w:vAlign w:val="center"/>
          </w:tcPr>
          <w:p w14:paraId="6AE39EB3">
            <w:pPr>
              <w:pStyle w:val="23"/>
            </w:pPr>
            <w:r>
              <w:rPr>
                <w:rFonts w:hint="eastAsia"/>
              </w:rPr>
              <w:t xml:space="preserve">40 </w:t>
            </w:r>
          </w:p>
        </w:tc>
        <w:tc>
          <w:tcPr>
            <w:tcW w:w="1814" w:type="dxa"/>
            <w:noWrap/>
            <w:vAlign w:val="center"/>
          </w:tcPr>
          <w:p w14:paraId="0C0781C7">
            <w:pPr>
              <w:pStyle w:val="23"/>
            </w:pPr>
            <w:r>
              <w:rPr>
                <w:rFonts w:hint="eastAsia"/>
              </w:rPr>
              <w:t xml:space="preserve">146 </w:t>
            </w:r>
          </w:p>
        </w:tc>
      </w:tr>
      <w:tr w14:paraId="0A8DDA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5081F7C">
            <w:pPr>
              <w:pStyle w:val="23"/>
            </w:pPr>
            <w:r>
              <w:rPr>
                <w:rFonts w:hint="eastAsia"/>
              </w:rPr>
              <w:t>陕西省</w:t>
            </w:r>
          </w:p>
        </w:tc>
        <w:tc>
          <w:tcPr>
            <w:tcW w:w="1814" w:type="dxa"/>
            <w:noWrap/>
            <w:vAlign w:val="center"/>
          </w:tcPr>
          <w:p w14:paraId="4821F0CE">
            <w:pPr>
              <w:pStyle w:val="23"/>
            </w:pPr>
            <w:r>
              <w:rPr>
                <w:rFonts w:hint="eastAsia"/>
              </w:rPr>
              <w:t xml:space="preserve">13 </w:t>
            </w:r>
          </w:p>
        </w:tc>
        <w:tc>
          <w:tcPr>
            <w:tcW w:w="1814" w:type="dxa"/>
            <w:noWrap/>
            <w:vAlign w:val="center"/>
          </w:tcPr>
          <w:p w14:paraId="62064A96">
            <w:pPr>
              <w:pStyle w:val="23"/>
            </w:pPr>
            <w:r>
              <w:rPr>
                <w:rFonts w:hint="eastAsia"/>
              </w:rPr>
              <w:t xml:space="preserve">3 </w:t>
            </w:r>
          </w:p>
        </w:tc>
        <w:tc>
          <w:tcPr>
            <w:tcW w:w="1814" w:type="dxa"/>
            <w:noWrap/>
            <w:vAlign w:val="center"/>
          </w:tcPr>
          <w:p w14:paraId="6B258953">
            <w:pPr>
              <w:pStyle w:val="23"/>
            </w:pPr>
            <w:r>
              <w:rPr>
                <w:rFonts w:hint="eastAsia"/>
              </w:rPr>
              <w:t xml:space="preserve">16 </w:t>
            </w:r>
          </w:p>
        </w:tc>
      </w:tr>
      <w:tr w14:paraId="5E3FE9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180A4C20">
            <w:pPr>
              <w:pStyle w:val="23"/>
            </w:pPr>
            <w:r>
              <w:rPr>
                <w:rFonts w:hint="eastAsia"/>
              </w:rPr>
              <w:t>河南省</w:t>
            </w:r>
          </w:p>
        </w:tc>
        <w:tc>
          <w:tcPr>
            <w:tcW w:w="1814" w:type="dxa"/>
            <w:noWrap/>
            <w:vAlign w:val="center"/>
          </w:tcPr>
          <w:p w14:paraId="55F42F7F">
            <w:pPr>
              <w:pStyle w:val="23"/>
            </w:pPr>
            <w:r>
              <w:rPr>
                <w:rFonts w:hint="eastAsia"/>
              </w:rPr>
              <w:t xml:space="preserve">7 </w:t>
            </w:r>
          </w:p>
        </w:tc>
        <w:tc>
          <w:tcPr>
            <w:tcW w:w="1814" w:type="dxa"/>
            <w:noWrap/>
            <w:vAlign w:val="center"/>
          </w:tcPr>
          <w:p w14:paraId="709454D7">
            <w:pPr>
              <w:pStyle w:val="23"/>
            </w:pPr>
            <w:r>
              <w:rPr>
                <w:rFonts w:hint="eastAsia"/>
              </w:rPr>
              <w:t xml:space="preserve">6 </w:t>
            </w:r>
          </w:p>
        </w:tc>
        <w:tc>
          <w:tcPr>
            <w:tcW w:w="1814" w:type="dxa"/>
            <w:noWrap/>
            <w:vAlign w:val="center"/>
          </w:tcPr>
          <w:p w14:paraId="2B75D38D">
            <w:pPr>
              <w:pStyle w:val="23"/>
            </w:pPr>
            <w:r>
              <w:rPr>
                <w:rFonts w:hint="eastAsia"/>
              </w:rPr>
              <w:t xml:space="preserve">13 </w:t>
            </w:r>
          </w:p>
        </w:tc>
      </w:tr>
      <w:tr w14:paraId="01F62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3D261041">
            <w:pPr>
              <w:pStyle w:val="23"/>
            </w:pPr>
            <w:r>
              <w:rPr>
                <w:rFonts w:hint="eastAsia"/>
              </w:rPr>
              <w:t>江西省</w:t>
            </w:r>
          </w:p>
        </w:tc>
        <w:tc>
          <w:tcPr>
            <w:tcW w:w="1814" w:type="dxa"/>
            <w:noWrap/>
            <w:vAlign w:val="center"/>
          </w:tcPr>
          <w:p w14:paraId="3415A450">
            <w:pPr>
              <w:pStyle w:val="23"/>
            </w:pPr>
            <w:r>
              <w:rPr>
                <w:rFonts w:hint="eastAsia"/>
              </w:rPr>
              <w:t xml:space="preserve">10 </w:t>
            </w:r>
          </w:p>
        </w:tc>
        <w:tc>
          <w:tcPr>
            <w:tcW w:w="1814" w:type="dxa"/>
            <w:noWrap/>
            <w:vAlign w:val="center"/>
          </w:tcPr>
          <w:p w14:paraId="1D878F39">
            <w:pPr>
              <w:pStyle w:val="23"/>
            </w:pPr>
            <w:r>
              <w:rPr>
                <w:rFonts w:hint="eastAsia"/>
              </w:rPr>
              <w:t xml:space="preserve">2 </w:t>
            </w:r>
          </w:p>
        </w:tc>
        <w:tc>
          <w:tcPr>
            <w:tcW w:w="1814" w:type="dxa"/>
            <w:noWrap/>
            <w:vAlign w:val="center"/>
          </w:tcPr>
          <w:p w14:paraId="57C734D8">
            <w:pPr>
              <w:pStyle w:val="23"/>
            </w:pPr>
            <w:r>
              <w:rPr>
                <w:rFonts w:hint="eastAsia"/>
              </w:rPr>
              <w:t xml:space="preserve">12 </w:t>
            </w:r>
          </w:p>
        </w:tc>
      </w:tr>
      <w:tr w14:paraId="5F054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0C4A4EB">
            <w:pPr>
              <w:pStyle w:val="23"/>
            </w:pPr>
            <w:r>
              <w:rPr>
                <w:rFonts w:hint="eastAsia"/>
              </w:rPr>
              <w:t>安徽省</w:t>
            </w:r>
          </w:p>
        </w:tc>
        <w:tc>
          <w:tcPr>
            <w:tcW w:w="1814" w:type="dxa"/>
            <w:noWrap/>
            <w:vAlign w:val="center"/>
          </w:tcPr>
          <w:p w14:paraId="75481D32">
            <w:pPr>
              <w:pStyle w:val="23"/>
            </w:pPr>
            <w:r>
              <w:rPr>
                <w:rFonts w:hint="eastAsia"/>
              </w:rPr>
              <w:t xml:space="preserve">2 </w:t>
            </w:r>
          </w:p>
        </w:tc>
        <w:tc>
          <w:tcPr>
            <w:tcW w:w="1814" w:type="dxa"/>
            <w:noWrap/>
            <w:vAlign w:val="center"/>
          </w:tcPr>
          <w:p w14:paraId="08B55D89">
            <w:pPr>
              <w:pStyle w:val="23"/>
            </w:pPr>
            <w:r>
              <w:rPr>
                <w:rFonts w:hint="eastAsia"/>
              </w:rPr>
              <w:t xml:space="preserve">4 </w:t>
            </w:r>
          </w:p>
        </w:tc>
        <w:tc>
          <w:tcPr>
            <w:tcW w:w="1814" w:type="dxa"/>
            <w:noWrap/>
            <w:vAlign w:val="center"/>
          </w:tcPr>
          <w:p w14:paraId="1EAE34DF">
            <w:pPr>
              <w:pStyle w:val="23"/>
            </w:pPr>
            <w:r>
              <w:rPr>
                <w:rFonts w:hint="eastAsia"/>
              </w:rPr>
              <w:t xml:space="preserve">6 </w:t>
            </w:r>
          </w:p>
        </w:tc>
      </w:tr>
      <w:tr w14:paraId="5CD0D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0E41A11F">
            <w:pPr>
              <w:pStyle w:val="23"/>
            </w:pPr>
            <w:r>
              <w:rPr>
                <w:rFonts w:hint="eastAsia"/>
              </w:rPr>
              <w:t>福建省</w:t>
            </w:r>
          </w:p>
        </w:tc>
        <w:tc>
          <w:tcPr>
            <w:tcW w:w="1814" w:type="dxa"/>
            <w:noWrap/>
            <w:vAlign w:val="center"/>
          </w:tcPr>
          <w:p w14:paraId="4AC7B8B4">
            <w:pPr>
              <w:pStyle w:val="23"/>
            </w:pPr>
            <w:r>
              <w:rPr>
                <w:rFonts w:hint="eastAsia"/>
              </w:rPr>
              <w:t xml:space="preserve">1 </w:t>
            </w:r>
          </w:p>
        </w:tc>
        <w:tc>
          <w:tcPr>
            <w:tcW w:w="1814" w:type="dxa"/>
            <w:noWrap/>
            <w:vAlign w:val="center"/>
          </w:tcPr>
          <w:p w14:paraId="2785724B">
            <w:pPr>
              <w:pStyle w:val="23"/>
            </w:pPr>
            <w:r>
              <w:rPr>
                <w:rFonts w:hint="eastAsia"/>
              </w:rPr>
              <w:t xml:space="preserve">3 </w:t>
            </w:r>
          </w:p>
        </w:tc>
        <w:tc>
          <w:tcPr>
            <w:tcW w:w="1814" w:type="dxa"/>
            <w:noWrap/>
            <w:vAlign w:val="center"/>
          </w:tcPr>
          <w:p w14:paraId="6C6D9734">
            <w:pPr>
              <w:pStyle w:val="23"/>
            </w:pPr>
            <w:r>
              <w:rPr>
                <w:rFonts w:hint="eastAsia"/>
              </w:rPr>
              <w:t xml:space="preserve">4 </w:t>
            </w:r>
          </w:p>
        </w:tc>
      </w:tr>
      <w:tr w14:paraId="5F6CE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C59739D">
            <w:pPr>
              <w:pStyle w:val="23"/>
            </w:pPr>
            <w:r>
              <w:rPr>
                <w:rFonts w:hint="eastAsia"/>
              </w:rPr>
              <w:t>浙江省</w:t>
            </w:r>
          </w:p>
        </w:tc>
        <w:tc>
          <w:tcPr>
            <w:tcW w:w="1814" w:type="dxa"/>
            <w:noWrap/>
            <w:vAlign w:val="center"/>
          </w:tcPr>
          <w:p w14:paraId="0557B497">
            <w:pPr>
              <w:pStyle w:val="23"/>
            </w:pPr>
            <w:r>
              <w:rPr>
                <w:rFonts w:hint="eastAsia"/>
              </w:rPr>
              <w:t xml:space="preserve">1 </w:t>
            </w:r>
          </w:p>
        </w:tc>
        <w:tc>
          <w:tcPr>
            <w:tcW w:w="1814" w:type="dxa"/>
            <w:noWrap/>
            <w:vAlign w:val="center"/>
          </w:tcPr>
          <w:p w14:paraId="1907F837">
            <w:pPr>
              <w:pStyle w:val="23"/>
            </w:pPr>
            <w:r>
              <w:rPr>
                <w:rFonts w:hint="eastAsia"/>
              </w:rPr>
              <w:t xml:space="preserve">3 </w:t>
            </w:r>
          </w:p>
        </w:tc>
        <w:tc>
          <w:tcPr>
            <w:tcW w:w="1814" w:type="dxa"/>
            <w:noWrap/>
            <w:vAlign w:val="center"/>
          </w:tcPr>
          <w:p w14:paraId="60364817">
            <w:pPr>
              <w:pStyle w:val="23"/>
            </w:pPr>
            <w:r>
              <w:rPr>
                <w:rFonts w:hint="eastAsia"/>
              </w:rPr>
              <w:t xml:space="preserve">4 </w:t>
            </w:r>
          </w:p>
        </w:tc>
      </w:tr>
      <w:tr w14:paraId="0A0E6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D01E62F">
            <w:pPr>
              <w:pStyle w:val="23"/>
            </w:pPr>
            <w:r>
              <w:rPr>
                <w:rFonts w:hint="eastAsia"/>
              </w:rPr>
              <w:t>河北省</w:t>
            </w:r>
          </w:p>
        </w:tc>
        <w:tc>
          <w:tcPr>
            <w:tcW w:w="1814" w:type="dxa"/>
            <w:noWrap/>
            <w:vAlign w:val="center"/>
          </w:tcPr>
          <w:p w14:paraId="599611DA">
            <w:pPr>
              <w:pStyle w:val="23"/>
            </w:pPr>
            <w:r>
              <w:rPr>
                <w:rFonts w:hint="eastAsia"/>
              </w:rPr>
              <w:t xml:space="preserve">0 </w:t>
            </w:r>
          </w:p>
        </w:tc>
        <w:tc>
          <w:tcPr>
            <w:tcW w:w="1814" w:type="dxa"/>
            <w:noWrap/>
            <w:vAlign w:val="center"/>
          </w:tcPr>
          <w:p w14:paraId="323340F8">
            <w:pPr>
              <w:pStyle w:val="23"/>
            </w:pPr>
            <w:r>
              <w:rPr>
                <w:rFonts w:hint="eastAsia"/>
              </w:rPr>
              <w:t xml:space="preserve">2 </w:t>
            </w:r>
          </w:p>
        </w:tc>
        <w:tc>
          <w:tcPr>
            <w:tcW w:w="1814" w:type="dxa"/>
            <w:noWrap/>
            <w:vAlign w:val="center"/>
          </w:tcPr>
          <w:p w14:paraId="3702D920">
            <w:pPr>
              <w:pStyle w:val="23"/>
            </w:pPr>
            <w:r>
              <w:rPr>
                <w:rFonts w:hint="eastAsia"/>
              </w:rPr>
              <w:t xml:space="preserve">2 </w:t>
            </w:r>
          </w:p>
        </w:tc>
      </w:tr>
      <w:tr w14:paraId="33746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55EA94FC">
            <w:pPr>
              <w:pStyle w:val="23"/>
            </w:pPr>
            <w:r>
              <w:rPr>
                <w:rFonts w:hint="eastAsia"/>
              </w:rPr>
              <w:t>山东省</w:t>
            </w:r>
          </w:p>
        </w:tc>
        <w:tc>
          <w:tcPr>
            <w:tcW w:w="1814" w:type="dxa"/>
            <w:noWrap/>
            <w:vAlign w:val="center"/>
          </w:tcPr>
          <w:p w14:paraId="048A4795">
            <w:pPr>
              <w:pStyle w:val="23"/>
            </w:pPr>
            <w:r>
              <w:rPr>
                <w:rFonts w:hint="eastAsia"/>
              </w:rPr>
              <w:t xml:space="preserve">0 </w:t>
            </w:r>
          </w:p>
        </w:tc>
        <w:tc>
          <w:tcPr>
            <w:tcW w:w="1814" w:type="dxa"/>
            <w:noWrap/>
            <w:vAlign w:val="center"/>
          </w:tcPr>
          <w:p w14:paraId="6D4B73E6">
            <w:pPr>
              <w:pStyle w:val="23"/>
            </w:pPr>
            <w:r>
              <w:rPr>
                <w:rFonts w:hint="eastAsia"/>
              </w:rPr>
              <w:t xml:space="preserve">2 </w:t>
            </w:r>
          </w:p>
        </w:tc>
        <w:tc>
          <w:tcPr>
            <w:tcW w:w="1814" w:type="dxa"/>
            <w:noWrap/>
            <w:vAlign w:val="center"/>
          </w:tcPr>
          <w:p w14:paraId="78CB073D">
            <w:pPr>
              <w:pStyle w:val="23"/>
            </w:pPr>
            <w:r>
              <w:rPr>
                <w:rFonts w:hint="eastAsia"/>
              </w:rPr>
              <w:t xml:space="preserve">2 </w:t>
            </w:r>
          </w:p>
        </w:tc>
      </w:tr>
      <w:tr w14:paraId="26356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67CB03A">
            <w:pPr>
              <w:pStyle w:val="23"/>
            </w:pPr>
            <w:r>
              <w:rPr>
                <w:rFonts w:hint="eastAsia"/>
              </w:rPr>
              <w:t>山西省</w:t>
            </w:r>
          </w:p>
        </w:tc>
        <w:tc>
          <w:tcPr>
            <w:tcW w:w="1814" w:type="dxa"/>
            <w:noWrap/>
            <w:vAlign w:val="center"/>
          </w:tcPr>
          <w:p w14:paraId="715714ED">
            <w:pPr>
              <w:pStyle w:val="23"/>
            </w:pPr>
            <w:r>
              <w:rPr>
                <w:rFonts w:hint="eastAsia"/>
              </w:rPr>
              <w:t xml:space="preserve">2 </w:t>
            </w:r>
          </w:p>
        </w:tc>
        <w:tc>
          <w:tcPr>
            <w:tcW w:w="1814" w:type="dxa"/>
            <w:noWrap/>
            <w:vAlign w:val="center"/>
          </w:tcPr>
          <w:p w14:paraId="645BE16A">
            <w:pPr>
              <w:pStyle w:val="23"/>
            </w:pPr>
            <w:r>
              <w:rPr>
                <w:rFonts w:hint="eastAsia"/>
              </w:rPr>
              <w:t xml:space="preserve">0 </w:t>
            </w:r>
          </w:p>
        </w:tc>
        <w:tc>
          <w:tcPr>
            <w:tcW w:w="1814" w:type="dxa"/>
            <w:noWrap/>
            <w:vAlign w:val="center"/>
          </w:tcPr>
          <w:p w14:paraId="0B956AD2">
            <w:pPr>
              <w:pStyle w:val="23"/>
            </w:pPr>
            <w:r>
              <w:rPr>
                <w:rFonts w:hint="eastAsia"/>
              </w:rPr>
              <w:t xml:space="preserve">2 </w:t>
            </w:r>
          </w:p>
        </w:tc>
      </w:tr>
      <w:tr w14:paraId="05A2D2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14D64E58">
            <w:pPr>
              <w:pStyle w:val="23"/>
            </w:pPr>
            <w:r>
              <w:rPr>
                <w:rFonts w:hint="eastAsia"/>
              </w:rPr>
              <w:t>甘肃省</w:t>
            </w:r>
          </w:p>
        </w:tc>
        <w:tc>
          <w:tcPr>
            <w:tcW w:w="1814" w:type="dxa"/>
            <w:noWrap/>
            <w:vAlign w:val="center"/>
          </w:tcPr>
          <w:p w14:paraId="6EA2671E">
            <w:pPr>
              <w:pStyle w:val="23"/>
            </w:pPr>
            <w:r>
              <w:rPr>
                <w:rFonts w:hint="eastAsia"/>
              </w:rPr>
              <w:t xml:space="preserve">1 </w:t>
            </w:r>
          </w:p>
        </w:tc>
        <w:tc>
          <w:tcPr>
            <w:tcW w:w="1814" w:type="dxa"/>
            <w:noWrap/>
            <w:vAlign w:val="center"/>
          </w:tcPr>
          <w:p w14:paraId="69D48DBF">
            <w:pPr>
              <w:pStyle w:val="23"/>
            </w:pPr>
            <w:r>
              <w:rPr>
                <w:rFonts w:hint="eastAsia"/>
              </w:rPr>
              <w:t xml:space="preserve">0 </w:t>
            </w:r>
          </w:p>
        </w:tc>
        <w:tc>
          <w:tcPr>
            <w:tcW w:w="1814" w:type="dxa"/>
            <w:noWrap/>
            <w:vAlign w:val="center"/>
          </w:tcPr>
          <w:p w14:paraId="1F3D6F84">
            <w:pPr>
              <w:pStyle w:val="23"/>
            </w:pPr>
            <w:r>
              <w:rPr>
                <w:rFonts w:hint="eastAsia"/>
              </w:rPr>
              <w:t xml:space="preserve">1 </w:t>
            </w:r>
          </w:p>
        </w:tc>
      </w:tr>
    </w:tbl>
    <w:p w14:paraId="2F13D55C">
      <w:pPr>
        <w:ind w:firstLine="560"/>
      </w:pPr>
    </w:p>
    <w:p w14:paraId="7E7E73E4">
      <w:pPr>
        <w:pStyle w:val="11"/>
      </w:pPr>
      <w:bookmarkStart w:id="10" w:name="_Ref27841"/>
      <w:r>
        <w:t xml:space="preserve">表 </w:t>
      </w:r>
      <w:r>
        <w:fldChar w:fldCharType="begin"/>
      </w:r>
      <w:r>
        <w:instrText xml:space="preserve"> SEQ 表 \* ARABIC </w:instrText>
      </w:r>
      <w:r>
        <w:fldChar w:fldCharType="separate"/>
      </w:r>
      <w:r>
        <w:t>3</w:t>
      </w:r>
      <w:r>
        <w:fldChar w:fldCharType="end"/>
      </w:r>
      <w:bookmarkEnd w:id="10"/>
      <w:r>
        <w:rPr>
          <w:rFonts w:hint="eastAsia"/>
        </w:rPr>
        <w:t xml:space="preserve"> 2026年一季度红原县高速公路出口交通量省内来源（分市州）</w:t>
      </w:r>
    </w:p>
    <w:tbl>
      <w:tblPr>
        <w:tblStyle w:val="27"/>
        <w:tblW w:w="799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1814"/>
        <w:gridCol w:w="1814"/>
        <w:gridCol w:w="1814"/>
      </w:tblGrid>
      <w:tr w14:paraId="6D3D8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51" w:type="dxa"/>
            <w:tcBorders>
              <w:top w:val="single" w:color="auto" w:sz="12" w:space="0"/>
              <w:left w:val="nil"/>
              <w:bottom w:val="single" w:color="auto" w:sz="8" w:space="0"/>
              <w:right w:val="single" w:color="auto" w:sz="4" w:space="0"/>
              <w:insideH w:val="single" w:sz="6" w:space="0"/>
              <w:insideV w:val="single" w:sz="4" w:space="0"/>
            </w:tcBorders>
            <w:noWrap/>
            <w:vAlign w:val="center"/>
          </w:tcPr>
          <w:p w14:paraId="10EACF98">
            <w:pPr>
              <w:pStyle w:val="24"/>
              <w:bidi w:val="0"/>
            </w:pPr>
            <w:r>
              <w:rPr>
                <w:rFonts w:hint="eastAsia"/>
              </w:rPr>
              <w:t>来源市州（省内）</w:t>
            </w:r>
          </w:p>
        </w:tc>
        <w:tc>
          <w:tcPr>
            <w:tcW w:w="1814" w:type="dxa"/>
            <w:tcBorders>
              <w:top w:val="single" w:color="auto" w:sz="12" w:space="0"/>
              <w:bottom w:val="single" w:color="auto" w:sz="8" w:space="0"/>
              <w:right w:val="single" w:color="auto" w:sz="4" w:space="0"/>
              <w:insideH w:val="single" w:sz="6" w:space="0"/>
              <w:insideV w:val="single" w:sz="4" w:space="0"/>
            </w:tcBorders>
            <w:noWrap/>
            <w:vAlign w:val="center"/>
          </w:tcPr>
          <w:p w14:paraId="69145ECE">
            <w:pPr>
              <w:pStyle w:val="24"/>
              <w:bidi w:val="0"/>
            </w:pPr>
            <w:r>
              <w:rPr>
                <w:rFonts w:hint="eastAsia"/>
              </w:rPr>
              <w:t>客车流量</w:t>
            </w:r>
          </w:p>
          <w:p w14:paraId="27A745DC">
            <w:pPr>
              <w:pStyle w:val="24"/>
              <w:bidi w:val="0"/>
            </w:pPr>
            <w:r>
              <w:rPr>
                <w:rFonts w:hint="eastAsia"/>
              </w:rPr>
              <w:t>（PCU）</w:t>
            </w:r>
          </w:p>
        </w:tc>
        <w:tc>
          <w:tcPr>
            <w:tcW w:w="1814" w:type="dxa"/>
            <w:tcBorders>
              <w:top w:val="single" w:color="auto" w:sz="12" w:space="0"/>
              <w:bottom w:val="single" w:color="auto" w:sz="8" w:space="0"/>
              <w:right w:val="single" w:color="auto" w:sz="4" w:space="0"/>
              <w:insideH w:val="single" w:sz="6" w:space="0"/>
              <w:insideV w:val="single" w:sz="4" w:space="0"/>
            </w:tcBorders>
            <w:noWrap/>
            <w:vAlign w:val="center"/>
          </w:tcPr>
          <w:p w14:paraId="0F1300CC">
            <w:pPr>
              <w:pStyle w:val="24"/>
              <w:bidi w:val="0"/>
            </w:pPr>
            <w:r>
              <w:rPr>
                <w:rFonts w:hint="eastAsia"/>
              </w:rPr>
              <w:t>货车流量</w:t>
            </w:r>
          </w:p>
          <w:p w14:paraId="6FB67D58">
            <w:pPr>
              <w:pStyle w:val="24"/>
              <w:bidi w:val="0"/>
            </w:pPr>
            <w:r>
              <w:rPr>
                <w:rFonts w:hint="eastAsia"/>
              </w:rPr>
              <w:t>（PCU）</w:t>
            </w:r>
          </w:p>
        </w:tc>
        <w:tc>
          <w:tcPr>
            <w:tcW w:w="1814" w:type="dxa"/>
            <w:tcBorders>
              <w:top w:val="single" w:color="auto" w:sz="12" w:space="0"/>
              <w:bottom w:val="single" w:color="auto" w:sz="8" w:space="0"/>
              <w:right w:val="nil"/>
              <w:insideH w:val="single" w:sz="6" w:space="0"/>
              <w:insideV w:val="single" w:sz="4" w:space="0"/>
            </w:tcBorders>
            <w:noWrap/>
            <w:vAlign w:val="center"/>
          </w:tcPr>
          <w:p w14:paraId="66E771C0">
            <w:pPr>
              <w:pStyle w:val="24"/>
              <w:bidi w:val="0"/>
            </w:pPr>
            <w:r>
              <w:rPr>
                <w:rFonts w:hint="eastAsia"/>
              </w:rPr>
              <w:t>总流量</w:t>
            </w:r>
          </w:p>
          <w:p w14:paraId="5A17E6CC">
            <w:pPr>
              <w:pStyle w:val="24"/>
              <w:bidi w:val="0"/>
            </w:pPr>
            <w:r>
              <w:rPr>
                <w:rFonts w:hint="eastAsia"/>
              </w:rPr>
              <w:t>（PCU）</w:t>
            </w:r>
          </w:p>
        </w:tc>
      </w:tr>
      <w:tr w14:paraId="0175D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tcBorders>
              <w:top w:val="single" w:color="auto" w:sz="8" w:space="0"/>
            </w:tcBorders>
            <w:noWrap/>
            <w:vAlign w:val="center"/>
          </w:tcPr>
          <w:p w14:paraId="7F0B542E">
            <w:pPr>
              <w:pStyle w:val="23"/>
            </w:pPr>
            <w:r>
              <w:rPr>
                <w:rFonts w:hint="eastAsia"/>
              </w:rPr>
              <w:t>总计</w:t>
            </w:r>
          </w:p>
        </w:tc>
        <w:tc>
          <w:tcPr>
            <w:tcW w:w="1814" w:type="dxa"/>
            <w:tcBorders>
              <w:top w:val="single" w:color="auto" w:sz="8" w:space="0"/>
            </w:tcBorders>
            <w:noWrap/>
            <w:vAlign w:val="center"/>
          </w:tcPr>
          <w:p w14:paraId="2C57B176">
            <w:pPr>
              <w:pStyle w:val="23"/>
            </w:pPr>
            <w:r>
              <w:rPr>
                <w:rFonts w:hint="eastAsia"/>
              </w:rPr>
              <w:t xml:space="preserve">264833 </w:t>
            </w:r>
          </w:p>
        </w:tc>
        <w:tc>
          <w:tcPr>
            <w:tcW w:w="1814" w:type="dxa"/>
            <w:tcBorders>
              <w:top w:val="single" w:color="auto" w:sz="8" w:space="0"/>
            </w:tcBorders>
            <w:noWrap/>
            <w:vAlign w:val="center"/>
          </w:tcPr>
          <w:p w14:paraId="53CB8B00">
            <w:pPr>
              <w:pStyle w:val="23"/>
            </w:pPr>
            <w:r>
              <w:rPr>
                <w:rFonts w:hint="eastAsia"/>
              </w:rPr>
              <w:t xml:space="preserve">41537 </w:t>
            </w:r>
          </w:p>
        </w:tc>
        <w:tc>
          <w:tcPr>
            <w:tcW w:w="1814" w:type="dxa"/>
            <w:tcBorders>
              <w:top w:val="single" w:color="auto" w:sz="8" w:space="0"/>
            </w:tcBorders>
            <w:noWrap/>
            <w:vAlign w:val="center"/>
          </w:tcPr>
          <w:p w14:paraId="3F890A47">
            <w:pPr>
              <w:pStyle w:val="23"/>
            </w:pPr>
            <w:r>
              <w:rPr>
                <w:rFonts w:hint="eastAsia"/>
              </w:rPr>
              <w:t xml:space="preserve">306370 </w:t>
            </w:r>
          </w:p>
        </w:tc>
      </w:tr>
      <w:tr w14:paraId="3F273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04ACDD87">
            <w:pPr>
              <w:pStyle w:val="23"/>
            </w:pPr>
            <w:r>
              <w:rPr>
                <w:rFonts w:hint="eastAsia"/>
              </w:rPr>
              <w:t>阿坝州</w:t>
            </w:r>
          </w:p>
        </w:tc>
        <w:tc>
          <w:tcPr>
            <w:tcW w:w="1814" w:type="dxa"/>
            <w:noWrap/>
            <w:vAlign w:val="center"/>
          </w:tcPr>
          <w:p w14:paraId="248CD6DF">
            <w:pPr>
              <w:pStyle w:val="23"/>
            </w:pPr>
            <w:r>
              <w:rPr>
                <w:rFonts w:hint="eastAsia"/>
              </w:rPr>
              <w:t xml:space="preserve">215659 </w:t>
            </w:r>
          </w:p>
        </w:tc>
        <w:tc>
          <w:tcPr>
            <w:tcW w:w="1814" w:type="dxa"/>
            <w:noWrap/>
            <w:vAlign w:val="center"/>
          </w:tcPr>
          <w:p w14:paraId="3C6BD407">
            <w:pPr>
              <w:pStyle w:val="23"/>
            </w:pPr>
            <w:r>
              <w:rPr>
                <w:rFonts w:hint="eastAsia"/>
              </w:rPr>
              <w:t xml:space="preserve">28815 </w:t>
            </w:r>
          </w:p>
        </w:tc>
        <w:tc>
          <w:tcPr>
            <w:tcW w:w="1814" w:type="dxa"/>
            <w:noWrap/>
            <w:vAlign w:val="center"/>
          </w:tcPr>
          <w:p w14:paraId="2AAEBAF5">
            <w:pPr>
              <w:pStyle w:val="23"/>
            </w:pPr>
            <w:r>
              <w:rPr>
                <w:rFonts w:hint="eastAsia"/>
              </w:rPr>
              <w:t xml:space="preserve">244474 </w:t>
            </w:r>
          </w:p>
        </w:tc>
      </w:tr>
      <w:tr w14:paraId="789E2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79D250A">
            <w:pPr>
              <w:pStyle w:val="23"/>
            </w:pPr>
            <w:r>
              <w:rPr>
                <w:rFonts w:hint="eastAsia"/>
              </w:rPr>
              <w:t>成都市</w:t>
            </w:r>
          </w:p>
        </w:tc>
        <w:tc>
          <w:tcPr>
            <w:tcW w:w="1814" w:type="dxa"/>
            <w:noWrap/>
            <w:vAlign w:val="center"/>
          </w:tcPr>
          <w:p w14:paraId="10E7C140">
            <w:pPr>
              <w:pStyle w:val="23"/>
            </w:pPr>
            <w:r>
              <w:rPr>
                <w:rFonts w:hint="eastAsia"/>
              </w:rPr>
              <w:t xml:space="preserve">37252 </w:t>
            </w:r>
          </w:p>
        </w:tc>
        <w:tc>
          <w:tcPr>
            <w:tcW w:w="1814" w:type="dxa"/>
            <w:noWrap/>
            <w:vAlign w:val="center"/>
          </w:tcPr>
          <w:p w14:paraId="7C23B19A">
            <w:pPr>
              <w:pStyle w:val="23"/>
            </w:pPr>
            <w:r>
              <w:rPr>
                <w:rFonts w:hint="eastAsia"/>
              </w:rPr>
              <w:t xml:space="preserve">9279 </w:t>
            </w:r>
          </w:p>
        </w:tc>
        <w:tc>
          <w:tcPr>
            <w:tcW w:w="1814" w:type="dxa"/>
            <w:noWrap/>
            <w:vAlign w:val="center"/>
          </w:tcPr>
          <w:p w14:paraId="09E0CBB3">
            <w:pPr>
              <w:pStyle w:val="23"/>
            </w:pPr>
            <w:r>
              <w:rPr>
                <w:rFonts w:hint="eastAsia"/>
              </w:rPr>
              <w:t xml:space="preserve">46531 </w:t>
            </w:r>
          </w:p>
        </w:tc>
      </w:tr>
      <w:tr w14:paraId="6EEAB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04503F50">
            <w:pPr>
              <w:pStyle w:val="23"/>
            </w:pPr>
            <w:r>
              <w:rPr>
                <w:rFonts w:hint="eastAsia"/>
              </w:rPr>
              <w:t>德阳市</w:t>
            </w:r>
          </w:p>
        </w:tc>
        <w:tc>
          <w:tcPr>
            <w:tcW w:w="1814" w:type="dxa"/>
            <w:noWrap/>
            <w:vAlign w:val="center"/>
          </w:tcPr>
          <w:p w14:paraId="1AD21720">
            <w:pPr>
              <w:pStyle w:val="23"/>
            </w:pPr>
            <w:r>
              <w:rPr>
                <w:rFonts w:hint="eastAsia"/>
              </w:rPr>
              <w:t xml:space="preserve">1339 </w:t>
            </w:r>
          </w:p>
        </w:tc>
        <w:tc>
          <w:tcPr>
            <w:tcW w:w="1814" w:type="dxa"/>
            <w:noWrap/>
            <w:vAlign w:val="center"/>
          </w:tcPr>
          <w:p w14:paraId="4A1AA36B">
            <w:pPr>
              <w:pStyle w:val="23"/>
            </w:pPr>
            <w:r>
              <w:rPr>
                <w:rFonts w:hint="eastAsia"/>
              </w:rPr>
              <w:t xml:space="preserve">539 </w:t>
            </w:r>
          </w:p>
        </w:tc>
        <w:tc>
          <w:tcPr>
            <w:tcW w:w="1814" w:type="dxa"/>
            <w:noWrap/>
            <w:vAlign w:val="center"/>
          </w:tcPr>
          <w:p w14:paraId="0B45B0D1">
            <w:pPr>
              <w:pStyle w:val="23"/>
            </w:pPr>
            <w:r>
              <w:rPr>
                <w:rFonts w:hint="eastAsia"/>
              </w:rPr>
              <w:t xml:space="preserve">1878 </w:t>
            </w:r>
          </w:p>
        </w:tc>
      </w:tr>
      <w:tr w14:paraId="54B87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7AB7756">
            <w:pPr>
              <w:pStyle w:val="23"/>
            </w:pPr>
            <w:r>
              <w:rPr>
                <w:rFonts w:hint="eastAsia"/>
              </w:rPr>
              <w:t>遂宁市</w:t>
            </w:r>
          </w:p>
        </w:tc>
        <w:tc>
          <w:tcPr>
            <w:tcW w:w="1814" w:type="dxa"/>
            <w:noWrap/>
            <w:vAlign w:val="center"/>
          </w:tcPr>
          <w:p w14:paraId="14D2823F">
            <w:pPr>
              <w:pStyle w:val="23"/>
            </w:pPr>
            <w:r>
              <w:rPr>
                <w:rFonts w:hint="eastAsia"/>
              </w:rPr>
              <w:t xml:space="preserve">1394 </w:t>
            </w:r>
          </w:p>
        </w:tc>
        <w:tc>
          <w:tcPr>
            <w:tcW w:w="1814" w:type="dxa"/>
            <w:noWrap/>
            <w:vAlign w:val="center"/>
          </w:tcPr>
          <w:p w14:paraId="1A0ED1AC">
            <w:pPr>
              <w:pStyle w:val="23"/>
            </w:pPr>
            <w:r>
              <w:rPr>
                <w:rFonts w:hint="eastAsia"/>
              </w:rPr>
              <w:t xml:space="preserve">223 </w:t>
            </w:r>
          </w:p>
        </w:tc>
        <w:tc>
          <w:tcPr>
            <w:tcW w:w="1814" w:type="dxa"/>
            <w:noWrap/>
            <w:vAlign w:val="center"/>
          </w:tcPr>
          <w:p w14:paraId="50B4C1E6">
            <w:pPr>
              <w:pStyle w:val="23"/>
            </w:pPr>
            <w:r>
              <w:rPr>
                <w:rFonts w:hint="eastAsia"/>
              </w:rPr>
              <w:t xml:space="preserve">1617 </w:t>
            </w:r>
          </w:p>
        </w:tc>
      </w:tr>
      <w:tr w14:paraId="05CDD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1EDB78D">
            <w:pPr>
              <w:pStyle w:val="23"/>
            </w:pPr>
            <w:r>
              <w:rPr>
                <w:rFonts w:hint="eastAsia"/>
              </w:rPr>
              <w:t>眉山市</w:t>
            </w:r>
          </w:p>
        </w:tc>
        <w:tc>
          <w:tcPr>
            <w:tcW w:w="1814" w:type="dxa"/>
            <w:noWrap/>
            <w:vAlign w:val="center"/>
          </w:tcPr>
          <w:p w14:paraId="5452140C">
            <w:pPr>
              <w:pStyle w:val="23"/>
            </w:pPr>
            <w:r>
              <w:rPr>
                <w:rFonts w:hint="eastAsia"/>
              </w:rPr>
              <w:t xml:space="preserve">884 </w:t>
            </w:r>
          </w:p>
        </w:tc>
        <w:tc>
          <w:tcPr>
            <w:tcW w:w="1814" w:type="dxa"/>
            <w:noWrap/>
            <w:vAlign w:val="center"/>
          </w:tcPr>
          <w:p w14:paraId="12F94ED0">
            <w:pPr>
              <w:pStyle w:val="23"/>
            </w:pPr>
            <w:r>
              <w:rPr>
                <w:rFonts w:hint="eastAsia"/>
              </w:rPr>
              <w:t xml:space="preserve">440 </w:t>
            </w:r>
          </w:p>
        </w:tc>
        <w:tc>
          <w:tcPr>
            <w:tcW w:w="1814" w:type="dxa"/>
            <w:noWrap/>
            <w:vAlign w:val="center"/>
          </w:tcPr>
          <w:p w14:paraId="080A7538">
            <w:pPr>
              <w:pStyle w:val="23"/>
            </w:pPr>
            <w:r>
              <w:rPr>
                <w:rFonts w:hint="eastAsia"/>
              </w:rPr>
              <w:t xml:space="preserve">1324 </w:t>
            </w:r>
          </w:p>
        </w:tc>
      </w:tr>
      <w:tr w14:paraId="1FCBA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881798C">
            <w:pPr>
              <w:pStyle w:val="23"/>
            </w:pPr>
            <w:r>
              <w:rPr>
                <w:rFonts w:hint="eastAsia"/>
              </w:rPr>
              <w:t>绵阳市</w:t>
            </w:r>
          </w:p>
        </w:tc>
        <w:tc>
          <w:tcPr>
            <w:tcW w:w="1814" w:type="dxa"/>
            <w:noWrap/>
            <w:vAlign w:val="center"/>
          </w:tcPr>
          <w:p w14:paraId="1E9A5CDF">
            <w:pPr>
              <w:pStyle w:val="23"/>
            </w:pPr>
            <w:r>
              <w:rPr>
                <w:rFonts w:hint="eastAsia"/>
              </w:rPr>
              <w:t xml:space="preserve">1115 </w:t>
            </w:r>
          </w:p>
        </w:tc>
        <w:tc>
          <w:tcPr>
            <w:tcW w:w="1814" w:type="dxa"/>
            <w:noWrap/>
            <w:vAlign w:val="center"/>
          </w:tcPr>
          <w:p w14:paraId="7EC5EAB4">
            <w:pPr>
              <w:pStyle w:val="23"/>
            </w:pPr>
            <w:r>
              <w:rPr>
                <w:rFonts w:hint="eastAsia"/>
              </w:rPr>
              <w:t xml:space="preserve">181 </w:t>
            </w:r>
          </w:p>
        </w:tc>
        <w:tc>
          <w:tcPr>
            <w:tcW w:w="1814" w:type="dxa"/>
            <w:noWrap/>
            <w:vAlign w:val="center"/>
          </w:tcPr>
          <w:p w14:paraId="368D55FB">
            <w:pPr>
              <w:pStyle w:val="23"/>
            </w:pPr>
            <w:r>
              <w:rPr>
                <w:rFonts w:hint="eastAsia"/>
              </w:rPr>
              <w:t xml:space="preserve">1295 </w:t>
            </w:r>
          </w:p>
        </w:tc>
      </w:tr>
      <w:tr w14:paraId="6E573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11B76C6">
            <w:pPr>
              <w:pStyle w:val="23"/>
            </w:pPr>
            <w:r>
              <w:rPr>
                <w:rFonts w:hint="eastAsia"/>
              </w:rPr>
              <w:t>资阳市</w:t>
            </w:r>
          </w:p>
        </w:tc>
        <w:tc>
          <w:tcPr>
            <w:tcW w:w="1814" w:type="dxa"/>
            <w:noWrap/>
            <w:vAlign w:val="center"/>
          </w:tcPr>
          <w:p w14:paraId="1F61E021">
            <w:pPr>
              <w:pStyle w:val="23"/>
            </w:pPr>
            <w:r>
              <w:rPr>
                <w:rFonts w:hint="eastAsia"/>
              </w:rPr>
              <w:t xml:space="preserve">1023 </w:t>
            </w:r>
          </w:p>
        </w:tc>
        <w:tc>
          <w:tcPr>
            <w:tcW w:w="1814" w:type="dxa"/>
            <w:noWrap/>
            <w:vAlign w:val="center"/>
          </w:tcPr>
          <w:p w14:paraId="18386A8D">
            <w:pPr>
              <w:pStyle w:val="23"/>
            </w:pPr>
            <w:r>
              <w:rPr>
                <w:rFonts w:hint="eastAsia"/>
              </w:rPr>
              <w:t xml:space="preserve">188 </w:t>
            </w:r>
          </w:p>
        </w:tc>
        <w:tc>
          <w:tcPr>
            <w:tcW w:w="1814" w:type="dxa"/>
            <w:noWrap/>
            <w:vAlign w:val="center"/>
          </w:tcPr>
          <w:p w14:paraId="497644F6">
            <w:pPr>
              <w:pStyle w:val="23"/>
            </w:pPr>
            <w:r>
              <w:rPr>
                <w:rFonts w:hint="eastAsia"/>
              </w:rPr>
              <w:t xml:space="preserve">1211 </w:t>
            </w:r>
          </w:p>
        </w:tc>
      </w:tr>
      <w:tr w14:paraId="3916C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3A020FC0">
            <w:pPr>
              <w:pStyle w:val="23"/>
            </w:pPr>
            <w:r>
              <w:rPr>
                <w:rFonts w:hint="eastAsia"/>
              </w:rPr>
              <w:t>南充市</w:t>
            </w:r>
          </w:p>
        </w:tc>
        <w:tc>
          <w:tcPr>
            <w:tcW w:w="1814" w:type="dxa"/>
            <w:noWrap/>
            <w:vAlign w:val="center"/>
          </w:tcPr>
          <w:p w14:paraId="120CB8CA">
            <w:pPr>
              <w:pStyle w:val="23"/>
            </w:pPr>
            <w:r>
              <w:rPr>
                <w:rFonts w:hint="eastAsia"/>
              </w:rPr>
              <w:t xml:space="preserve">1029 </w:t>
            </w:r>
          </w:p>
        </w:tc>
        <w:tc>
          <w:tcPr>
            <w:tcW w:w="1814" w:type="dxa"/>
            <w:noWrap/>
            <w:vAlign w:val="center"/>
          </w:tcPr>
          <w:p w14:paraId="073BBA12">
            <w:pPr>
              <w:pStyle w:val="23"/>
            </w:pPr>
            <w:r>
              <w:rPr>
                <w:rFonts w:hint="eastAsia"/>
              </w:rPr>
              <w:t xml:space="preserve">93 </w:t>
            </w:r>
          </w:p>
        </w:tc>
        <w:tc>
          <w:tcPr>
            <w:tcW w:w="1814" w:type="dxa"/>
            <w:noWrap/>
            <w:vAlign w:val="center"/>
          </w:tcPr>
          <w:p w14:paraId="0115A0A1">
            <w:pPr>
              <w:pStyle w:val="23"/>
            </w:pPr>
            <w:r>
              <w:rPr>
                <w:rFonts w:hint="eastAsia"/>
              </w:rPr>
              <w:t xml:space="preserve">1122 </w:t>
            </w:r>
          </w:p>
        </w:tc>
      </w:tr>
      <w:tr w14:paraId="123A1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755E476">
            <w:pPr>
              <w:pStyle w:val="23"/>
            </w:pPr>
            <w:r>
              <w:rPr>
                <w:rFonts w:hint="eastAsia"/>
              </w:rPr>
              <w:t>宜宾市</w:t>
            </w:r>
          </w:p>
        </w:tc>
        <w:tc>
          <w:tcPr>
            <w:tcW w:w="1814" w:type="dxa"/>
            <w:noWrap/>
            <w:vAlign w:val="center"/>
          </w:tcPr>
          <w:p w14:paraId="701969AE">
            <w:pPr>
              <w:pStyle w:val="23"/>
            </w:pPr>
            <w:r>
              <w:rPr>
                <w:rFonts w:hint="eastAsia"/>
              </w:rPr>
              <w:t xml:space="preserve">819 </w:t>
            </w:r>
          </w:p>
        </w:tc>
        <w:tc>
          <w:tcPr>
            <w:tcW w:w="1814" w:type="dxa"/>
            <w:noWrap/>
            <w:vAlign w:val="center"/>
          </w:tcPr>
          <w:p w14:paraId="4EA3F831">
            <w:pPr>
              <w:pStyle w:val="23"/>
            </w:pPr>
            <w:r>
              <w:rPr>
                <w:rFonts w:hint="eastAsia"/>
              </w:rPr>
              <w:t xml:space="preserve">114 </w:t>
            </w:r>
          </w:p>
        </w:tc>
        <w:tc>
          <w:tcPr>
            <w:tcW w:w="1814" w:type="dxa"/>
            <w:noWrap/>
            <w:vAlign w:val="center"/>
          </w:tcPr>
          <w:p w14:paraId="0EE5D348">
            <w:pPr>
              <w:pStyle w:val="23"/>
            </w:pPr>
            <w:r>
              <w:rPr>
                <w:rFonts w:hint="eastAsia"/>
              </w:rPr>
              <w:t xml:space="preserve">933 </w:t>
            </w:r>
          </w:p>
        </w:tc>
      </w:tr>
      <w:tr w14:paraId="2CFF1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223F656E">
            <w:pPr>
              <w:pStyle w:val="23"/>
            </w:pPr>
            <w:r>
              <w:rPr>
                <w:rFonts w:hint="eastAsia"/>
              </w:rPr>
              <w:t>乐山市</w:t>
            </w:r>
          </w:p>
        </w:tc>
        <w:tc>
          <w:tcPr>
            <w:tcW w:w="1814" w:type="dxa"/>
            <w:noWrap/>
            <w:vAlign w:val="center"/>
          </w:tcPr>
          <w:p w14:paraId="1BF00310">
            <w:pPr>
              <w:pStyle w:val="23"/>
            </w:pPr>
            <w:r>
              <w:rPr>
                <w:rFonts w:hint="eastAsia"/>
              </w:rPr>
              <w:t xml:space="preserve">686 </w:t>
            </w:r>
          </w:p>
        </w:tc>
        <w:tc>
          <w:tcPr>
            <w:tcW w:w="1814" w:type="dxa"/>
            <w:noWrap/>
            <w:vAlign w:val="center"/>
          </w:tcPr>
          <w:p w14:paraId="4A9463E9">
            <w:pPr>
              <w:pStyle w:val="23"/>
            </w:pPr>
            <w:r>
              <w:rPr>
                <w:rFonts w:hint="eastAsia"/>
              </w:rPr>
              <w:t xml:space="preserve">221 </w:t>
            </w:r>
          </w:p>
        </w:tc>
        <w:tc>
          <w:tcPr>
            <w:tcW w:w="1814" w:type="dxa"/>
            <w:noWrap/>
            <w:vAlign w:val="center"/>
          </w:tcPr>
          <w:p w14:paraId="2AF7A822">
            <w:pPr>
              <w:pStyle w:val="23"/>
            </w:pPr>
            <w:r>
              <w:rPr>
                <w:rFonts w:hint="eastAsia"/>
              </w:rPr>
              <w:t xml:space="preserve">906 </w:t>
            </w:r>
          </w:p>
        </w:tc>
      </w:tr>
      <w:tr w14:paraId="653D6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F22E84F">
            <w:pPr>
              <w:pStyle w:val="23"/>
            </w:pPr>
            <w:r>
              <w:rPr>
                <w:rFonts w:hint="eastAsia"/>
              </w:rPr>
              <w:t>内江市</w:t>
            </w:r>
          </w:p>
        </w:tc>
        <w:tc>
          <w:tcPr>
            <w:tcW w:w="1814" w:type="dxa"/>
            <w:noWrap/>
            <w:vAlign w:val="center"/>
          </w:tcPr>
          <w:p w14:paraId="1CA3AE5D">
            <w:pPr>
              <w:pStyle w:val="23"/>
            </w:pPr>
            <w:r>
              <w:rPr>
                <w:rFonts w:hint="eastAsia"/>
              </w:rPr>
              <w:t xml:space="preserve">712 </w:t>
            </w:r>
          </w:p>
        </w:tc>
        <w:tc>
          <w:tcPr>
            <w:tcW w:w="1814" w:type="dxa"/>
            <w:noWrap/>
            <w:vAlign w:val="center"/>
          </w:tcPr>
          <w:p w14:paraId="3B87A426">
            <w:pPr>
              <w:pStyle w:val="23"/>
            </w:pPr>
            <w:r>
              <w:rPr>
                <w:rFonts w:hint="eastAsia"/>
              </w:rPr>
              <w:t xml:space="preserve">178 </w:t>
            </w:r>
          </w:p>
        </w:tc>
        <w:tc>
          <w:tcPr>
            <w:tcW w:w="1814" w:type="dxa"/>
            <w:noWrap/>
            <w:vAlign w:val="center"/>
          </w:tcPr>
          <w:p w14:paraId="49B828AA">
            <w:pPr>
              <w:pStyle w:val="23"/>
            </w:pPr>
            <w:r>
              <w:rPr>
                <w:rFonts w:hint="eastAsia"/>
              </w:rPr>
              <w:t xml:space="preserve">890 </w:t>
            </w:r>
          </w:p>
        </w:tc>
      </w:tr>
      <w:tr w14:paraId="5DCE9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04FA8A79">
            <w:pPr>
              <w:pStyle w:val="23"/>
            </w:pPr>
            <w:r>
              <w:rPr>
                <w:rFonts w:hint="eastAsia"/>
              </w:rPr>
              <w:t>凉山州</w:t>
            </w:r>
          </w:p>
        </w:tc>
        <w:tc>
          <w:tcPr>
            <w:tcW w:w="1814" w:type="dxa"/>
            <w:noWrap/>
            <w:vAlign w:val="center"/>
          </w:tcPr>
          <w:p w14:paraId="1B734F14">
            <w:pPr>
              <w:pStyle w:val="23"/>
            </w:pPr>
            <w:r>
              <w:rPr>
                <w:rFonts w:hint="eastAsia"/>
              </w:rPr>
              <w:t xml:space="preserve">547 </w:t>
            </w:r>
          </w:p>
        </w:tc>
        <w:tc>
          <w:tcPr>
            <w:tcW w:w="1814" w:type="dxa"/>
            <w:noWrap/>
            <w:vAlign w:val="center"/>
          </w:tcPr>
          <w:p w14:paraId="09FA2B7E">
            <w:pPr>
              <w:pStyle w:val="23"/>
            </w:pPr>
            <w:r>
              <w:rPr>
                <w:rFonts w:hint="eastAsia"/>
              </w:rPr>
              <w:t xml:space="preserve">270 </w:t>
            </w:r>
          </w:p>
        </w:tc>
        <w:tc>
          <w:tcPr>
            <w:tcW w:w="1814" w:type="dxa"/>
            <w:noWrap/>
            <w:vAlign w:val="center"/>
          </w:tcPr>
          <w:p w14:paraId="7010A4D1">
            <w:pPr>
              <w:pStyle w:val="23"/>
            </w:pPr>
            <w:r>
              <w:rPr>
                <w:rFonts w:hint="eastAsia"/>
              </w:rPr>
              <w:t xml:space="preserve">817 </w:t>
            </w:r>
          </w:p>
        </w:tc>
      </w:tr>
      <w:tr w14:paraId="1EA96B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8E8B8A2">
            <w:pPr>
              <w:pStyle w:val="23"/>
            </w:pPr>
            <w:r>
              <w:rPr>
                <w:rFonts w:hint="eastAsia"/>
              </w:rPr>
              <w:t>自贡市</w:t>
            </w:r>
          </w:p>
        </w:tc>
        <w:tc>
          <w:tcPr>
            <w:tcW w:w="1814" w:type="dxa"/>
            <w:noWrap/>
            <w:vAlign w:val="center"/>
          </w:tcPr>
          <w:p w14:paraId="4441486E">
            <w:pPr>
              <w:pStyle w:val="23"/>
            </w:pPr>
            <w:r>
              <w:rPr>
                <w:rFonts w:hint="eastAsia"/>
              </w:rPr>
              <w:t xml:space="preserve">643 </w:t>
            </w:r>
          </w:p>
        </w:tc>
        <w:tc>
          <w:tcPr>
            <w:tcW w:w="1814" w:type="dxa"/>
            <w:noWrap/>
            <w:vAlign w:val="center"/>
          </w:tcPr>
          <w:p w14:paraId="4DD03CDE">
            <w:pPr>
              <w:pStyle w:val="23"/>
            </w:pPr>
            <w:r>
              <w:rPr>
                <w:rFonts w:hint="eastAsia"/>
              </w:rPr>
              <w:t xml:space="preserve">90 </w:t>
            </w:r>
          </w:p>
        </w:tc>
        <w:tc>
          <w:tcPr>
            <w:tcW w:w="1814" w:type="dxa"/>
            <w:noWrap/>
            <w:vAlign w:val="center"/>
          </w:tcPr>
          <w:p w14:paraId="74B65735">
            <w:pPr>
              <w:pStyle w:val="23"/>
            </w:pPr>
            <w:r>
              <w:rPr>
                <w:rFonts w:hint="eastAsia"/>
              </w:rPr>
              <w:t xml:space="preserve">733 </w:t>
            </w:r>
          </w:p>
        </w:tc>
      </w:tr>
      <w:tr w14:paraId="1B456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8652231">
            <w:pPr>
              <w:pStyle w:val="23"/>
            </w:pPr>
            <w:r>
              <w:rPr>
                <w:rFonts w:hint="eastAsia"/>
              </w:rPr>
              <w:t>泸州市</w:t>
            </w:r>
          </w:p>
        </w:tc>
        <w:tc>
          <w:tcPr>
            <w:tcW w:w="1814" w:type="dxa"/>
            <w:noWrap/>
            <w:vAlign w:val="center"/>
          </w:tcPr>
          <w:p w14:paraId="2D6BAEA8">
            <w:pPr>
              <w:pStyle w:val="23"/>
            </w:pPr>
            <w:r>
              <w:rPr>
                <w:rFonts w:hint="eastAsia"/>
              </w:rPr>
              <w:t xml:space="preserve">576 </w:t>
            </w:r>
          </w:p>
        </w:tc>
        <w:tc>
          <w:tcPr>
            <w:tcW w:w="1814" w:type="dxa"/>
            <w:noWrap/>
            <w:vAlign w:val="center"/>
          </w:tcPr>
          <w:p w14:paraId="00EC4CD3">
            <w:pPr>
              <w:pStyle w:val="23"/>
            </w:pPr>
            <w:r>
              <w:rPr>
                <w:rFonts w:hint="eastAsia"/>
              </w:rPr>
              <w:t xml:space="preserve">145 </w:t>
            </w:r>
          </w:p>
        </w:tc>
        <w:tc>
          <w:tcPr>
            <w:tcW w:w="1814" w:type="dxa"/>
            <w:noWrap/>
            <w:vAlign w:val="center"/>
          </w:tcPr>
          <w:p w14:paraId="303BA1A8">
            <w:pPr>
              <w:pStyle w:val="23"/>
            </w:pPr>
            <w:r>
              <w:rPr>
                <w:rFonts w:hint="eastAsia"/>
              </w:rPr>
              <w:t xml:space="preserve">720 </w:t>
            </w:r>
          </w:p>
        </w:tc>
      </w:tr>
      <w:tr w14:paraId="4B207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7EA32966">
            <w:pPr>
              <w:pStyle w:val="23"/>
            </w:pPr>
            <w:r>
              <w:rPr>
                <w:rFonts w:hint="eastAsia"/>
              </w:rPr>
              <w:t>攀枝花市</w:t>
            </w:r>
          </w:p>
        </w:tc>
        <w:tc>
          <w:tcPr>
            <w:tcW w:w="1814" w:type="dxa"/>
            <w:noWrap/>
            <w:vAlign w:val="center"/>
          </w:tcPr>
          <w:p w14:paraId="40C1CE1C">
            <w:pPr>
              <w:pStyle w:val="23"/>
            </w:pPr>
            <w:r>
              <w:rPr>
                <w:rFonts w:hint="eastAsia"/>
              </w:rPr>
              <w:t xml:space="preserve">22 </w:t>
            </w:r>
          </w:p>
        </w:tc>
        <w:tc>
          <w:tcPr>
            <w:tcW w:w="1814" w:type="dxa"/>
            <w:noWrap/>
            <w:vAlign w:val="center"/>
          </w:tcPr>
          <w:p w14:paraId="4F0E5CED">
            <w:pPr>
              <w:pStyle w:val="23"/>
            </w:pPr>
            <w:r>
              <w:rPr>
                <w:rFonts w:hint="eastAsia"/>
              </w:rPr>
              <w:t xml:space="preserve">536 </w:t>
            </w:r>
          </w:p>
        </w:tc>
        <w:tc>
          <w:tcPr>
            <w:tcW w:w="1814" w:type="dxa"/>
            <w:noWrap/>
            <w:vAlign w:val="center"/>
          </w:tcPr>
          <w:p w14:paraId="049AFFE6">
            <w:pPr>
              <w:pStyle w:val="23"/>
            </w:pPr>
            <w:r>
              <w:rPr>
                <w:rFonts w:hint="eastAsia"/>
              </w:rPr>
              <w:t xml:space="preserve">558 </w:t>
            </w:r>
          </w:p>
        </w:tc>
      </w:tr>
      <w:tr w14:paraId="53F87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BB1CAC3">
            <w:pPr>
              <w:pStyle w:val="23"/>
            </w:pPr>
            <w:r>
              <w:rPr>
                <w:rFonts w:hint="eastAsia"/>
              </w:rPr>
              <w:t>广安市</w:t>
            </w:r>
          </w:p>
        </w:tc>
        <w:tc>
          <w:tcPr>
            <w:tcW w:w="1814" w:type="dxa"/>
            <w:noWrap/>
            <w:vAlign w:val="center"/>
          </w:tcPr>
          <w:p w14:paraId="34EB6771">
            <w:pPr>
              <w:pStyle w:val="23"/>
            </w:pPr>
            <w:r>
              <w:rPr>
                <w:rFonts w:hint="eastAsia"/>
              </w:rPr>
              <w:t xml:space="preserve">475 </w:t>
            </w:r>
          </w:p>
        </w:tc>
        <w:tc>
          <w:tcPr>
            <w:tcW w:w="1814" w:type="dxa"/>
            <w:noWrap/>
            <w:vAlign w:val="center"/>
          </w:tcPr>
          <w:p w14:paraId="6FF0C4F2">
            <w:pPr>
              <w:pStyle w:val="23"/>
            </w:pPr>
            <w:r>
              <w:rPr>
                <w:rFonts w:hint="eastAsia"/>
              </w:rPr>
              <w:t xml:space="preserve">80 </w:t>
            </w:r>
          </w:p>
        </w:tc>
        <w:tc>
          <w:tcPr>
            <w:tcW w:w="1814" w:type="dxa"/>
            <w:noWrap/>
            <w:vAlign w:val="center"/>
          </w:tcPr>
          <w:p w14:paraId="48C101C6">
            <w:pPr>
              <w:pStyle w:val="23"/>
            </w:pPr>
            <w:r>
              <w:rPr>
                <w:rFonts w:hint="eastAsia"/>
              </w:rPr>
              <w:t xml:space="preserve">555 </w:t>
            </w:r>
          </w:p>
        </w:tc>
      </w:tr>
      <w:tr w14:paraId="6A2BF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82D1E34">
            <w:pPr>
              <w:pStyle w:val="23"/>
            </w:pPr>
            <w:r>
              <w:rPr>
                <w:rFonts w:hint="eastAsia"/>
              </w:rPr>
              <w:t>雅安市</w:t>
            </w:r>
          </w:p>
        </w:tc>
        <w:tc>
          <w:tcPr>
            <w:tcW w:w="1814" w:type="dxa"/>
            <w:noWrap/>
            <w:vAlign w:val="center"/>
          </w:tcPr>
          <w:p w14:paraId="733D5FE4">
            <w:pPr>
              <w:pStyle w:val="23"/>
            </w:pPr>
            <w:r>
              <w:rPr>
                <w:rFonts w:hint="eastAsia"/>
              </w:rPr>
              <w:t xml:space="preserve">320 </w:t>
            </w:r>
          </w:p>
        </w:tc>
        <w:tc>
          <w:tcPr>
            <w:tcW w:w="1814" w:type="dxa"/>
            <w:noWrap/>
            <w:vAlign w:val="center"/>
          </w:tcPr>
          <w:p w14:paraId="705E3E34">
            <w:pPr>
              <w:pStyle w:val="23"/>
            </w:pPr>
            <w:r>
              <w:rPr>
                <w:rFonts w:hint="eastAsia"/>
              </w:rPr>
              <w:t xml:space="preserve">90 </w:t>
            </w:r>
          </w:p>
        </w:tc>
        <w:tc>
          <w:tcPr>
            <w:tcW w:w="1814" w:type="dxa"/>
            <w:noWrap/>
            <w:vAlign w:val="center"/>
          </w:tcPr>
          <w:p w14:paraId="0952F925">
            <w:pPr>
              <w:pStyle w:val="23"/>
            </w:pPr>
            <w:r>
              <w:rPr>
                <w:rFonts w:hint="eastAsia"/>
              </w:rPr>
              <w:t xml:space="preserve">410 </w:t>
            </w:r>
          </w:p>
        </w:tc>
      </w:tr>
      <w:tr w14:paraId="623EF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108CB26E">
            <w:pPr>
              <w:pStyle w:val="23"/>
            </w:pPr>
            <w:r>
              <w:rPr>
                <w:rFonts w:hint="eastAsia"/>
              </w:rPr>
              <w:t>达州市</w:t>
            </w:r>
          </w:p>
        </w:tc>
        <w:tc>
          <w:tcPr>
            <w:tcW w:w="1814" w:type="dxa"/>
            <w:noWrap/>
            <w:vAlign w:val="center"/>
          </w:tcPr>
          <w:p w14:paraId="453A2CB7">
            <w:pPr>
              <w:pStyle w:val="23"/>
            </w:pPr>
            <w:r>
              <w:rPr>
                <w:rFonts w:hint="eastAsia"/>
              </w:rPr>
              <w:t xml:space="preserve">216 </w:t>
            </w:r>
          </w:p>
        </w:tc>
        <w:tc>
          <w:tcPr>
            <w:tcW w:w="1814" w:type="dxa"/>
            <w:noWrap/>
            <w:vAlign w:val="center"/>
          </w:tcPr>
          <w:p w14:paraId="38D7AB7D">
            <w:pPr>
              <w:pStyle w:val="23"/>
            </w:pPr>
            <w:r>
              <w:rPr>
                <w:rFonts w:hint="eastAsia"/>
              </w:rPr>
              <w:t xml:space="preserve">37 </w:t>
            </w:r>
          </w:p>
        </w:tc>
        <w:tc>
          <w:tcPr>
            <w:tcW w:w="1814" w:type="dxa"/>
            <w:noWrap/>
            <w:vAlign w:val="center"/>
          </w:tcPr>
          <w:p w14:paraId="3038FCA4">
            <w:pPr>
              <w:pStyle w:val="23"/>
            </w:pPr>
            <w:r>
              <w:rPr>
                <w:rFonts w:hint="eastAsia"/>
              </w:rPr>
              <w:t xml:space="preserve">253 </w:t>
            </w:r>
          </w:p>
        </w:tc>
      </w:tr>
      <w:tr w14:paraId="35E378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698AE6F9">
            <w:pPr>
              <w:pStyle w:val="23"/>
            </w:pPr>
            <w:r>
              <w:rPr>
                <w:rFonts w:hint="eastAsia"/>
              </w:rPr>
              <w:t>广元市</w:t>
            </w:r>
          </w:p>
        </w:tc>
        <w:tc>
          <w:tcPr>
            <w:tcW w:w="1814" w:type="dxa"/>
            <w:noWrap/>
            <w:vAlign w:val="center"/>
          </w:tcPr>
          <w:p w14:paraId="1377C5AA">
            <w:pPr>
              <w:pStyle w:val="23"/>
            </w:pPr>
            <w:r>
              <w:rPr>
                <w:rFonts w:hint="eastAsia"/>
              </w:rPr>
              <w:t xml:space="preserve">77 </w:t>
            </w:r>
          </w:p>
        </w:tc>
        <w:tc>
          <w:tcPr>
            <w:tcW w:w="1814" w:type="dxa"/>
            <w:noWrap/>
            <w:vAlign w:val="center"/>
          </w:tcPr>
          <w:p w14:paraId="1078243D">
            <w:pPr>
              <w:pStyle w:val="23"/>
            </w:pPr>
            <w:r>
              <w:rPr>
                <w:rFonts w:hint="eastAsia"/>
              </w:rPr>
              <w:t xml:space="preserve">14 </w:t>
            </w:r>
          </w:p>
        </w:tc>
        <w:tc>
          <w:tcPr>
            <w:tcW w:w="1814" w:type="dxa"/>
            <w:noWrap/>
            <w:vAlign w:val="center"/>
          </w:tcPr>
          <w:p w14:paraId="6594FF50">
            <w:pPr>
              <w:pStyle w:val="23"/>
            </w:pPr>
            <w:r>
              <w:rPr>
                <w:rFonts w:hint="eastAsia"/>
              </w:rPr>
              <w:t xml:space="preserve">91 </w:t>
            </w:r>
          </w:p>
        </w:tc>
      </w:tr>
      <w:tr w14:paraId="2CF25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4AF134C0">
            <w:pPr>
              <w:pStyle w:val="23"/>
            </w:pPr>
            <w:r>
              <w:rPr>
                <w:rFonts w:hint="eastAsia"/>
              </w:rPr>
              <w:t>巴中市</w:t>
            </w:r>
          </w:p>
        </w:tc>
        <w:tc>
          <w:tcPr>
            <w:tcW w:w="1814" w:type="dxa"/>
            <w:noWrap/>
            <w:vAlign w:val="center"/>
          </w:tcPr>
          <w:p w14:paraId="52B7FC0A">
            <w:pPr>
              <w:pStyle w:val="23"/>
            </w:pPr>
            <w:r>
              <w:rPr>
                <w:rFonts w:hint="eastAsia"/>
              </w:rPr>
              <w:t xml:space="preserve">39 </w:t>
            </w:r>
          </w:p>
        </w:tc>
        <w:tc>
          <w:tcPr>
            <w:tcW w:w="1814" w:type="dxa"/>
            <w:noWrap/>
            <w:vAlign w:val="center"/>
          </w:tcPr>
          <w:p w14:paraId="0C2B4F23">
            <w:pPr>
              <w:pStyle w:val="23"/>
            </w:pPr>
            <w:r>
              <w:rPr>
                <w:rFonts w:hint="eastAsia"/>
              </w:rPr>
              <w:t xml:space="preserve">9 </w:t>
            </w:r>
          </w:p>
        </w:tc>
        <w:tc>
          <w:tcPr>
            <w:tcW w:w="1814" w:type="dxa"/>
            <w:noWrap/>
            <w:vAlign w:val="center"/>
          </w:tcPr>
          <w:p w14:paraId="1085E325">
            <w:pPr>
              <w:pStyle w:val="23"/>
            </w:pPr>
            <w:r>
              <w:rPr>
                <w:rFonts w:hint="eastAsia"/>
              </w:rPr>
              <w:t xml:space="preserve">48 </w:t>
            </w:r>
          </w:p>
        </w:tc>
      </w:tr>
      <w:tr w14:paraId="162EC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51" w:type="dxa"/>
            <w:noWrap/>
            <w:vAlign w:val="center"/>
          </w:tcPr>
          <w:p w14:paraId="1BFDFDCF">
            <w:pPr>
              <w:pStyle w:val="23"/>
            </w:pPr>
            <w:r>
              <w:rPr>
                <w:rFonts w:hint="eastAsia"/>
              </w:rPr>
              <w:t>甘孜州</w:t>
            </w:r>
          </w:p>
        </w:tc>
        <w:tc>
          <w:tcPr>
            <w:tcW w:w="1814" w:type="dxa"/>
            <w:noWrap/>
            <w:vAlign w:val="center"/>
          </w:tcPr>
          <w:p w14:paraId="0659DBAC">
            <w:pPr>
              <w:pStyle w:val="23"/>
            </w:pPr>
            <w:r>
              <w:rPr>
                <w:rFonts w:hint="eastAsia"/>
              </w:rPr>
              <w:t xml:space="preserve">8 </w:t>
            </w:r>
          </w:p>
        </w:tc>
        <w:tc>
          <w:tcPr>
            <w:tcW w:w="1814" w:type="dxa"/>
            <w:noWrap/>
            <w:vAlign w:val="center"/>
          </w:tcPr>
          <w:p w14:paraId="3682362E">
            <w:pPr>
              <w:pStyle w:val="23"/>
            </w:pPr>
            <w:r>
              <w:rPr>
                <w:rFonts w:hint="eastAsia"/>
              </w:rPr>
              <w:t xml:space="preserve">0 </w:t>
            </w:r>
          </w:p>
        </w:tc>
        <w:tc>
          <w:tcPr>
            <w:tcW w:w="1814" w:type="dxa"/>
            <w:noWrap/>
            <w:vAlign w:val="center"/>
          </w:tcPr>
          <w:p w14:paraId="7AFAA056">
            <w:pPr>
              <w:pStyle w:val="23"/>
            </w:pPr>
            <w:r>
              <w:rPr>
                <w:rFonts w:hint="eastAsia"/>
              </w:rPr>
              <w:t xml:space="preserve">8 </w:t>
            </w:r>
          </w:p>
        </w:tc>
      </w:tr>
    </w:tbl>
    <w:p w14:paraId="60EEF7CE">
      <w:pPr>
        <w:ind w:firstLine="560"/>
      </w:pPr>
    </w:p>
    <w:p w14:paraId="6AFF1881">
      <w:pPr>
        <w:ind w:firstLine="560"/>
      </w:pPr>
      <w:r>
        <w:rPr>
          <w:rFonts w:hint="eastAsia"/>
        </w:rPr>
        <w:t>进一步从区县层面分析，见</w:t>
      </w:r>
      <w:r>
        <w:rPr>
          <w:rFonts w:hint="eastAsia"/>
        </w:rPr>
        <w:fldChar w:fldCharType="begin"/>
      </w:r>
      <w:r>
        <w:rPr>
          <w:rFonts w:hint="eastAsia"/>
        </w:rPr>
        <w:instrText xml:space="preserve"> REF _Ref27857 \h </w:instrText>
      </w:r>
      <w:r>
        <w:rPr>
          <w:rFonts w:hint="eastAsia"/>
        </w:rPr>
        <w:fldChar w:fldCharType="separate"/>
      </w:r>
      <w:r>
        <w:t>表 4</w:t>
      </w:r>
      <w:r>
        <w:rPr>
          <w:rFonts w:hint="eastAsia"/>
        </w:rPr>
        <w:fldChar w:fldCharType="end"/>
      </w:r>
      <w:r>
        <w:rPr>
          <w:rFonts w:hint="eastAsia"/>
        </w:rPr>
        <w:t>，省内流量前20名区县合计贡献了29.13万PCU，占省内总流量的95.1%，集中度极高。其中，</w:t>
      </w:r>
      <w:r>
        <w:rPr>
          <w:rFonts w:hint="eastAsia"/>
          <w:lang w:val="en-US" w:eastAsia="zh-CN"/>
        </w:rPr>
        <w:t>来源为</w:t>
      </w:r>
      <w:r>
        <w:rPr>
          <w:rFonts w:hint="eastAsia"/>
        </w:rPr>
        <w:t>红原县本地车辆以18.50万PCU高居榜首，占前20区县流量的63.5%，印证了县域内部短途出行、生产生活交通的主导地位。理县和马尔康市分别以3.20万PCU和2.15万PCU位列第二、第三，显示出毗邻县市之间的紧密联系</w:t>
      </w:r>
      <w:r>
        <w:rPr>
          <w:rFonts w:hint="eastAsia"/>
          <w:lang w:eastAsia="zh-CN"/>
        </w:rPr>
        <w:t>，</w:t>
      </w:r>
      <w:r>
        <w:rPr>
          <w:rFonts w:hint="eastAsia"/>
        </w:rPr>
        <w:t>理县作为连接红原与成都方向的关键通道节点，其货车流量（1.64万PCU）甚至超过客车流量（1.56万PCU），反映出明显的过境物资运输特征。成都市入围前20的区县达11个，其中郫都区（1.86万PCU）、都江堰市（1.25万PCU）位列前茅，表明郫都、都江堰等西北方向出口区域是红原县与成都联系的主要门户。值得关注的是，阿坝州内汶川县（0.60万PCU）也进入前十，进一步强化了州内纵向通道的活跃度。整体来看，</w:t>
      </w:r>
      <w:r>
        <w:rPr>
          <w:rFonts w:hint="eastAsia"/>
          <w:lang w:val="en-US" w:eastAsia="zh-CN"/>
        </w:rPr>
        <w:t>红原县高速公路车辆来源呈现</w:t>
      </w:r>
      <w:r>
        <w:rPr>
          <w:rFonts w:hint="eastAsia"/>
        </w:rPr>
        <w:t>“县域内部高密度+毗邻县市强联系+成都西北门户重点支撑”的三圈层流量格局。</w:t>
      </w:r>
    </w:p>
    <w:p w14:paraId="7B446F1B">
      <w:pPr>
        <w:pStyle w:val="11"/>
      </w:pPr>
      <w:bookmarkStart w:id="11" w:name="_Ref27857"/>
      <w:r>
        <w:t xml:space="preserve">表 </w:t>
      </w:r>
      <w:r>
        <w:fldChar w:fldCharType="begin"/>
      </w:r>
      <w:r>
        <w:instrText xml:space="preserve"> SEQ 表 \* ARABIC </w:instrText>
      </w:r>
      <w:r>
        <w:fldChar w:fldCharType="separate"/>
      </w:r>
      <w:r>
        <w:t>4</w:t>
      </w:r>
      <w:r>
        <w:fldChar w:fldCharType="end"/>
      </w:r>
      <w:bookmarkEnd w:id="11"/>
      <w:r>
        <w:rPr>
          <w:rFonts w:hint="eastAsia"/>
        </w:rPr>
        <w:t xml:space="preserve"> 2026年一季度红原县高速公路出口交通量省内来源（前20区县）</w:t>
      </w:r>
    </w:p>
    <w:tbl>
      <w:tblPr>
        <w:tblStyle w:val="18"/>
        <w:tblW w:w="816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531"/>
        <w:gridCol w:w="1531"/>
        <w:gridCol w:w="1701"/>
        <w:gridCol w:w="1701"/>
        <w:gridCol w:w="1701"/>
      </w:tblGrid>
      <w:tr w14:paraId="4AC726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62" w:type="dxa"/>
            <w:gridSpan w:val="2"/>
            <w:tcBorders>
              <w:bottom w:val="single" w:color="000000" w:sz="8" w:space="0"/>
            </w:tcBorders>
            <w:shd w:val="clear" w:color="auto" w:fill="FFFFFF"/>
            <w:noWrap/>
            <w:vAlign w:val="center"/>
          </w:tcPr>
          <w:p w14:paraId="0603C193">
            <w:pPr>
              <w:pStyle w:val="24"/>
            </w:pPr>
            <w:r>
              <w:rPr>
                <w:rFonts w:hint="eastAsia"/>
              </w:rPr>
              <w:t>来源区县（前20）</w:t>
            </w:r>
          </w:p>
        </w:tc>
        <w:tc>
          <w:tcPr>
            <w:tcW w:w="1701" w:type="dxa"/>
            <w:tcBorders>
              <w:bottom w:val="single" w:color="000000" w:sz="8" w:space="0"/>
            </w:tcBorders>
            <w:shd w:val="clear" w:color="auto" w:fill="FFFFFF"/>
            <w:noWrap/>
            <w:vAlign w:val="center"/>
          </w:tcPr>
          <w:p w14:paraId="5C610DD2">
            <w:pPr>
              <w:pStyle w:val="24"/>
            </w:pPr>
            <w:r>
              <w:rPr>
                <w:rFonts w:hint="eastAsia"/>
              </w:rPr>
              <w:t>客车流量</w:t>
            </w:r>
          </w:p>
          <w:p w14:paraId="7F668CE2">
            <w:pPr>
              <w:pStyle w:val="24"/>
            </w:pPr>
            <w:r>
              <w:rPr>
                <w:rFonts w:hint="eastAsia"/>
              </w:rPr>
              <w:t>（PCU）</w:t>
            </w:r>
          </w:p>
        </w:tc>
        <w:tc>
          <w:tcPr>
            <w:tcW w:w="1701" w:type="dxa"/>
            <w:tcBorders>
              <w:bottom w:val="single" w:color="000000" w:sz="8" w:space="0"/>
            </w:tcBorders>
            <w:shd w:val="clear" w:color="auto" w:fill="FFFFFF"/>
            <w:noWrap/>
            <w:vAlign w:val="center"/>
          </w:tcPr>
          <w:p w14:paraId="31A8A8BA">
            <w:pPr>
              <w:pStyle w:val="24"/>
            </w:pPr>
            <w:r>
              <w:rPr>
                <w:rFonts w:hint="eastAsia"/>
              </w:rPr>
              <w:t>货车流量</w:t>
            </w:r>
          </w:p>
          <w:p w14:paraId="1DFD0069">
            <w:pPr>
              <w:pStyle w:val="24"/>
            </w:pPr>
            <w:r>
              <w:rPr>
                <w:rFonts w:hint="eastAsia"/>
              </w:rPr>
              <w:t>（PCU）</w:t>
            </w:r>
          </w:p>
        </w:tc>
        <w:tc>
          <w:tcPr>
            <w:tcW w:w="1701" w:type="dxa"/>
            <w:tcBorders>
              <w:bottom w:val="single" w:color="000000" w:sz="8" w:space="0"/>
            </w:tcBorders>
            <w:shd w:val="clear" w:color="auto" w:fill="FFFFFF"/>
            <w:noWrap/>
            <w:vAlign w:val="center"/>
          </w:tcPr>
          <w:p w14:paraId="6A9F8D62">
            <w:pPr>
              <w:pStyle w:val="24"/>
            </w:pPr>
            <w:r>
              <w:rPr>
                <w:rFonts w:hint="eastAsia"/>
              </w:rPr>
              <w:t>总流量</w:t>
            </w:r>
          </w:p>
          <w:p w14:paraId="307D0167">
            <w:pPr>
              <w:pStyle w:val="24"/>
            </w:pPr>
            <w:r>
              <w:rPr>
                <w:rFonts w:hint="eastAsia"/>
              </w:rPr>
              <w:t>（PCU）</w:t>
            </w:r>
          </w:p>
        </w:tc>
      </w:tr>
      <w:tr w14:paraId="58AFEC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62" w:type="dxa"/>
            <w:gridSpan w:val="2"/>
            <w:tcBorders>
              <w:top w:val="single" w:color="000000" w:sz="8" w:space="0"/>
              <w:tl2br w:val="nil"/>
              <w:tr2bl w:val="nil"/>
            </w:tcBorders>
            <w:shd w:val="clear" w:color="auto" w:fill="FFFFFF"/>
            <w:noWrap/>
            <w:vAlign w:val="center"/>
          </w:tcPr>
          <w:p w14:paraId="7B65DEA9">
            <w:pPr>
              <w:pStyle w:val="23"/>
            </w:pPr>
            <w:r>
              <w:rPr>
                <w:rFonts w:hint="eastAsia"/>
              </w:rPr>
              <w:t>总计</w:t>
            </w:r>
          </w:p>
        </w:tc>
        <w:tc>
          <w:tcPr>
            <w:tcW w:w="1701" w:type="dxa"/>
            <w:tcBorders>
              <w:top w:val="single" w:color="000000" w:sz="8" w:space="0"/>
              <w:tl2br w:val="nil"/>
              <w:tr2bl w:val="nil"/>
            </w:tcBorders>
            <w:shd w:val="clear" w:color="auto" w:fill="FFFFFF"/>
            <w:noWrap/>
            <w:vAlign w:val="center"/>
          </w:tcPr>
          <w:p w14:paraId="785FF7E3">
            <w:pPr>
              <w:pStyle w:val="23"/>
            </w:pPr>
            <w:r>
              <w:rPr>
                <w:rFonts w:hint="eastAsia"/>
              </w:rPr>
              <w:t>253368</w:t>
            </w:r>
          </w:p>
        </w:tc>
        <w:tc>
          <w:tcPr>
            <w:tcW w:w="1701" w:type="dxa"/>
            <w:tcBorders>
              <w:top w:val="single" w:color="000000" w:sz="8" w:space="0"/>
              <w:tl2br w:val="nil"/>
              <w:tr2bl w:val="nil"/>
            </w:tcBorders>
            <w:shd w:val="clear" w:color="auto" w:fill="FFFFFF"/>
            <w:noWrap/>
            <w:vAlign w:val="center"/>
          </w:tcPr>
          <w:p w14:paraId="101CC63E">
            <w:pPr>
              <w:pStyle w:val="23"/>
            </w:pPr>
            <w:r>
              <w:rPr>
                <w:rFonts w:hint="eastAsia"/>
              </w:rPr>
              <w:t>37920</w:t>
            </w:r>
          </w:p>
        </w:tc>
        <w:tc>
          <w:tcPr>
            <w:tcW w:w="1701" w:type="dxa"/>
            <w:tcBorders>
              <w:top w:val="single" w:color="000000" w:sz="8" w:space="0"/>
              <w:tl2br w:val="nil"/>
              <w:tr2bl w:val="nil"/>
            </w:tcBorders>
            <w:shd w:val="clear" w:color="auto" w:fill="FFFFFF"/>
            <w:noWrap/>
            <w:vAlign w:val="center"/>
          </w:tcPr>
          <w:p w14:paraId="7A313407">
            <w:pPr>
              <w:pStyle w:val="23"/>
            </w:pPr>
            <w:r>
              <w:rPr>
                <w:rFonts w:hint="eastAsia"/>
              </w:rPr>
              <w:t>291288</w:t>
            </w:r>
          </w:p>
        </w:tc>
      </w:tr>
      <w:tr w14:paraId="045960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4AD9B71">
            <w:pPr>
              <w:pStyle w:val="23"/>
            </w:pPr>
            <w:r>
              <w:rPr>
                <w:rFonts w:hint="eastAsia"/>
              </w:rPr>
              <w:t>阿坝州</w:t>
            </w:r>
          </w:p>
        </w:tc>
        <w:tc>
          <w:tcPr>
            <w:tcW w:w="1531" w:type="dxa"/>
            <w:tcBorders>
              <w:tl2br w:val="nil"/>
              <w:tr2bl w:val="nil"/>
            </w:tcBorders>
            <w:shd w:val="clear" w:color="auto" w:fill="FFFFFF"/>
            <w:noWrap/>
            <w:vAlign w:val="center"/>
          </w:tcPr>
          <w:p w14:paraId="3D945953">
            <w:pPr>
              <w:pStyle w:val="23"/>
            </w:pPr>
            <w:r>
              <w:rPr>
                <w:rFonts w:hint="eastAsia"/>
              </w:rPr>
              <w:t>红原县</w:t>
            </w:r>
          </w:p>
        </w:tc>
        <w:tc>
          <w:tcPr>
            <w:tcW w:w="1701" w:type="dxa"/>
            <w:tcBorders>
              <w:tl2br w:val="nil"/>
              <w:tr2bl w:val="nil"/>
            </w:tcBorders>
            <w:shd w:val="clear" w:color="auto" w:fill="FFFFFF"/>
            <w:noWrap/>
            <w:vAlign w:val="center"/>
          </w:tcPr>
          <w:p w14:paraId="298CEAAD">
            <w:pPr>
              <w:pStyle w:val="23"/>
            </w:pPr>
            <w:r>
              <w:rPr>
                <w:rFonts w:hint="eastAsia"/>
              </w:rPr>
              <w:t xml:space="preserve">176046 </w:t>
            </w:r>
          </w:p>
        </w:tc>
        <w:tc>
          <w:tcPr>
            <w:tcW w:w="1701" w:type="dxa"/>
            <w:tcBorders>
              <w:tl2br w:val="nil"/>
              <w:tr2bl w:val="nil"/>
            </w:tcBorders>
            <w:shd w:val="clear" w:color="auto" w:fill="FFFFFF"/>
            <w:noWrap/>
            <w:vAlign w:val="center"/>
          </w:tcPr>
          <w:p w14:paraId="7D7723D3">
            <w:pPr>
              <w:pStyle w:val="23"/>
            </w:pPr>
            <w:r>
              <w:rPr>
                <w:rFonts w:hint="eastAsia"/>
              </w:rPr>
              <w:t xml:space="preserve">8926 </w:t>
            </w:r>
          </w:p>
        </w:tc>
        <w:tc>
          <w:tcPr>
            <w:tcW w:w="1701" w:type="dxa"/>
            <w:tcBorders>
              <w:tl2br w:val="nil"/>
              <w:tr2bl w:val="nil"/>
            </w:tcBorders>
            <w:shd w:val="clear" w:color="auto" w:fill="FFFFFF"/>
            <w:noWrap/>
            <w:vAlign w:val="center"/>
          </w:tcPr>
          <w:p w14:paraId="4A21DE7A">
            <w:pPr>
              <w:pStyle w:val="23"/>
            </w:pPr>
            <w:r>
              <w:rPr>
                <w:rFonts w:hint="eastAsia"/>
              </w:rPr>
              <w:t xml:space="preserve">184971 </w:t>
            </w:r>
          </w:p>
        </w:tc>
      </w:tr>
      <w:tr w14:paraId="524C12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8F27573">
            <w:pPr>
              <w:pStyle w:val="23"/>
            </w:pPr>
            <w:r>
              <w:rPr>
                <w:rFonts w:hint="eastAsia"/>
              </w:rPr>
              <w:t>阿坝州</w:t>
            </w:r>
          </w:p>
        </w:tc>
        <w:tc>
          <w:tcPr>
            <w:tcW w:w="1531" w:type="dxa"/>
            <w:tcBorders>
              <w:tl2br w:val="nil"/>
              <w:tr2bl w:val="nil"/>
            </w:tcBorders>
            <w:shd w:val="clear" w:color="auto" w:fill="FFFFFF"/>
            <w:noWrap/>
            <w:vAlign w:val="center"/>
          </w:tcPr>
          <w:p w14:paraId="25AA72E0">
            <w:pPr>
              <w:pStyle w:val="23"/>
            </w:pPr>
            <w:r>
              <w:rPr>
                <w:rFonts w:hint="eastAsia"/>
              </w:rPr>
              <w:t>理县</w:t>
            </w:r>
          </w:p>
        </w:tc>
        <w:tc>
          <w:tcPr>
            <w:tcW w:w="1701" w:type="dxa"/>
            <w:tcBorders>
              <w:tl2br w:val="nil"/>
              <w:tr2bl w:val="nil"/>
            </w:tcBorders>
            <w:shd w:val="clear" w:color="auto" w:fill="FFFFFF"/>
            <w:noWrap/>
            <w:vAlign w:val="center"/>
          </w:tcPr>
          <w:p w14:paraId="64DFC60D">
            <w:pPr>
              <w:pStyle w:val="23"/>
            </w:pPr>
            <w:r>
              <w:rPr>
                <w:rFonts w:hint="eastAsia"/>
              </w:rPr>
              <w:t xml:space="preserve">15623 </w:t>
            </w:r>
          </w:p>
        </w:tc>
        <w:tc>
          <w:tcPr>
            <w:tcW w:w="1701" w:type="dxa"/>
            <w:tcBorders>
              <w:tl2br w:val="nil"/>
              <w:tr2bl w:val="nil"/>
            </w:tcBorders>
            <w:shd w:val="clear" w:color="auto" w:fill="FFFFFF"/>
            <w:noWrap/>
            <w:vAlign w:val="center"/>
          </w:tcPr>
          <w:p w14:paraId="78D51772">
            <w:pPr>
              <w:pStyle w:val="23"/>
            </w:pPr>
            <w:r>
              <w:rPr>
                <w:rFonts w:hint="eastAsia"/>
              </w:rPr>
              <w:t xml:space="preserve">16403 </w:t>
            </w:r>
          </w:p>
        </w:tc>
        <w:tc>
          <w:tcPr>
            <w:tcW w:w="1701" w:type="dxa"/>
            <w:tcBorders>
              <w:tl2br w:val="nil"/>
              <w:tr2bl w:val="nil"/>
            </w:tcBorders>
            <w:shd w:val="clear" w:color="auto" w:fill="FFFFFF"/>
            <w:noWrap/>
            <w:vAlign w:val="center"/>
          </w:tcPr>
          <w:p w14:paraId="4EED35CC">
            <w:pPr>
              <w:pStyle w:val="23"/>
            </w:pPr>
            <w:r>
              <w:rPr>
                <w:rFonts w:hint="eastAsia"/>
              </w:rPr>
              <w:t xml:space="preserve">32026 </w:t>
            </w:r>
          </w:p>
        </w:tc>
      </w:tr>
      <w:tr w14:paraId="6C5499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CD1C1B4">
            <w:pPr>
              <w:pStyle w:val="23"/>
            </w:pPr>
            <w:r>
              <w:rPr>
                <w:rFonts w:hint="eastAsia"/>
              </w:rPr>
              <w:t>阿坝州</w:t>
            </w:r>
          </w:p>
        </w:tc>
        <w:tc>
          <w:tcPr>
            <w:tcW w:w="1531" w:type="dxa"/>
            <w:tcBorders>
              <w:tl2br w:val="nil"/>
              <w:tr2bl w:val="nil"/>
            </w:tcBorders>
            <w:shd w:val="clear" w:color="auto" w:fill="FFFFFF"/>
            <w:noWrap/>
            <w:vAlign w:val="center"/>
          </w:tcPr>
          <w:p w14:paraId="323C0C08">
            <w:pPr>
              <w:pStyle w:val="23"/>
            </w:pPr>
            <w:r>
              <w:rPr>
                <w:rFonts w:hint="eastAsia"/>
              </w:rPr>
              <w:t>马尔康市</w:t>
            </w:r>
          </w:p>
        </w:tc>
        <w:tc>
          <w:tcPr>
            <w:tcW w:w="1701" w:type="dxa"/>
            <w:tcBorders>
              <w:tl2br w:val="nil"/>
              <w:tr2bl w:val="nil"/>
            </w:tcBorders>
            <w:shd w:val="clear" w:color="auto" w:fill="FFFFFF"/>
            <w:noWrap/>
            <w:vAlign w:val="center"/>
          </w:tcPr>
          <w:p w14:paraId="06BC2684">
            <w:pPr>
              <w:pStyle w:val="23"/>
            </w:pPr>
            <w:r>
              <w:rPr>
                <w:rFonts w:hint="eastAsia"/>
              </w:rPr>
              <w:t xml:space="preserve">19657 </w:t>
            </w:r>
          </w:p>
        </w:tc>
        <w:tc>
          <w:tcPr>
            <w:tcW w:w="1701" w:type="dxa"/>
            <w:tcBorders>
              <w:tl2br w:val="nil"/>
              <w:tr2bl w:val="nil"/>
            </w:tcBorders>
            <w:shd w:val="clear" w:color="auto" w:fill="FFFFFF"/>
            <w:noWrap/>
            <w:vAlign w:val="center"/>
          </w:tcPr>
          <w:p w14:paraId="239640BC">
            <w:pPr>
              <w:pStyle w:val="23"/>
            </w:pPr>
            <w:r>
              <w:rPr>
                <w:rFonts w:hint="eastAsia"/>
              </w:rPr>
              <w:t xml:space="preserve">1803 </w:t>
            </w:r>
          </w:p>
        </w:tc>
        <w:tc>
          <w:tcPr>
            <w:tcW w:w="1701" w:type="dxa"/>
            <w:tcBorders>
              <w:tl2br w:val="nil"/>
              <w:tr2bl w:val="nil"/>
            </w:tcBorders>
            <w:shd w:val="clear" w:color="auto" w:fill="FFFFFF"/>
            <w:noWrap/>
            <w:vAlign w:val="center"/>
          </w:tcPr>
          <w:p w14:paraId="3D3620E5">
            <w:pPr>
              <w:pStyle w:val="23"/>
            </w:pPr>
            <w:r>
              <w:rPr>
                <w:rFonts w:hint="eastAsia"/>
              </w:rPr>
              <w:t xml:space="preserve">21459 </w:t>
            </w:r>
          </w:p>
        </w:tc>
      </w:tr>
      <w:tr w14:paraId="5F8A47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3266D06">
            <w:pPr>
              <w:pStyle w:val="23"/>
            </w:pPr>
            <w:r>
              <w:rPr>
                <w:rFonts w:hint="eastAsia"/>
              </w:rPr>
              <w:t>成都市</w:t>
            </w:r>
          </w:p>
        </w:tc>
        <w:tc>
          <w:tcPr>
            <w:tcW w:w="1531" w:type="dxa"/>
            <w:tcBorders>
              <w:tl2br w:val="nil"/>
              <w:tr2bl w:val="nil"/>
            </w:tcBorders>
            <w:shd w:val="clear" w:color="auto" w:fill="FFFFFF"/>
            <w:noWrap/>
            <w:vAlign w:val="center"/>
          </w:tcPr>
          <w:p w14:paraId="31933812">
            <w:pPr>
              <w:pStyle w:val="23"/>
            </w:pPr>
            <w:r>
              <w:rPr>
                <w:rFonts w:hint="eastAsia"/>
              </w:rPr>
              <w:t>郫都区</w:t>
            </w:r>
          </w:p>
        </w:tc>
        <w:tc>
          <w:tcPr>
            <w:tcW w:w="1701" w:type="dxa"/>
            <w:tcBorders>
              <w:tl2br w:val="nil"/>
              <w:tr2bl w:val="nil"/>
            </w:tcBorders>
            <w:shd w:val="clear" w:color="auto" w:fill="FFFFFF"/>
            <w:noWrap/>
            <w:vAlign w:val="center"/>
          </w:tcPr>
          <w:p w14:paraId="592227BA">
            <w:pPr>
              <w:pStyle w:val="23"/>
            </w:pPr>
            <w:r>
              <w:rPr>
                <w:rFonts w:hint="eastAsia"/>
              </w:rPr>
              <w:t xml:space="preserve">17017 </w:t>
            </w:r>
          </w:p>
        </w:tc>
        <w:tc>
          <w:tcPr>
            <w:tcW w:w="1701" w:type="dxa"/>
            <w:tcBorders>
              <w:tl2br w:val="nil"/>
              <w:tr2bl w:val="nil"/>
            </w:tcBorders>
            <w:shd w:val="clear" w:color="auto" w:fill="FFFFFF"/>
            <w:noWrap/>
            <w:vAlign w:val="center"/>
          </w:tcPr>
          <w:p w14:paraId="03C7B240">
            <w:pPr>
              <w:pStyle w:val="23"/>
            </w:pPr>
            <w:r>
              <w:rPr>
                <w:rFonts w:hint="eastAsia"/>
              </w:rPr>
              <w:t xml:space="preserve">1614 </w:t>
            </w:r>
          </w:p>
        </w:tc>
        <w:tc>
          <w:tcPr>
            <w:tcW w:w="1701" w:type="dxa"/>
            <w:tcBorders>
              <w:tl2br w:val="nil"/>
              <w:tr2bl w:val="nil"/>
            </w:tcBorders>
            <w:shd w:val="clear" w:color="auto" w:fill="FFFFFF"/>
            <w:noWrap/>
            <w:vAlign w:val="center"/>
          </w:tcPr>
          <w:p w14:paraId="42272EA6">
            <w:pPr>
              <w:pStyle w:val="23"/>
            </w:pPr>
            <w:r>
              <w:rPr>
                <w:rFonts w:hint="eastAsia"/>
              </w:rPr>
              <w:t xml:space="preserve">18631 </w:t>
            </w:r>
          </w:p>
        </w:tc>
      </w:tr>
      <w:tr w14:paraId="1B7BA5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51D925E">
            <w:pPr>
              <w:pStyle w:val="23"/>
            </w:pPr>
            <w:r>
              <w:rPr>
                <w:rFonts w:hint="eastAsia"/>
              </w:rPr>
              <w:t>成都市</w:t>
            </w:r>
          </w:p>
        </w:tc>
        <w:tc>
          <w:tcPr>
            <w:tcW w:w="1531" w:type="dxa"/>
            <w:tcBorders>
              <w:tl2br w:val="nil"/>
              <w:tr2bl w:val="nil"/>
            </w:tcBorders>
            <w:shd w:val="clear" w:color="auto" w:fill="FFFFFF"/>
            <w:noWrap/>
            <w:vAlign w:val="center"/>
          </w:tcPr>
          <w:p w14:paraId="62D1C6E0">
            <w:pPr>
              <w:pStyle w:val="23"/>
            </w:pPr>
            <w:r>
              <w:rPr>
                <w:rFonts w:hint="eastAsia"/>
              </w:rPr>
              <w:t>都江堰市</w:t>
            </w:r>
          </w:p>
        </w:tc>
        <w:tc>
          <w:tcPr>
            <w:tcW w:w="1701" w:type="dxa"/>
            <w:tcBorders>
              <w:tl2br w:val="nil"/>
              <w:tr2bl w:val="nil"/>
            </w:tcBorders>
            <w:shd w:val="clear" w:color="auto" w:fill="FFFFFF"/>
            <w:noWrap/>
            <w:vAlign w:val="center"/>
          </w:tcPr>
          <w:p w14:paraId="1857EAD0">
            <w:pPr>
              <w:pStyle w:val="23"/>
            </w:pPr>
            <w:r>
              <w:rPr>
                <w:rFonts w:hint="eastAsia"/>
              </w:rPr>
              <w:t xml:space="preserve">10498 </w:t>
            </w:r>
          </w:p>
        </w:tc>
        <w:tc>
          <w:tcPr>
            <w:tcW w:w="1701" w:type="dxa"/>
            <w:tcBorders>
              <w:tl2br w:val="nil"/>
              <w:tr2bl w:val="nil"/>
            </w:tcBorders>
            <w:shd w:val="clear" w:color="auto" w:fill="FFFFFF"/>
            <w:noWrap/>
            <w:vAlign w:val="center"/>
          </w:tcPr>
          <w:p w14:paraId="5315B536">
            <w:pPr>
              <w:pStyle w:val="23"/>
            </w:pPr>
            <w:r>
              <w:rPr>
                <w:rFonts w:hint="eastAsia"/>
              </w:rPr>
              <w:t xml:space="preserve">1964 </w:t>
            </w:r>
          </w:p>
        </w:tc>
        <w:tc>
          <w:tcPr>
            <w:tcW w:w="1701" w:type="dxa"/>
            <w:tcBorders>
              <w:tl2br w:val="nil"/>
              <w:tr2bl w:val="nil"/>
            </w:tcBorders>
            <w:shd w:val="clear" w:color="auto" w:fill="FFFFFF"/>
            <w:noWrap/>
            <w:vAlign w:val="center"/>
          </w:tcPr>
          <w:p w14:paraId="72B79793">
            <w:pPr>
              <w:pStyle w:val="23"/>
            </w:pPr>
            <w:r>
              <w:rPr>
                <w:rFonts w:hint="eastAsia"/>
              </w:rPr>
              <w:t xml:space="preserve">12462 </w:t>
            </w:r>
          </w:p>
        </w:tc>
      </w:tr>
      <w:tr w14:paraId="09EC5B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682CFE36">
            <w:pPr>
              <w:pStyle w:val="23"/>
            </w:pPr>
            <w:r>
              <w:rPr>
                <w:rFonts w:hint="eastAsia"/>
              </w:rPr>
              <w:t>阿坝州</w:t>
            </w:r>
          </w:p>
        </w:tc>
        <w:tc>
          <w:tcPr>
            <w:tcW w:w="1531" w:type="dxa"/>
            <w:tcBorders>
              <w:tl2br w:val="nil"/>
              <w:tr2bl w:val="nil"/>
            </w:tcBorders>
            <w:shd w:val="clear" w:color="auto" w:fill="FFFFFF"/>
            <w:noWrap/>
            <w:vAlign w:val="center"/>
          </w:tcPr>
          <w:p w14:paraId="246E74EA">
            <w:pPr>
              <w:pStyle w:val="23"/>
            </w:pPr>
            <w:r>
              <w:rPr>
                <w:rFonts w:hint="eastAsia"/>
              </w:rPr>
              <w:t>汶川县</w:t>
            </w:r>
          </w:p>
        </w:tc>
        <w:tc>
          <w:tcPr>
            <w:tcW w:w="1701" w:type="dxa"/>
            <w:tcBorders>
              <w:tl2br w:val="nil"/>
              <w:tr2bl w:val="nil"/>
            </w:tcBorders>
            <w:shd w:val="clear" w:color="auto" w:fill="FFFFFF"/>
            <w:noWrap/>
            <w:vAlign w:val="center"/>
          </w:tcPr>
          <w:p w14:paraId="250D8827">
            <w:pPr>
              <w:pStyle w:val="23"/>
            </w:pPr>
            <w:r>
              <w:rPr>
                <w:rFonts w:hint="eastAsia"/>
              </w:rPr>
              <w:t xml:space="preserve">4334 </w:t>
            </w:r>
          </w:p>
        </w:tc>
        <w:tc>
          <w:tcPr>
            <w:tcW w:w="1701" w:type="dxa"/>
            <w:tcBorders>
              <w:tl2br w:val="nil"/>
              <w:tr2bl w:val="nil"/>
            </w:tcBorders>
            <w:shd w:val="clear" w:color="auto" w:fill="FFFFFF"/>
            <w:noWrap/>
            <w:vAlign w:val="center"/>
          </w:tcPr>
          <w:p w14:paraId="76575346">
            <w:pPr>
              <w:pStyle w:val="23"/>
            </w:pPr>
            <w:r>
              <w:rPr>
                <w:rFonts w:hint="eastAsia"/>
              </w:rPr>
              <w:t xml:space="preserve">1684 </w:t>
            </w:r>
          </w:p>
        </w:tc>
        <w:tc>
          <w:tcPr>
            <w:tcW w:w="1701" w:type="dxa"/>
            <w:tcBorders>
              <w:tl2br w:val="nil"/>
              <w:tr2bl w:val="nil"/>
            </w:tcBorders>
            <w:shd w:val="clear" w:color="auto" w:fill="FFFFFF"/>
            <w:noWrap/>
            <w:vAlign w:val="center"/>
          </w:tcPr>
          <w:p w14:paraId="3CF68A15">
            <w:pPr>
              <w:pStyle w:val="23"/>
            </w:pPr>
            <w:r>
              <w:rPr>
                <w:rFonts w:hint="eastAsia"/>
              </w:rPr>
              <w:t xml:space="preserve">6018 </w:t>
            </w:r>
          </w:p>
        </w:tc>
      </w:tr>
      <w:tr w14:paraId="5508F0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4549A4AF">
            <w:pPr>
              <w:pStyle w:val="23"/>
            </w:pPr>
            <w:r>
              <w:rPr>
                <w:rFonts w:hint="eastAsia"/>
              </w:rPr>
              <w:t>成都市</w:t>
            </w:r>
          </w:p>
        </w:tc>
        <w:tc>
          <w:tcPr>
            <w:tcW w:w="1531" w:type="dxa"/>
            <w:tcBorders>
              <w:tl2br w:val="nil"/>
              <w:tr2bl w:val="nil"/>
            </w:tcBorders>
            <w:shd w:val="clear" w:color="auto" w:fill="FFFFFF"/>
            <w:noWrap/>
            <w:vAlign w:val="center"/>
          </w:tcPr>
          <w:p w14:paraId="7631D2DE">
            <w:pPr>
              <w:pStyle w:val="23"/>
            </w:pPr>
            <w:r>
              <w:rPr>
                <w:rFonts w:hint="eastAsia"/>
              </w:rPr>
              <w:t>彭州市</w:t>
            </w:r>
          </w:p>
        </w:tc>
        <w:tc>
          <w:tcPr>
            <w:tcW w:w="1701" w:type="dxa"/>
            <w:tcBorders>
              <w:tl2br w:val="nil"/>
              <w:tr2bl w:val="nil"/>
            </w:tcBorders>
            <w:shd w:val="clear" w:color="auto" w:fill="FFFFFF"/>
            <w:noWrap/>
            <w:vAlign w:val="center"/>
          </w:tcPr>
          <w:p w14:paraId="01925520">
            <w:pPr>
              <w:pStyle w:val="23"/>
            </w:pPr>
            <w:r>
              <w:rPr>
                <w:rFonts w:hint="eastAsia"/>
              </w:rPr>
              <w:t xml:space="preserve">482 </w:t>
            </w:r>
          </w:p>
        </w:tc>
        <w:tc>
          <w:tcPr>
            <w:tcW w:w="1701" w:type="dxa"/>
            <w:tcBorders>
              <w:tl2br w:val="nil"/>
              <w:tr2bl w:val="nil"/>
            </w:tcBorders>
            <w:shd w:val="clear" w:color="auto" w:fill="FFFFFF"/>
            <w:noWrap/>
            <w:vAlign w:val="center"/>
          </w:tcPr>
          <w:p w14:paraId="011EB531">
            <w:pPr>
              <w:pStyle w:val="23"/>
            </w:pPr>
            <w:r>
              <w:rPr>
                <w:rFonts w:hint="eastAsia"/>
              </w:rPr>
              <w:t xml:space="preserve">2996 </w:t>
            </w:r>
          </w:p>
        </w:tc>
        <w:tc>
          <w:tcPr>
            <w:tcW w:w="1701" w:type="dxa"/>
            <w:tcBorders>
              <w:tl2br w:val="nil"/>
              <w:tr2bl w:val="nil"/>
            </w:tcBorders>
            <w:shd w:val="clear" w:color="auto" w:fill="FFFFFF"/>
            <w:noWrap/>
            <w:vAlign w:val="center"/>
          </w:tcPr>
          <w:p w14:paraId="3ABA9448">
            <w:pPr>
              <w:pStyle w:val="23"/>
            </w:pPr>
            <w:r>
              <w:rPr>
                <w:rFonts w:hint="eastAsia"/>
              </w:rPr>
              <w:t xml:space="preserve">3478 </w:t>
            </w:r>
          </w:p>
        </w:tc>
      </w:tr>
      <w:tr w14:paraId="500499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51E69380">
            <w:pPr>
              <w:pStyle w:val="23"/>
            </w:pPr>
            <w:r>
              <w:rPr>
                <w:rFonts w:hint="eastAsia"/>
              </w:rPr>
              <w:t>成都市</w:t>
            </w:r>
          </w:p>
        </w:tc>
        <w:tc>
          <w:tcPr>
            <w:tcW w:w="1531" w:type="dxa"/>
            <w:tcBorders>
              <w:tl2br w:val="nil"/>
              <w:tr2bl w:val="nil"/>
            </w:tcBorders>
            <w:shd w:val="clear" w:color="auto" w:fill="FFFFFF"/>
            <w:noWrap/>
            <w:vAlign w:val="center"/>
          </w:tcPr>
          <w:p w14:paraId="4D5795FC">
            <w:pPr>
              <w:pStyle w:val="23"/>
            </w:pPr>
            <w:r>
              <w:rPr>
                <w:rFonts w:hint="eastAsia"/>
              </w:rPr>
              <w:t>双流区</w:t>
            </w:r>
          </w:p>
        </w:tc>
        <w:tc>
          <w:tcPr>
            <w:tcW w:w="1701" w:type="dxa"/>
            <w:tcBorders>
              <w:tl2br w:val="nil"/>
              <w:tr2bl w:val="nil"/>
            </w:tcBorders>
            <w:shd w:val="clear" w:color="auto" w:fill="FFFFFF"/>
            <w:noWrap/>
            <w:vAlign w:val="center"/>
          </w:tcPr>
          <w:p w14:paraId="68E6B0B5">
            <w:pPr>
              <w:pStyle w:val="23"/>
            </w:pPr>
            <w:r>
              <w:rPr>
                <w:rFonts w:hint="eastAsia"/>
              </w:rPr>
              <w:t xml:space="preserve">1780 </w:t>
            </w:r>
          </w:p>
        </w:tc>
        <w:tc>
          <w:tcPr>
            <w:tcW w:w="1701" w:type="dxa"/>
            <w:tcBorders>
              <w:tl2br w:val="nil"/>
              <w:tr2bl w:val="nil"/>
            </w:tcBorders>
            <w:shd w:val="clear" w:color="auto" w:fill="FFFFFF"/>
            <w:noWrap/>
            <w:vAlign w:val="center"/>
          </w:tcPr>
          <w:p w14:paraId="5CE39245">
            <w:pPr>
              <w:pStyle w:val="23"/>
            </w:pPr>
            <w:r>
              <w:rPr>
                <w:rFonts w:hint="eastAsia"/>
              </w:rPr>
              <w:t xml:space="preserve">336 </w:t>
            </w:r>
          </w:p>
        </w:tc>
        <w:tc>
          <w:tcPr>
            <w:tcW w:w="1701" w:type="dxa"/>
            <w:tcBorders>
              <w:tl2br w:val="nil"/>
              <w:tr2bl w:val="nil"/>
            </w:tcBorders>
            <w:shd w:val="clear" w:color="auto" w:fill="FFFFFF"/>
            <w:noWrap/>
            <w:vAlign w:val="center"/>
          </w:tcPr>
          <w:p w14:paraId="5CB309D8">
            <w:pPr>
              <w:pStyle w:val="23"/>
            </w:pPr>
            <w:r>
              <w:rPr>
                <w:rFonts w:hint="eastAsia"/>
              </w:rPr>
              <w:t xml:space="preserve">2115 </w:t>
            </w:r>
          </w:p>
        </w:tc>
      </w:tr>
      <w:tr w14:paraId="35A721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EDBAD51">
            <w:pPr>
              <w:pStyle w:val="23"/>
            </w:pPr>
            <w:r>
              <w:rPr>
                <w:rFonts w:hint="eastAsia"/>
              </w:rPr>
              <w:t>成都市</w:t>
            </w:r>
          </w:p>
        </w:tc>
        <w:tc>
          <w:tcPr>
            <w:tcW w:w="1531" w:type="dxa"/>
            <w:tcBorders>
              <w:tl2br w:val="nil"/>
              <w:tr2bl w:val="nil"/>
            </w:tcBorders>
            <w:shd w:val="clear" w:color="auto" w:fill="FFFFFF"/>
            <w:noWrap/>
            <w:vAlign w:val="center"/>
          </w:tcPr>
          <w:p w14:paraId="1CD783BC">
            <w:pPr>
              <w:pStyle w:val="23"/>
            </w:pPr>
            <w:r>
              <w:rPr>
                <w:rFonts w:hint="eastAsia"/>
              </w:rPr>
              <w:t>新都区</w:t>
            </w:r>
          </w:p>
        </w:tc>
        <w:tc>
          <w:tcPr>
            <w:tcW w:w="1701" w:type="dxa"/>
            <w:tcBorders>
              <w:tl2br w:val="nil"/>
              <w:tr2bl w:val="nil"/>
            </w:tcBorders>
            <w:shd w:val="clear" w:color="auto" w:fill="FFFFFF"/>
            <w:noWrap/>
            <w:vAlign w:val="center"/>
          </w:tcPr>
          <w:p w14:paraId="057BEE70">
            <w:pPr>
              <w:pStyle w:val="23"/>
            </w:pPr>
            <w:r>
              <w:rPr>
                <w:rFonts w:hint="eastAsia"/>
              </w:rPr>
              <w:t xml:space="preserve">1189 </w:t>
            </w:r>
          </w:p>
        </w:tc>
        <w:tc>
          <w:tcPr>
            <w:tcW w:w="1701" w:type="dxa"/>
            <w:tcBorders>
              <w:tl2br w:val="nil"/>
              <w:tr2bl w:val="nil"/>
            </w:tcBorders>
            <w:shd w:val="clear" w:color="auto" w:fill="FFFFFF"/>
            <w:noWrap/>
            <w:vAlign w:val="center"/>
          </w:tcPr>
          <w:p w14:paraId="7E4BBB5D">
            <w:pPr>
              <w:pStyle w:val="23"/>
            </w:pPr>
            <w:r>
              <w:rPr>
                <w:rFonts w:hint="eastAsia"/>
              </w:rPr>
              <w:t xml:space="preserve">568 </w:t>
            </w:r>
          </w:p>
        </w:tc>
        <w:tc>
          <w:tcPr>
            <w:tcW w:w="1701" w:type="dxa"/>
            <w:tcBorders>
              <w:tl2br w:val="nil"/>
              <w:tr2bl w:val="nil"/>
            </w:tcBorders>
            <w:shd w:val="clear" w:color="auto" w:fill="FFFFFF"/>
            <w:noWrap/>
            <w:vAlign w:val="center"/>
          </w:tcPr>
          <w:p w14:paraId="612AC1A4">
            <w:pPr>
              <w:pStyle w:val="23"/>
            </w:pPr>
            <w:r>
              <w:rPr>
                <w:rFonts w:hint="eastAsia"/>
              </w:rPr>
              <w:t xml:space="preserve">1757 </w:t>
            </w:r>
          </w:p>
        </w:tc>
      </w:tr>
      <w:tr w14:paraId="09B2B2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992518D">
            <w:pPr>
              <w:pStyle w:val="23"/>
            </w:pPr>
            <w:r>
              <w:rPr>
                <w:rFonts w:hint="eastAsia"/>
              </w:rPr>
              <w:t>成都市</w:t>
            </w:r>
          </w:p>
        </w:tc>
        <w:tc>
          <w:tcPr>
            <w:tcW w:w="1531" w:type="dxa"/>
            <w:tcBorders>
              <w:tl2br w:val="nil"/>
              <w:tr2bl w:val="nil"/>
            </w:tcBorders>
            <w:shd w:val="clear" w:color="auto" w:fill="FFFFFF"/>
            <w:noWrap/>
            <w:vAlign w:val="center"/>
          </w:tcPr>
          <w:p w14:paraId="409B456D">
            <w:pPr>
              <w:pStyle w:val="23"/>
            </w:pPr>
            <w:r>
              <w:rPr>
                <w:rFonts w:hint="eastAsia"/>
              </w:rPr>
              <w:t>武侯区</w:t>
            </w:r>
          </w:p>
        </w:tc>
        <w:tc>
          <w:tcPr>
            <w:tcW w:w="1701" w:type="dxa"/>
            <w:tcBorders>
              <w:tl2br w:val="nil"/>
              <w:tr2bl w:val="nil"/>
            </w:tcBorders>
            <w:shd w:val="clear" w:color="auto" w:fill="FFFFFF"/>
            <w:noWrap/>
            <w:vAlign w:val="center"/>
          </w:tcPr>
          <w:p w14:paraId="3F077C66">
            <w:pPr>
              <w:pStyle w:val="23"/>
            </w:pPr>
            <w:r>
              <w:rPr>
                <w:rFonts w:hint="eastAsia"/>
              </w:rPr>
              <w:t xml:space="preserve">913 </w:t>
            </w:r>
          </w:p>
        </w:tc>
        <w:tc>
          <w:tcPr>
            <w:tcW w:w="1701" w:type="dxa"/>
            <w:tcBorders>
              <w:tl2br w:val="nil"/>
              <w:tr2bl w:val="nil"/>
            </w:tcBorders>
            <w:shd w:val="clear" w:color="auto" w:fill="FFFFFF"/>
            <w:noWrap/>
            <w:vAlign w:val="center"/>
          </w:tcPr>
          <w:p w14:paraId="51A34863">
            <w:pPr>
              <w:pStyle w:val="23"/>
            </w:pPr>
            <w:r>
              <w:rPr>
                <w:rFonts w:hint="eastAsia"/>
              </w:rPr>
              <w:t xml:space="preserve">110 </w:t>
            </w:r>
          </w:p>
        </w:tc>
        <w:tc>
          <w:tcPr>
            <w:tcW w:w="1701" w:type="dxa"/>
            <w:tcBorders>
              <w:tl2br w:val="nil"/>
              <w:tr2bl w:val="nil"/>
            </w:tcBorders>
            <w:shd w:val="clear" w:color="auto" w:fill="FFFFFF"/>
            <w:noWrap/>
            <w:vAlign w:val="center"/>
          </w:tcPr>
          <w:p w14:paraId="04E728E5">
            <w:pPr>
              <w:pStyle w:val="23"/>
            </w:pPr>
            <w:r>
              <w:rPr>
                <w:rFonts w:hint="eastAsia"/>
              </w:rPr>
              <w:t xml:space="preserve">1022 </w:t>
            </w:r>
          </w:p>
        </w:tc>
      </w:tr>
      <w:tr w14:paraId="700F2B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1ABB48F">
            <w:pPr>
              <w:pStyle w:val="23"/>
            </w:pPr>
            <w:r>
              <w:rPr>
                <w:rFonts w:hint="eastAsia"/>
              </w:rPr>
              <w:t>成都市</w:t>
            </w:r>
          </w:p>
        </w:tc>
        <w:tc>
          <w:tcPr>
            <w:tcW w:w="1531" w:type="dxa"/>
            <w:tcBorders>
              <w:tl2br w:val="nil"/>
              <w:tr2bl w:val="nil"/>
            </w:tcBorders>
            <w:shd w:val="clear" w:color="auto" w:fill="FFFFFF"/>
            <w:noWrap/>
            <w:vAlign w:val="center"/>
          </w:tcPr>
          <w:p w14:paraId="028EBFED">
            <w:pPr>
              <w:pStyle w:val="23"/>
            </w:pPr>
            <w:r>
              <w:rPr>
                <w:rFonts w:hint="eastAsia"/>
              </w:rPr>
              <w:t>温江区</w:t>
            </w:r>
          </w:p>
        </w:tc>
        <w:tc>
          <w:tcPr>
            <w:tcW w:w="1701" w:type="dxa"/>
            <w:tcBorders>
              <w:tl2br w:val="nil"/>
              <w:tr2bl w:val="nil"/>
            </w:tcBorders>
            <w:shd w:val="clear" w:color="auto" w:fill="FFFFFF"/>
            <w:noWrap/>
            <w:vAlign w:val="center"/>
          </w:tcPr>
          <w:p w14:paraId="72D3BE9A">
            <w:pPr>
              <w:pStyle w:val="23"/>
            </w:pPr>
            <w:r>
              <w:rPr>
                <w:rFonts w:hint="eastAsia"/>
              </w:rPr>
              <w:t xml:space="preserve">905 </w:t>
            </w:r>
          </w:p>
        </w:tc>
        <w:tc>
          <w:tcPr>
            <w:tcW w:w="1701" w:type="dxa"/>
            <w:tcBorders>
              <w:tl2br w:val="nil"/>
              <w:tr2bl w:val="nil"/>
            </w:tcBorders>
            <w:shd w:val="clear" w:color="auto" w:fill="FFFFFF"/>
            <w:noWrap/>
            <w:vAlign w:val="center"/>
          </w:tcPr>
          <w:p w14:paraId="739FB748">
            <w:pPr>
              <w:pStyle w:val="23"/>
            </w:pPr>
            <w:r>
              <w:rPr>
                <w:rFonts w:hint="eastAsia"/>
              </w:rPr>
              <w:t xml:space="preserve">74 </w:t>
            </w:r>
          </w:p>
        </w:tc>
        <w:tc>
          <w:tcPr>
            <w:tcW w:w="1701" w:type="dxa"/>
            <w:tcBorders>
              <w:tl2br w:val="nil"/>
              <w:tr2bl w:val="nil"/>
            </w:tcBorders>
            <w:shd w:val="clear" w:color="auto" w:fill="FFFFFF"/>
            <w:noWrap/>
            <w:vAlign w:val="center"/>
          </w:tcPr>
          <w:p w14:paraId="56C639B3">
            <w:pPr>
              <w:pStyle w:val="23"/>
            </w:pPr>
            <w:r>
              <w:rPr>
                <w:rFonts w:hint="eastAsia"/>
              </w:rPr>
              <w:t xml:space="preserve">979 </w:t>
            </w:r>
          </w:p>
        </w:tc>
      </w:tr>
      <w:tr w14:paraId="7CABCE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61FEE6D2">
            <w:pPr>
              <w:pStyle w:val="23"/>
            </w:pPr>
            <w:r>
              <w:rPr>
                <w:rFonts w:hint="eastAsia"/>
              </w:rPr>
              <w:t>成都市</w:t>
            </w:r>
          </w:p>
        </w:tc>
        <w:tc>
          <w:tcPr>
            <w:tcW w:w="1531" w:type="dxa"/>
            <w:tcBorders>
              <w:tl2br w:val="nil"/>
              <w:tr2bl w:val="nil"/>
            </w:tcBorders>
            <w:shd w:val="clear" w:color="auto" w:fill="FFFFFF"/>
            <w:noWrap/>
            <w:vAlign w:val="center"/>
          </w:tcPr>
          <w:p w14:paraId="0BCD451A">
            <w:pPr>
              <w:pStyle w:val="23"/>
            </w:pPr>
            <w:r>
              <w:rPr>
                <w:rFonts w:hint="eastAsia"/>
              </w:rPr>
              <w:t>青羊区</w:t>
            </w:r>
          </w:p>
        </w:tc>
        <w:tc>
          <w:tcPr>
            <w:tcW w:w="1701" w:type="dxa"/>
            <w:tcBorders>
              <w:tl2br w:val="nil"/>
              <w:tr2bl w:val="nil"/>
            </w:tcBorders>
            <w:shd w:val="clear" w:color="auto" w:fill="FFFFFF"/>
            <w:noWrap/>
            <w:vAlign w:val="center"/>
          </w:tcPr>
          <w:p w14:paraId="3151E3AD">
            <w:pPr>
              <w:pStyle w:val="23"/>
            </w:pPr>
            <w:r>
              <w:rPr>
                <w:rFonts w:hint="eastAsia"/>
              </w:rPr>
              <w:t xml:space="preserve">885 </w:t>
            </w:r>
          </w:p>
        </w:tc>
        <w:tc>
          <w:tcPr>
            <w:tcW w:w="1701" w:type="dxa"/>
            <w:tcBorders>
              <w:tl2br w:val="nil"/>
              <w:tr2bl w:val="nil"/>
            </w:tcBorders>
            <w:shd w:val="clear" w:color="auto" w:fill="FFFFFF"/>
            <w:noWrap/>
            <w:vAlign w:val="center"/>
          </w:tcPr>
          <w:p w14:paraId="7B253B12">
            <w:pPr>
              <w:pStyle w:val="23"/>
            </w:pPr>
            <w:r>
              <w:rPr>
                <w:rFonts w:hint="eastAsia"/>
              </w:rPr>
              <w:t xml:space="preserve">90 </w:t>
            </w:r>
          </w:p>
        </w:tc>
        <w:tc>
          <w:tcPr>
            <w:tcW w:w="1701" w:type="dxa"/>
            <w:tcBorders>
              <w:tl2br w:val="nil"/>
              <w:tr2bl w:val="nil"/>
            </w:tcBorders>
            <w:shd w:val="clear" w:color="auto" w:fill="FFFFFF"/>
            <w:noWrap/>
            <w:vAlign w:val="center"/>
          </w:tcPr>
          <w:p w14:paraId="07ED737D">
            <w:pPr>
              <w:pStyle w:val="23"/>
            </w:pPr>
            <w:r>
              <w:rPr>
                <w:rFonts w:hint="eastAsia"/>
              </w:rPr>
              <w:t xml:space="preserve">975 </w:t>
            </w:r>
          </w:p>
        </w:tc>
      </w:tr>
      <w:tr w14:paraId="7FD05A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1F663FD0">
            <w:pPr>
              <w:pStyle w:val="23"/>
            </w:pPr>
            <w:r>
              <w:rPr>
                <w:rFonts w:hint="eastAsia"/>
              </w:rPr>
              <w:t>成都市</w:t>
            </w:r>
          </w:p>
        </w:tc>
        <w:tc>
          <w:tcPr>
            <w:tcW w:w="1531" w:type="dxa"/>
            <w:tcBorders>
              <w:tl2br w:val="nil"/>
              <w:tr2bl w:val="nil"/>
            </w:tcBorders>
            <w:shd w:val="clear" w:color="auto" w:fill="FFFFFF"/>
            <w:noWrap/>
            <w:vAlign w:val="center"/>
          </w:tcPr>
          <w:p w14:paraId="34A528FF">
            <w:pPr>
              <w:pStyle w:val="23"/>
            </w:pPr>
            <w:r>
              <w:rPr>
                <w:rFonts w:hint="eastAsia"/>
              </w:rPr>
              <w:t>简阳市</w:t>
            </w:r>
          </w:p>
        </w:tc>
        <w:tc>
          <w:tcPr>
            <w:tcW w:w="1701" w:type="dxa"/>
            <w:tcBorders>
              <w:tl2br w:val="nil"/>
              <w:tr2bl w:val="nil"/>
            </w:tcBorders>
            <w:shd w:val="clear" w:color="auto" w:fill="FFFFFF"/>
            <w:noWrap/>
            <w:vAlign w:val="center"/>
          </w:tcPr>
          <w:p w14:paraId="277FA3F9">
            <w:pPr>
              <w:pStyle w:val="23"/>
            </w:pPr>
            <w:r>
              <w:rPr>
                <w:rFonts w:hint="eastAsia"/>
              </w:rPr>
              <w:t xml:space="preserve">419 </w:t>
            </w:r>
          </w:p>
        </w:tc>
        <w:tc>
          <w:tcPr>
            <w:tcW w:w="1701" w:type="dxa"/>
            <w:tcBorders>
              <w:tl2br w:val="nil"/>
              <w:tr2bl w:val="nil"/>
            </w:tcBorders>
            <w:shd w:val="clear" w:color="auto" w:fill="FFFFFF"/>
            <w:noWrap/>
            <w:vAlign w:val="center"/>
          </w:tcPr>
          <w:p w14:paraId="58050F8A">
            <w:pPr>
              <w:pStyle w:val="23"/>
            </w:pPr>
            <w:r>
              <w:rPr>
                <w:rFonts w:hint="eastAsia"/>
              </w:rPr>
              <w:t xml:space="preserve">496 </w:t>
            </w:r>
          </w:p>
        </w:tc>
        <w:tc>
          <w:tcPr>
            <w:tcW w:w="1701" w:type="dxa"/>
            <w:tcBorders>
              <w:tl2br w:val="nil"/>
              <w:tr2bl w:val="nil"/>
            </w:tcBorders>
            <w:shd w:val="clear" w:color="auto" w:fill="FFFFFF"/>
            <w:noWrap/>
            <w:vAlign w:val="center"/>
          </w:tcPr>
          <w:p w14:paraId="36CD27AD">
            <w:pPr>
              <w:pStyle w:val="23"/>
            </w:pPr>
            <w:r>
              <w:rPr>
                <w:rFonts w:hint="eastAsia"/>
              </w:rPr>
              <w:t xml:space="preserve">915 </w:t>
            </w:r>
          </w:p>
        </w:tc>
      </w:tr>
      <w:tr w14:paraId="06F85F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7648544">
            <w:pPr>
              <w:pStyle w:val="23"/>
            </w:pPr>
            <w:r>
              <w:rPr>
                <w:rFonts w:hint="eastAsia"/>
              </w:rPr>
              <w:t>成都市</w:t>
            </w:r>
          </w:p>
        </w:tc>
        <w:tc>
          <w:tcPr>
            <w:tcW w:w="1531" w:type="dxa"/>
            <w:tcBorders>
              <w:tl2br w:val="nil"/>
              <w:tr2bl w:val="nil"/>
            </w:tcBorders>
            <w:shd w:val="clear" w:color="auto" w:fill="FFFFFF"/>
            <w:noWrap/>
            <w:vAlign w:val="center"/>
          </w:tcPr>
          <w:p w14:paraId="5F001BA0">
            <w:pPr>
              <w:pStyle w:val="23"/>
            </w:pPr>
            <w:r>
              <w:rPr>
                <w:rFonts w:hint="eastAsia"/>
              </w:rPr>
              <w:t>崇州市</w:t>
            </w:r>
          </w:p>
        </w:tc>
        <w:tc>
          <w:tcPr>
            <w:tcW w:w="1701" w:type="dxa"/>
            <w:tcBorders>
              <w:tl2br w:val="nil"/>
              <w:tr2bl w:val="nil"/>
            </w:tcBorders>
            <w:shd w:val="clear" w:color="auto" w:fill="FFFFFF"/>
            <w:noWrap/>
            <w:vAlign w:val="center"/>
          </w:tcPr>
          <w:p w14:paraId="4218D5B7">
            <w:pPr>
              <w:pStyle w:val="23"/>
            </w:pPr>
            <w:r>
              <w:rPr>
                <w:rFonts w:hint="eastAsia"/>
              </w:rPr>
              <w:t xml:space="preserve">576 </w:t>
            </w:r>
          </w:p>
        </w:tc>
        <w:tc>
          <w:tcPr>
            <w:tcW w:w="1701" w:type="dxa"/>
            <w:tcBorders>
              <w:tl2br w:val="nil"/>
              <w:tr2bl w:val="nil"/>
            </w:tcBorders>
            <w:shd w:val="clear" w:color="auto" w:fill="FFFFFF"/>
            <w:noWrap/>
            <w:vAlign w:val="center"/>
          </w:tcPr>
          <w:p w14:paraId="2528DCC0">
            <w:pPr>
              <w:pStyle w:val="23"/>
            </w:pPr>
            <w:r>
              <w:rPr>
                <w:rFonts w:hint="eastAsia"/>
              </w:rPr>
              <w:t xml:space="preserve">189 </w:t>
            </w:r>
          </w:p>
        </w:tc>
        <w:tc>
          <w:tcPr>
            <w:tcW w:w="1701" w:type="dxa"/>
            <w:tcBorders>
              <w:tl2br w:val="nil"/>
              <w:tr2bl w:val="nil"/>
            </w:tcBorders>
            <w:shd w:val="clear" w:color="auto" w:fill="FFFFFF"/>
            <w:noWrap/>
            <w:vAlign w:val="center"/>
          </w:tcPr>
          <w:p w14:paraId="59B2F1B2">
            <w:pPr>
              <w:pStyle w:val="23"/>
            </w:pPr>
            <w:r>
              <w:rPr>
                <w:rFonts w:hint="eastAsia"/>
              </w:rPr>
              <w:t xml:space="preserve">765 </w:t>
            </w:r>
          </w:p>
        </w:tc>
      </w:tr>
      <w:tr w14:paraId="4C0790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50540AFE">
            <w:pPr>
              <w:pStyle w:val="23"/>
            </w:pPr>
            <w:r>
              <w:rPr>
                <w:rFonts w:hint="eastAsia"/>
              </w:rPr>
              <w:t>成都市</w:t>
            </w:r>
          </w:p>
        </w:tc>
        <w:tc>
          <w:tcPr>
            <w:tcW w:w="1531" w:type="dxa"/>
            <w:tcBorders>
              <w:tl2br w:val="nil"/>
              <w:tr2bl w:val="nil"/>
            </w:tcBorders>
            <w:shd w:val="clear" w:color="auto" w:fill="FFFFFF"/>
            <w:noWrap/>
            <w:vAlign w:val="center"/>
          </w:tcPr>
          <w:p w14:paraId="0D0C89FD">
            <w:pPr>
              <w:pStyle w:val="23"/>
            </w:pPr>
            <w:r>
              <w:rPr>
                <w:rFonts w:hint="eastAsia"/>
              </w:rPr>
              <w:t>龙泉驿区</w:t>
            </w:r>
          </w:p>
        </w:tc>
        <w:tc>
          <w:tcPr>
            <w:tcW w:w="1701" w:type="dxa"/>
            <w:tcBorders>
              <w:tl2br w:val="nil"/>
              <w:tr2bl w:val="nil"/>
            </w:tcBorders>
            <w:shd w:val="clear" w:color="auto" w:fill="FFFFFF"/>
            <w:noWrap/>
            <w:vAlign w:val="center"/>
          </w:tcPr>
          <w:p w14:paraId="15DF2158">
            <w:pPr>
              <w:pStyle w:val="23"/>
            </w:pPr>
            <w:r>
              <w:rPr>
                <w:rFonts w:hint="eastAsia"/>
              </w:rPr>
              <w:t xml:space="preserve">571 </w:t>
            </w:r>
          </w:p>
        </w:tc>
        <w:tc>
          <w:tcPr>
            <w:tcW w:w="1701" w:type="dxa"/>
            <w:tcBorders>
              <w:tl2br w:val="nil"/>
              <w:tr2bl w:val="nil"/>
            </w:tcBorders>
            <w:shd w:val="clear" w:color="auto" w:fill="FFFFFF"/>
            <w:noWrap/>
            <w:vAlign w:val="center"/>
          </w:tcPr>
          <w:p w14:paraId="36005F60">
            <w:pPr>
              <w:pStyle w:val="23"/>
            </w:pPr>
            <w:r>
              <w:rPr>
                <w:rFonts w:hint="eastAsia"/>
              </w:rPr>
              <w:t xml:space="preserve">92 </w:t>
            </w:r>
          </w:p>
        </w:tc>
        <w:tc>
          <w:tcPr>
            <w:tcW w:w="1701" w:type="dxa"/>
            <w:tcBorders>
              <w:tl2br w:val="nil"/>
              <w:tr2bl w:val="nil"/>
            </w:tcBorders>
            <w:shd w:val="clear" w:color="auto" w:fill="FFFFFF"/>
            <w:noWrap/>
            <w:vAlign w:val="center"/>
          </w:tcPr>
          <w:p w14:paraId="5D8340A2">
            <w:pPr>
              <w:pStyle w:val="23"/>
            </w:pPr>
            <w:r>
              <w:rPr>
                <w:rFonts w:hint="eastAsia"/>
              </w:rPr>
              <w:t xml:space="preserve">663 </w:t>
            </w:r>
          </w:p>
        </w:tc>
      </w:tr>
      <w:tr w14:paraId="4DA455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182F7FC">
            <w:pPr>
              <w:pStyle w:val="23"/>
            </w:pPr>
            <w:r>
              <w:rPr>
                <w:rFonts w:hint="eastAsia"/>
              </w:rPr>
              <w:t>资阳市</w:t>
            </w:r>
          </w:p>
        </w:tc>
        <w:tc>
          <w:tcPr>
            <w:tcW w:w="1531" w:type="dxa"/>
            <w:tcBorders>
              <w:tl2br w:val="nil"/>
              <w:tr2bl w:val="nil"/>
            </w:tcBorders>
            <w:shd w:val="clear" w:color="auto" w:fill="FFFFFF"/>
            <w:noWrap/>
            <w:vAlign w:val="center"/>
          </w:tcPr>
          <w:p w14:paraId="54E06324">
            <w:pPr>
              <w:pStyle w:val="23"/>
            </w:pPr>
            <w:r>
              <w:rPr>
                <w:rFonts w:hint="eastAsia"/>
              </w:rPr>
              <w:t>安岳县</w:t>
            </w:r>
          </w:p>
        </w:tc>
        <w:tc>
          <w:tcPr>
            <w:tcW w:w="1701" w:type="dxa"/>
            <w:tcBorders>
              <w:tl2br w:val="nil"/>
              <w:tr2bl w:val="nil"/>
            </w:tcBorders>
            <w:shd w:val="clear" w:color="auto" w:fill="FFFFFF"/>
            <w:noWrap/>
            <w:vAlign w:val="center"/>
          </w:tcPr>
          <w:p w14:paraId="1ACB5D42">
            <w:pPr>
              <w:pStyle w:val="23"/>
            </w:pPr>
            <w:r>
              <w:rPr>
                <w:rFonts w:hint="eastAsia"/>
              </w:rPr>
              <w:t xml:space="preserve">600 </w:t>
            </w:r>
          </w:p>
        </w:tc>
        <w:tc>
          <w:tcPr>
            <w:tcW w:w="1701" w:type="dxa"/>
            <w:tcBorders>
              <w:tl2br w:val="nil"/>
              <w:tr2bl w:val="nil"/>
            </w:tcBorders>
            <w:shd w:val="clear" w:color="auto" w:fill="FFFFFF"/>
            <w:noWrap/>
            <w:vAlign w:val="center"/>
          </w:tcPr>
          <w:p w14:paraId="71ED6195">
            <w:pPr>
              <w:pStyle w:val="23"/>
            </w:pPr>
            <w:r>
              <w:rPr>
                <w:rFonts w:hint="eastAsia"/>
              </w:rPr>
              <w:t xml:space="preserve">60 </w:t>
            </w:r>
          </w:p>
        </w:tc>
        <w:tc>
          <w:tcPr>
            <w:tcW w:w="1701" w:type="dxa"/>
            <w:tcBorders>
              <w:tl2br w:val="nil"/>
              <w:tr2bl w:val="nil"/>
            </w:tcBorders>
            <w:shd w:val="clear" w:color="auto" w:fill="FFFFFF"/>
            <w:noWrap/>
            <w:vAlign w:val="center"/>
          </w:tcPr>
          <w:p w14:paraId="35ECD0CB">
            <w:pPr>
              <w:pStyle w:val="23"/>
            </w:pPr>
            <w:r>
              <w:rPr>
                <w:rFonts w:hint="eastAsia"/>
              </w:rPr>
              <w:t xml:space="preserve">660 </w:t>
            </w:r>
          </w:p>
        </w:tc>
      </w:tr>
      <w:tr w14:paraId="5A045A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40B9469">
            <w:pPr>
              <w:pStyle w:val="23"/>
            </w:pPr>
            <w:r>
              <w:rPr>
                <w:rFonts w:hint="eastAsia"/>
              </w:rPr>
              <w:t>绵阳市</w:t>
            </w:r>
          </w:p>
        </w:tc>
        <w:tc>
          <w:tcPr>
            <w:tcW w:w="1531" w:type="dxa"/>
            <w:tcBorders>
              <w:tl2br w:val="nil"/>
              <w:tr2bl w:val="nil"/>
            </w:tcBorders>
            <w:shd w:val="clear" w:color="auto" w:fill="FFFFFF"/>
            <w:noWrap/>
            <w:vAlign w:val="center"/>
          </w:tcPr>
          <w:p w14:paraId="5DFA1166">
            <w:pPr>
              <w:pStyle w:val="23"/>
            </w:pPr>
            <w:r>
              <w:rPr>
                <w:rFonts w:hint="eastAsia"/>
              </w:rPr>
              <w:t>涪城区</w:t>
            </w:r>
          </w:p>
        </w:tc>
        <w:tc>
          <w:tcPr>
            <w:tcW w:w="1701" w:type="dxa"/>
            <w:tcBorders>
              <w:tl2br w:val="nil"/>
              <w:tr2bl w:val="nil"/>
            </w:tcBorders>
            <w:shd w:val="clear" w:color="auto" w:fill="FFFFFF"/>
            <w:noWrap/>
            <w:vAlign w:val="center"/>
          </w:tcPr>
          <w:p w14:paraId="75340460">
            <w:pPr>
              <w:pStyle w:val="23"/>
            </w:pPr>
            <w:r>
              <w:rPr>
                <w:rFonts w:hint="eastAsia"/>
              </w:rPr>
              <w:t xml:space="preserve">561 </w:t>
            </w:r>
          </w:p>
        </w:tc>
        <w:tc>
          <w:tcPr>
            <w:tcW w:w="1701" w:type="dxa"/>
            <w:tcBorders>
              <w:tl2br w:val="nil"/>
              <w:tr2bl w:val="nil"/>
            </w:tcBorders>
            <w:shd w:val="clear" w:color="auto" w:fill="FFFFFF"/>
            <w:noWrap/>
            <w:vAlign w:val="center"/>
          </w:tcPr>
          <w:p w14:paraId="1BC91D23">
            <w:pPr>
              <w:pStyle w:val="23"/>
            </w:pPr>
            <w:r>
              <w:rPr>
                <w:rFonts w:hint="eastAsia"/>
              </w:rPr>
              <w:t xml:space="preserve">70 </w:t>
            </w:r>
          </w:p>
        </w:tc>
        <w:tc>
          <w:tcPr>
            <w:tcW w:w="1701" w:type="dxa"/>
            <w:tcBorders>
              <w:tl2br w:val="nil"/>
              <w:tr2bl w:val="nil"/>
            </w:tcBorders>
            <w:shd w:val="clear" w:color="auto" w:fill="FFFFFF"/>
            <w:noWrap/>
            <w:vAlign w:val="center"/>
          </w:tcPr>
          <w:p w14:paraId="3B3000A9">
            <w:pPr>
              <w:pStyle w:val="23"/>
            </w:pPr>
            <w:r>
              <w:rPr>
                <w:rFonts w:hint="eastAsia"/>
              </w:rPr>
              <w:t xml:space="preserve">631 </w:t>
            </w:r>
          </w:p>
        </w:tc>
      </w:tr>
      <w:tr w14:paraId="639646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E4668DE">
            <w:pPr>
              <w:pStyle w:val="23"/>
            </w:pPr>
            <w:r>
              <w:rPr>
                <w:rFonts w:hint="eastAsia"/>
              </w:rPr>
              <w:t>成都市</w:t>
            </w:r>
          </w:p>
        </w:tc>
        <w:tc>
          <w:tcPr>
            <w:tcW w:w="1531" w:type="dxa"/>
            <w:tcBorders>
              <w:tl2br w:val="nil"/>
              <w:tr2bl w:val="nil"/>
            </w:tcBorders>
            <w:shd w:val="clear" w:color="auto" w:fill="FFFFFF"/>
            <w:noWrap/>
            <w:vAlign w:val="center"/>
          </w:tcPr>
          <w:p w14:paraId="4091D6DC">
            <w:pPr>
              <w:pStyle w:val="23"/>
            </w:pPr>
            <w:r>
              <w:rPr>
                <w:rFonts w:hint="eastAsia"/>
              </w:rPr>
              <w:t>新津区</w:t>
            </w:r>
          </w:p>
        </w:tc>
        <w:tc>
          <w:tcPr>
            <w:tcW w:w="1701" w:type="dxa"/>
            <w:tcBorders>
              <w:tl2br w:val="nil"/>
              <w:tr2bl w:val="nil"/>
            </w:tcBorders>
            <w:shd w:val="clear" w:color="auto" w:fill="FFFFFF"/>
            <w:noWrap/>
            <w:vAlign w:val="center"/>
          </w:tcPr>
          <w:p w14:paraId="6977FE12">
            <w:pPr>
              <w:pStyle w:val="23"/>
            </w:pPr>
            <w:r>
              <w:rPr>
                <w:rFonts w:hint="eastAsia"/>
              </w:rPr>
              <w:t xml:space="preserve">403 </w:t>
            </w:r>
          </w:p>
        </w:tc>
        <w:tc>
          <w:tcPr>
            <w:tcW w:w="1701" w:type="dxa"/>
            <w:tcBorders>
              <w:tl2br w:val="nil"/>
              <w:tr2bl w:val="nil"/>
            </w:tcBorders>
            <w:shd w:val="clear" w:color="auto" w:fill="FFFFFF"/>
            <w:noWrap/>
            <w:vAlign w:val="center"/>
          </w:tcPr>
          <w:p w14:paraId="3B959E50">
            <w:pPr>
              <w:pStyle w:val="23"/>
            </w:pPr>
            <w:r>
              <w:rPr>
                <w:rFonts w:hint="eastAsia"/>
              </w:rPr>
              <w:t xml:space="preserve">194 </w:t>
            </w:r>
          </w:p>
        </w:tc>
        <w:tc>
          <w:tcPr>
            <w:tcW w:w="1701" w:type="dxa"/>
            <w:tcBorders>
              <w:tl2br w:val="nil"/>
              <w:tr2bl w:val="nil"/>
            </w:tcBorders>
            <w:shd w:val="clear" w:color="auto" w:fill="FFFFFF"/>
            <w:noWrap/>
            <w:vAlign w:val="center"/>
          </w:tcPr>
          <w:p w14:paraId="57588087">
            <w:pPr>
              <w:pStyle w:val="23"/>
            </w:pPr>
            <w:r>
              <w:rPr>
                <w:rFonts w:hint="eastAsia"/>
              </w:rPr>
              <w:t xml:space="preserve">597 </w:t>
            </w:r>
          </w:p>
        </w:tc>
      </w:tr>
      <w:tr w14:paraId="6C46F9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1EB4CEC1">
            <w:pPr>
              <w:pStyle w:val="23"/>
            </w:pPr>
            <w:r>
              <w:rPr>
                <w:rFonts w:hint="eastAsia"/>
              </w:rPr>
              <w:t>遂宁市</w:t>
            </w:r>
          </w:p>
        </w:tc>
        <w:tc>
          <w:tcPr>
            <w:tcW w:w="1531" w:type="dxa"/>
            <w:tcBorders>
              <w:tl2br w:val="nil"/>
              <w:tr2bl w:val="nil"/>
            </w:tcBorders>
            <w:shd w:val="clear" w:color="auto" w:fill="FFFFFF"/>
            <w:noWrap/>
            <w:vAlign w:val="center"/>
          </w:tcPr>
          <w:p w14:paraId="109A7BF3">
            <w:pPr>
              <w:pStyle w:val="23"/>
            </w:pPr>
            <w:r>
              <w:rPr>
                <w:rFonts w:hint="eastAsia"/>
              </w:rPr>
              <w:t>船山区</w:t>
            </w:r>
          </w:p>
        </w:tc>
        <w:tc>
          <w:tcPr>
            <w:tcW w:w="1701" w:type="dxa"/>
            <w:tcBorders>
              <w:tl2br w:val="nil"/>
              <w:tr2bl w:val="nil"/>
            </w:tcBorders>
            <w:shd w:val="clear" w:color="auto" w:fill="FFFFFF"/>
            <w:noWrap/>
            <w:vAlign w:val="center"/>
          </w:tcPr>
          <w:p w14:paraId="1355B198">
            <w:pPr>
              <w:pStyle w:val="23"/>
            </w:pPr>
            <w:r>
              <w:rPr>
                <w:rFonts w:hint="eastAsia"/>
              </w:rPr>
              <w:t xml:space="preserve">490 </w:t>
            </w:r>
          </w:p>
        </w:tc>
        <w:tc>
          <w:tcPr>
            <w:tcW w:w="1701" w:type="dxa"/>
            <w:tcBorders>
              <w:tl2br w:val="nil"/>
              <w:tr2bl w:val="nil"/>
            </w:tcBorders>
            <w:shd w:val="clear" w:color="auto" w:fill="FFFFFF"/>
            <w:noWrap/>
            <w:vAlign w:val="center"/>
          </w:tcPr>
          <w:p w14:paraId="6C2606A7">
            <w:pPr>
              <w:pStyle w:val="23"/>
            </w:pPr>
            <w:r>
              <w:rPr>
                <w:rFonts w:hint="eastAsia"/>
              </w:rPr>
              <w:t xml:space="preserve">99 </w:t>
            </w:r>
          </w:p>
        </w:tc>
        <w:tc>
          <w:tcPr>
            <w:tcW w:w="1701" w:type="dxa"/>
            <w:tcBorders>
              <w:tl2br w:val="nil"/>
              <w:tr2bl w:val="nil"/>
            </w:tcBorders>
            <w:shd w:val="clear" w:color="auto" w:fill="FFFFFF"/>
            <w:noWrap/>
            <w:vAlign w:val="center"/>
          </w:tcPr>
          <w:p w14:paraId="7F4C3CCD">
            <w:pPr>
              <w:pStyle w:val="23"/>
            </w:pPr>
            <w:r>
              <w:rPr>
                <w:rFonts w:hint="eastAsia"/>
              </w:rPr>
              <w:t xml:space="preserve">589 </w:t>
            </w:r>
          </w:p>
        </w:tc>
      </w:tr>
      <w:tr w14:paraId="66BE55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42AD0C26">
            <w:pPr>
              <w:pStyle w:val="23"/>
            </w:pPr>
            <w:r>
              <w:rPr>
                <w:rFonts w:hint="eastAsia"/>
              </w:rPr>
              <w:t>眉山市</w:t>
            </w:r>
          </w:p>
        </w:tc>
        <w:tc>
          <w:tcPr>
            <w:tcW w:w="1531" w:type="dxa"/>
            <w:tcBorders>
              <w:tl2br w:val="nil"/>
              <w:tr2bl w:val="nil"/>
            </w:tcBorders>
            <w:shd w:val="clear" w:color="auto" w:fill="FFFFFF"/>
            <w:noWrap/>
            <w:vAlign w:val="center"/>
          </w:tcPr>
          <w:p w14:paraId="53C68220">
            <w:pPr>
              <w:pStyle w:val="23"/>
            </w:pPr>
            <w:r>
              <w:rPr>
                <w:rFonts w:hint="eastAsia"/>
              </w:rPr>
              <w:t>仁寿县</w:t>
            </w:r>
          </w:p>
        </w:tc>
        <w:tc>
          <w:tcPr>
            <w:tcW w:w="1701" w:type="dxa"/>
            <w:tcBorders>
              <w:tl2br w:val="nil"/>
              <w:tr2bl w:val="nil"/>
            </w:tcBorders>
            <w:shd w:val="clear" w:color="auto" w:fill="FFFFFF"/>
            <w:noWrap/>
            <w:vAlign w:val="center"/>
          </w:tcPr>
          <w:p w14:paraId="7A567356">
            <w:pPr>
              <w:pStyle w:val="23"/>
            </w:pPr>
            <w:r>
              <w:rPr>
                <w:rFonts w:hint="eastAsia"/>
              </w:rPr>
              <w:t xml:space="preserve">422 </w:t>
            </w:r>
          </w:p>
        </w:tc>
        <w:tc>
          <w:tcPr>
            <w:tcW w:w="1701" w:type="dxa"/>
            <w:tcBorders>
              <w:tl2br w:val="nil"/>
              <w:tr2bl w:val="nil"/>
            </w:tcBorders>
            <w:shd w:val="clear" w:color="auto" w:fill="FFFFFF"/>
            <w:noWrap/>
            <w:vAlign w:val="center"/>
          </w:tcPr>
          <w:p w14:paraId="65CDDBBE">
            <w:pPr>
              <w:pStyle w:val="23"/>
            </w:pPr>
            <w:r>
              <w:rPr>
                <w:rFonts w:hint="eastAsia"/>
              </w:rPr>
              <w:t xml:space="preserve">156 </w:t>
            </w:r>
          </w:p>
        </w:tc>
        <w:tc>
          <w:tcPr>
            <w:tcW w:w="1701" w:type="dxa"/>
            <w:tcBorders>
              <w:tl2br w:val="nil"/>
              <w:tr2bl w:val="nil"/>
            </w:tcBorders>
            <w:shd w:val="clear" w:color="auto" w:fill="FFFFFF"/>
            <w:noWrap/>
            <w:vAlign w:val="center"/>
          </w:tcPr>
          <w:p w14:paraId="4E655245">
            <w:pPr>
              <w:pStyle w:val="23"/>
            </w:pPr>
            <w:r>
              <w:rPr>
                <w:rFonts w:hint="eastAsia"/>
              </w:rPr>
              <w:t xml:space="preserve">578 </w:t>
            </w:r>
          </w:p>
        </w:tc>
      </w:tr>
    </w:tbl>
    <w:p w14:paraId="437ABFA9">
      <w:pPr>
        <w:ind w:firstLine="560"/>
      </w:pPr>
      <w:r>
        <w:rPr>
          <w:rFonts w:hint="eastAsia"/>
        </w:rPr>
        <w:t>从</w:t>
      </w:r>
      <w:r>
        <w:rPr>
          <w:rFonts w:hint="eastAsia"/>
          <w:lang w:val="en-US" w:eastAsia="zh-CN"/>
        </w:rPr>
        <w:t>高速公路流量</w:t>
      </w:r>
      <w:r>
        <w:rPr>
          <w:rFonts w:hint="eastAsia"/>
        </w:rPr>
        <w:t>去向市州层面看，见</w:t>
      </w:r>
      <w:r>
        <w:rPr>
          <w:rFonts w:hint="eastAsia"/>
        </w:rPr>
        <w:fldChar w:fldCharType="begin"/>
      </w:r>
      <w:r>
        <w:rPr>
          <w:rFonts w:hint="eastAsia"/>
        </w:rPr>
        <w:instrText xml:space="preserve"> REF _Ref28768 \h </w:instrText>
      </w:r>
      <w:r>
        <w:rPr>
          <w:rFonts w:hint="eastAsia"/>
        </w:rPr>
        <w:fldChar w:fldCharType="separate"/>
      </w:r>
      <w:r>
        <w:t>表 5</w:t>
      </w:r>
      <w:r>
        <w:rPr>
          <w:rFonts w:hint="eastAsia"/>
        </w:rPr>
        <w:fldChar w:fldCharType="end"/>
      </w:r>
      <w:r>
        <w:rPr>
          <w:rFonts w:hint="eastAsia"/>
        </w:rPr>
        <w:t>，2026年一季度红原县高速公路入口总交通量为32.17万PCU，与出口总量持平，表明进出红原的交通流基本平衡。其中，客车流量27.02万PCU（占84.0%），货车流量5.16万PCU（占16.0%），客车主导的特征与出口侧一致。阿坝州内是绝对主要去向，流量达29.06万PCU，占总量的90.4%，说明从红原县出发的车辆绝大部分仍在州内流动，反映了县域作为州内交通枢纽的集散功能。成都市 位列第二，流量为2.20万PCU，占比6.8%，是红原县对外联系的最主要区域外目的地。与出口侧成都占比15.2%相比，入口侧成都去向占比略低，表明外地车辆进入红原的比例略高于红原车辆前往外地的比例，符合旅游目的地特征。其余市州去向流量均低于0.1万PCU，分布较为分散。</w:t>
      </w:r>
    </w:p>
    <w:p w14:paraId="610F7ECE">
      <w:pPr>
        <w:ind w:firstLine="560"/>
      </w:pPr>
      <w:r>
        <w:rPr>
          <w:rFonts w:hint="eastAsia"/>
        </w:rPr>
        <w:t>从去向区县层面看，见</w:t>
      </w:r>
      <w:r>
        <w:rPr>
          <w:rFonts w:hint="eastAsia"/>
        </w:rPr>
        <w:fldChar w:fldCharType="begin"/>
      </w:r>
      <w:r>
        <w:rPr>
          <w:rFonts w:hint="eastAsia"/>
        </w:rPr>
        <w:instrText xml:space="preserve"> REF _Ref28716 \h </w:instrText>
      </w:r>
      <w:r>
        <w:rPr>
          <w:rFonts w:hint="eastAsia"/>
        </w:rPr>
        <w:fldChar w:fldCharType="separate"/>
      </w:r>
      <w:r>
        <w:t>表 6</w:t>
      </w:r>
      <w:r>
        <w:rPr>
          <w:rFonts w:hint="eastAsia"/>
        </w:rPr>
        <w:fldChar w:fldCharType="end"/>
      </w:r>
      <w:r>
        <w:rPr>
          <w:rFonts w:hint="eastAsia"/>
        </w:rPr>
        <w:t>，前20名区县合计贡献31.37万PCU，占总量的97.6%，集中度极高。红原县本地以25.45万PCU居首，占前20区县流量的81.1%，这一部分主要为县域内不同收费站之间的高速出行，反映了红原县内三个收费站（刷经寺、中壤口、龙日坝）之间的高频短途联系。马尔康市（2.14万PCU）和理县（1.05万PCU）分列第二、三位，显示出红原与州内相邻县市之间的紧密互动——马尔康作为州府，是公务、商务和物资集散的重要方向；理县则是通往成都方向的必经通道，其货车流量（579PCU）相对较高，反映出一定的过境运输功能。成都市入围前20的区县达10个，其中都江堰市（0.97万PCU）和郫都区（0.53万PCU）位居前列，与出口侧来源区县相呼应，进一步印证了都江堰—郫都走廊是红原与成都平原经济区联系的主要门户。此外，乐山市沐川县以0.06万PCU进入前20，虽总量不大，但显示出红原对省内远端市县的吸引力。整体来看，去向流量呈现“县域内部短途循环为主、毗邻县市次之、成都西北门户区县为对外主要方向”的三层结构。</w:t>
      </w:r>
    </w:p>
    <w:p w14:paraId="46ACEBCA">
      <w:pPr>
        <w:pStyle w:val="11"/>
        <w:keepNext/>
        <w:keepLines/>
      </w:pPr>
      <w:bookmarkStart w:id="12" w:name="_Ref28768"/>
      <w:r>
        <w:t xml:space="preserve">表 </w:t>
      </w:r>
      <w:r>
        <w:fldChar w:fldCharType="begin"/>
      </w:r>
      <w:r>
        <w:instrText xml:space="preserve"> SEQ 表 \* ARABIC </w:instrText>
      </w:r>
      <w:r>
        <w:fldChar w:fldCharType="separate"/>
      </w:r>
      <w:r>
        <w:t>5</w:t>
      </w:r>
      <w:r>
        <w:fldChar w:fldCharType="end"/>
      </w:r>
      <w:bookmarkEnd w:id="12"/>
      <w:r>
        <w:rPr>
          <w:rFonts w:hint="eastAsia"/>
        </w:rPr>
        <w:t xml:space="preserve"> 2026年一季度红原县高速公路入口交通量（按去向市州统计）</w:t>
      </w:r>
    </w:p>
    <w:tbl>
      <w:tblPr>
        <w:tblStyle w:val="18"/>
        <w:tblW w:w="7993"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551"/>
        <w:gridCol w:w="1814"/>
        <w:gridCol w:w="1814"/>
        <w:gridCol w:w="1814"/>
      </w:tblGrid>
      <w:tr w14:paraId="5C2D7A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bottom w:val="single" w:color="000000" w:sz="8" w:space="0"/>
            </w:tcBorders>
            <w:shd w:val="clear" w:color="auto" w:fill="FFFFFF"/>
            <w:noWrap/>
            <w:vAlign w:val="center"/>
          </w:tcPr>
          <w:p w14:paraId="5DB1B0D2">
            <w:pPr>
              <w:pStyle w:val="24"/>
              <w:bidi w:val="0"/>
            </w:pPr>
            <w:r>
              <w:rPr>
                <w:rFonts w:hint="eastAsia"/>
              </w:rPr>
              <w:t>去向市州（省内）</w:t>
            </w:r>
          </w:p>
        </w:tc>
        <w:tc>
          <w:tcPr>
            <w:tcW w:w="1814" w:type="dxa"/>
            <w:tcBorders>
              <w:bottom w:val="single" w:color="000000" w:sz="8" w:space="0"/>
            </w:tcBorders>
            <w:shd w:val="clear" w:color="auto" w:fill="FFFFFF"/>
            <w:noWrap/>
            <w:vAlign w:val="center"/>
          </w:tcPr>
          <w:p w14:paraId="7F057BFC">
            <w:pPr>
              <w:pStyle w:val="24"/>
              <w:bidi w:val="0"/>
            </w:pPr>
            <w:r>
              <w:rPr>
                <w:rFonts w:hint="eastAsia"/>
              </w:rPr>
              <w:t>客车流量</w:t>
            </w:r>
          </w:p>
          <w:p w14:paraId="5BB2F323">
            <w:pPr>
              <w:pStyle w:val="24"/>
              <w:bidi w:val="0"/>
            </w:pPr>
            <w:r>
              <w:rPr>
                <w:rFonts w:hint="eastAsia"/>
              </w:rPr>
              <w:t>（PCU）</w:t>
            </w:r>
          </w:p>
        </w:tc>
        <w:tc>
          <w:tcPr>
            <w:tcW w:w="1814" w:type="dxa"/>
            <w:tcBorders>
              <w:bottom w:val="single" w:color="000000" w:sz="8" w:space="0"/>
            </w:tcBorders>
            <w:shd w:val="clear" w:color="auto" w:fill="FFFFFF"/>
            <w:noWrap/>
            <w:vAlign w:val="center"/>
          </w:tcPr>
          <w:p w14:paraId="3EEC51FA">
            <w:pPr>
              <w:pStyle w:val="24"/>
              <w:bidi w:val="0"/>
            </w:pPr>
            <w:r>
              <w:rPr>
                <w:rFonts w:hint="eastAsia"/>
              </w:rPr>
              <w:t>货车流量</w:t>
            </w:r>
          </w:p>
          <w:p w14:paraId="46681F0A">
            <w:pPr>
              <w:pStyle w:val="24"/>
              <w:bidi w:val="0"/>
            </w:pPr>
            <w:r>
              <w:rPr>
                <w:rFonts w:hint="eastAsia"/>
              </w:rPr>
              <w:t>（PCU）</w:t>
            </w:r>
          </w:p>
        </w:tc>
        <w:tc>
          <w:tcPr>
            <w:tcW w:w="1814" w:type="dxa"/>
            <w:tcBorders>
              <w:bottom w:val="single" w:color="000000" w:sz="8" w:space="0"/>
            </w:tcBorders>
            <w:shd w:val="clear" w:color="auto" w:fill="FFFFFF"/>
            <w:noWrap/>
            <w:vAlign w:val="center"/>
          </w:tcPr>
          <w:p w14:paraId="07F4FE8A">
            <w:pPr>
              <w:pStyle w:val="24"/>
              <w:bidi w:val="0"/>
            </w:pPr>
            <w:r>
              <w:rPr>
                <w:rFonts w:hint="eastAsia"/>
              </w:rPr>
              <w:t>总流量</w:t>
            </w:r>
          </w:p>
          <w:p w14:paraId="4960B765">
            <w:pPr>
              <w:pStyle w:val="24"/>
              <w:bidi w:val="0"/>
            </w:pPr>
            <w:r>
              <w:rPr>
                <w:rFonts w:hint="eastAsia"/>
              </w:rPr>
              <w:t>（PCU）</w:t>
            </w:r>
          </w:p>
        </w:tc>
      </w:tr>
      <w:tr w14:paraId="263443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op w:val="single" w:color="000000" w:sz="8" w:space="0"/>
              <w:tl2br w:val="nil"/>
              <w:tr2bl w:val="nil"/>
            </w:tcBorders>
            <w:shd w:val="clear" w:color="auto" w:fill="FFFFFF"/>
            <w:noWrap/>
            <w:vAlign w:val="center"/>
          </w:tcPr>
          <w:p w14:paraId="29875079">
            <w:pPr>
              <w:pStyle w:val="23"/>
              <w:keepNext/>
              <w:keepLines/>
            </w:pPr>
            <w:r>
              <w:rPr>
                <w:rFonts w:hint="eastAsia"/>
              </w:rPr>
              <w:t>总计</w:t>
            </w:r>
          </w:p>
        </w:tc>
        <w:tc>
          <w:tcPr>
            <w:tcW w:w="1814" w:type="dxa"/>
            <w:tcBorders>
              <w:top w:val="single" w:color="000000" w:sz="8" w:space="0"/>
              <w:tl2br w:val="nil"/>
              <w:tr2bl w:val="nil"/>
            </w:tcBorders>
            <w:shd w:val="clear" w:color="auto" w:fill="FFFFFF"/>
            <w:noWrap/>
            <w:vAlign w:val="center"/>
          </w:tcPr>
          <w:p w14:paraId="0F5A84A8">
            <w:pPr>
              <w:pStyle w:val="23"/>
              <w:keepNext/>
              <w:keepLines/>
            </w:pPr>
            <w:r>
              <w:rPr>
                <w:rFonts w:hint="eastAsia"/>
              </w:rPr>
              <w:t xml:space="preserve">270170 </w:t>
            </w:r>
          </w:p>
        </w:tc>
        <w:tc>
          <w:tcPr>
            <w:tcW w:w="1814" w:type="dxa"/>
            <w:tcBorders>
              <w:top w:val="single" w:color="000000" w:sz="8" w:space="0"/>
              <w:tl2br w:val="nil"/>
              <w:tr2bl w:val="nil"/>
            </w:tcBorders>
            <w:shd w:val="clear" w:color="auto" w:fill="FFFFFF"/>
            <w:noWrap/>
            <w:vAlign w:val="center"/>
          </w:tcPr>
          <w:p w14:paraId="38280F22">
            <w:pPr>
              <w:pStyle w:val="23"/>
              <w:keepNext/>
              <w:keepLines/>
            </w:pPr>
            <w:r>
              <w:rPr>
                <w:rFonts w:hint="eastAsia"/>
              </w:rPr>
              <w:t xml:space="preserve">51551 </w:t>
            </w:r>
          </w:p>
        </w:tc>
        <w:tc>
          <w:tcPr>
            <w:tcW w:w="1814" w:type="dxa"/>
            <w:tcBorders>
              <w:top w:val="single" w:color="000000" w:sz="8" w:space="0"/>
              <w:tl2br w:val="nil"/>
              <w:tr2bl w:val="nil"/>
            </w:tcBorders>
            <w:shd w:val="clear" w:color="auto" w:fill="FFFFFF"/>
            <w:noWrap/>
            <w:vAlign w:val="center"/>
          </w:tcPr>
          <w:p w14:paraId="6A7CD89F">
            <w:pPr>
              <w:pStyle w:val="23"/>
              <w:keepNext/>
              <w:keepLines/>
            </w:pPr>
            <w:r>
              <w:rPr>
                <w:rFonts w:hint="eastAsia"/>
              </w:rPr>
              <w:t xml:space="preserve">321721 </w:t>
            </w:r>
          </w:p>
        </w:tc>
      </w:tr>
      <w:tr w14:paraId="460316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32DDABD8">
            <w:pPr>
              <w:pStyle w:val="23"/>
              <w:keepNext/>
              <w:keepLines/>
            </w:pPr>
            <w:r>
              <w:rPr>
                <w:rFonts w:hint="eastAsia"/>
              </w:rPr>
              <w:t>阿坝州</w:t>
            </w:r>
          </w:p>
        </w:tc>
        <w:tc>
          <w:tcPr>
            <w:tcW w:w="1814" w:type="dxa"/>
            <w:tcBorders>
              <w:tl2br w:val="nil"/>
              <w:tr2bl w:val="nil"/>
            </w:tcBorders>
            <w:shd w:val="clear" w:color="auto" w:fill="FFFFFF"/>
            <w:noWrap/>
            <w:vAlign w:val="center"/>
          </w:tcPr>
          <w:p w14:paraId="6CA027E4">
            <w:pPr>
              <w:pStyle w:val="23"/>
              <w:keepNext/>
              <w:keepLines/>
            </w:pPr>
            <w:r>
              <w:rPr>
                <w:rFonts w:hint="eastAsia"/>
              </w:rPr>
              <w:t xml:space="preserve">240526 </w:t>
            </w:r>
          </w:p>
        </w:tc>
        <w:tc>
          <w:tcPr>
            <w:tcW w:w="1814" w:type="dxa"/>
            <w:tcBorders>
              <w:tl2br w:val="nil"/>
              <w:tr2bl w:val="nil"/>
            </w:tcBorders>
            <w:shd w:val="clear" w:color="auto" w:fill="FFFFFF"/>
            <w:noWrap/>
            <w:vAlign w:val="center"/>
          </w:tcPr>
          <w:p w14:paraId="4F90814B">
            <w:pPr>
              <w:pStyle w:val="23"/>
              <w:keepNext/>
              <w:keepLines/>
            </w:pPr>
            <w:r>
              <w:rPr>
                <w:rFonts w:hint="eastAsia"/>
              </w:rPr>
              <w:t xml:space="preserve">50103 </w:t>
            </w:r>
          </w:p>
        </w:tc>
        <w:tc>
          <w:tcPr>
            <w:tcW w:w="1814" w:type="dxa"/>
            <w:tcBorders>
              <w:tl2br w:val="nil"/>
              <w:tr2bl w:val="nil"/>
            </w:tcBorders>
            <w:shd w:val="clear" w:color="auto" w:fill="FFFFFF"/>
            <w:noWrap/>
            <w:vAlign w:val="center"/>
          </w:tcPr>
          <w:p w14:paraId="0A7DC2C6">
            <w:pPr>
              <w:pStyle w:val="23"/>
              <w:keepNext/>
              <w:keepLines/>
            </w:pPr>
            <w:r>
              <w:rPr>
                <w:rFonts w:hint="eastAsia"/>
              </w:rPr>
              <w:t xml:space="preserve">290628 </w:t>
            </w:r>
          </w:p>
        </w:tc>
      </w:tr>
      <w:tr w14:paraId="1A87CD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0ED1743">
            <w:pPr>
              <w:pStyle w:val="23"/>
              <w:keepNext/>
              <w:keepLines/>
            </w:pPr>
            <w:r>
              <w:rPr>
                <w:rFonts w:hint="eastAsia"/>
              </w:rPr>
              <w:t>成都市</w:t>
            </w:r>
          </w:p>
        </w:tc>
        <w:tc>
          <w:tcPr>
            <w:tcW w:w="1814" w:type="dxa"/>
            <w:tcBorders>
              <w:tl2br w:val="nil"/>
              <w:tr2bl w:val="nil"/>
            </w:tcBorders>
            <w:shd w:val="clear" w:color="auto" w:fill="FFFFFF"/>
            <w:noWrap/>
            <w:vAlign w:val="center"/>
          </w:tcPr>
          <w:p w14:paraId="32C77F63">
            <w:pPr>
              <w:pStyle w:val="23"/>
              <w:keepNext/>
              <w:keepLines/>
            </w:pPr>
            <w:r>
              <w:rPr>
                <w:rFonts w:hint="eastAsia"/>
              </w:rPr>
              <w:t xml:space="preserve">21069 </w:t>
            </w:r>
          </w:p>
        </w:tc>
        <w:tc>
          <w:tcPr>
            <w:tcW w:w="1814" w:type="dxa"/>
            <w:tcBorders>
              <w:tl2br w:val="nil"/>
              <w:tr2bl w:val="nil"/>
            </w:tcBorders>
            <w:shd w:val="clear" w:color="auto" w:fill="FFFFFF"/>
            <w:noWrap/>
            <w:vAlign w:val="center"/>
          </w:tcPr>
          <w:p w14:paraId="0621DB19">
            <w:pPr>
              <w:pStyle w:val="23"/>
              <w:keepNext/>
              <w:keepLines/>
            </w:pPr>
            <w:r>
              <w:rPr>
                <w:rFonts w:hint="eastAsia"/>
              </w:rPr>
              <w:t xml:space="preserve">977 </w:t>
            </w:r>
          </w:p>
        </w:tc>
        <w:tc>
          <w:tcPr>
            <w:tcW w:w="1814" w:type="dxa"/>
            <w:tcBorders>
              <w:tl2br w:val="nil"/>
              <w:tr2bl w:val="nil"/>
            </w:tcBorders>
            <w:shd w:val="clear" w:color="auto" w:fill="FFFFFF"/>
            <w:noWrap/>
            <w:vAlign w:val="center"/>
          </w:tcPr>
          <w:p w14:paraId="06266C89">
            <w:pPr>
              <w:pStyle w:val="23"/>
              <w:keepNext/>
              <w:keepLines/>
            </w:pPr>
            <w:r>
              <w:rPr>
                <w:rFonts w:hint="eastAsia"/>
              </w:rPr>
              <w:t xml:space="preserve">22046 </w:t>
            </w:r>
          </w:p>
        </w:tc>
      </w:tr>
      <w:tr w14:paraId="734138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C04A819">
            <w:pPr>
              <w:pStyle w:val="23"/>
              <w:keepNext/>
              <w:keepLines/>
            </w:pPr>
            <w:r>
              <w:rPr>
                <w:rFonts w:hint="eastAsia"/>
              </w:rPr>
              <w:t>乐山市</w:t>
            </w:r>
          </w:p>
        </w:tc>
        <w:tc>
          <w:tcPr>
            <w:tcW w:w="1814" w:type="dxa"/>
            <w:tcBorders>
              <w:tl2br w:val="nil"/>
              <w:tr2bl w:val="nil"/>
            </w:tcBorders>
            <w:shd w:val="clear" w:color="auto" w:fill="FFFFFF"/>
            <w:noWrap/>
            <w:vAlign w:val="center"/>
          </w:tcPr>
          <w:p w14:paraId="44AB4C78">
            <w:pPr>
              <w:pStyle w:val="23"/>
              <w:keepNext/>
              <w:keepLines/>
            </w:pPr>
            <w:r>
              <w:rPr>
                <w:rFonts w:hint="eastAsia"/>
              </w:rPr>
              <w:t xml:space="preserve">1049 </w:t>
            </w:r>
          </w:p>
        </w:tc>
        <w:tc>
          <w:tcPr>
            <w:tcW w:w="1814" w:type="dxa"/>
            <w:tcBorders>
              <w:tl2br w:val="nil"/>
              <w:tr2bl w:val="nil"/>
            </w:tcBorders>
            <w:shd w:val="clear" w:color="auto" w:fill="FFFFFF"/>
            <w:noWrap/>
            <w:vAlign w:val="center"/>
          </w:tcPr>
          <w:p w14:paraId="0DEF3470">
            <w:pPr>
              <w:pStyle w:val="23"/>
              <w:keepNext/>
              <w:keepLines/>
            </w:pPr>
            <w:r>
              <w:rPr>
                <w:rFonts w:hint="eastAsia"/>
              </w:rPr>
              <w:t xml:space="preserve">53 </w:t>
            </w:r>
          </w:p>
        </w:tc>
        <w:tc>
          <w:tcPr>
            <w:tcW w:w="1814" w:type="dxa"/>
            <w:tcBorders>
              <w:tl2br w:val="nil"/>
              <w:tr2bl w:val="nil"/>
            </w:tcBorders>
            <w:shd w:val="clear" w:color="auto" w:fill="FFFFFF"/>
            <w:noWrap/>
            <w:vAlign w:val="center"/>
          </w:tcPr>
          <w:p w14:paraId="33A983B8">
            <w:pPr>
              <w:pStyle w:val="23"/>
              <w:keepNext/>
              <w:keepLines/>
            </w:pPr>
            <w:r>
              <w:rPr>
                <w:rFonts w:hint="eastAsia"/>
              </w:rPr>
              <w:t xml:space="preserve">1102 </w:t>
            </w:r>
          </w:p>
        </w:tc>
      </w:tr>
      <w:tr w14:paraId="1FD193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79F4C4C7">
            <w:pPr>
              <w:pStyle w:val="23"/>
              <w:keepNext/>
              <w:keepLines/>
            </w:pPr>
            <w:r>
              <w:rPr>
                <w:rFonts w:hint="eastAsia"/>
              </w:rPr>
              <w:t>遂宁市</w:t>
            </w:r>
          </w:p>
        </w:tc>
        <w:tc>
          <w:tcPr>
            <w:tcW w:w="1814" w:type="dxa"/>
            <w:tcBorders>
              <w:tl2br w:val="nil"/>
              <w:tr2bl w:val="nil"/>
            </w:tcBorders>
            <w:shd w:val="clear" w:color="auto" w:fill="FFFFFF"/>
            <w:noWrap/>
            <w:vAlign w:val="center"/>
          </w:tcPr>
          <w:p w14:paraId="092A5D0F">
            <w:pPr>
              <w:pStyle w:val="23"/>
              <w:keepNext/>
              <w:keepLines/>
            </w:pPr>
            <w:r>
              <w:rPr>
                <w:rFonts w:hint="eastAsia"/>
              </w:rPr>
              <w:t xml:space="preserve">946 </w:t>
            </w:r>
          </w:p>
        </w:tc>
        <w:tc>
          <w:tcPr>
            <w:tcW w:w="1814" w:type="dxa"/>
            <w:tcBorders>
              <w:tl2br w:val="nil"/>
              <w:tr2bl w:val="nil"/>
            </w:tcBorders>
            <w:shd w:val="clear" w:color="auto" w:fill="FFFFFF"/>
            <w:noWrap/>
            <w:vAlign w:val="center"/>
          </w:tcPr>
          <w:p w14:paraId="07167144">
            <w:pPr>
              <w:pStyle w:val="23"/>
              <w:keepNext/>
              <w:keepLines/>
            </w:pPr>
            <w:r>
              <w:rPr>
                <w:rFonts w:hint="eastAsia"/>
              </w:rPr>
              <w:t xml:space="preserve">44 </w:t>
            </w:r>
          </w:p>
        </w:tc>
        <w:tc>
          <w:tcPr>
            <w:tcW w:w="1814" w:type="dxa"/>
            <w:tcBorders>
              <w:tl2br w:val="nil"/>
              <w:tr2bl w:val="nil"/>
            </w:tcBorders>
            <w:shd w:val="clear" w:color="auto" w:fill="FFFFFF"/>
            <w:noWrap/>
            <w:vAlign w:val="center"/>
          </w:tcPr>
          <w:p w14:paraId="5A48E90F">
            <w:pPr>
              <w:pStyle w:val="23"/>
              <w:keepNext/>
              <w:keepLines/>
            </w:pPr>
            <w:r>
              <w:rPr>
                <w:rFonts w:hint="eastAsia"/>
              </w:rPr>
              <w:t xml:space="preserve">990 </w:t>
            </w:r>
          </w:p>
        </w:tc>
      </w:tr>
      <w:tr w14:paraId="68A589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1A55EF23">
            <w:pPr>
              <w:pStyle w:val="23"/>
              <w:keepNext/>
              <w:keepLines/>
            </w:pPr>
            <w:r>
              <w:rPr>
                <w:rFonts w:hint="eastAsia"/>
              </w:rPr>
              <w:t>德阳市</w:t>
            </w:r>
          </w:p>
        </w:tc>
        <w:tc>
          <w:tcPr>
            <w:tcW w:w="1814" w:type="dxa"/>
            <w:tcBorders>
              <w:tl2br w:val="nil"/>
              <w:tr2bl w:val="nil"/>
            </w:tcBorders>
            <w:shd w:val="clear" w:color="auto" w:fill="FFFFFF"/>
            <w:noWrap/>
            <w:vAlign w:val="center"/>
          </w:tcPr>
          <w:p w14:paraId="01F06C22">
            <w:pPr>
              <w:pStyle w:val="23"/>
              <w:keepNext/>
              <w:keepLines/>
            </w:pPr>
            <w:r>
              <w:rPr>
                <w:rFonts w:hint="eastAsia"/>
              </w:rPr>
              <w:t xml:space="preserve">910 </w:t>
            </w:r>
          </w:p>
        </w:tc>
        <w:tc>
          <w:tcPr>
            <w:tcW w:w="1814" w:type="dxa"/>
            <w:tcBorders>
              <w:tl2br w:val="nil"/>
              <w:tr2bl w:val="nil"/>
            </w:tcBorders>
            <w:shd w:val="clear" w:color="auto" w:fill="FFFFFF"/>
            <w:noWrap/>
            <w:vAlign w:val="center"/>
          </w:tcPr>
          <w:p w14:paraId="3C75DAC1">
            <w:pPr>
              <w:pStyle w:val="23"/>
              <w:keepNext/>
              <w:keepLines/>
            </w:pPr>
            <w:r>
              <w:rPr>
                <w:rFonts w:hint="eastAsia"/>
              </w:rPr>
              <w:t xml:space="preserve">44 </w:t>
            </w:r>
          </w:p>
        </w:tc>
        <w:tc>
          <w:tcPr>
            <w:tcW w:w="1814" w:type="dxa"/>
            <w:tcBorders>
              <w:tl2br w:val="nil"/>
              <w:tr2bl w:val="nil"/>
            </w:tcBorders>
            <w:shd w:val="clear" w:color="auto" w:fill="FFFFFF"/>
            <w:noWrap/>
            <w:vAlign w:val="center"/>
          </w:tcPr>
          <w:p w14:paraId="7BCF4DF9">
            <w:pPr>
              <w:pStyle w:val="23"/>
              <w:keepNext/>
              <w:keepLines/>
            </w:pPr>
            <w:r>
              <w:rPr>
                <w:rFonts w:hint="eastAsia"/>
              </w:rPr>
              <w:t xml:space="preserve">954 </w:t>
            </w:r>
          </w:p>
        </w:tc>
      </w:tr>
      <w:tr w14:paraId="593A60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1E051EFD">
            <w:pPr>
              <w:pStyle w:val="23"/>
              <w:keepNext/>
              <w:keepLines/>
            </w:pPr>
            <w:r>
              <w:rPr>
                <w:rFonts w:hint="eastAsia"/>
              </w:rPr>
              <w:t>绵阳市</w:t>
            </w:r>
          </w:p>
        </w:tc>
        <w:tc>
          <w:tcPr>
            <w:tcW w:w="1814" w:type="dxa"/>
            <w:tcBorders>
              <w:tl2br w:val="nil"/>
              <w:tr2bl w:val="nil"/>
            </w:tcBorders>
            <w:shd w:val="clear" w:color="auto" w:fill="FFFFFF"/>
            <w:noWrap/>
            <w:vAlign w:val="center"/>
          </w:tcPr>
          <w:p w14:paraId="7EEE59F0">
            <w:pPr>
              <w:pStyle w:val="23"/>
              <w:keepNext/>
              <w:keepLines/>
            </w:pPr>
            <w:r>
              <w:rPr>
                <w:rFonts w:hint="eastAsia"/>
              </w:rPr>
              <w:t xml:space="preserve">893 </w:t>
            </w:r>
          </w:p>
        </w:tc>
        <w:tc>
          <w:tcPr>
            <w:tcW w:w="1814" w:type="dxa"/>
            <w:tcBorders>
              <w:tl2br w:val="nil"/>
              <w:tr2bl w:val="nil"/>
            </w:tcBorders>
            <w:shd w:val="clear" w:color="auto" w:fill="FFFFFF"/>
            <w:noWrap/>
            <w:vAlign w:val="center"/>
          </w:tcPr>
          <w:p w14:paraId="2A374D3D">
            <w:pPr>
              <w:pStyle w:val="23"/>
              <w:keepNext/>
              <w:keepLines/>
            </w:pPr>
            <w:r>
              <w:rPr>
                <w:rFonts w:hint="eastAsia"/>
              </w:rPr>
              <w:t xml:space="preserve">40 </w:t>
            </w:r>
          </w:p>
        </w:tc>
        <w:tc>
          <w:tcPr>
            <w:tcW w:w="1814" w:type="dxa"/>
            <w:tcBorders>
              <w:tl2br w:val="nil"/>
              <w:tr2bl w:val="nil"/>
            </w:tcBorders>
            <w:shd w:val="clear" w:color="auto" w:fill="FFFFFF"/>
            <w:noWrap/>
            <w:vAlign w:val="center"/>
          </w:tcPr>
          <w:p w14:paraId="0A6FD40F">
            <w:pPr>
              <w:pStyle w:val="23"/>
              <w:keepNext/>
              <w:keepLines/>
            </w:pPr>
            <w:r>
              <w:rPr>
                <w:rFonts w:hint="eastAsia"/>
              </w:rPr>
              <w:t xml:space="preserve">933 </w:t>
            </w:r>
          </w:p>
        </w:tc>
      </w:tr>
      <w:tr w14:paraId="2616B6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728FF314">
            <w:pPr>
              <w:pStyle w:val="23"/>
              <w:keepNext/>
              <w:keepLines/>
            </w:pPr>
            <w:r>
              <w:rPr>
                <w:rFonts w:hint="eastAsia"/>
              </w:rPr>
              <w:t>南充市</w:t>
            </w:r>
          </w:p>
        </w:tc>
        <w:tc>
          <w:tcPr>
            <w:tcW w:w="1814" w:type="dxa"/>
            <w:tcBorders>
              <w:tl2br w:val="nil"/>
              <w:tr2bl w:val="nil"/>
            </w:tcBorders>
            <w:shd w:val="clear" w:color="auto" w:fill="FFFFFF"/>
            <w:noWrap/>
            <w:vAlign w:val="center"/>
          </w:tcPr>
          <w:p w14:paraId="5603DBC3">
            <w:pPr>
              <w:pStyle w:val="23"/>
              <w:keepNext/>
              <w:keepLines/>
            </w:pPr>
            <w:r>
              <w:rPr>
                <w:rFonts w:hint="eastAsia"/>
              </w:rPr>
              <w:t xml:space="preserve">802 </w:t>
            </w:r>
          </w:p>
        </w:tc>
        <w:tc>
          <w:tcPr>
            <w:tcW w:w="1814" w:type="dxa"/>
            <w:tcBorders>
              <w:tl2br w:val="nil"/>
              <w:tr2bl w:val="nil"/>
            </w:tcBorders>
            <w:shd w:val="clear" w:color="auto" w:fill="FFFFFF"/>
            <w:noWrap/>
            <w:vAlign w:val="center"/>
          </w:tcPr>
          <w:p w14:paraId="609F35BC">
            <w:pPr>
              <w:pStyle w:val="23"/>
              <w:keepNext/>
              <w:keepLines/>
            </w:pPr>
            <w:r>
              <w:rPr>
                <w:rFonts w:hint="eastAsia"/>
              </w:rPr>
              <w:t xml:space="preserve">39 </w:t>
            </w:r>
          </w:p>
        </w:tc>
        <w:tc>
          <w:tcPr>
            <w:tcW w:w="1814" w:type="dxa"/>
            <w:tcBorders>
              <w:tl2br w:val="nil"/>
              <w:tr2bl w:val="nil"/>
            </w:tcBorders>
            <w:shd w:val="clear" w:color="auto" w:fill="FFFFFF"/>
            <w:noWrap/>
            <w:vAlign w:val="center"/>
          </w:tcPr>
          <w:p w14:paraId="682489FF">
            <w:pPr>
              <w:pStyle w:val="23"/>
              <w:keepNext/>
              <w:keepLines/>
            </w:pPr>
            <w:r>
              <w:rPr>
                <w:rFonts w:hint="eastAsia"/>
              </w:rPr>
              <w:t xml:space="preserve">841 </w:t>
            </w:r>
          </w:p>
        </w:tc>
      </w:tr>
      <w:tr w14:paraId="747FF2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5DF0A84A">
            <w:pPr>
              <w:pStyle w:val="23"/>
              <w:keepNext/>
              <w:keepLines/>
            </w:pPr>
            <w:r>
              <w:rPr>
                <w:rFonts w:hint="eastAsia"/>
              </w:rPr>
              <w:t>资阳市</w:t>
            </w:r>
          </w:p>
        </w:tc>
        <w:tc>
          <w:tcPr>
            <w:tcW w:w="1814" w:type="dxa"/>
            <w:tcBorders>
              <w:tl2br w:val="nil"/>
              <w:tr2bl w:val="nil"/>
            </w:tcBorders>
            <w:shd w:val="clear" w:color="auto" w:fill="FFFFFF"/>
            <w:noWrap/>
            <w:vAlign w:val="center"/>
          </w:tcPr>
          <w:p w14:paraId="3E8F6617">
            <w:pPr>
              <w:pStyle w:val="23"/>
              <w:keepNext/>
              <w:keepLines/>
            </w:pPr>
            <w:r>
              <w:rPr>
                <w:rFonts w:hint="eastAsia"/>
              </w:rPr>
              <w:t xml:space="preserve">697 </w:t>
            </w:r>
          </w:p>
        </w:tc>
        <w:tc>
          <w:tcPr>
            <w:tcW w:w="1814" w:type="dxa"/>
            <w:tcBorders>
              <w:tl2br w:val="nil"/>
              <w:tr2bl w:val="nil"/>
            </w:tcBorders>
            <w:shd w:val="clear" w:color="auto" w:fill="FFFFFF"/>
            <w:noWrap/>
            <w:vAlign w:val="center"/>
          </w:tcPr>
          <w:p w14:paraId="6F2B60FE">
            <w:pPr>
              <w:pStyle w:val="23"/>
              <w:keepNext/>
              <w:keepLines/>
            </w:pPr>
            <w:r>
              <w:rPr>
                <w:rFonts w:hint="eastAsia"/>
              </w:rPr>
              <w:t xml:space="preserve">29 </w:t>
            </w:r>
          </w:p>
        </w:tc>
        <w:tc>
          <w:tcPr>
            <w:tcW w:w="1814" w:type="dxa"/>
            <w:tcBorders>
              <w:tl2br w:val="nil"/>
              <w:tr2bl w:val="nil"/>
            </w:tcBorders>
            <w:shd w:val="clear" w:color="auto" w:fill="FFFFFF"/>
            <w:noWrap/>
            <w:vAlign w:val="center"/>
          </w:tcPr>
          <w:p w14:paraId="6D3F1150">
            <w:pPr>
              <w:pStyle w:val="23"/>
              <w:keepNext/>
              <w:keepLines/>
            </w:pPr>
            <w:r>
              <w:rPr>
                <w:rFonts w:hint="eastAsia"/>
              </w:rPr>
              <w:t xml:space="preserve">726 </w:t>
            </w:r>
          </w:p>
        </w:tc>
      </w:tr>
      <w:tr w14:paraId="459B63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C880A0E">
            <w:pPr>
              <w:pStyle w:val="23"/>
              <w:keepNext/>
              <w:keepLines/>
            </w:pPr>
            <w:r>
              <w:rPr>
                <w:rFonts w:hint="eastAsia"/>
              </w:rPr>
              <w:t>眉山市</w:t>
            </w:r>
          </w:p>
        </w:tc>
        <w:tc>
          <w:tcPr>
            <w:tcW w:w="1814" w:type="dxa"/>
            <w:tcBorders>
              <w:tl2br w:val="nil"/>
              <w:tr2bl w:val="nil"/>
            </w:tcBorders>
            <w:shd w:val="clear" w:color="auto" w:fill="FFFFFF"/>
            <w:noWrap/>
            <w:vAlign w:val="center"/>
          </w:tcPr>
          <w:p w14:paraId="2D272858">
            <w:pPr>
              <w:pStyle w:val="23"/>
              <w:keepNext/>
              <w:keepLines/>
            </w:pPr>
            <w:r>
              <w:rPr>
                <w:rFonts w:hint="eastAsia"/>
              </w:rPr>
              <w:t xml:space="preserve">599 </w:t>
            </w:r>
          </w:p>
        </w:tc>
        <w:tc>
          <w:tcPr>
            <w:tcW w:w="1814" w:type="dxa"/>
            <w:tcBorders>
              <w:tl2br w:val="nil"/>
              <w:tr2bl w:val="nil"/>
            </w:tcBorders>
            <w:shd w:val="clear" w:color="auto" w:fill="FFFFFF"/>
            <w:noWrap/>
            <w:vAlign w:val="center"/>
          </w:tcPr>
          <w:p w14:paraId="4C6463A4">
            <w:pPr>
              <w:pStyle w:val="23"/>
              <w:keepNext/>
              <w:keepLines/>
            </w:pPr>
            <w:r>
              <w:rPr>
                <w:rFonts w:hint="eastAsia"/>
              </w:rPr>
              <w:t xml:space="preserve">41 </w:t>
            </w:r>
          </w:p>
        </w:tc>
        <w:tc>
          <w:tcPr>
            <w:tcW w:w="1814" w:type="dxa"/>
            <w:tcBorders>
              <w:tl2br w:val="nil"/>
              <w:tr2bl w:val="nil"/>
            </w:tcBorders>
            <w:shd w:val="clear" w:color="auto" w:fill="FFFFFF"/>
            <w:noWrap/>
            <w:vAlign w:val="center"/>
          </w:tcPr>
          <w:p w14:paraId="2E5E9056">
            <w:pPr>
              <w:pStyle w:val="23"/>
              <w:keepNext/>
              <w:keepLines/>
            </w:pPr>
            <w:r>
              <w:rPr>
                <w:rFonts w:hint="eastAsia"/>
              </w:rPr>
              <w:t xml:space="preserve">640 </w:t>
            </w:r>
          </w:p>
        </w:tc>
      </w:tr>
      <w:tr w14:paraId="4205EB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11679D46">
            <w:pPr>
              <w:pStyle w:val="23"/>
              <w:keepNext/>
              <w:keepLines/>
            </w:pPr>
            <w:r>
              <w:rPr>
                <w:rFonts w:hint="eastAsia"/>
              </w:rPr>
              <w:t>内江市</w:t>
            </w:r>
          </w:p>
        </w:tc>
        <w:tc>
          <w:tcPr>
            <w:tcW w:w="1814" w:type="dxa"/>
            <w:tcBorders>
              <w:tl2br w:val="nil"/>
              <w:tr2bl w:val="nil"/>
            </w:tcBorders>
            <w:shd w:val="clear" w:color="auto" w:fill="FFFFFF"/>
            <w:noWrap/>
            <w:vAlign w:val="center"/>
          </w:tcPr>
          <w:p w14:paraId="655DB541">
            <w:pPr>
              <w:pStyle w:val="23"/>
              <w:keepNext/>
              <w:keepLines/>
            </w:pPr>
            <w:r>
              <w:rPr>
                <w:rFonts w:hint="eastAsia"/>
              </w:rPr>
              <w:t xml:space="preserve">473 </w:t>
            </w:r>
          </w:p>
        </w:tc>
        <w:tc>
          <w:tcPr>
            <w:tcW w:w="1814" w:type="dxa"/>
            <w:tcBorders>
              <w:tl2br w:val="nil"/>
              <w:tr2bl w:val="nil"/>
            </w:tcBorders>
            <w:shd w:val="clear" w:color="auto" w:fill="FFFFFF"/>
            <w:noWrap/>
            <w:vAlign w:val="center"/>
          </w:tcPr>
          <w:p w14:paraId="479F3EA7">
            <w:pPr>
              <w:pStyle w:val="23"/>
              <w:keepNext/>
              <w:keepLines/>
            </w:pPr>
            <w:r>
              <w:rPr>
                <w:rFonts w:hint="eastAsia"/>
              </w:rPr>
              <w:t xml:space="preserve">25 </w:t>
            </w:r>
          </w:p>
        </w:tc>
        <w:tc>
          <w:tcPr>
            <w:tcW w:w="1814" w:type="dxa"/>
            <w:tcBorders>
              <w:tl2br w:val="nil"/>
              <w:tr2bl w:val="nil"/>
            </w:tcBorders>
            <w:shd w:val="clear" w:color="auto" w:fill="FFFFFF"/>
            <w:noWrap/>
            <w:vAlign w:val="center"/>
          </w:tcPr>
          <w:p w14:paraId="0A7CD847">
            <w:pPr>
              <w:pStyle w:val="23"/>
              <w:keepNext/>
              <w:keepLines/>
            </w:pPr>
            <w:r>
              <w:rPr>
                <w:rFonts w:hint="eastAsia"/>
              </w:rPr>
              <w:t xml:space="preserve">498 </w:t>
            </w:r>
          </w:p>
        </w:tc>
      </w:tr>
      <w:tr w14:paraId="476B9A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71E62F3B">
            <w:pPr>
              <w:pStyle w:val="23"/>
              <w:keepNext/>
              <w:keepLines/>
            </w:pPr>
            <w:r>
              <w:rPr>
                <w:rFonts w:hint="eastAsia"/>
              </w:rPr>
              <w:t>宜宾市</w:t>
            </w:r>
          </w:p>
        </w:tc>
        <w:tc>
          <w:tcPr>
            <w:tcW w:w="1814" w:type="dxa"/>
            <w:tcBorders>
              <w:tl2br w:val="nil"/>
              <w:tr2bl w:val="nil"/>
            </w:tcBorders>
            <w:shd w:val="clear" w:color="auto" w:fill="FFFFFF"/>
            <w:noWrap/>
            <w:vAlign w:val="center"/>
          </w:tcPr>
          <w:p w14:paraId="35B4F70D">
            <w:pPr>
              <w:pStyle w:val="23"/>
              <w:keepNext/>
              <w:keepLines/>
            </w:pPr>
            <w:r>
              <w:rPr>
                <w:rFonts w:hint="eastAsia"/>
              </w:rPr>
              <w:t xml:space="preserve">439 </w:t>
            </w:r>
          </w:p>
        </w:tc>
        <w:tc>
          <w:tcPr>
            <w:tcW w:w="1814" w:type="dxa"/>
            <w:tcBorders>
              <w:tl2br w:val="nil"/>
              <w:tr2bl w:val="nil"/>
            </w:tcBorders>
            <w:shd w:val="clear" w:color="auto" w:fill="FFFFFF"/>
            <w:noWrap/>
            <w:vAlign w:val="center"/>
          </w:tcPr>
          <w:p w14:paraId="46234798">
            <w:pPr>
              <w:pStyle w:val="23"/>
              <w:keepNext/>
              <w:keepLines/>
            </w:pPr>
            <w:r>
              <w:rPr>
                <w:rFonts w:hint="eastAsia"/>
              </w:rPr>
              <w:t xml:space="preserve">29 </w:t>
            </w:r>
          </w:p>
        </w:tc>
        <w:tc>
          <w:tcPr>
            <w:tcW w:w="1814" w:type="dxa"/>
            <w:tcBorders>
              <w:tl2br w:val="nil"/>
              <w:tr2bl w:val="nil"/>
            </w:tcBorders>
            <w:shd w:val="clear" w:color="auto" w:fill="FFFFFF"/>
            <w:noWrap/>
            <w:vAlign w:val="center"/>
          </w:tcPr>
          <w:p w14:paraId="4C1E7009">
            <w:pPr>
              <w:pStyle w:val="23"/>
              <w:keepNext/>
              <w:keepLines/>
            </w:pPr>
            <w:r>
              <w:rPr>
                <w:rFonts w:hint="eastAsia"/>
              </w:rPr>
              <w:t xml:space="preserve">467 </w:t>
            </w:r>
          </w:p>
        </w:tc>
      </w:tr>
      <w:tr w14:paraId="2368D7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161DAAD4">
            <w:pPr>
              <w:pStyle w:val="23"/>
              <w:keepNext/>
              <w:keepLines/>
            </w:pPr>
            <w:r>
              <w:rPr>
                <w:rFonts w:hint="eastAsia"/>
              </w:rPr>
              <w:t>泸州市</w:t>
            </w:r>
          </w:p>
        </w:tc>
        <w:tc>
          <w:tcPr>
            <w:tcW w:w="1814" w:type="dxa"/>
            <w:tcBorders>
              <w:tl2br w:val="nil"/>
              <w:tr2bl w:val="nil"/>
            </w:tcBorders>
            <w:shd w:val="clear" w:color="auto" w:fill="FFFFFF"/>
            <w:noWrap/>
            <w:vAlign w:val="center"/>
          </w:tcPr>
          <w:p w14:paraId="68D624D8">
            <w:pPr>
              <w:pStyle w:val="23"/>
              <w:keepNext/>
              <w:keepLines/>
            </w:pPr>
            <w:r>
              <w:rPr>
                <w:rFonts w:hint="eastAsia"/>
              </w:rPr>
              <w:t xml:space="preserve">361 </w:t>
            </w:r>
          </w:p>
        </w:tc>
        <w:tc>
          <w:tcPr>
            <w:tcW w:w="1814" w:type="dxa"/>
            <w:tcBorders>
              <w:tl2br w:val="nil"/>
              <w:tr2bl w:val="nil"/>
            </w:tcBorders>
            <w:shd w:val="clear" w:color="auto" w:fill="FFFFFF"/>
            <w:noWrap/>
            <w:vAlign w:val="center"/>
          </w:tcPr>
          <w:p w14:paraId="44F715EB">
            <w:pPr>
              <w:pStyle w:val="23"/>
              <w:keepNext/>
              <w:keepLines/>
            </w:pPr>
            <w:r>
              <w:rPr>
                <w:rFonts w:hint="eastAsia"/>
              </w:rPr>
              <w:t xml:space="preserve">24 </w:t>
            </w:r>
          </w:p>
        </w:tc>
        <w:tc>
          <w:tcPr>
            <w:tcW w:w="1814" w:type="dxa"/>
            <w:tcBorders>
              <w:tl2br w:val="nil"/>
              <w:tr2bl w:val="nil"/>
            </w:tcBorders>
            <w:shd w:val="clear" w:color="auto" w:fill="FFFFFF"/>
            <w:noWrap/>
            <w:vAlign w:val="center"/>
          </w:tcPr>
          <w:p w14:paraId="526C46CA">
            <w:pPr>
              <w:pStyle w:val="23"/>
              <w:keepNext/>
              <w:keepLines/>
            </w:pPr>
            <w:r>
              <w:rPr>
                <w:rFonts w:hint="eastAsia"/>
              </w:rPr>
              <w:t xml:space="preserve">385 </w:t>
            </w:r>
          </w:p>
        </w:tc>
      </w:tr>
      <w:tr w14:paraId="5186B9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FD16119">
            <w:pPr>
              <w:pStyle w:val="23"/>
              <w:keepNext/>
              <w:keepLines/>
            </w:pPr>
            <w:r>
              <w:rPr>
                <w:rFonts w:hint="eastAsia"/>
              </w:rPr>
              <w:t>自贡市</w:t>
            </w:r>
          </w:p>
        </w:tc>
        <w:tc>
          <w:tcPr>
            <w:tcW w:w="1814" w:type="dxa"/>
            <w:tcBorders>
              <w:tl2br w:val="nil"/>
              <w:tr2bl w:val="nil"/>
            </w:tcBorders>
            <w:shd w:val="clear" w:color="auto" w:fill="FFFFFF"/>
            <w:noWrap/>
            <w:vAlign w:val="center"/>
          </w:tcPr>
          <w:p w14:paraId="1A8D6EC8">
            <w:pPr>
              <w:pStyle w:val="23"/>
              <w:keepNext/>
              <w:keepLines/>
            </w:pPr>
            <w:r>
              <w:rPr>
                <w:rFonts w:hint="eastAsia"/>
              </w:rPr>
              <w:t xml:space="preserve">310 </w:t>
            </w:r>
          </w:p>
        </w:tc>
        <w:tc>
          <w:tcPr>
            <w:tcW w:w="1814" w:type="dxa"/>
            <w:tcBorders>
              <w:tl2br w:val="nil"/>
              <w:tr2bl w:val="nil"/>
            </w:tcBorders>
            <w:shd w:val="clear" w:color="auto" w:fill="FFFFFF"/>
            <w:noWrap/>
            <w:vAlign w:val="center"/>
          </w:tcPr>
          <w:p w14:paraId="44EE829B">
            <w:pPr>
              <w:pStyle w:val="23"/>
              <w:keepNext/>
              <w:keepLines/>
            </w:pPr>
            <w:r>
              <w:rPr>
                <w:rFonts w:hint="eastAsia"/>
              </w:rPr>
              <w:t xml:space="preserve">25 </w:t>
            </w:r>
          </w:p>
        </w:tc>
        <w:tc>
          <w:tcPr>
            <w:tcW w:w="1814" w:type="dxa"/>
            <w:tcBorders>
              <w:tl2br w:val="nil"/>
              <w:tr2bl w:val="nil"/>
            </w:tcBorders>
            <w:shd w:val="clear" w:color="auto" w:fill="FFFFFF"/>
            <w:noWrap/>
            <w:vAlign w:val="center"/>
          </w:tcPr>
          <w:p w14:paraId="19941A93">
            <w:pPr>
              <w:pStyle w:val="23"/>
              <w:keepNext/>
              <w:keepLines/>
            </w:pPr>
            <w:r>
              <w:rPr>
                <w:rFonts w:hint="eastAsia"/>
              </w:rPr>
              <w:t xml:space="preserve">335 </w:t>
            </w:r>
          </w:p>
        </w:tc>
      </w:tr>
      <w:tr w14:paraId="4C66E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12D3EA32">
            <w:pPr>
              <w:pStyle w:val="23"/>
              <w:keepNext/>
              <w:keepLines/>
            </w:pPr>
            <w:r>
              <w:rPr>
                <w:rFonts w:hint="eastAsia"/>
              </w:rPr>
              <w:t>广安市</w:t>
            </w:r>
          </w:p>
        </w:tc>
        <w:tc>
          <w:tcPr>
            <w:tcW w:w="1814" w:type="dxa"/>
            <w:tcBorders>
              <w:tl2br w:val="nil"/>
              <w:tr2bl w:val="nil"/>
            </w:tcBorders>
            <w:shd w:val="clear" w:color="auto" w:fill="FFFFFF"/>
            <w:noWrap/>
            <w:vAlign w:val="center"/>
          </w:tcPr>
          <w:p w14:paraId="1560FAC5">
            <w:pPr>
              <w:pStyle w:val="23"/>
              <w:keepNext/>
              <w:keepLines/>
            </w:pPr>
            <w:r>
              <w:rPr>
                <w:rFonts w:hint="eastAsia"/>
              </w:rPr>
              <w:t xml:space="preserve">283 </w:t>
            </w:r>
          </w:p>
        </w:tc>
        <w:tc>
          <w:tcPr>
            <w:tcW w:w="1814" w:type="dxa"/>
            <w:tcBorders>
              <w:tl2br w:val="nil"/>
              <w:tr2bl w:val="nil"/>
            </w:tcBorders>
            <w:shd w:val="clear" w:color="auto" w:fill="FFFFFF"/>
            <w:noWrap/>
            <w:vAlign w:val="center"/>
          </w:tcPr>
          <w:p w14:paraId="3CD538D5">
            <w:pPr>
              <w:pStyle w:val="23"/>
              <w:keepNext/>
              <w:keepLines/>
            </w:pPr>
            <w:r>
              <w:rPr>
                <w:rFonts w:hint="eastAsia"/>
              </w:rPr>
              <w:t xml:space="preserve">27 </w:t>
            </w:r>
          </w:p>
        </w:tc>
        <w:tc>
          <w:tcPr>
            <w:tcW w:w="1814" w:type="dxa"/>
            <w:tcBorders>
              <w:tl2br w:val="nil"/>
              <w:tr2bl w:val="nil"/>
            </w:tcBorders>
            <w:shd w:val="clear" w:color="auto" w:fill="FFFFFF"/>
            <w:noWrap/>
            <w:vAlign w:val="center"/>
          </w:tcPr>
          <w:p w14:paraId="7C3408E9">
            <w:pPr>
              <w:pStyle w:val="23"/>
              <w:keepNext/>
              <w:keepLines/>
            </w:pPr>
            <w:r>
              <w:rPr>
                <w:rFonts w:hint="eastAsia"/>
              </w:rPr>
              <w:t xml:space="preserve">310 </w:t>
            </w:r>
          </w:p>
        </w:tc>
      </w:tr>
      <w:tr w14:paraId="0BB97E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7AE8A299">
            <w:pPr>
              <w:pStyle w:val="23"/>
              <w:keepNext/>
              <w:keepLines/>
            </w:pPr>
            <w:r>
              <w:rPr>
                <w:rFonts w:hint="eastAsia"/>
              </w:rPr>
              <w:t>雅安市</w:t>
            </w:r>
          </w:p>
        </w:tc>
        <w:tc>
          <w:tcPr>
            <w:tcW w:w="1814" w:type="dxa"/>
            <w:tcBorders>
              <w:tl2br w:val="nil"/>
              <w:tr2bl w:val="nil"/>
            </w:tcBorders>
            <w:shd w:val="clear" w:color="auto" w:fill="FFFFFF"/>
            <w:noWrap/>
            <w:vAlign w:val="center"/>
          </w:tcPr>
          <w:p w14:paraId="168F8CB2">
            <w:pPr>
              <w:pStyle w:val="23"/>
              <w:keepNext/>
              <w:keepLines/>
            </w:pPr>
            <w:r>
              <w:rPr>
                <w:rFonts w:hint="eastAsia"/>
              </w:rPr>
              <w:t xml:space="preserve">265 </w:t>
            </w:r>
          </w:p>
        </w:tc>
        <w:tc>
          <w:tcPr>
            <w:tcW w:w="1814" w:type="dxa"/>
            <w:tcBorders>
              <w:tl2br w:val="nil"/>
              <w:tr2bl w:val="nil"/>
            </w:tcBorders>
            <w:shd w:val="clear" w:color="auto" w:fill="FFFFFF"/>
            <w:noWrap/>
            <w:vAlign w:val="center"/>
          </w:tcPr>
          <w:p w14:paraId="398CA938">
            <w:pPr>
              <w:pStyle w:val="23"/>
              <w:keepNext/>
              <w:keepLines/>
            </w:pPr>
            <w:r>
              <w:rPr>
                <w:rFonts w:hint="eastAsia"/>
              </w:rPr>
              <w:t xml:space="preserve">19 </w:t>
            </w:r>
          </w:p>
        </w:tc>
        <w:tc>
          <w:tcPr>
            <w:tcW w:w="1814" w:type="dxa"/>
            <w:tcBorders>
              <w:tl2br w:val="nil"/>
              <w:tr2bl w:val="nil"/>
            </w:tcBorders>
            <w:shd w:val="clear" w:color="auto" w:fill="FFFFFF"/>
            <w:noWrap/>
            <w:vAlign w:val="center"/>
          </w:tcPr>
          <w:p w14:paraId="752B0D78">
            <w:pPr>
              <w:pStyle w:val="23"/>
              <w:keepNext/>
              <w:keepLines/>
            </w:pPr>
            <w:r>
              <w:rPr>
                <w:rFonts w:hint="eastAsia"/>
              </w:rPr>
              <w:t xml:space="preserve">284 </w:t>
            </w:r>
          </w:p>
        </w:tc>
      </w:tr>
      <w:tr w14:paraId="07B35D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55C92FF">
            <w:pPr>
              <w:pStyle w:val="23"/>
              <w:keepNext/>
              <w:keepLines/>
            </w:pPr>
            <w:r>
              <w:rPr>
                <w:rFonts w:hint="eastAsia"/>
              </w:rPr>
              <w:t>达州市</w:t>
            </w:r>
          </w:p>
        </w:tc>
        <w:tc>
          <w:tcPr>
            <w:tcW w:w="1814" w:type="dxa"/>
            <w:tcBorders>
              <w:tl2br w:val="nil"/>
              <w:tr2bl w:val="nil"/>
            </w:tcBorders>
            <w:shd w:val="clear" w:color="auto" w:fill="FFFFFF"/>
            <w:noWrap/>
            <w:vAlign w:val="center"/>
          </w:tcPr>
          <w:p w14:paraId="41D27F9A">
            <w:pPr>
              <w:pStyle w:val="23"/>
              <w:keepNext/>
              <w:keepLines/>
            </w:pPr>
            <w:r>
              <w:rPr>
                <w:rFonts w:hint="eastAsia"/>
              </w:rPr>
              <w:t xml:space="preserve">223 </w:t>
            </w:r>
          </w:p>
        </w:tc>
        <w:tc>
          <w:tcPr>
            <w:tcW w:w="1814" w:type="dxa"/>
            <w:tcBorders>
              <w:tl2br w:val="nil"/>
              <w:tr2bl w:val="nil"/>
            </w:tcBorders>
            <w:shd w:val="clear" w:color="auto" w:fill="FFFFFF"/>
            <w:noWrap/>
            <w:vAlign w:val="center"/>
          </w:tcPr>
          <w:p w14:paraId="6DC1485A">
            <w:pPr>
              <w:pStyle w:val="23"/>
              <w:keepNext/>
              <w:keepLines/>
            </w:pPr>
            <w:r>
              <w:rPr>
                <w:rFonts w:hint="eastAsia"/>
              </w:rPr>
              <w:t xml:space="preserve">11 </w:t>
            </w:r>
          </w:p>
        </w:tc>
        <w:tc>
          <w:tcPr>
            <w:tcW w:w="1814" w:type="dxa"/>
            <w:tcBorders>
              <w:tl2br w:val="nil"/>
              <w:tr2bl w:val="nil"/>
            </w:tcBorders>
            <w:shd w:val="clear" w:color="auto" w:fill="FFFFFF"/>
            <w:noWrap/>
            <w:vAlign w:val="center"/>
          </w:tcPr>
          <w:p w14:paraId="142F2B14">
            <w:pPr>
              <w:pStyle w:val="23"/>
              <w:keepNext/>
              <w:keepLines/>
            </w:pPr>
            <w:r>
              <w:rPr>
                <w:rFonts w:hint="eastAsia"/>
              </w:rPr>
              <w:t xml:space="preserve">234 </w:t>
            </w:r>
          </w:p>
        </w:tc>
      </w:tr>
      <w:tr w14:paraId="077D57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6BDC043">
            <w:pPr>
              <w:pStyle w:val="23"/>
              <w:keepNext/>
              <w:keepLines/>
            </w:pPr>
            <w:r>
              <w:rPr>
                <w:rFonts w:hint="eastAsia"/>
              </w:rPr>
              <w:t>凉山州</w:t>
            </w:r>
          </w:p>
        </w:tc>
        <w:tc>
          <w:tcPr>
            <w:tcW w:w="1814" w:type="dxa"/>
            <w:tcBorders>
              <w:tl2br w:val="nil"/>
              <w:tr2bl w:val="nil"/>
            </w:tcBorders>
            <w:shd w:val="clear" w:color="auto" w:fill="FFFFFF"/>
            <w:noWrap/>
            <w:vAlign w:val="center"/>
          </w:tcPr>
          <w:p w14:paraId="40B50068">
            <w:pPr>
              <w:pStyle w:val="23"/>
              <w:keepNext/>
              <w:keepLines/>
            </w:pPr>
            <w:r>
              <w:rPr>
                <w:rFonts w:hint="eastAsia"/>
              </w:rPr>
              <w:t xml:space="preserve">168 </w:t>
            </w:r>
          </w:p>
        </w:tc>
        <w:tc>
          <w:tcPr>
            <w:tcW w:w="1814" w:type="dxa"/>
            <w:tcBorders>
              <w:tl2br w:val="nil"/>
              <w:tr2bl w:val="nil"/>
            </w:tcBorders>
            <w:shd w:val="clear" w:color="auto" w:fill="FFFFFF"/>
            <w:noWrap/>
            <w:vAlign w:val="center"/>
          </w:tcPr>
          <w:p w14:paraId="3DDD2559">
            <w:pPr>
              <w:pStyle w:val="23"/>
              <w:keepNext/>
              <w:keepLines/>
            </w:pPr>
            <w:r>
              <w:rPr>
                <w:rFonts w:hint="eastAsia"/>
              </w:rPr>
              <w:t xml:space="preserve">17 </w:t>
            </w:r>
          </w:p>
        </w:tc>
        <w:tc>
          <w:tcPr>
            <w:tcW w:w="1814" w:type="dxa"/>
            <w:tcBorders>
              <w:tl2br w:val="nil"/>
              <w:tr2bl w:val="nil"/>
            </w:tcBorders>
            <w:shd w:val="clear" w:color="auto" w:fill="FFFFFF"/>
            <w:noWrap/>
            <w:vAlign w:val="center"/>
          </w:tcPr>
          <w:p w14:paraId="6E707348">
            <w:pPr>
              <w:pStyle w:val="23"/>
              <w:keepNext/>
              <w:keepLines/>
            </w:pPr>
            <w:r>
              <w:rPr>
                <w:rFonts w:hint="eastAsia"/>
              </w:rPr>
              <w:t xml:space="preserve">185 </w:t>
            </w:r>
          </w:p>
        </w:tc>
      </w:tr>
      <w:tr w14:paraId="60425A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248F8DEE">
            <w:pPr>
              <w:pStyle w:val="23"/>
              <w:keepNext/>
              <w:keepLines/>
            </w:pPr>
            <w:r>
              <w:rPr>
                <w:rFonts w:hint="eastAsia"/>
              </w:rPr>
              <w:t>巴中市</w:t>
            </w:r>
          </w:p>
        </w:tc>
        <w:tc>
          <w:tcPr>
            <w:tcW w:w="1814" w:type="dxa"/>
            <w:tcBorders>
              <w:tl2br w:val="nil"/>
              <w:tr2bl w:val="nil"/>
            </w:tcBorders>
            <w:shd w:val="clear" w:color="auto" w:fill="FFFFFF"/>
            <w:noWrap/>
            <w:vAlign w:val="center"/>
          </w:tcPr>
          <w:p w14:paraId="104292C6">
            <w:pPr>
              <w:pStyle w:val="23"/>
              <w:keepNext/>
              <w:keepLines/>
            </w:pPr>
            <w:r>
              <w:rPr>
                <w:rFonts w:hint="eastAsia"/>
              </w:rPr>
              <w:t xml:space="preserve">65 </w:t>
            </w:r>
          </w:p>
        </w:tc>
        <w:tc>
          <w:tcPr>
            <w:tcW w:w="1814" w:type="dxa"/>
            <w:tcBorders>
              <w:tl2br w:val="nil"/>
              <w:tr2bl w:val="nil"/>
            </w:tcBorders>
            <w:shd w:val="clear" w:color="auto" w:fill="FFFFFF"/>
            <w:noWrap/>
            <w:vAlign w:val="center"/>
          </w:tcPr>
          <w:p w14:paraId="1765AFE1">
            <w:pPr>
              <w:pStyle w:val="23"/>
              <w:keepNext/>
              <w:keepLines/>
            </w:pPr>
            <w:r>
              <w:rPr>
                <w:rFonts w:hint="eastAsia"/>
              </w:rPr>
              <w:t xml:space="preserve">1 </w:t>
            </w:r>
          </w:p>
        </w:tc>
        <w:tc>
          <w:tcPr>
            <w:tcW w:w="1814" w:type="dxa"/>
            <w:tcBorders>
              <w:tl2br w:val="nil"/>
              <w:tr2bl w:val="nil"/>
            </w:tcBorders>
            <w:shd w:val="clear" w:color="auto" w:fill="FFFFFF"/>
            <w:noWrap/>
            <w:vAlign w:val="center"/>
          </w:tcPr>
          <w:p w14:paraId="39ACAB75">
            <w:pPr>
              <w:pStyle w:val="23"/>
              <w:keepNext/>
              <w:keepLines/>
            </w:pPr>
            <w:r>
              <w:rPr>
                <w:rFonts w:hint="eastAsia"/>
              </w:rPr>
              <w:t xml:space="preserve">66 </w:t>
            </w:r>
          </w:p>
        </w:tc>
      </w:tr>
      <w:tr w14:paraId="56091D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673582B0">
            <w:pPr>
              <w:pStyle w:val="23"/>
              <w:keepNext/>
              <w:keepLines/>
            </w:pPr>
            <w:r>
              <w:rPr>
                <w:rFonts w:hint="eastAsia"/>
              </w:rPr>
              <w:t>广元市</w:t>
            </w:r>
          </w:p>
        </w:tc>
        <w:tc>
          <w:tcPr>
            <w:tcW w:w="1814" w:type="dxa"/>
            <w:tcBorders>
              <w:tl2br w:val="nil"/>
              <w:tr2bl w:val="nil"/>
            </w:tcBorders>
            <w:shd w:val="clear" w:color="auto" w:fill="FFFFFF"/>
            <w:noWrap/>
            <w:vAlign w:val="center"/>
          </w:tcPr>
          <w:p w14:paraId="32FA0FB1">
            <w:pPr>
              <w:pStyle w:val="23"/>
              <w:keepNext/>
              <w:keepLines/>
            </w:pPr>
            <w:r>
              <w:rPr>
                <w:rFonts w:hint="eastAsia"/>
              </w:rPr>
              <w:t xml:space="preserve">62 </w:t>
            </w:r>
          </w:p>
        </w:tc>
        <w:tc>
          <w:tcPr>
            <w:tcW w:w="1814" w:type="dxa"/>
            <w:tcBorders>
              <w:tl2br w:val="nil"/>
              <w:tr2bl w:val="nil"/>
            </w:tcBorders>
            <w:shd w:val="clear" w:color="auto" w:fill="FFFFFF"/>
            <w:noWrap/>
            <w:vAlign w:val="center"/>
          </w:tcPr>
          <w:p w14:paraId="06632648">
            <w:pPr>
              <w:pStyle w:val="23"/>
              <w:keepNext/>
              <w:keepLines/>
            </w:pPr>
            <w:r>
              <w:rPr>
                <w:rFonts w:hint="eastAsia"/>
              </w:rPr>
              <w:t xml:space="preserve">4 </w:t>
            </w:r>
          </w:p>
        </w:tc>
        <w:tc>
          <w:tcPr>
            <w:tcW w:w="1814" w:type="dxa"/>
            <w:tcBorders>
              <w:tl2br w:val="nil"/>
              <w:tr2bl w:val="nil"/>
            </w:tcBorders>
            <w:shd w:val="clear" w:color="auto" w:fill="FFFFFF"/>
            <w:noWrap/>
            <w:vAlign w:val="center"/>
          </w:tcPr>
          <w:p w14:paraId="036AF29D">
            <w:pPr>
              <w:pStyle w:val="23"/>
              <w:keepNext/>
              <w:keepLines/>
            </w:pPr>
            <w:r>
              <w:rPr>
                <w:rFonts w:hint="eastAsia"/>
              </w:rPr>
              <w:t xml:space="preserve">66 </w:t>
            </w:r>
          </w:p>
        </w:tc>
      </w:tr>
      <w:tr w14:paraId="73C2F7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2CEED588">
            <w:pPr>
              <w:pStyle w:val="23"/>
              <w:keepNext/>
              <w:keepLines/>
            </w:pPr>
            <w:r>
              <w:rPr>
                <w:rFonts w:hint="eastAsia"/>
              </w:rPr>
              <w:t>攀枝花市</w:t>
            </w:r>
          </w:p>
        </w:tc>
        <w:tc>
          <w:tcPr>
            <w:tcW w:w="1814" w:type="dxa"/>
            <w:tcBorders>
              <w:tl2br w:val="nil"/>
              <w:tr2bl w:val="nil"/>
            </w:tcBorders>
            <w:shd w:val="clear" w:color="auto" w:fill="FFFFFF"/>
            <w:noWrap/>
            <w:vAlign w:val="center"/>
          </w:tcPr>
          <w:p w14:paraId="5C98F0C6">
            <w:pPr>
              <w:pStyle w:val="23"/>
              <w:keepNext/>
              <w:keepLines/>
            </w:pPr>
            <w:r>
              <w:rPr>
                <w:rFonts w:hint="eastAsia"/>
              </w:rPr>
              <w:t xml:space="preserve">20 </w:t>
            </w:r>
          </w:p>
        </w:tc>
        <w:tc>
          <w:tcPr>
            <w:tcW w:w="1814" w:type="dxa"/>
            <w:tcBorders>
              <w:tl2br w:val="nil"/>
              <w:tr2bl w:val="nil"/>
            </w:tcBorders>
            <w:shd w:val="clear" w:color="auto" w:fill="FFFFFF"/>
            <w:noWrap/>
            <w:vAlign w:val="center"/>
          </w:tcPr>
          <w:p w14:paraId="64EB3999">
            <w:pPr>
              <w:pStyle w:val="23"/>
              <w:keepNext/>
              <w:keepLines/>
            </w:pPr>
            <w:r>
              <w:rPr>
                <w:rFonts w:hint="eastAsia"/>
              </w:rPr>
              <w:t xml:space="preserve">1 </w:t>
            </w:r>
          </w:p>
        </w:tc>
        <w:tc>
          <w:tcPr>
            <w:tcW w:w="1814" w:type="dxa"/>
            <w:tcBorders>
              <w:tl2br w:val="nil"/>
              <w:tr2bl w:val="nil"/>
            </w:tcBorders>
            <w:shd w:val="clear" w:color="auto" w:fill="FFFFFF"/>
            <w:noWrap/>
            <w:vAlign w:val="center"/>
          </w:tcPr>
          <w:p w14:paraId="058120E7">
            <w:pPr>
              <w:pStyle w:val="23"/>
              <w:keepNext/>
              <w:keepLines/>
            </w:pPr>
            <w:r>
              <w:rPr>
                <w:rFonts w:hint="eastAsia"/>
              </w:rPr>
              <w:t xml:space="preserve">21 </w:t>
            </w:r>
          </w:p>
        </w:tc>
      </w:tr>
      <w:tr w14:paraId="268072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551" w:type="dxa"/>
            <w:tcBorders>
              <w:tl2br w:val="nil"/>
              <w:tr2bl w:val="nil"/>
            </w:tcBorders>
            <w:shd w:val="clear" w:color="auto" w:fill="FFFFFF"/>
            <w:noWrap/>
            <w:vAlign w:val="center"/>
          </w:tcPr>
          <w:p w14:paraId="230FD3BE">
            <w:pPr>
              <w:pStyle w:val="23"/>
              <w:keepNext/>
              <w:keepLines/>
            </w:pPr>
            <w:r>
              <w:rPr>
                <w:rFonts w:hint="eastAsia"/>
              </w:rPr>
              <w:t>甘孜州</w:t>
            </w:r>
          </w:p>
        </w:tc>
        <w:tc>
          <w:tcPr>
            <w:tcW w:w="1814" w:type="dxa"/>
            <w:tcBorders>
              <w:tl2br w:val="nil"/>
              <w:tr2bl w:val="nil"/>
            </w:tcBorders>
            <w:shd w:val="clear" w:color="auto" w:fill="FFFFFF"/>
            <w:noWrap/>
            <w:vAlign w:val="center"/>
          </w:tcPr>
          <w:p w14:paraId="46D53168">
            <w:pPr>
              <w:pStyle w:val="23"/>
              <w:keepNext/>
              <w:keepLines/>
            </w:pPr>
            <w:r>
              <w:rPr>
                <w:rFonts w:hint="eastAsia"/>
              </w:rPr>
              <w:t xml:space="preserve">11 </w:t>
            </w:r>
          </w:p>
        </w:tc>
        <w:tc>
          <w:tcPr>
            <w:tcW w:w="1814" w:type="dxa"/>
            <w:tcBorders>
              <w:tl2br w:val="nil"/>
              <w:tr2bl w:val="nil"/>
            </w:tcBorders>
            <w:shd w:val="clear" w:color="auto" w:fill="FFFFFF"/>
            <w:noWrap/>
            <w:vAlign w:val="center"/>
          </w:tcPr>
          <w:p w14:paraId="3ABFD91A">
            <w:pPr>
              <w:pStyle w:val="23"/>
              <w:keepNext/>
              <w:keepLines/>
            </w:pPr>
            <w:r>
              <w:rPr>
                <w:rFonts w:hint="eastAsia"/>
              </w:rPr>
              <w:t xml:space="preserve">0 </w:t>
            </w:r>
          </w:p>
        </w:tc>
        <w:tc>
          <w:tcPr>
            <w:tcW w:w="1814" w:type="dxa"/>
            <w:tcBorders>
              <w:tl2br w:val="nil"/>
              <w:tr2bl w:val="nil"/>
            </w:tcBorders>
            <w:shd w:val="clear" w:color="auto" w:fill="FFFFFF"/>
            <w:noWrap/>
            <w:vAlign w:val="center"/>
          </w:tcPr>
          <w:p w14:paraId="6BB88E31">
            <w:pPr>
              <w:pStyle w:val="23"/>
              <w:keepNext/>
              <w:keepLines/>
            </w:pPr>
            <w:r>
              <w:rPr>
                <w:rFonts w:hint="eastAsia"/>
              </w:rPr>
              <w:t xml:space="preserve">11 </w:t>
            </w:r>
          </w:p>
        </w:tc>
      </w:tr>
    </w:tbl>
    <w:p w14:paraId="66271594">
      <w:pPr>
        <w:ind w:firstLine="560"/>
      </w:pPr>
    </w:p>
    <w:p w14:paraId="5F48720F">
      <w:pPr>
        <w:pStyle w:val="11"/>
      </w:pPr>
      <w:bookmarkStart w:id="13" w:name="_Ref28716"/>
      <w:r>
        <w:t xml:space="preserve">表 </w:t>
      </w:r>
      <w:r>
        <w:fldChar w:fldCharType="begin"/>
      </w:r>
      <w:r>
        <w:instrText xml:space="preserve"> SEQ 表 \* ARABIC </w:instrText>
      </w:r>
      <w:r>
        <w:fldChar w:fldCharType="separate"/>
      </w:r>
      <w:r>
        <w:t>6</w:t>
      </w:r>
      <w:r>
        <w:fldChar w:fldCharType="end"/>
      </w:r>
      <w:bookmarkEnd w:id="13"/>
      <w:r>
        <w:rPr>
          <w:rFonts w:hint="eastAsia"/>
        </w:rPr>
        <w:t xml:space="preserve"> 2026年一季度红原县高速公路入口交通量（按去向区县统计）</w:t>
      </w:r>
    </w:p>
    <w:tbl>
      <w:tblPr>
        <w:tblStyle w:val="18"/>
        <w:tblW w:w="816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531"/>
        <w:gridCol w:w="1531"/>
        <w:gridCol w:w="1701"/>
        <w:gridCol w:w="1701"/>
        <w:gridCol w:w="1701"/>
      </w:tblGrid>
      <w:tr w14:paraId="1A43B5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62" w:type="dxa"/>
            <w:gridSpan w:val="2"/>
            <w:tcBorders>
              <w:bottom w:val="single" w:color="000000" w:sz="8" w:space="0"/>
            </w:tcBorders>
            <w:shd w:val="clear" w:color="auto" w:fill="FFFFFF"/>
            <w:noWrap/>
            <w:vAlign w:val="center"/>
          </w:tcPr>
          <w:p w14:paraId="299D24A5">
            <w:pPr>
              <w:pStyle w:val="24"/>
              <w:bidi w:val="0"/>
            </w:pPr>
            <w:r>
              <w:rPr>
                <w:rFonts w:hint="eastAsia"/>
              </w:rPr>
              <w:t>去向区县（前20）</w:t>
            </w:r>
          </w:p>
        </w:tc>
        <w:tc>
          <w:tcPr>
            <w:tcW w:w="1701" w:type="dxa"/>
            <w:tcBorders>
              <w:bottom w:val="single" w:color="000000" w:sz="8" w:space="0"/>
            </w:tcBorders>
            <w:shd w:val="clear" w:color="auto" w:fill="FFFFFF"/>
            <w:noWrap/>
            <w:vAlign w:val="center"/>
          </w:tcPr>
          <w:p w14:paraId="0EADDC5A">
            <w:pPr>
              <w:pStyle w:val="24"/>
              <w:bidi w:val="0"/>
            </w:pPr>
            <w:r>
              <w:rPr>
                <w:rFonts w:hint="eastAsia"/>
              </w:rPr>
              <w:t>客车流量</w:t>
            </w:r>
          </w:p>
          <w:p w14:paraId="41049743">
            <w:pPr>
              <w:pStyle w:val="24"/>
              <w:bidi w:val="0"/>
            </w:pPr>
            <w:r>
              <w:rPr>
                <w:rFonts w:hint="eastAsia"/>
              </w:rPr>
              <w:t>（PCU）</w:t>
            </w:r>
          </w:p>
        </w:tc>
        <w:tc>
          <w:tcPr>
            <w:tcW w:w="1701" w:type="dxa"/>
            <w:tcBorders>
              <w:bottom w:val="single" w:color="000000" w:sz="8" w:space="0"/>
            </w:tcBorders>
            <w:shd w:val="clear" w:color="auto" w:fill="FFFFFF"/>
            <w:noWrap/>
            <w:vAlign w:val="center"/>
          </w:tcPr>
          <w:p w14:paraId="284A72D7">
            <w:pPr>
              <w:pStyle w:val="24"/>
              <w:bidi w:val="0"/>
            </w:pPr>
            <w:r>
              <w:rPr>
                <w:rFonts w:hint="eastAsia"/>
              </w:rPr>
              <w:t>货车流量</w:t>
            </w:r>
          </w:p>
          <w:p w14:paraId="7FC3595E">
            <w:pPr>
              <w:pStyle w:val="24"/>
              <w:bidi w:val="0"/>
            </w:pPr>
            <w:r>
              <w:rPr>
                <w:rFonts w:hint="eastAsia"/>
              </w:rPr>
              <w:t>（PCU）</w:t>
            </w:r>
          </w:p>
        </w:tc>
        <w:tc>
          <w:tcPr>
            <w:tcW w:w="1701" w:type="dxa"/>
            <w:tcBorders>
              <w:bottom w:val="single" w:color="000000" w:sz="8" w:space="0"/>
            </w:tcBorders>
            <w:shd w:val="clear" w:color="auto" w:fill="FFFFFF"/>
            <w:noWrap/>
            <w:vAlign w:val="center"/>
          </w:tcPr>
          <w:p w14:paraId="0AF7B40A">
            <w:pPr>
              <w:pStyle w:val="24"/>
              <w:bidi w:val="0"/>
            </w:pPr>
            <w:r>
              <w:rPr>
                <w:rFonts w:hint="eastAsia"/>
              </w:rPr>
              <w:t>总流量</w:t>
            </w:r>
          </w:p>
          <w:p w14:paraId="79F17424">
            <w:pPr>
              <w:pStyle w:val="24"/>
              <w:bidi w:val="0"/>
            </w:pPr>
            <w:r>
              <w:rPr>
                <w:rFonts w:hint="eastAsia"/>
              </w:rPr>
              <w:t>（PCU）</w:t>
            </w:r>
          </w:p>
        </w:tc>
      </w:tr>
      <w:tr w14:paraId="44244E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062" w:type="dxa"/>
            <w:gridSpan w:val="2"/>
            <w:tcBorders>
              <w:top w:val="single" w:color="000000" w:sz="8" w:space="0"/>
              <w:tl2br w:val="nil"/>
              <w:tr2bl w:val="nil"/>
            </w:tcBorders>
            <w:shd w:val="clear" w:color="auto" w:fill="FFFFFF"/>
            <w:noWrap/>
            <w:vAlign w:val="center"/>
          </w:tcPr>
          <w:p w14:paraId="46A3C336">
            <w:pPr>
              <w:pStyle w:val="23"/>
            </w:pPr>
            <w:r>
              <w:rPr>
                <w:rFonts w:hint="eastAsia"/>
              </w:rPr>
              <w:t>总计</w:t>
            </w:r>
          </w:p>
        </w:tc>
        <w:tc>
          <w:tcPr>
            <w:tcW w:w="1701" w:type="dxa"/>
            <w:tcBorders>
              <w:top w:val="single" w:color="000000" w:sz="8" w:space="0"/>
              <w:tl2br w:val="nil"/>
              <w:tr2bl w:val="nil"/>
            </w:tcBorders>
            <w:shd w:val="clear" w:color="auto" w:fill="FFFFFF"/>
            <w:noWrap/>
            <w:vAlign w:val="center"/>
          </w:tcPr>
          <w:p w14:paraId="3E6D5643">
            <w:pPr>
              <w:pStyle w:val="23"/>
            </w:pPr>
            <w:r>
              <w:rPr>
                <w:rFonts w:hint="eastAsia"/>
              </w:rPr>
              <w:t>262609</w:t>
            </w:r>
          </w:p>
        </w:tc>
        <w:tc>
          <w:tcPr>
            <w:tcW w:w="1701" w:type="dxa"/>
            <w:tcBorders>
              <w:top w:val="single" w:color="000000" w:sz="8" w:space="0"/>
              <w:tl2br w:val="nil"/>
              <w:tr2bl w:val="nil"/>
            </w:tcBorders>
            <w:shd w:val="clear" w:color="auto" w:fill="FFFFFF"/>
            <w:noWrap/>
            <w:vAlign w:val="center"/>
          </w:tcPr>
          <w:p w14:paraId="64AA1BD4">
            <w:pPr>
              <w:pStyle w:val="23"/>
            </w:pPr>
            <w:r>
              <w:rPr>
                <w:rFonts w:hint="eastAsia"/>
              </w:rPr>
              <w:t>51115</w:t>
            </w:r>
          </w:p>
        </w:tc>
        <w:tc>
          <w:tcPr>
            <w:tcW w:w="1701" w:type="dxa"/>
            <w:tcBorders>
              <w:top w:val="single" w:color="000000" w:sz="8" w:space="0"/>
              <w:tl2br w:val="nil"/>
              <w:tr2bl w:val="nil"/>
            </w:tcBorders>
            <w:shd w:val="clear" w:color="auto" w:fill="FFFFFF"/>
            <w:noWrap/>
            <w:vAlign w:val="center"/>
          </w:tcPr>
          <w:p w14:paraId="333AE8F7">
            <w:pPr>
              <w:pStyle w:val="23"/>
            </w:pPr>
            <w:r>
              <w:rPr>
                <w:rFonts w:hint="eastAsia"/>
              </w:rPr>
              <w:t>313724</w:t>
            </w:r>
          </w:p>
        </w:tc>
      </w:tr>
      <w:tr w14:paraId="42D509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43BBACCF">
            <w:pPr>
              <w:pStyle w:val="23"/>
            </w:pPr>
            <w:r>
              <w:rPr>
                <w:rFonts w:hint="eastAsia"/>
              </w:rPr>
              <w:t>阿坝州</w:t>
            </w:r>
          </w:p>
        </w:tc>
        <w:tc>
          <w:tcPr>
            <w:tcW w:w="1531" w:type="dxa"/>
            <w:tcBorders>
              <w:tl2br w:val="nil"/>
              <w:tr2bl w:val="nil"/>
            </w:tcBorders>
            <w:shd w:val="clear" w:color="auto" w:fill="FFFFFF"/>
            <w:noWrap/>
            <w:vAlign w:val="center"/>
          </w:tcPr>
          <w:p w14:paraId="69AA917D">
            <w:pPr>
              <w:pStyle w:val="23"/>
            </w:pPr>
            <w:r>
              <w:rPr>
                <w:rFonts w:hint="eastAsia"/>
              </w:rPr>
              <w:t>红原县</w:t>
            </w:r>
          </w:p>
        </w:tc>
        <w:tc>
          <w:tcPr>
            <w:tcW w:w="1701" w:type="dxa"/>
            <w:tcBorders>
              <w:tl2br w:val="nil"/>
              <w:tr2bl w:val="nil"/>
            </w:tcBorders>
            <w:shd w:val="clear" w:color="auto" w:fill="FFFFFF"/>
            <w:noWrap/>
            <w:vAlign w:val="center"/>
          </w:tcPr>
          <w:p w14:paraId="23023653">
            <w:pPr>
              <w:pStyle w:val="23"/>
            </w:pPr>
            <w:r>
              <w:rPr>
                <w:rFonts w:hint="eastAsia"/>
              </w:rPr>
              <w:t xml:space="preserve">206410 </w:t>
            </w:r>
          </w:p>
        </w:tc>
        <w:tc>
          <w:tcPr>
            <w:tcW w:w="1701" w:type="dxa"/>
            <w:tcBorders>
              <w:tl2br w:val="nil"/>
              <w:tr2bl w:val="nil"/>
            </w:tcBorders>
            <w:shd w:val="clear" w:color="auto" w:fill="FFFFFF"/>
            <w:noWrap/>
            <w:vAlign w:val="center"/>
          </w:tcPr>
          <w:p w14:paraId="66C4BBFA">
            <w:pPr>
              <w:pStyle w:val="23"/>
            </w:pPr>
            <w:r>
              <w:rPr>
                <w:rFonts w:hint="eastAsia"/>
              </w:rPr>
              <w:t xml:space="preserve">48124 </w:t>
            </w:r>
          </w:p>
        </w:tc>
        <w:tc>
          <w:tcPr>
            <w:tcW w:w="1701" w:type="dxa"/>
            <w:tcBorders>
              <w:tl2br w:val="nil"/>
              <w:tr2bl w:val="nil"/>
            </w:tcBorders>
            <w:shd w:val="clear" w:color="auto" w:fill="FFFFFF"/>
            <w:noWrap/>
            <w:vAlign w:val="center"/>
          </w:tcPr>
          <w:p w14:paraId="784DCC0C">
            <w:pPr>
              <w:pStyle w:val="23"/>
            </w:pPr>
            <w:r>
              <w:rPr>
                <w:rFonts w:hint="eastAsia"/>
              </w:rPr>
              <w:t xml:space="preserve">254534 </w:t>
            </w:r>
          </w:p>
        </w:tc>
      </w:tr>
      <w:tr w14:paraId="461B6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B8F15F6">
            <w:pPr>
              <w:pStyle w:val="23"/>
            </w:pPr>
            <w:r>
              <w:rPr>
                <w:rFonts w:hint="eastAsia"/>
              </w:rPr>
              <w:t>阿坝州</w:t>
            </w:r>
          </w:p>
        </w:tc>
        <w:tc>
          <w:tcPr>
            <w:tcW w:w="1531" w:type="dxa"/>
            <w:tcBorders>
              <w:tl2br w:val="nil"/>
              <w:tr2bl w:val="nil"/>
            </w:tcBorders>
            <w:shd w:val="clear" w:color="auto" w:fill="FFFFFF"/>
            <w:noWrap/>
            <w:vAlign w:val="center"/>
          </w:tcPr>
          <w:p w14:paraId="1B9A7EA8">
            <w:pPr>
              <w:pStyle w:val="23"/>
            </w:pPr>
            <w:r>
              <w:rPr>
                <w:rFonts w:hint="eastAsia"/>
              </w:rPr>
              <w:t>马尔康市</w:t>
            </w:r>
          </w:p>
        </w:tc>
        <w:tc>
          <w:tcPr>
            <w:tcW w:w="1701" w:type="dxa"/>
            <w:tcBorders>
              <w:tl2br w:val="nil"/>
              <w:tr2bl w:val="nil"/>
            </w:tcBorders>
            <w:shd w:val="clear" w:color="auto" w:fill="FFFFFF"/>
            <w:noWrap/>
            <w:vAlign w:val="center"/>
          </w:tcPr>
          <w:p w14:paraId="4D28A8ED">
            <w:pPr>
              <w:pStyle w:val="23"/>
            </w:pPr>
            <w:r>
              <w:rPr>
                <w:rFonts w:hint="eastAsia"/>
              </w:rPr>
              <w:t xml:space="preserve">20204 </w:t>
            </w:r>
          </w:p>
        </w:tc>
        <w:tc>
          <w:tcPr>
            <w:tcW w:w="1701" w:type="dxa"/>
            <w:tcBorders>
              <w:tl2br w:val="nil"/>
              <w:tr2bl w:val="nil"/>
            </w:tcBorders>
            <w:shd w:val="clear" w:color="auto" w:fill="FFFFFF"/>
            <w:noWrap/>
            <w:vAlign w:val="center"/>
          </w:tcPr>
          <w:p w14:paraId="47DAABA6">
            <w:pPr>
              <w:pStyle w:val="23"/>
            </w:pPr>
            <w:r>
              <w:rPr>
                <w:rFonts w:hint="eastAsia"/>
              </w:rPr>
              <w:t xml:space="preserve">1180 </w:t>
            </w:r>
          </w:p>
        </w:tc>
        <w:tc>
          <w:tcPr>
            <w:tcW w:w="1701" w:type="dxa"/>
            <w:tcBorders>
              <w:tl2br w:val="nil"/>
              <w:tr2bl w:val="nil"/>
            </w:tcBorders>
            <w:shd w:val="clear" w:color="auto" w:fill="FFFFFF"/>
            <w:noWrap/>
            <w:vAlign w:val="center"/>
          </w:tcPr>
          <w:p w14:paraId="028D43E4">
            <w:pPr>
              <w:pStyle w:val="23"/>
            </w:pPr>
            <w:r>
              <w:rPr>
                <w:rFonts w:hint="eastAsia"/>
              </w:rPr>
              <w:t xml:space="preserve">21383 </w:t>
            </w:r>
          </w:p>
        </w:tc>
      </w:tr>
      <w:tr w14:paraId="79B78E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FFE2D42">
            <w:pPr>
              <w:pStyle w:val="23"/>
            </w:pPr>
            <w:r>
              <w:rPr>
                <w:rFonts w:hint="eastAsia"/>
              </w:rPr>
              <w:t>阿坝州</w:t>
            </w:r>
          </w:p>
        </w:tc>
        <w:tc>
          <w:tcPr>
            <w:tcW w:w="1531" w:type="dxa"/>
            <w:tcBorders>
              <w:tl2br w:val="nil"/>
              <w:tr2bl w:val="nil"/>
            </w:tcBorders>
            <w:shd w:val="clear" w:color="auto" w:fill="FFFFFF"/>
            <w:noWrap/>
            <w:vAlign w:val="center"/>
          </w:tcPr>
          <w:p w14:paraId="1B673458">
            <w:pPr>
              <w:pStyle w:val="23"/>
            </w:pPr>
            <w:r>
              <w:rPr>
                <w:rFonts w:hint="eastAsia"/>
              </w:rPr>
              <w:t>理县</w:t>
            </w:r>
          </w:p>
        </w:tc>
        <w:tc>
          <w:tcPr>
            <w:tcW w:w="1701" w:type="dxa"/>
            <w:tcBorders>
              <w:tl2br w:val="nil"/>
              <w:tr2bl w:val="nil"/>
            </w:tcBorders>
            <w:shd w:val="clear" w:color="auto" w:fill="FFFFFF"/>
            <w:noWrap/>
            <w:vAlign w:val="center"/>
          </w:tcPr>
          <w:p w14:paraId="24516EAA">
            <w:pPr>
              <w:pStyle w:val="23"/>
            </w:pPr>
            <w:r>
              <w:rPr>
                <w:rFonts w:hint="eastAsia"/>
              </w:rPr>
              <w:t xml:space="preserve">9912 </w:t>
            </w:r>
          </w:p>
        </w:tc>
        <w:tc>
          <w:tcPr>
            <w:tcW w:w="1701" w:type="dxa"/>
            <w:tcBorders>
              <w:tl2br w:val="nil"/>
              <w:tr2bl w:val="nil"/>
            </w:tcBorders>
            <w:shd w:val="clear" w:color="auto" w:fill="FFFFFF"/>
            <w:noWrap/>
            <w:vAlign w:val="center"/>
          </w:tcPr>
          <w:p w14:paraId="4399EBF7">
            <w:pPr>
              <w:pStyle w:val="23"/>
            </w:pPr>
            <w:r>
              <w:rPr>
                <w:rFonts w:hint="eastAsia"/>
              </w:rPr>
              <w:t xml:space="preserve">579 </w:t>
            </w:r>
          </w:p>
        </w:tc>
        <w:tc>
          <w:tcPr>
            <w:tcW w:w="1701" w:type="dxa"/>
            <w:tcBorders>
              <w:tl2br w:val="nil"/>
              <w:tr2bl w:val="nil"/>
            </w:tcBorders>
            <w:shd w:val="clear" w:color="auto" w:fill="FFFFFF"/>
            <w:noWrap/>
            <w:vAlign w:val="center"/>
          </w:tcPr>
          <w:p w14:paraId="0AD899B1">
            <w:pPr>
              <w:pStyle w:val="23"/>
            </w:pPr>
            <w:r>
              <w:rPr>
                <w:rFonts w:hint="eastAsia"/>
              </w:rPr>
              <w:t xml:space="preserve">10491 </w:t>
            </w:r>
          </w:p>
        </w:tc>
      </w:tr>
      <w:tr w14:paraId="4A1277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1E10A4BE">
            <w:pPr>
              <w:pStyle w:val="23"/>
            </w:pPr>
            <w:r>
              <w:rPr>
                <w:rFonts w:hint="eastAsia"/>
              </w:rPr>
              <w:t>成都市</w:t>
            </w:r>
          </w:p>
        </w:tc>
        <w:tc>
          <w:tcPr>
            <w:tcW w:w="1531" w:type="dxa"/>
            <w:tcBorders>
              <w:tl2br w:val="nil"/>
              <w:tr2bl w:val="nil"/>
            </w:tcBorders>
            <w:shd w:val="clear" w:color="auto" w:fill="FFFFFF"/>
            <w:noWrap/>
            <w:vAlign w:val="center"/>
          </w:tcPr>
          <w:p w14:paraId="6EDFBD77">
            <w:pPr>
              <w:pStyle w:val="23"/>
            </w:pPr>
            <w:r>
              <w:rPr>
                <w:rFonts w:hint="eastAsia"/>
              </w:rPr>
              <w:t>都江堰市</w:t>
            </w:r>
          </w:p>
        </w:tc>
        <w:tc>
          <w:tcPr>
            <w:tcW w:w="1701" w:type="dxa"/>
            <w:tcBorders>
              <w:tl2br w:val="nil"/>
              <w:tr2bl w:val="nil"/>
            </w:tcBorders>
            <w:shd w:val="clear" w:color="auto" w:fill="FFFFFF"/>
            <w:noWrap/>
            <w:vAlign w:val="center"/>
          </w:tcPr>
          <w:p w14:paraId="207241CD">
            <w:pPr>
              <w:pStyle w:val="23"/>
            </w:pPr>
            <w:r>
              <w:rPr>
                <w:rFonts w:hint="eastAsia"/>
              </w:rPr>
              <w:t xml:space="preserve">9308 </w:t>
            </w:r>
          </w:p>
        </w:tc>
        <w:tc>
          <w:tcPr>
            <w:tcW w:w="1701" w:type="dxa"/>
            <w:tcBorders>
              <w:tl2br w:val="nil"/>
              <w:tr2bl w:val="nil"/>
            </w:tcBorders>
            <w:shd w:val="clear" w:color="auto" w:fill="FFFFFF"/>
            <w:noWrap/>
            <w:vAlign w:val="center"/>
          </w:tcPr>
          <w:p w14:paraId="1F29F1EC">
            <w:pPr>
              <w:pStyle w:val="23"/>
            </w:pPr>
            <w:r>
              <w:rPr>
                <w:rFonts w:hint="eastAsia"/>
              </w:rPr>
              <w:t xml:space="preserve">408 </w:t>
            </w:r>
          </w:p>
        </w:tc>
        <w:tc>
          <w:tcPr>
            <w:tcW w:w="1701" w:type="dxa"/>
            <w:tcBorders>
              <w:tl2br w:val="nil"/>
              <w:tr2bl w:val="nil"/>
            </w:tcBorders>
            <w:shd w:val="clear" w:color="auto" w:fill="FFFFFF"/>
            <w:noWrap/>
            <w:vAlign w:val="center"/>
          </w:tcPr>
          <w:p w14:paraId="607C54EA">
            <w:pPr>
              <w:pStyle w:val="23"/>
            </w:pPr>
            <w:r>
              <w:rPr>
                <w:rFonts w:hint="eastAsia"/>
              </w:rPr>
              <w:t xml:space="preserve">9716 </w:t>
            </w:r>
          </w:p>
        </w:tc>
      </w:tr>
      <w:tr w14:paraId="39F44D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DEF2873">
            <w:pPr>
              <w:pStyle w:val="23"/>
            </w:pPr>
            <w:r>
              <w:rPr>
                <w:rFonts w:hint="eastAsia"/>
              </w:rPr>
              <w:t>成都市</w:t>
            </w:r>
          </w:p>
        </w:tc>
        <w:tc>
          <w:tcPr>
            <w:tcW w:w="1531" w:type="dxa"/>
            <w:tcBorders>
              <w:tl2br w:val="nil"/>
              <w:tr2bl w:val="nil"/>
            </w:tcBorders>
            <w:shd w:val="clear" w:color="auto" w:fill="FFFFFF"/>
            <w:noWrap/>
            <w:vAlign w:val="center"/>
          </w:tcPr>
          <w:p w14:paraId="49A9D456">
            <w:pPr>
              <w:pStyle w:val="23"/>
            </w:pPr>
            <w:r>
              <w:rPr>
                <w:rFonts w:hint="eastAsia"/>
              </w:rPr>
              <w:t>郫都区</w:t>
            </w:r>
          </w:p>
        </w:tc>
        <w:tc>
          <w:tcPr>
            <w:tcW w:w="1701" w:type="dxa"/>
            <w:tcBorders>
              <w:tl2br w:val="nil"/>
              <w:tr2bl w:val="nil"/>
            </w:tcBorders>
            <w:shd w:val="clear" w:color="auto" w:fill="FFFFFF"/>
            <w:noWrap/>
            <w:vAlign w:val="center"/>
          </w:tcPr>
          <w:p w14:paraId="78CD4559">
            <w:pPr>
              <w:pStyle w:val="23"/>
            </w:pPr>
            <w:r>
              <w:rPr>
                <w:rFonts w:hint="eastAsia"/>
              </w:rPr>
              <w:t xml:space="preserve">5033 </w:t>
            </w:r>
          </w:p>
        </w:tc>
        <w:tc>
          <w:tcPr>
            <w:tcW w:w="1701" w:type="dxa"/>
            <w:tcBorders>
              <w:tl2br w:val="nil"/>
              <w:tr2bl w:val="nil"/>
            </w:tcBorders>
            <w:shd w:val="clear" w:color="auto" w:fill="FFFFFF"/>
            <w:noWrap/>
            <w:vAlign w:val="center"/>
          </w:tcPr>
          <w:p w14:paraId="36F00251">
            <w:pPr>
              <w:pStyle w:val="23"/>
            </w:pPr>
            <w:r>
              <w:rPr>
                <w:rFonts w:hint="eastAsia"/>
              </w:rPr>
              <w:t xml:space="preserve">218 </w:t>
            </w:r>
          </w:p>
        </w:tc>
        <w:tc>
          <w:tcPr>
            <w:tcW w:w="1701" w:type="dxa"/>
            <w:tcBorders>
              <w:tl2br w:val="nil"/>
              <w:tr2bl w:val="nil"/>
            </w:tcBorders>
            <w:shd w:val="clear" w:color="auto" w:fill="FFFFFF"/>
            <w:noWrap/>
            <w:vAlign w:val="center"/>
          </w:tcPr>
          <w:p w14:paraId="71BB561D">
            <w:pPr>
              <w:pStyle w:val="23"/>
            </w:pPr>
            <w:r>
              <w:rPr>
                <w:rFonts w:hint="eastAsia"/>
              </w:rPr>
              <w:t xml:space="preserve">5251 </w:t>
            </w:r>
          </w:p>
        </w:tc>
      </w:tr>
      <w:tr w14:paraId="1B12BA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4CA6E735">
            <w:pPr>
              <w:pStyle w:val="23"/>
            </w:pPr>
            <w:r>
              <w:rPr>
                <w:rFonts w:hint="eastAsia"/>
              </w:rPr>
              <w:t>阿坝州</w:t>
            </w:r>
          </w:p>
        </w:tc>
        <w:tc>
          <w:tcPr>
            <w:tcW w:w="1531" w:type="dxa"/>
            <w:tcBorders>
              <w:tl2br w:val="nil"/>
              <w:tr2bl w:val="nil"/>
            </w:tcBorders>
            <w:shd w:val="clear" w:color="auto" w:fill="FFFFFF"/>
            <w:noWrap/>
            <w:vAlign w:val="center"/>
          </w:tcPr>
          <w:p w14:paraId="6939F445">
            <w:pPr>
              <w:pStyle w:val="23"/>
            </w:pPr>
            <w:r>
              <w:rPr>
                <w:rFonts w:hint="eastAsia"/>
              </w:rPr>
              <w:t>汶川县</w:t>
            </w:r>
          </w:p>
        </w:tc>
        <w:tc>
          <w:tcPr>
            <w:tcW w:w="1701" w:type="dxa"/>
            <w:tcBorders>
              <w:tl2br w:val="nil"/>
              <w:tr2bl w:val="nil"/>
            </w:tcBorders>
            <w:shd w:val="clear" w:color="auto" w:fill="FFFFFF"/>
            <w:noWrap/>
            <w:vAlign w:val="center"/>
          </w:tcPr>
          <w:p w14:paraId="586DEE8F">
            <w:pPr>
              <w:pStyle w:val="23"/>
            </w:pPr>
            <w:r>
              <w:rPr>
                <w:rFonts w:hint="eastAsia"/>
              </w:rPr>
              <w:t xml:space="preserve">4000 </w:t>
            </w:r>
          </w:p>
        </w:tc>
        <w:tc>
          <w:tcPr>
            <w:tcW w:w="1701" w:type="dxa"/>
            <w:tcBorders>
              <w:tl2br w:val="nil"/>
              <w:tr2bl w:val="nil"/>
            </w:tcBorders>
            <w:shd w:val="clear" w:color="auto" w:fill="FFFFFF"/>
            <w:noWrap/>
            <w:vAlign w:val="center"/>
          </w:tcPr>
          <w:p w14:paraId="446700EC">
            <w:pPr>
              <w:pStyle w:val="23"/>
            </w:pPr>
            <w:r>
              <w:rPr>
                <w:rFonts w:hint="eastAsia"/>
              </w:rPr>
              <w:t xml:space="preserve">221 </w:t>
            </w:r>
          </w:p>
        </w:tc>
        <w:tc>
          <w:tcPr>
            <w:tcW w:w="1701" w:type="dxa"/>
            <w:tcBorders>
              <w:tl2br w:val="nil"/>
              <w:tr2bl w:val="nil"/>
            </w:tcBorders>
            <w:shd w:val="clear" w:color="auto" w:fill="FFFFFF"/>
            <w:noWrap/>
            <w:vAlign w:val="center"/>
          </w:tcPr>
          <w:p w14:paraId="4BC91315">
            <w:pPr>
              <w:pStyle w:val="23"/>
            </w:pPr>
            <w:r>
              <w:rPr>
                <w:rFonts w:hint="eastAsia"/>
              </w:rPr>
              <w:t xml:space="preserve">4221 </w:t>
            </w:r>
          </w:p>
        </w:tc>
      </w:tr>
      <w:tr w14:paraId="55B979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42E5FBC">
            <w:pPr>
              <w:pStyle w:val="23"/>
            </w:pPr>
            <w:r>
              <w:rPr>
                <w:rFonts w:hint="eastAsia"/>
              </w:rPr>
              <w:t>成都市</w:t>
            </w:r>
          </w:p>
        </w:tc>
        <w:tc>
          <w:tcPr>
            <w:tcW w:w="1531" w:type="dxa"/>
            <w:tcBorders>
              <w:tl2br w:val="nil"/>
              <w:tr2bl w:val="nil"/>
            </w:tcBorders>
            <w:shd w:val="clear" w:color="auto" w:fill="FFFFFF"/>
            <w:noWrap/>
            <w:vAlign w:val="center"/>
          </w:tcPr>
          <w:p w14:paraId="7614906F">
            <w:pPr>
              <w:pStyle w:val="23"/>
            </w:pPr>
            <w:r>
              <w:rPr>
                <w:rFonts w:hint="eastAsia"/>
              </w:rPr>
              <w:t>双流区</w:t>
            </w:r>
          </w:p>
        </w:tc>
        <w:tc>
          <w:tcPr>
            <w:tcW w:w="1701" w:type="dxa"/>
            <w:tcBorders>
              <w:tl2br w:val="nil"/>
              <w:tr2bl w:val="nil"/>
            </w:tcBorders>
            <w:shd w:val="clear" w:color="auto" w:fill="FFFFFF"/>
            <w:noWrap/>
            <w:vAlign w:val="center"/>
          </w:tcPr>
          <w:p w14:paraId="56057450">
            <w:pPr>
              <w:pStyle w:val="23"/>
            </w:pPr>
            <w:r>
              <w:rPr>
                <w:rFonts w:hint="eastAsia"/>
              </w:rPr>
              <w:t xml:space="preserve">1502 </w:t>
            </w:r>
          </w:p>
        </w:tc>
        <w:tc>
          <w:tcPr>
            <w:tcW w:w="1701" w:type="dxa"/>
            <w:tcBorders>
              <w:tl2br w:val="nil"/>
              <w:tr2bl w:val="nil"/>
            </w:tcBorders>
            <w:shd w:val="clear" w:color="auto" w:fill="FFFFFF"/>
            <w:noWrap/>
            <w:vAlign w:val="center"/>
          </w:tcPr>
          <w:p w14:paraId="14B0CDAB">
            <w:pPr>
              <w:pStyle w:val="23"/>
            </w:pPr>
            <w:r>
              <w:rPr>
                <w:rFonts w:hint="eastAsia"/>
              </w:rPr>
              <w:t xml:space="preserve">80 </w:t>
            </w:r>
          </w:p>
        </w:tc>
        <w:tc>
          <w:tcPr>
            <w:tcW w:w="1701" w:type="dxa"/>
            <w:tcBorders>
              <w:tl2br w:val="nil"/>
              <w:tr2bl w:val="nil"/>
            </w:tcBorders>
            <w:shd w:val="clear" w:color="auto" w:fill="FFFFFF"/>
            <w:noWrap/>
            <w:vAlign w:val="center"/>
          </w:tcPr>
          <w:p w14:paraId="69B4DE83">
            <w:pPr>
              <w:pStyle w:val="23"/>
            </w:pPr>
            <w:r>
              <w:rPr>
                <w:rFonts w:hint="eastAsia"/>
              </w:rPr>
              <w:t xml:space="preserve">1582 </w:t>
            </w:r>
          </w:p>
        </w:tc>
      </w:tr>
      <w:tr w14:paraId="2F8A9C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4D18B38A">
            <w:pPr>
              <w:pStyle w:val="23"/>
            </w:pPr>
            <w:r>
              <w:rPr>
                <w:rFonts w:hint="eastAsia"/>
              </w:rPr>
              <w:t>成都市</w:t>
            </w:r>
          </w:p>
        </w:tc>
        <w:tc>
          <w:tcPr>
            <w:tcW w:w="1531" w:type="dxa"/>
            <w:tcBorders>
              <w:tl2br w:val="nil"/>
              <w:tr2bl w:val="nil"/>
            </w:tcBorders>
            <w:shd w:val="clear" w:color="auto" w:fill="FFFFFF"/>
            <w:noWrap/>
            <w:vAlign w:val="center"/>
          </w:tcPr>
          <w:p w14:paraId="677D8EFE">
            <w:pPr>
              <w:pStyle w:val="23"/>
            </w:pPr>
            <w:r>
              <w:rPr>
                <w:rFonts w:hint="eastAsia"/>
              </w:rPr>
              <w:t>新都区</w:t>
            </w:r>
          </w:p>
        </w:tc>
        <w:tc>
          <w:tcPr>
            <w:tcW w:w="1701" w:type="dxa"/>
            <w:tcBorders>
              <w:tl2br w:val="nil"/>
              <w:tr2bl w:val="nil"/>
            </w:tcBorders>
            <w:shd w:val="clear" w:color="auto" w:fill="FFFFFF"/>
            <w:noWrap/>
            <w:vAlign w:val="center"/>
          </w:tcPr>
          <w:p w14:paraId="4EE7B8C6">
            <w:pPr>
              <w:pStyle w:val="23"/>
            </w:pPr>
            <w:r>
              <w:rPr>
                <w:rFonts w:hint="eastAsia"/>
              </w:rPr>
              <w:t xml:space="preserve">921 </w:t>
            </w:r>
          </w:p>
        </w:tc>
        <w:tc>
          <w:tcPr>
            <w:tcW w:w="1701" w:type="dxa"/>
            <w:tcBorders>
              <w:tl2br w:val="nil"/>
              <w:tr2bl w:val="nil"/>
            </w:tcBorders>
            <w:shd w:val="clear" w:color="auto" w:fill="FFFFFF"/>
            <w:noWrap/>
            <w:vAlign w:val="center"/>
          </w:tcPr>
          <w:p w14:paraId="129D7350">
            <w:pPr>
              <w:pStyle w:val="23"/>
            </w:pPr>
            <w:r>
              <w:rPr>
                <w:rFonts w:hint="eastAsia"/>
              </w:rPr>
              <w:t xml:space="preserve">58 </w:t>
            </w:r>
          </w:p>
        </w:tc>
        <w:tc>
          <w:tcPr>
            <w:tcW w:w="1701" w:type="dxa"/>
            <w:tcBorders>
              <w:tl2br w:val="nil"/>
              <w:tr2bl w:val="nil"/>
            </w:tcBorders>
            <w:shd w:val="clear" w:color="auto" w:fill="FFFFFF"/>
            <w:noWrap/>
            <w:vAlign w:val="center"/>
          </w:tcPr>
          <w:p w14:paraId="7683CD03">
            <w:pPr>
              <w:pStyle w:val="23"/>
            </w:pPr>
            <w:r>
              <w:rPr>
                <w:rFonts w:hint="eastAsia"/>
              </w:rPr>
              <w:t xml:space="preserve">979 </w:t>
            </w:r>
          </w:p>
        </w:tc>
      </w:tr>
      <w:tr w14:paraId="38AEAE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9089448">
            <w:pPr>
              <w:pStyle w:val="23"/>
            </w:pPr>
            <w:r>
              <w:rPr>
                <w:rFonts w:hint="eastAsia"/>
              </w:rPr>
              <w:t>成都市</w:t>
            </w:r>
          </w:p>
        </w:tc>
        <w:tc>
          <w:tcPr>
            <w:tcW w:w="1531" w:type="dxa"/>
            <w:tcBorders>
              <w:tl2br w:val="nil"/>
              <w:tr2bl w:val="nil"/>
            </w:tcBorders>
            <w:shd w:val="clear" w:color="auto" w:fill="FFFFFF"/>
            <w:noWrap/>
            <w:vAlign w:val="center"/>
          </w:tcPr>
          <w:p w14:paraId="76A22CC8">
            <w:pPr>
              <w:pStyle w:val="23"/>
            </w:pPr>
            <w:r>
              <w:rPr>
                <w:rFonts w:hint="eastAsia"/>
              </w:rPr>
              <w:t>青羊区</w:t>
            </w:r>
          </w:p>
        </w:tc>
        <w:tc>
          <w:tcPr>
            <w:tcW w:w="1701" w:type="dxa"/>
            <w:tcBorders>
              <w:tl2br w:val="nil"/>
              <w:tr2bl w:val="nil"/>
            </w:tcBorders>
            <w:shd w:val="clear" w:color="auto" w:fill="FFFFFF"/>
            <w:noWrap/>
            <w:vAlign w:val="center"/>
          </w:tcPr>
          <w:p w14:paraId="2735EC65">
            <w:pPr>
              <w:pStyle w:val="23"/>
            </w:pPr>
            <w:r>
              <w:rPr>
                <w:rFonts w:hint="eastAsia"/>
              </w:rPr>
              <w:t xml:space="preserve">800 </w:t>
            </w:r>
          </w:p>
        </w:tc>
        <w:tc>
          <w:tcPr>
            <w:tcW w:w="1701" w:type="dxa"/>
            <w:tcBorders>
              <w:tl2br w:val="nil"/>
              <w:tr2bl w:val="nil"/>
            </w:tcBorders>
            <w:shd w:val="clear" w:color="auto" w:fill="FFFFFF"/>
            <w:noWrap/>
            <w:vAlign w:val="center"/>
          </w:tcPr>
          <w:p w14:paraId="7594FFCB">
            <w:pPr>
              <w:pStyle w:val="23"/>
            </w:pPr>
            <w:r>
              <w:rPr>
                <w:rFonts w:hint="eastAsia"/>
              </w:rPr>
              <w:t xml:space="preserve">24 </w:t>
            </w:r>
          </w:p>
        </w:tc>
        <w:tc>
          <w:tcPr>
            <w:tcW w:w="1701" w:type="dxa"/>
            <w:tcBorders>
              <w:tl2br w:val="nil"/>
              <w:tr2bl w:val="nil"/>
            </w:tcBorders>
            <w:shd w:val="clear" w:color="auto" w:fill="FFFFFF"/>
            <w:noWrap/>
            <w:vAlign w:val="center"/>
          </w:tcPr>
          <w:p w14:paraId="7AC4B630">
            <w:pPr>
              <w:pStyle w:val="23"/>
            </w:pPr>
            <w:r>
              <w:rPr>
                <w:rFonts w:hint="eastAsia"/>
              </w:rPr>
              <w:t xml:space="preserve">824 </w:t>
            </w:r>
          </w:p>
        </w:tc>
      </w:tr>
      <w:tr w14:paraId="35A129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5D197458">
            <w:pPr>
              <w:pStyle w:val="23"/>
            </w:pPr>
            <w:r>
              <w:rPr>
                <w:rFonts w:hint="eastAsia"/>
              </w:rPr>
              <w:t>乐山市</w:t>
            </w:r>
          </w:p>
        </w:tc>
        <w:tc>
          <w:tcPr>
            <w:tcW w:w="1531" w:type="dxa"/>
            <w:tcBorders>
              <w:tl2br w:val="nil"/>
              <w:tr2bl w:val="nil"/>
            </w:tcBorders>
            <w:shd w:val="clear" w:color="auto" w:fill="FFFFFF"/>
            <w:noWrap/>
            <w:vAlign w:val="center"/>
          </w:tcPr>
          <w:p w14:paraId="3D58E49C">
            <w:pPr>
              <w:pStyle w:val="23"/>
            </w:pPr>
            <w:r>
              <w:rPr>
                <w:rFonts w:hint="eastAsia"/>
              </w:rPr>
              <w:t>沐川县</w:t>
            </w:r>
          </w:p>
        </w:tc>
        <w:tc>
          <w:tcPr>
            <w:tcW w:w="1701" w:type="dxa"/>
            <w:tcBorders>
              <w:tl2br w:val="nil"/>
              <w:tr2bl w:val="nil"/>
            </w:tcBorders>
            <w:shd w:val="clear" w:color="auto" w:fill="FFFFFF"/>
            <w:noWrap/>
            <w:vAlign w:val="center"/>
          </w:tcPr>
          <w:p w14:paraId="3E8E77BF">
            <w:pPr>
              <w:pStyle w:val="23"/>
            </w:pPr>
            <w:r>
              <w:rPr>
                <w:rFonts w:hint="eastAsia"/>
              </w:rPr>
              <w:t xml:space="preserve">550 </w:t>
            </w:r>
          </w:p>
        </w:tc>
        <w:tc>
          <w:tcPr>
            <w:tcW w:w="1701" w:type="dxa"/>
            <w:tcBorders>
              <w:tl2br w:val="nil"/>
              <w:tr2bl w:val="nil"/>
            </w:tcBorders>
            <w:shd w:val="clear" w:color="auto" w:fill="FFFFFF"/>
            <w:noWrap/>
            <w:vAlign w:val="center"/>
          </w:tcPr>
          <w:p w14:paraId="1F9825FB">
            <w:pPr>
              <w:pStyle w:val="23"/>
            </w:pPr>
            <w:r>
              <w:rPr>
                <w:rFonts w:hint="eastAsia"/>
              </w:rPr>
              <w:t xml:space="preserve">25 </w:t>
            </w:r>
          </w:p>
        </w:tc>
        <w:tc>
          <w:tcPr>
            <w:tcW w:w="1701" w:type="dxa"/>
            <w:tcBorders>
              <w:tl2br w:val="nil"/>
              <w:tr2bl w:val="nil"/>
            </w:tcBorders>
            <w:shd w:val="clear" w:color="auto" w:fill="FFFFFF"/>
            <w:noWrap/>
            <w:vAlign w:val="center"/>
          </w:tcPr>
          <w:p w14:paraId="0D6F95D7">
            <w:pPr>
              <w:pStyle w:val="23"/>
            </w:pPr>
            <w:r>
              <w:rPr>
                <w:rFonts w:hint="eastAsia"/>
              </w:rPr>
              <w:t xml:space="preserve">575 </w:t>
            </w:r>
          </w:p>
        </w:tc>
      </w:tr>
      <w:tr w14:paraId="5B2E37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1869D39C">
            <w:pPr>
              <w:pStyle w:val="23"/>
            </w:pPr>
            <w:r>
              <w:rPr>
                <w:rFonts w:hint="eastAsia"/>
              </w:rPr>
              <w:t>绵阳市</w:t>
            </w:r>
          </w:p>
        </w:tc>
        <w:tc>
          <w:tcPr>
            <w:tcW w:w="1531" w:type="dxa"/>
            <w:tcBorders>
              <w:tl2br w:val="nil"/>
              <w:tr2bl w:val="nil"/>
            </w:tcBorders>
            <w:shd w:val="clear" w:color="auto" w:fill="FFFFFF"/>
            <w:noWrap/>
            <w:vAlign w:val="center"/>
          </w:tcPr>
          <w:p w14:paraId="625D2EDE">
            <w:pPr>
              <w:pStyle w:val="23"/>
            </w:pPr>
            <w:r>
              <w:rPr>
                <w:rFonts w:hint="eastAsia"/>
              </w:rPr>
              <w:t>涪城区</w:t>
            </w:r>
          </w:p>
        </w:tc>
        <w:tc>
          <w:tcPr>
            <w:tcW w:w="1701" w:type="dxa"/>
            <w:tcBorders>
              <w:tl2br w:val="nil"/>
              <w:tr2bl w:val="nil"/>
            </w:tcBorders>
            <w:shd w:val="clear" w:color="auto" w:fill="FFFFFF"/>
            <w:noWrap/>
            <w:vAlign w:val="center"/>
          </w:tcPr>
          <w:p w14:paraId="6A70B886">
            <w:pPr>
              <w:pStyle w:val="23"/>
            </w:pPr>
            <w:r>
              <w:rPr>
                <w:rFonts w:hint="eastAsia"/>
              </w:rPr>
              <w:t xml:space="preserve">487 </w:t>
            </w:r>
          </w:p>
        </w:tc>
        <w:tc>
          <w:tcPr>
            <w:tcW w:w="1701" w:type="dxa"/>
            <w:tcBorders>
              <w:tl2br w:val="nil"/>
              <w:tr2bl w:val="nil"/>
            </w:tcBorders>
            <w:shd w:val="clear" w:color="auto" w:fill="FFFFFF"/>
            <w:noWrap/>
            <w:vAlign w:val="center"/>
          </w:tcPr>
          <w:p w14:paraId="370EC2BE">
            <w:pPr>
              <w:pStyle w:val="23"/>
            </w:pPr>
            <w:r>
              <w:rPr>
                <w:rFonts w:hint="eastAsia"/>
              </w:rPr>
              <w:t xml:space="preserve">21 </w:t>
            </w:r>
          </w:p>
        </w:tc>
        <w:tc>
          <w:tcPr>
            <w:tcW w:w="1701" w:type="dxa"/>
            <w:tcBorders>
              <w:tl2br w:val="nil"/>
              <w:tr2bl w:val="nil"/>
            </w:tcBorders>
            <w:shd w:val="clear" w:color="auto" w:fill="FFFFFF"/>
            <w:noWrap/>
            <w:vAlign w:val="center"/>
          </w:tcPr>
          <w:p w14:paraId="01302023">
            <w:pPr>
              <w:pStyle w:val="23"/>
            </w:pPr>
            <w:r>
              <w:rPr>
                <w:rFonts w:hint="eastAsia"/>
              </w:rPr>
              <w:t xml:space="preserve">508 </w:t>
            </w:r>
          </w:p>
        </w:tc>
      </w:tr>
      <w:tr w14:paraId="7013DC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224E45F">
            <w:pPr>
              <w:pStyle w:val="23"/>
            </w:pPr>
            <w:r>
              <w:rPr>
                <w:rFonts w:hint="eastAsia"/>
              </w:rPr>
              <w:t>成都市</w:t>
            </w:r>
          </w:p>
        </w:tc>
        <w:tc>
          <w:tcPr>
            <w:tcW w:w="1531" w:type="dxa"/>
            <w:tcBorders>
              <w:tl2br w:val="nil"/>
              <w:tr2bl w:val="nil"/>
            </w:tcBorders>
            <w:shd w:val="clear" w:color="auto" w:fill="FFFFFF"/>
            <w:noWrap/>
            <w:vAlign w:val="center"/>
          </w:tcPr>
          <w:p w14:paraId="2EDB15EE">
            <w:pPr>
              <w:pStyle w:val="23"/>
            </w:pPr>
            <w:r>
              <w:rPr>
                <w:rFonts w:hint="eastAsia"/>
              </w:rPr>
              <w:t>温江区</w:t>
            </w:r>
          </w:p>
        </w:tc>
        <w:tc>
          <w:tcPr>
            <w:tcW w:w="1701" w:type="dxa"/>
            <w:tcBorders>
              <w:tl2br w:val="nil"/>
              <w:tr2bl w:val="nil"/>
            </w:tcBorders>
            <w:shd w:val="clear" w:color="auto" w:fill="FFFFFF"/>
            <w:noWrap/>
            <w:vAlign w:val="center"/>
          </w:tcPr>
          <w:p w14:paraId="42D8F245">
            <w:pPr>
              <w:pStyle w:val="23"/>
            </w:pPr>
            <w:r>
              <w:rPr>
                <w:rFonts w:hint="eastAsia"/>
              </w:rPr>
              <w:t xml:space="preserve">481 </w:t>
            </w:r>
          </w:p>
        </w:tc>
        <w:tc>
          <w:tcPr>
            <w:tcW w:w="1701" w:type="dxa"/>
            <w:tcBorders>
              <w:tl2br w:val="nil"/>
              <w:tr2bl w:val="nil"/>
            </w:tcBorders>
            <w:shd w:val="clear" w:color="auto" w:fill="FFFFFF"/>
            <w:noWrap/>
            <w:vAlign w:val="center"/>
          </w:tcPr>
          <w:p w14:paraId="5BFC6A7E">
            <w:pPr>
              <w:pStyle w:val="23"/>
            </w:pPr>
            <w:r>
              <w:rPr>
                <w:rFonts w:hint="eastAsia"/>
              </w:rPr>
              <w:t xml:space="preserve">20 </w:t>
            </w:r>
          </w:p>
        </w:tc>
        <w:tc>
          <w:tcPr>
            <w:tcW w:w="1701" w:type="dxa"/>
            <w:tcBorders>
              <w:tl2br w:val="nil"/>
              <w:tr2bl w:val="nil"/>
            </w:tcBorders>
            <w:shd w:val="clear" w:color="auto" w:fill="FFFFFF"/>
            <w:noWrap/>
            <w:vAlign w:val="center"/>
          </w:tcPr>
          <w:p w14:paraId="2049D5A0">
            <w:pPr>
              <w:pStyle w:val="23"/>
            </w:pPr>
            <w:r>
              <w:rPr>
                <w:rFonts w:hint="eastAsia"/>
              </w:rPr>
              <w:t xml:space="preserve">501 </w:t>
            </w:r>
          </w:p>
        </w:tc>
      </w:tr>
      <w:tr w14:paraId="4F8484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008FEF85">
            <w:pPr>
              <w:pStyle w:val="23"/>
            </w:pPr>
            <w:r>
              <w:rPr>
                <w:rFonts w:hint="eastAsia"/>
              </w:rPr>
              <w:t>成都市</w:t>
            </w:r>
          </w:p>
        </w:tc>
        <w:tc>
          <w:tcPr>
            <w:tcW w:w="1531" w:type="dxa"/>
            <w:tcBorders>
              <w:tl2br w:val="nil"/>
              <w:tr2bl w:val="nil"/>
            </w:tcBorders>
            <w:shd w:val="clear" w:color="auto" w:fill="FFFFFF"/>
            <w:noWrap/>
            <w:vAlign w:val="center"/>
          </w:tcPr>
          <w:p w14:paraId="610DA6FA">
            <w:pPr>
              <w:pStyle w:val="23"/>
            </w:pPr>
            <w:r>
              <w:rPr>
                <w:rFonts w:hint="eastAsia"/>
              </w:rPr>
              <w:t>崇州市</w:t>
            </w:r>
          </w:p>
        </w:tc>
        <w:tc>
          <w:tcPr>
            <w:tcW w:w="1701" w:type="dxa"/>
            <w:tcBorders>
              <w:tl2br w:val="nil"/>
              <w:tr2bl w:val="nil"/>
            </w:tcBorders>
            <w:shd w:val="clear" w:color="auto" w:fill="FFFFFF"/>
            <w:noWrap/>
            <w:vAlign w:val="center"/>
          </w:tcPr>
          <w:p w14:paraId="53E9E4C6">
            <w:pPr>
              <w:pStyle w:val="23"/>
            </w:pPr>
            <w:r>
              <w:rPr>
                <w:rFonts w:hint="eastAsia"/>
              </w:rPr>
              <w:t xml:space="preserve">471 </w:t>
            </w:r>
          </w:p>
        </w:tc>
        <w:tc>
          <w:tcPr>
            <w:tcW w:w="1701" w:type="dxa"/>
            <w:tcBorders>
              <w:tl2br w:val="nil"/>
              <w:tr2bl w:val="nil"/>
            </w:tcBorders>
            <w:shd w:val="clear" w:color="auto" w:fill="FFFFFF"/>
            <w:noWrap/>
            <w:vAlign w:val="center"/>
          </w:tcPr>
          <w:p w14:paraId="552491C0">
            <w:pPr>
              <w:pStyle w:val="23"/>
            </w:pPr>
            <w:r>
              <w:rPr>
                <w:rFonts w:hint="eastAsia"/>
              </w:rPr>
              <w:t xml:space="preserve">26 </w:t>
            </w:r>
          </w:p>
        </w:tc>
        <w:tc>
          <w:tcPr>
            <w:tcW w:w="1701" w:type="dxa"/>
            <w:tcBorders>
              <w:tl2br w:val="nil"/>
              <w:tr2bl w:val="nil"/>
            </w:tcBorders>
            <w:shd w:val="clear" w:color="auto" w:fill="FFFFFF"/>
            <w:noWrap/>
            <w:vAlign w:val="center"/>
          </w:tcPr>
          <w:p w14:paraId="09D6565A">
            <w:pPr>
              <w:pStyle w:val="23"/>
            </w:pPr>
            <w:r>
              <w:rPr>
                <w:rFonts w:hint="eastAsia"/>
              </w:rPr>
              <w:t xml:space="preserve">497 </w:t>
            </w:r>
          </w:p>
        </w:tc>
      </w:tr>
      <w:tr w14:paraId="666A37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2D2A6EE1">
            <w:pPr>
              <w:pStyle w:val="23"/>
            </w:pPr>
            <w:r>
              <w:rPr>
                <w:rFonts w:hint="eastAsia"/>
              </w:rPr>
              <w:t>资阳市</w:t>
            </w:r>
          </w:p>
        </w:tc>
        <w:tc>
          <w:tcPr>
            <w:tcW w:w="1531" w:type="dxa"/>
            <w:tcBorders>
              <w:tl2br w:val="nil"/>
              <w:tr2bl w:val="nil"/>
            </w:tcBorders>
            <w:shd w:val="clear" w:color="auto" w:fill="FFFFFF"/>
            <w:noWrap/>
            <w:vAlign w:val="center"/>
          </w:tcPr>
          <w:p w14:paraId="2CED4A60">
            <w:pPr>
              <w:pStyle w:val="23"/>
            </w:pPr>
            <w:r>
              <w:rPr>
                <w:rFonts w:hint="eastAsia"/>
              </w:rPr>
              <w:t>安岳县</w:t>
            </w:r>
          </w:p>
        </w:tc>
        <w:tc>
          <w:tcPr>
            <w:tcW w:w="1701" w:type="dxa"/>
            <w:tcBorders>
              <w:tl2br w:val="nil"/>
              <w:tr2bl w:val="nil"/>
            </w:tcBorders>
            <w:shd w:val="clear" w:color="auto" w:fill="FFFFFF"/>
            <w:noWrap/>
            <w:vAlign w:val="center"/>
          </w:tcPr>
          <w:p w14:paraId="5A617758">
            <w:pPr>
              <w:pStyle w:val="23"/>
            </w:pPr>
            <w:r>
              <w:rPr>
                <w:rFonts w:hint="eastAsia"/>
              </w:rPr>
              <w:t xml:space="preserve">433 </w:t>
            </w:r>
          </w:p>
        </w:tc>
        <w:tc>
          <w:tcPr>
            <w:tcW w:w="1701" w:type="dxa"/>
            <w:tcBorders>
              <w:tl2br w:val="nil"/>
              <w:tr2bl w:val="nil"/>
            </w:tcBorders>
            <w:shd w:val="clear" w:color="auto" w:fill="FFFFFF"/>
            <w:noWrap/>
            <w:vAlign w:val="center"/>
          </w:tcPr>
          <w:p w14:paraId="6E652F2C">
            <w:pPr>
              <w:pStyle w:val="23"/>
            </w:pPr>
            <w:r>
              <w:rPr>
                <w:rFonts w:hint="eastAsia"/>
              </w:rPr>
              <w:t xml:space="preserve">17 </w:t>
            </w:r>
          </w:p>
        </w:tc>
        <w:tc>
          <w:tcPr>
            <w:tcW w:w="1701" w:type="dxa"/>
            <w:tcBorders>
              <w:tl2br w:val="nil"/>
              <w:tr2bl w:val="nil"/>
            </w:tcBorders>
            <w:shd w:val="clear" w:color="auto" w:fill="FFFFFF"/>
            <w:noWrap/>
            <w:vAlign w:val="center"/>
          </w:tcPr>
          <w:p w14:paraId="54665B63">
            <w:pPr>
              <w:pStyle w:val="23"/>
            </w:pPr>
            <w:r>
              <w:rPr>
                <w:rFonts w:hint="eastAsia"/>
              </w:rPr>
              <w:t xml:space="preserve">450 </w:t>
            </w:r>
          </w:p>
        </w:tc>
      </w:tr>
      <w:tr w14:paraId="786D5F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63EAC364">
            <w:pPr>
              <w:pStyle w:val="23"/>
            </w:pPr>
            <w:r>
              <w:rPr>
                <w:rFonts w:hint="eastAsia"/>
              </w:rPr>
              <w:t>遂宁市</w:t>
            </w:r>
          </w:p>
        </w:tc>
        <w:tc>
          <w:tcPr>
            <w:tcW w:w="1531" w:type="dxa"/>
            <w:tcBorders>
              <w:tl2br w:val="nil"/>
              <w:tr2bl w:val="nil"/>
            </w:tcBorders>
            <w:shd w:val="clear" w:color="auto" w:fill="FFFFFF"/>
            <w:noWrap/>
            <w:vAlign w:val="center"/>
          </w:tcPr>
          <w:p w14:paraId="6FB357E0">
            <w:pPr>
              <w:pStyle w:val="23"/>
            </w:pPr>
            <w:r>
              <w:rPr>
                <w:rFonts w:hint="eastAsia"/>
              </w:rPr>
              <w:t>船山区</w:t>
            </w:r>
          </w:p>
        </w:tc>
        <w:tc>
          <w:tcPr>
            <w:tcW w:w="1701" w:type="dxa"/>
            <w:tcBorders>
              <w:tl2br w:val="nil"/>
              <w:tr2bl w:val="nil"/>
            </w:tcBorders>
            <w:shd w:val="clear" w:color="auto" w:fill="FFFFFF"/>
            <w:noWrap/>
            <w:vAlign w:val="center"/>
          </w:tcPr>
          <w:p w14:paraId="1C78E342">
            <w:pPr>
              <w:pStyle w:val="23"/>
            </w:pPr>
            <w:r>
              <w:rPr>
                <w:rFonts w:hint="eastAsia"/>
              </w:rPr>
              <w:t xml:space="preserve">389 </w:t>
            </w:r>
          </w:p>
        </w:tc>
        <w:tc>
          <w:tcPr>
            <w:tcW w:w="1701" w:type="dxa"/>
            <w:tcBorders>
              <w:tl2br w:val="nil"/>
              <w:tr2bl w:val="nil"/>
            </w:tcBorders>
            <w:shd w:val="clear" w:color="auto" w:fill="FFFFFF"/>
            <w:noWrap/>
            <w:vAlign w:val="center"/>
          </w:tcPr>
          <w:p w14:paraId="6C48B384">
            <w:pPr>
              <w:pStyle w:val="23"/>
            </w:pPr>
            <w:r>
              <w:rPr>
                <w:rFonts w:hint="eastAsia"/>
              </w:rPr>
              <w:t xml:space="preserve">21 </w:t>
            </w:r>
          </w:p>
        </w:tc>
        <w:tc>
          <w:tcPr>
            <w:tcW w:w="1701" w:type="dxa"/>
            <w:tcBorders>
              <w:tl2br w:val="nil"/>
              <w:tr2bl w:val="nil"/>
            </w:tcBorders>
            <w:shd w:val="clear" w:color="auto" w:fill="FFFFFF"/>
            <w:noWrap/>
            <w:vAlign w:val="center"/>
          </w:tcPr>
          <w:p w14:paraId="738452B3">
            <w:pPr>
              <w:pStyle w:val="23"/>
            </w:pPr>
            <w:r>
              <w:rPr>
                <w:rFonts w:hint="eastAsia"/>
              </w:rPr>
              <w:t xml:space="preserve">410 </w:t>
            </w:r>
          </w:p>
        </w:tc>
      </w:tr>
      <w:tr w14:paraId="5AFA8A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32E0A573">
            <w:pPr>
              <w:pStyle w:val="23"/>
            </w:pPr>
            <w:r>
              <w:rPr>
                <w:rFonts w:hint="eastAsia"/>
              </w:rPr>
              <w:t>成都市</w:t>
            </w:r>
          </w:p>
        </w:tc>
        <w:tc>
          <w:tcPr>
            <w:tcW w:w="1531" w:type="dxa"/>
            <w:tcBorders>
              <w:tl2br w:val="nil"/>
              <w:tr2bl w:val="nil"/>
            </w:tcBorders>
            <w:shd w:val="clear" w:color="auto" w:fill="FFFFFF"/>
            <w:noWrap/>
            <w:vAlign w:val="center"/>
          </w:tcPr>
          <w:p w14:paraId="7F0A89B3">
            <w:pPr>
              <w:pStyle w:val="23"/>
            </w:pPr>
            <w:r>
              <w:rPr>
                <w:rFonts w:hint="eastAsia"/>
              </w:rPr>
              <w:t>彭州市</w:t>
            </w:r>
          </w:p>
        </w:tc>
        <w:tc>
          <w:tcPr>
            <w:tcW w:w="1701" w:type="dxa"/>
            <w:tcBorders>
              <w:tl2br w:val="nil"/>
              <w:tr2bl w:val="nil"/>
            </w:tcBorders>
            <w:shd w:val="clear" w:color="auto" w:fill="FFFFFF"/>
            <w:noWrap/>
            <w:vAlign w:val="center"/>
          </w:tcPr>
          <w:p w14:paraId="38299670">
            <w:pPr>
              <w:pStyle w:val="23"/>
            </w:pPr>
            <w:r>
              <w:rPr>
                <w:rFonts w:hint="eastAsia"/>
              </w:rPr>
              <w:t xml:space="preserve">375 </w:t>
            </w:r>
          </w:p>
        </w:tc>
        <w:tc>
          <w:tcPr>
            <w:tcW w:w="1701" w:type="dxa"/>
            <w:tcBorders>
              <w:tl2br w:val="nil"/>
              <w:tr2bl w:val="nil"/>
            </w:tcBorders>
            <w:shd w:val="clear" w:color="auto" w:fill="FFFFFF"/>
            <w:noWrap/>
            <w:vAlign w:val="center"/>
          </w:tcPr>
          <w:p w14:paraId="43670C29">
            <w:pPr>
              <w:pStyle w:val="23"/>
            </w:pPr>
            <w:r>
              <w:rPr>
                <w:rFonts w:hint="eastAsia"/>
              </w:rPr>
              <w:t xml:space="preserve">32 </w:t>
            </w:r>
          </w:p>
        </w:tc>
        <w:tc>
          <w:tcPr>
            <w:tcW w:w="1701" w:type="dxa"/>
            <w:tcBorders>
              <w:tl2br w:val="nil"/>
              <w:tr2bl w:val="nil"/>
            </w:tcBorders>
            <w:shd w:val="clear" w:color="auto" w:fill="FFFFFF"/>
            <w:noWrap/>
            <w:vAlign w:val="center"/>
          </w:tcPr>
          <w:p w14:paraId="66FE6C31">
            <w:pPr>
              <w:pStyle w:val="23"/>
            </w:pPr>
            <w:r>
              <w:rPr>
                <w:rFonts w:hint="eastAsia"/>
              </w:rPr>
              <w:t xml:space="preserve">407 </w:t>
            </w:r>
          </w:p>
        </w:tc>
      </w:tr>
      <w:tr w14:paraId="56AB16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08B5D2EC">
            <w:pPr>
              <w:pStyle w:val="23"/>
            </w:pPr>
            <w:r>
              <w:rPr>
                <w:rFonts w:hint="eastAsia"/>
              </w:rPr>
              <w:t>成都市</w:t>
            </w:r>
          </w:p>
        </w:tc>
        <w:tc>
          <w:tcPr>
            <w:tcW w:w="1531" w:type="dxa"/>
            <w:tcBorders>
              <w:tl2br w:val="nil"/>
              <w:tr2bl w:val="nil"/>
            </w:tcBorders>
            <w:shd w:val="clear" w:color="auto" w:fill="FFFFFF"/>
            <w:noWrap/>
            <w:vAlign w:val="center"/>
          </w:tcPr>
          <w:p w14:paraId="2E76470C">
            <w:pPr>
              <w:pStyle w:val="23"/>
            </w:pPr>
            <w:r>
              <w:rPr>
                <w:rFonts w:hint="eastAsia"/>
              </w:rPr>
              <w:t>青白江区</w:t>
            </w:r>
          </w:p>
        </w:tc>
        <w:tc>
          <w:tcPr>
            <w:tcW w:w="1701" w:type="dxa"/>
            <w:tcBorders>
              <w:tl2br w:val="nil"/>
              <w:tr2bl w:val="nil"/>
            </w:tcBorders>
            <w:shd w:val="clear" w:color="auto" w:fill="FFFFFF"/>
            <w:noWrap/>
            <w:vAlign w:val="center"/>
          </w:tcPr>
          <w:p w14:paraId="353B6DC9">
            <w:pPr>
              <w:pStyle w:val="23"/>
            </w:pPr>
            <w:r>
              <w:rPr>
                <w:rFonts w:hint="eastAsia"/>
              </w:rPr>
              <w:t xml:space="preserve">332 </w:t>
            </w:r>
          </w:p>
        </w:tc>
        <w:tc>
          <w:tcPr>
            <w:tcW w:w="1701" w:type="dxa"/>
            <w:tcBorders>
              <w:tl2br w:val="nil"/>
              <w:tr2bl w:val="nil"/>
            </w:tcBorders>
            <w:shd w:val="clear" w:color="auto" w:fill="FFFFFF"/>
            <w:noWrap/>
            <w:vAlign w:val="center"/>
          </w:tcPr>
          <w:p w14:paraId="2B449FCA">
            <w:pPr>
              <w:pStyle w:val="23"/>
            </w:pPr>
            <w:r>
              <w:rPr>
                <w:rFonts w:hint="eastAsia"/>
              </w:rPr>
              <w:t xml:space="preserve">23 </w:t>
            </w:r>
          </w:p>
        </w:tc>
        <w:tc>
          <w:tcPr>
            <w:tcW w:w="1701" w:type="dxa"/>
            <w:tcBorders>
              <w:tl2br w:val="nil"/>
              <w:tr2bl w:val="nil"/>
            </w:tcBorders>
            <w:shd w:val="clear" w:color="auto" w:fill="FFFFFF"/>
            <w:noWrap/>
            <w:vAlign w:val="center"/>
          </w:tcPr>
          <w:p w14:paraId="36C9FAFB">
            <w:pPr>
              <w:pStyle w:val="23"/>
            </w:pPr>
            <w:r>
              <w:rPr>
                <w:rFonts w:hint="eastAsia"/>
              </w:rPr>
              <w:t xml:space="preserve">355 </w:t>
            </w:r>
          </w:p>
        </w:tc>
      </w:tr>
      <w:tr w14:paraId="026A3D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706C6E1B">
            <w:pPr>
              <w:pStyle w:val="23"/>
            </w:pPr>
            <w:r>
              <w:rPr>
                <w:rFonts w:hint="eastAsia"/>
              </w:rPr>
              <w:t>成都市</w:t>
            </w:r>
          </w:p>
        </w:tc>
        <w:tc>
          <w:tcPr>
            <w:tcW w:w="1531" w:type="dxa"/>
            <w:tcBorders>
              <w:tl2br w:val="nil"/>
              <w:tr2bl w:val="nil"/>
            </w:tcBorders>
            <w:shd w:val="clear" w:color="auto" w:fill="FFFFFF"/>
            <w:noWrap/>
            <w:vAlign w:val="center"/>
          </w:tcPr>
          <w:p w14:paraId="539D6FA1">
            <w:pPr>
              <w:pStyle w:val="23"/>
            </w:pPr>
            <w:r>
              <w:rPr>
                <w:rFonts w:hint="eastAsia"/>
              </w:rPr>
              <w:t>简阳市</w:t>
            </w:r>
          </w:p>
        </w:tc>
        <w:tc>
          <w:tcPr>
            <w:tcW w:w="1701" w:type="dxa"/>
            <w:tcBorders>
              <w:tl2br w:val="nil"/>
              <w:tr2bl w:val="nil"/>
            </w:tcBorders>
            <w:shd w:val="clear" w:color="auto" w:fill="FFFFFF"/>
            <w:noWrap/>
            <w:vAlign w:val="center"/>
          </w:tcPr>
          <w:p w14:paraId="0C2F36FE">
            <w:pPr>
              <w:pStyle w:val="23"/>
            </w:pPr>
            <w:r>
              <w:rPr>
                <w:rFonts w:hint="eastAsia"/>
              </w:rPr>
              <w:t xml:space="preserve">340 </w:t>
            </w:r>
          </w:p>
        </w:tc>
        <w:tc>
          <w:tcPr>
            <w:tcW w:w="1701" w:type="dxa"/>
            <w:tcBorders>
              <w:tl2br w:val="nil"/>
              <w:tr2bl w:val="nil"/>
            </w:tcBorders>
            <w:shd w:val="clear" w:color="auto" w:fill="FFFFFF"/>
            <w:noWrap/>
            <w:vAlign w:val="center"/>
          </w:tcPr>
          <w:p w14:paraId="4D27FEBF">
            <w:pPr>
              <w:pStyle w:val="23"/>
            </w:pPr>
            <w:r>
              <w:rPr>
                <w:rFonts w:hint="eastAsia"/>
              </w:rPr>
              <w:t xml:space="preserve">15 </w:t>
            </w:r>
          </w:p>
        </w:tc>
        <w:tc>
          <w:tcPr>
            <w:tcW w:w="1701" w:type="dxa"/>
            <w:tcBorders>
              <w:tl2br w:val="nil"/>
              <w:tr2bl w:val="nil"/>
            </w:tcBorders>
            <w:shd w:val="clear" w:color="auto" w:fill="FFFFFF"/>
            <w:noWrap/>
            <w:vAlign w:val="center"/>
          </w:tcPr>
          <w:p w14:paraId="04FDB2EA">
            <w:pPr>
              <w:pStyle w:val="23"/>
            </w:pPr>
            <w:r>
              <w:rPr>
                <w:rFonts w:hint="eastAsia"/>
              </w:rPr>
              <w:t xml:space="preserve">355 </w:t>
            </w:r>
          </w:p>
        </w:tc>
      </w:tr>
      <w:tr w14:paraId="103D46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62C5E8D1">
            <w:pPr>
              <w:pStyle w:val="23"/>
            </w:pPr>
            <w:r>
              <w:rPr>
                <w:rFonts w:hint="eastAsia"/>
              </w:rPr>
              <w:t>内江市</w:t>
            </w:r>
          </w:p>
        </w:tc>
        <w:tc>
          <w:tcPr>
            <w:tcW w:w="1531" w:type="dxa"/>
            <w:tcBorders>
              <w:tl2br w:val="nil"/>
              <w:tr2bl w:val="nil"/>
            </w:tcBorders>
            <w:shd w:val="clear" w:color="auto" w:fill="FFFFFF"/>
            <w:noWrap/>
            <w:vAlign w:val="center"/>
          </w:tcPr>
          <w:p w14:paraId="3DB8C8C6">
            <w:pPr>
              <w:pStyle w:val="23"/>
            </w:pPr>
            <w:r>
              <w:rPr>
                <w:rFonts w:hint="eastAsia"/>
              </w:rPr>
              <w:t>市中区</w:t>
            </w:r>
          </w:p>
        </w:tc>
        <w:tc>
          <w:tcPr>
            <w:tcW w:w="1701" w:type="dxa"/>
            <w:tcBorders>
              <w:tl2br w:val="nil"/>
              <w:tr2bl w:val="nil"/>
            </w:tcBorders>
            <w:shd w:val="clear" w:color="auto" w:fill="FFFFFF"/>
            <w:noWrap/>
            <w:vAlign w:val="center"/>
          </w:tcPr>
          <w:p w14:paraId="4A3FF858">
            <w:pPr>
              <w:pStyle w:val="23"/>
            </w:pPr>
            <w:r>
              <w:rPr>
                <w:rFonts w:hint="eastAsia"/>
              </w:rPr>
              <w:t xml:space="preserve">331 </w:t>
            </w:r>
          </w:p>
        </w:tc>
        <w:tc>
          <w:tcPr>
            <w:tcW w:w="1701" w:type="dxa"/>
            <w:tcBorders>
              <w:tl2br w:val="nil"/>
              <w:tr2bl w:val="nil"/>
            </w:tcBorders>
            <w:shd w:val="clear" w:color="auto" w:fill="FFFFFF"/>
            <w:noWrap/>
            <w:vAlign w:val="center"/>
          </w:tcPr>
          <w:p w14:paraId="5664CBD2">
            <w:pPr>
              <w:pStyle w:val="23"/>
            </w:pPr>
            <w:r>
              <w:rPr>
                <w:rFonts w:hint="eastAsia"/>
              </w:rPr>
              <w:t xml:space="preserve">19 </w:t>
            </w:r>
          </w:p>
        </w:tc>
        <w:tc>
          <w:tcPr>
            <w:tcW w:w="1701" w:type="dxa"/>
            <w:tcBorders>
              <w:tl2br w:val="nil"/>
              <w:tr2bl w:val="nil"/>
            </w:tcBorders>
            <w:shd w:val="clear" w:color="auto" w:fill="FFFFFF"/>
            <w:noWrap/>
            <w:vAlign w:val="center"/>
          </w:tcPr>
          <w:p w14:paraId="75BB6F75">
            <w:pPr>
              <w:pStyle w:val="23"/>
            </w:pPr>
            <w:r>
              <w:rPr>
                <w:rFonts w:hint="eastAsia"/>
              </w:rPr>
              <w:t xml:space="preserve">350 </w:t>
            </w:r>
          </w:p>
        </w:tc>
      </w:tr>
      <w:tr w14:paraId="34C525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1" w:type="dxa"/>
            <w:tcBorders>
              <w:tl2br w:val="nil"/>
              <w:tr2bl w:val="nil"/>
            </w:tcBorders>
            <w:shd w:val="clear" w:color="auto" w:fill="FFFFFF"/>
            <w:noWrap/>
            <w:vAlign w:val="center"/>
          </w:tcPr>
          <w:p w14:paraId="59EE4528">
            <w:pPr>
              <w:pStyle w:val="23"/>
            </w:pPr>
            <w:r>
              <w:rPr>
                <w:rFonts w:hint="eastAsia"/>
              </w:rPr>
              <w:t>成都市</w:t>
            </w:r>
          </w:p>
        </w:tc>
        <w:tc>
          <w:tcPr>
            <w:tcW w:w="1531" w:type="dxa"/>
            <w:tcBorders>
              <w:tl2br w:val="nil"/>
              <w:tr2bl w:val="nil"/>
            </w:tcBorders>
            <w:shd w:val="clear" w:color="auto" w:fill="FFFFFF"/>
            <w:noWrap/>
            <w:vAlign w:val="center"/>
          </w:tcPr>
          <w:p w14:paraId="144542B2">
            <w:pPr>
              <w:pStyle w:val="23"/>
            </w:pPr>
            <w:r>
              <w:rPr>
                <w:rFonts w:hint="eastAsia"/>
              </w:rPr>
              <w:t>武侯区</w:t>
            </w:r>
          </w:p>
        </w:tc>
        <w:tc>
          <w:tcPr>
            <w:tcW w:w="1701" w:type="dxa"/>
            <w:tcBorders>
              <w:tl2br w:val="nil"/>
              <w:tr2bl w:val="nil"/>
            </w:tcBorders>
            <w:shd w:val="clear" w:color="auto" w:fill="FFFFFF"/>
            <w:noWrap/>
            <w:vAlign w:val="center"/>
          </w:tcPr>
          <w:p w14:paraId="503E6E68">
            <w:pPr>
              <w:pStyle w:val="23"/>
            </w:pPr>
            <w:r>
              <w:rPr>
                <w:rFonts w:hint="eastAsia"/>
              </w:rPr>
              <w:t xml:space="preserve">330 </w:t>
            </w:r>
          </w:p>
        </w:tc>
        <w:tc>
          <w:tcPr>
            <w:tcW w:w="1701" w:type="dxa"/>
            <w:tcBorders>
              <w:tl2br w:val="nil"/>
              <w:tr2bl w:val="nil"/>
            </w:tcBorders>
            <w:shd w:val="clear" w:color="auto" w:fill="FFFFFF"/>
            <w:noWrap/>
            <w:vAlign w:val="center"/>
          </w:tcPr>
          <w:p w14:paraId="136A8EED">
            <w:pPr>
              <w:pStyle w:val="23"/>
            </w:pPr>
            <w:r>
              <w:rPr>
                <w:rFonts w:hint="eastAsia"/>
              </w:rPr>
              <w:t xml:space="preserve">9 </w:t>
            </w:r>
          </w:p>
        </w:tc>
        <w:tc>
          <w:tcPr>
            <w:tcW w:w="1701" w:type="dxa"/>
            <w:tcBorders>
              <w:tl2br w:val="nil"/>
              <w:tr2bl w:val="nil"/>
            </w:tcBorders>
            <w:shd w:val="clear" w:color="auto" w:fill="FFFFFF"/>
            <w:noWrap/>
            <w:vAlign w:val="center"/>
          </w:tcPr>
          <w:p w14:paraId="7B13A07C">
            <w:pPr>
              <w:pStyle w:val="23"/>
            </w:pPr>
            <w:r>
              <w:rPr>
                <w:rFonts w:hint="eastAsia"/>
              </w:rPr>
              <w:t xml:space="preserve">339 </w:t>
            </w:r>
          </w:p>
        </w:tc>
      </w:tr>
    </w:tbl>
    <w:p w14:paraId="11DBF74B">
      <w:pPr>
        <w:ind w:firstLine="560"/>
      </w:pPr>
    </w:p>
    <w:p w14:paraId="78EFFF9D">
      <w:pPr>
        <w:pStyle w:val="4"/>
        <w:ind w:firstLine="562"/>
      </w:pPr>
      <w:r>
        <w:rPr>
          <w:rFonts w:hint="eastAsia"/>
        </w:rPr>
        <w:t>普通公路网络体系持续完善</w:t>
      </w:r>
    </w:p>
    <w:p w14:paraId="2A2E2D16">
      <w:pPr>
        <w:ind w:firstLine="560"/>
        <w:rPr>
          <w:highlight w:val="none"/>
        </w:rPr>
      </w:pPr>
      <w:r>
        <w:rPr>
          <w:rFonts w:hint="eastAsia"/>
          <w:lang w:val="en-US" w:eastAsia="zh-CN"/>
        </w:rPr>
        <w:t>从</w:t>
      </w:r>
      <w:r>
        <w:rPr>
          <w:rFonts w:hint="eastAsia"/>
        </w:rPr>
        <w:t>项目建设成效</w:t>
      </w:r>
      <w:r>
        <w:rPr>
          <w:rFonts w:hint="eastAsia"/>
          <w:lang w:val="en-US" w:eastAsia="zh-CN"/>
        </w:rPr>
        <w:t>看，</w:t>
      </w:r>
      <w:r>
        <w:rPr>
          <w:rFonts w:hint="eastAsia"/>
        </w:rPr>
        <w:t>普通国省干线公路建设稳步推进，G248红原县城过境段公路改建工程加快实施，S313红原县阿木乡至松潘县草原村段改建工程有序推进，干线路网通行能力和服务水平持续提升。农村公路建设扎实推进，实施幸福美丽乡村路、建制村通畅提升工程、资源产业路等一批重</w:t>
      </w:r>
      <w:r>
        <w:rPr>
          <w:rFonts w:hint="eastAsia"/>
          <w:highlight w:val="none"/>
        </w:rPr>
        <w:t>点项目，累计新改建农村公路108.399公里，实施安防工程4.75公里，改造危桥7座，完成10个乡镇村内道路提升，自然村组通硬化路2.727公里，农村地区交通条件明显改善。县、乡、村三级公路网络进一步健全，路网覆盖深度和通达水平持续提升。</w:t>
      </w:r>
    </w:p>
    <w:p w14:paraId="494DE5B2">
      <w:pPr>
        <w:ind w:firstLine="560"/>
        <w:rPr>
          <w:rFonts w:hint="eastAsia"/>
        </w:rPr>
      </w:pPr>
      <w:r>
        <w:rPr>
          <w:rFonts w:hint="eastAsia"/>
        </w:rPr>
        <w:t>从普通公路</w:t>
      </w:r>
      <w:r>
        <w:rPr>
          <w:rFonts w:hint="eastAsia"/>
          <w:lang w:val="en-US" w:eastAsia="zh-CN"/>
        </w:rPr>
        <w:t>行政</w:t>
      </w:r>
      <w:r>
        <w:rPr>
          <w:rFonts w:hint="eastAsia"/>
        </w:rPr>
        <w:t>等级看，</w:t>
      </w:r>
      <w:r>
        <w:rPr>
          <w:rFonts w:hint="eastAsia"/>
          <w:lang w:eastAsia="zh-CN"/>
        </w:rPr>
        <w:t>截至2025年底，红原县</w:t>
      </w:r>
      <w:r>
        <w:rPr>
          <w:rFonts w:hint="eastAsia"/>
          <w:lang w:val="en-US" w:eastAsia="zh-CN"/>
        </w:rPr>
        <w:t>境内</w:t>
      </w:r>
      <w:r>
        <w:rPr>
          <w:rFonts w:hint="eastAsia"/>
          <w:lang w:eastAsia="zh-CN"/>
        </w:rPr>
        <w:t>公路总里程达1</w:t>
      </w:r>
      <w:r>
        <w:rPr>
          <w:rFonts w:hint="eastAsia"/>
          <w:lang w:val="en-US" w:eastAsia="zh-CN"/>
        </w:rPr>
        <w:t>525.05</w:t>
      </w:r>
      <w:r>
        <w:rPr>
          <w:rFonts w:hint="eastAsia"/>
          <w:lang w:eastAsia="zh-CN"/>
        </w:rPr>
        <w:t>公里，较2020年底增加</w:t>
      </w:r>
      <w:r>
        <w:rPr>
          <w:rFonts w:hint="eastAsia"/>
          <w:lang w:val="en-US" w:eastAsia="zh-CN"/>
        </w:rPr>
        <w:t>187.06</w:t>
      </w:r>
      <w:r>
        <w:rPr>
          <w:rFonts w:hint="eastAsia"/>
          <w:lang w:eastAsia="zh-CN"/>
        </w:rPr>
        <w:t>公里，增长</w:t>
      </w:r>
      <w:r>
        <w:rPr>
          <w:rFonts w:hint="eastAsia"/>
          <w:lang w:val="en-US" w:eastAsia="zh-CN"/>
        </w:rPr>
        <w:t>14</w:t>
      </w:r>
      <w:r>
        <w:rPr>
          <w:rFonts w:hint="eastAsia"/>
          <w:lang w:eastAsia="zh-CN"/>
        </w:rPr>
        <w:t>%。从行政等级看，国道里程达262.04公里（</w:t>
      </w:r>
      <w:r>
        <w:rPr>
          <w:rFonts w:hint="eastAsia"/>
          <w:lang w:val="en-US" w:eastAsia="zh-CN"/>
        </w:rPr>
        <w:t>G</w:t>
      </w:r>
      <w:r>
        <w:rPr>
          <w:rFonts w:hint="eastAsia"/>
          <w:lang w:eastAsia="zh-CN"/>
        </w:rPr>
        <w:t>248：169.77</w:t>
      </w:r>
      <w:r>
        <w:rPr>
          <w:rFonts w:hint="eastAsia"/>
          <w:lang w:val="en-US" w:eastAsia="zh-CN"/>
        </w:rPr>
        <w:t>公里</w:t>
      </w:r>
      <w:r>
        <w:rPr>
          <w:rFonts w:hint="eastAsia"/>
          <w:lang w:eastAsia="zh-CN"/>
        </w:rPr>
        <w:t>，</w:t>
      </w:r>
      <w:r>
        <w:rPr>
          <w:rFonts w:hint="eastAsia"/>
          <w:lang w:val="en-US" w:eastAsia="zh-CN"/>
        </w:rPr>
        <w:t>G</w:t>
      </w:r>
      <w:r>
        <w:rPr>
          <w:rFonts w:hint="eastAsia"/>
          <w:lang w:eastAsia="zh-CN"/>
        </w:rPr>
        <w:t>347：80.374公里，</w:t>
      </w:r>
      <w:r>
        <w:rPr>
          <w:rFonts w:hint="eastAsia"/>
          <w:lang w:val="en-US" w:eastAsia="zh-CN"/>
        </w:rPr>
        <w:t>G</w:t>
      </w:r>
      <w:r>
        <w:rPr>
          <w:rFonts w:hint="eastAsia"/>
          <w:lang w:eastAsia="zh-CN"/>
        </w:rPr>
        <w:t>213：11.91公里），较2020年底增加</w:t>
      </w:r>
      <w:r>
        <w:rPr>
          <w:rFonts w:hint="eastAsia"/>
          <w:lang w:val="en-US" w:eastAsia="zh-CN"/>
        </w:rPr>
        <w:t>66.88</w:t>
      </w:r>
      <w:r>
        <w:rPr>
          <w:rFonts w:hint="eastAsia"/>
          <w:lang w:eastAsia="zh-CN"/>
        </w:rPr>
        <w:t>公里，增长</w:t>
      </w:r>
      <w:r>
        <w:rPr>
          <w:rFonts w:hint="eastAsia"/>
          <w:lang w:val="en-US" w:eastAsia="zh-CN"/>
        </w:rPr>
        <w:t>34</w:t>
      </w:r>
      <w:r>
        <w:rPr>
          <w:rFonts w:hint="eastAsia"/>
          <w:lang w:eastAsia="zh-CN"/>
        </w:rPr>
        <w:t>%；省道里程达250.03公里（</w:t>
      </w:r>
      <w:r>
        <w:rPr>
          <w:rFonts w:hint="eastAsia"/>
          <w:lang w:val="en-US" w:eastAsia="zh-CN"/>
        </w:rPr>
        <w:t>S</w:t>
      </w:r>
      <w:r>
        <w:rPr>
          <w:rFonts w:hint="eastAsia"/>
          <w:lang w:eastAsia="zh-CN"/>
        </w:rPr>
        <w:t>217：102.615公里，</w:t>
      </w:r>
      <w:r>
        <w:rPr>
          <w:rFonts w:hint="eastAsia"/>
          <w:lang w:val="en-US" w:eastAsia="zh-CN"/>
        </w:rPr>
        <w:t>S</w:t>
      </w:r>
      <w:r>
        <w:rPr>
          <w:rFonts w:hint="eastAsia"/>
          <w:lang w:eastAsia="zh-CN"/>
        </w:rPr>
        <w:t>313：52公里，</w:t>
      </w:r>
      <w:r>
        <w:rPr>
          <w:rFonts w:hint="eastAsia"/>
          <w:lang w:val="en-US" w:eastAsia="zh-CN"/>
        </w:rPr>
        <w:t>S</w:t>
      </w:r>
      <w:r>
        <w:rPr>
          <w:rFonts w:hint="eastAsia"/>
          <w:lang w:eastAsia="zh-CN"/>
        </w:rPr>
        <w:t>301：95.418公里），增加</w:t>
      </w:r>
      <w:r>
        <w:rPr>
          <w:rFonts w:hint="eastAsia"/>
          <w:lang w:val="en-US" w:eastAsia="zh-CN"/>
        </w:rPr>
        <w:t>81.93</w:t>
      </w:r>
      <w:r>
        <w:rPr>
          <w:rFonts w:hint="eastAsia"/>
          <w:lang w:eastAsia="zh-CN"/>
        </w:rPr>
        <w:t>公里，增长</w:t>
      </w:r>
      <w:r>
        <w:rPr>
          <w:rFonts w:hint="eastAsia"/>
          <w:lang w:val="en-US" w:eastAsia="zh-CN"/>
        </w:rPr>
        <w:t>49</w:t>
      </w:r>
      <w:r>
        <w:rPr>
          <w:rFonts w:hint="eastAsia"/>
          <w:lang w:eastAsia="zh-CN"/>
        </w:rPr>
        <w:t>%，普通干线公路对外联通和县域骨架支撑作用进一步增强。县道里程保持260.996公里，乡道、村道分别为244.54公里和507.43公里，村道较2020年底增加40.08公里，增长9%，农村公路网络持续完善。</w:t>
      </w:r>
    </w:p>
    <w:p w14:paraId="404F9DB9">
      <w:pPr>
        <w:pStyle w:val="25"/>
      </w:pPr>
      <w:r>
        <w:t xml:space="preserve">表 </w:t>
      </w:r>
      <w:r>
        <w:fldChar w:fldCharType="begin"/>
      </w:r>
      <w:r>
        <w:instrText xml:space="preserve"> SEQ 表 \* ARABIC </w:instrText>
      </w:r>
      <w:r>
        <w:fldChar w:fldCharType="separate"/>
      </w:r>
      <w:r>
        <w:t>7</w:t>
      </w:r>
      <w:r>
        <w:fldChar w:fldCharType="end"/>
      </w:r>
      <w:r>
        <w:rPr>
          <w:rFonts w:hint="eastAsia"/>
        </w:rPr>
        <w:t xml:space="preserve"> 红原县</w:t>
      </w:r>
      <w:r>
        <w:rPr>
          <w:rFonts w:hint="eastAsia"/>
          <w:lang w:val="en-US" w:eastAsia="zh-CN"/>
        </w:rPr>
        <w:t>境内</w:t>
      </w:r>
      <w:r>
        <w:rPr>
          <w:rFonts w:hint="eastAsia"/>
        </w:rPr>
        <w:t>公路通车里程与“十三五”对比</w:t>
      </w:r>
    </w:p>
    <w:tbl>
      <w:tblPr>
        <w:tblStyle w:val="18"/>
        <w:tblW w:w="8338" w:type="dxa"/>
        <w:jc w:val="center"/>
        <w:tblLayout w:type="fixed"/>
        <w:tblCellMar>
          <w:top w:w="0" w:type="dxa"/>
          <w:left w:w="108" w:type="dxa"/>
          <w:bottom w:w="0" w:type="dxa"/>
          <w:right w:w="108" w:type="dxa"/>
        </w:tblCellMar>
      </w:tblPr>
      <w:tblGrid>
        <w:gridCol w:w="1309"/>
        <w:gridCol w:w="1417"/>
        <w:gridCol w:w="1417"/>
        <w:gridCol w:w="1417"/>
        <w:gridCol w:w="1417"/>
        <w:gridCol w:w="1361"/>
      </w:tblGrid>
      <w:tr w14:paraId="264BDDD2">
        <w:tblPrEx>
          <w:tblCellMar>
            <w:top w:w="0" w:type="dxa"/>
            <w:left w:w="108" w:type="dxa"/>
            <w:bottom w:w="0" w:type="dxa"/>
            <w:right w:w="108" w:type="dxa"/>
          </w:tblCellMar>
        </w:tblPrEx>
        <w:trPr>
          <w:trHeight w:val="397" w:hRule="atLeast"/>
          <w:jc w:val="center"/>
        </w:trPr>
        <w:tc>
          <w:tcPr>
            <w:tcW w:w="2726" w:type="dxa"/>
            <w:gridSpan w:val="2"/>
            <w:tcBorders>
              <w:top w:val="single" w:color="000000" w:sz="12" w:space="0"/>
              <w:left w:val="nil"/>
              <w:bottom w:val="single" w:color="000000" w:sz="8" w:space="0"/>
              <w:right w:val="single" w:color="000000" w:sz="4" w:space="0"/>
            </w:tcBorders>
            <w:shd w:val="clear" w:color="auto" w:fill="FFFFFF"/>
            <w:noWrap/>
            <w:vAlign w:val="center"/>
          </w:tcPr>
          <w:p w14:paraId="4962A14A">
            <w:pPr>
              <w:pStyle w:val="24"/>
              <w:rPr>
                <w:rFonts w:eastAsia="仿宋_GB2312"/>
              </w:rPr>
            </w:pPr>
            <w:r>
              <w:rPr>
                <w:rFonts w:hint="eastAsia"/>
              </w:rPr>
              <w:t>类别</w:t>
            </w:r>
          </w:p>
        </w:tc>
        <w:tc>
          <w:tcPr>
            <w:tcW w:w="1417"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67D280FA">
            <w:pPr>
              <w:pStyle w:val="24"/>
            </w:pPr>
            <w:r>
              <w:rPr>
                <w:rFonts w:hint="eastAsia"/>
              </w:rPr>
              <w:t>2025年底</w:t>
            </w:r>
          </w:p>
          <w:p w14:paraId="11AAE2A5">
            <w:pPr>
              <w:pStyle w:val="24"/>
            </w:pPr>
            <w:r>
              <w:rPr>
                <w:rFonts w:hint="eastAsia"/>
              </w:rPr>
              <w:t>（公里）</w:t>
            </w:r>
          </w:p>
        </w:tc>
        <w:tc>
          <w:tcPr>
            <w:tcW w:w="1417"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63C59607">
            <w:pPr>
              <w:pStyle w:val="24"/>
            </w:pPr>
            <w:r>
              <w:rPr>
                <w:rFonts w:hint="eastAsia"/>
              </w:rPr>
              <w:t>2020年底</w:t>
            </w:r>
          </w:p>
          <w:p w14:paraId="2E196C53">
            <w:pPr>
              <w:pStyle w:val="24"/>
            </w:pPr>
            <w:r>
              <w:rPr>
                <w:rFonts w:hint="eastAsia"/>
              </w:rPr>
              <w:t>（公里）</w:t>
            </w:r>
          </w:p>
        </w:tc>
        <w:tc>
          <w:tcPr>
            <w:tcW w:w="1417"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205D8791">
            <w:pPr>
              <w:pStyle w:val="24"/>
            </w:pPr>
            <w:r>
              <w:rPr>
                <w:rFonts w:hint="eastAsia"/>
              </w:rPr>
              <w:t>增长里程</w:t>
            </w:r>
          </w:p>
          <w:p w14:paraId="3F26903B">
            <w:pPr>
              <w:pStyle w:val="24"/>
            </w:pPr>
            <w:r>
              <w:rPr>
                <w:rFonts w:hint="eastAsia"/>
              </w:rPr>
              <w:t>（公里）</w:t>
            </w:r>
          </w:p>
        </w:tc>
        <w:tc>
          <w:tcPr>
            <w:tcW w:w="1361" w:type="dxa"/>
            <w:tcBorders>
              <w:top w:val="single" w:color="000000" w:sz="12" w:space="0"/>
              <w:left w:val="single" w:color="000000" w:sz="4" w:space="0"/>
              <w:bottom w:val="single" w:color="000000" w:sz="8" w:space="0"/>
              <w:right w:val="nil"/>
            </w:tcBorders>
            <w:shd w:val="clear" w:color="auto" w:fill="FFFFFF"/>
            <w:noWrap/>
            <w:vAlign w:val="center"/>
          </w:tcPr>
          <w:p w14:paraId="4577F702">
            <w:pPr>
              <w:pStyle w:val="24"/>
            </w:pPr>
            <w:r>
              <w:rPr>
                <w:rFonts w:hint="eastAsia"/>
              </w:rPr>
              <w:t>增长率</w:t>
            </w:r>
          </w:p>
        </w:tc>
      </w:tr>
      <w:tr w14:paraId="42CC378E">
        <w:tblPrEx>
          <w:tblCellMar>
            <w:top w:w="0" w:type="dxa"/>
            <w:left w:w="108" w:type="dxa"/>
            <w:bottom w:w="0" w:type="dxa"/>
            <w:right w:w="108" w:type="dxa"/>
          </w:tblCellMar>
        </w:tblPrEx>
        <w:trPr>
          <w:trHeight w:val="397" w:hRule="atLeast"/>
          <w:jc w:val="center"/>
        </w:trPr>
        <w:tc>
          <w:tcPr>
            <w:tcW w:w="2726" w:type="dxa"/>
            <w:gridSpan w:val="2"/>
            <w:tcBorders>
              <w:top w:val="single" w:color="000000" w:sz="8" w:space="0"/>
              <w:left w:val="nil"/>
              <w:bottom w:val="single" w:color="000000" w:sz="4" w:space="0"/>
              <w:right w:val="single" w:color="000000" w:sz="4" w:space="0"/>
            </w:tcBorders>
            <w:shd w:val="clear" w:color="auto" w:fill="FFFFFF"/>
            <w:noWrap/>
            <w:vAlign w:val="center"/>
          </w:tcPr>
          <w:p w14:paraId="47898FD0">
            <w:pPr>
              <w:pStyle w:val="23"/>
            </w:pPr>
            <w:r>
              <w:rPr>
                <w:rFonts w:hint="eastAsia"/>
              </w:rPr>
              <w:t>公路总里程</w:t>
            </w:r>
          </w:p>
        </w:tc>
        <w:tc>
          <w:tcPr>
            <w:tcW w:w="141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035F0631">
            <w:pPr>
              <w:pStyle w:val="23"/>
              <w:bidi w:val="0"/>
              <w:rPr>
                <w:rFonts w:hint="eastAsia"/>
                <w:lang w:val="en-US" w:eastAsia="zh-CN"/>
              </w:rPr>
            </w:pPr>
            <w:r>
              <w:rPr>
                <w:rFonts w:hint="eastAsia"/>
                <w:lang w:val="en-US" w:eastAsia="zh-CN"/>
              </w:rPr>
              <w:t xml:space="preserve">1525.05 </w:t>
            </w:r>
          </w:p>
        </w:tc>
        <w:tc>
          <w:tcPr>
            <w:tcW w:w="141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6F7D414B">
            <w:pPr>
              <w:pStyle w:val="23"/>
              <w:bidi w:val="0"/>
              <w:rPr>
                <w:rFonts w:hint="eastAsia"/>
                <w:lang w:val="en-US" w:eastAsia="zh-CN"/>
              </w:rPr>
            </w:pPr>
            <w:r>
              <w:rPr>
                <w:rFonts w:hint="eastAsia"/>
                <w:lang w:val="en-US" w:eastAsia="zh-CN"/>
              </w:rPr>
              <w:t xml:space="preserve">1337.99 </w:t>
            </w:r>
          </w:p>
        </w:tc>
        <w:tc>
          <w:tcPr>
            <w:tcW w:w="141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333EBCA1">
            <w:pPr>
              <w:pStyle w:val="23"/>
              <w:bidi w:val="0"/>
              <w:rPr>
                <w:rFonts w:hint="eastAsia"/>
                <w:lang w:val="en-US" w:eastAsia="zh-CN"/>
              </w:rPr>
            </w:pPr>
            <w:r>
              <w:rPr>
                <w:rFonts w:hint="eastAsia"/>
                <w:lang w:val="en-US" w:eastAsia="zh-CN"/>
              </w:rPr>
              <w:t xml:space="preserve">187.06 </w:t>
            </w:r>
          </w:p>
        </w:tc>
        <w:tc>
          <w:tcPr>
            <w:tcW w:w="1361" w:type="dxa"/>
            <w:tcBorders>
              <w:top w:val="single" w:color="000000" w:sz="8" w:space="0"/>
              <w:left w:val="single" w:color="000000" w:sz="4" w:space="0"/>
              <w:bottom w:val="single" w:color="000000" w:sz="4" w:space="0"/>
              <w:right w:val="nil"/>
            </w:tcBorders>
            <w:shd w:val="clear" w:color="auto" w:fill="FFFFFF"/>
            <w:noWrap/>
            <w:vAlign w:val="center"/>
          </w:tcPr>
          <w:p w14:paraId="08D73300">
            <w:pPr>
              <w:pStyle w:val="23"/>
              <w:bidi w:val="0"/>
              <w:rPr>
                <w:rFonts w:hint="eastAsia"/>
                <w:lang w:val="en-US" w:eastAsia="zh-CN"/>
              </w:rPr>
            </w:pPr>
            <w:r>
              <w:rPr>
                <w:rFonts w:hint="eastAsia"/>
                <w:lang w:val="en-US" w:eastAsia="zh-CN"/>
              </w:rPr>
              <w:t>14%</w:t>
            </w:r>
          </w:p>
        </w:tc>
      </w:tr>
      <w:tr w14:paraId="3259476A">
        <w:tblPrEx>
          <w:tblCellMar>
            <w:top w:w="0" w:type="dxa"/>
            <w:left w:w="108" w:type="dxa"/>
            <w:bottom w:w="0" w:type="dxa"/>
            <w:right w:w="108" w:type="dxa"/>
          </w:tblCellMar>
        </w:tblPrEx>
        <w:trPr>
          <w:trHeight w:val="397" w:hRule="atLeast"/>
          <w:jc w:val="center"/>
        </w:trPr>
        <w:tc>
          <w:tcPr>
            <w:tcW w:w="1309" w:type="dxa"/>
            <w:vMerge w:val="restart"/>
            <w:tcBorders>
              <w:top w:val="single" w:color="000000" w:sz="4" w:space="0"/>
              <w:left w:val="nil"/>
              <w:bottom w:val="single" w:color="000000" w:sz="4" w:space="0"/>
              <w:right w:val="single" w:color="000000" w:sz="4" w:space="0"/>
            </w:tcBorders>
            <w:shd w:val="clear" w:color="auto" w:fill="FFFFFF"/>
            <w:noWrap/>
            <w:vAlign w:val="center"/>
          </w:tcPr>
          <w:p w14:paraId="2F7C110A">
            <w:pPr>
              <w:pStyle w:val="23"/>
            </w:pPr>
            <w:r>
              <w:rPr>
                <w:rFonts w:hint="eastAsia"/>
              </w:rPr>
              <w:t>行政等级</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666ED">
            <w:pPr>
              <w:pStyle w:val="23"/>
            </w:pPr>
            <w:r>
              <w:rPr>
                <w:rFonts w:hint="eastAsia"/>
              </w:rPr>
              <w:t>国道</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77814">
            <w:pPr>
              <w:pStyle w:val="23"/>
              <w:bidi w:val="0"/>
              <w:rPr>
                <w:rFonts w:hint="eastAsia"/>
                <w:lang w:val="en-US" w:eastAsia="zh-CN"/>
              </w:rPr>
            </w:pPr>
            <w:r>
              <w:rPr>
                <w:rFonts w:hint="eastAsia"/>
                <w:lang w:val="en-US" w:eastAsia="zh-CN"/>
              </w:rPr>
              <w:t xml:space="preserve">262.04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652E8">
            <w:pPr>
              <w:pStyle w:val="23"/>
              <w:bidi w:val="0"/>
              <w:rPr>
                <w:rFonts w:hint="eastAsia"/>
                <w:lang w:val="en-US" w:eastAsia="zh-CN"/>
              </w:rPr>
            </w:pPr>
            <w:r>
              <w:rPr>
                <w:rFonts w:hint="eastAsia"/>
                <w:lang w:val="en-US" w:eastAsia="zh-CN"/>
              </w:rPr>
              <w:t xml:space="preserve">195.17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77E99">
            <w:pPr>
              <w:pStyle w:val="23"/>
              <w:bidi w:val="0"/>
              <w:rPr>
                <w:rFonts w:hint="eastAsia"/>
                <w:lang w:val="en-US" w:eastAsia="zh-CN"/>
              </w:rPr>
            </w:pPr>
            <w:r>
              <w:rPr>
                <w:rFonts w:hint="eastAsia"/>
                <w:lang w:val="en-US" w:eastAsia="zh-CN"/>
              </w:rPr>
              <w:t xml:space="preserve">66.88 </w:t>
            </w:r>
          </w:p>
        </w:tc>
        <w:tc>
          <w:tcPr>
            <w:tcW w:w="1361" w:type="dxa"/>
            <w:tcBorders>
              <w:top w:val="single" w:color="000000" w:sz="4" w:space="0"/>
              <w:left w:val="single" w:color="000000" w:sz="4" w:space="0"/>
              <w:bottom w:val="single" w:color="000000" w:sz="4" w:space="0"/>
              <w:right w:val="nil"/>
            </w:tcBorders>
            <w:shd w:val="clear" w:color="auto" w:fill="FFFFFF"/>
            <w:noWrap/>
            <w:vAlign w:val="center"/>
          </w:tcPr>
          <w:p w14:paraId="7A809822">
            <w:pPr>
              <w:pStyle w:val="23"/>
              <w:bidi w:val="0"/>
              <w:rPr>
                <w:rFonts w:hint="eastAsia"/>
                <w:lang w:val="en-US" w:eastAsia="zh-CN"/>
              </w:rPr>
            </w:pPr>
            <w:r>
              <w:rPr>
                <w:rFonts w:hint="eastAsia"/>
                <w:lang w:val="en-US" w:eastAsia="zh-CN"/>
              </w:rPr>
              <w:t>34%</w:t>
            </w:r>
          </w:p>
        </w:tc>
      </w:tr>
      <w:tr w14:paraId="492E6AE3">
        <w:tblPrEx>
          <w:tblCellMar>
            <w:top w:w="0" w:type="dxa"/>
            <w:left w:w="108" w:type="dxa"/>
            <w:bottom w:w="0" w:type="dxa"/>
            <w:right w:w="108" w:type="dxa"/>
          </w:tblCellMar>
        </w:tblPrEx>
        <w:trPr>
          <w:trHeight w:val="397" w:hRule="atLeast"/>
          <w:jc w:val="center"/>
        </w:trPr>
        <w:tc>
          <w:tcPr>
            <w:tcW w:w="1309" w:type="dxa"/>
            <w:vMerge w:val="continue"/>
            <w:tcBorders>
              <w:top w:val="single" w:color="000000" w:sz="4" w:space="0"/>
              <w:left w:val="nil"/>
              <w:bottom w:val="single" w:color="000000" w:sz="4" w:space="0"/>
              <w:right w:val="single" w:color="000000" w:sz="4" w:space="0"/>
            </w:tcBorders>
            <w:shd w:val="clear" w:color="auto" w:fill="FFFFFF"/>
            <w:noWrap/>
            <w:vAlign w:val="center"/>
          </w:tcPr>
          <w:p w14:paraId="2615791D">
            <w:pPr>
              <w:pStyle w:val="23"/>
            </w:pP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40B94">
            <w:pPr>
              <w:pStyle w:val="23"/>
            </w:pPr>
            <w:r>
              <w:rPr>
                <w:rFonts w:hint="eastAsia"/>
              </w:rPr>
              <w:t>省道</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CEF88">
            <w:pPr>
              <w:pStyle w:val="23"/>
              <w:bidi w:val="0"/>
              <w:rPr>
                <w:rFonts w:hint="eastAsia"/>
                <w:lang w:val="en-US" w:eastAsia="zh-CN"/>
              </w:rPr>
            </w:pPr>
            <w:r>
              <w:rPr>
                <w:rFonts w:hint="eastAsia"/>
                <w:lang w:val="en-US" w:eastAsia="zh-CN"/>
              </w:rPr>
              <w:t xml:space="preserve">250.03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DE1D0">
            <w:pPr>
              <w:pStyle w:val="23"/>
              <w:bidi w:val="0"/>
              <w:rPr>
                <w:rFonts w:hint="eastAsia"/>
                <w:lang w:val="en-US" w:eastAsia="zh-CN"/>
              </w:rPr>
            </w:pPr>
            <w:r>
              <w:rPr>
                <w:rFonts w:hint="eastAsia"/>
                <w:lang w:val="en-US" w:eastAsia="zh-CN"/>
              </w:rPr>
              <w:t xml:space="preserve">168.10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CC540">
            <w:pPr>
              <w:pStyle w:val="23"/>
              <w:bidi w:val="0"/>
              <w:rPr>
                <w:rFonts w:hint="eastAsia"/>
                <w:lang w:val="en-US" w:eastAsia="zh-CN"/>
              </w:rPr>
            </w:pPr>
            <w:r>
              <w:rPr>
                <w:rFonts w:hint="eastAsia"/>
                <w:lang w:val="en-US" w:eastAsia="zh-CN"/>
              </w:rPr>
              <w:t xml:space="preserve">81.93 </w:t>
            </w:r>
          </w:p>
        </w:tc>
        <w:tc>
          <w:tcPr>
            <w:tcW w:w="1361" w:type="dxa"/>
            <w:tcBorders>
              <w:top w:val="single" w:color="000000" w:sz="4" w:space="0"/>
              <w:left w:val="single" w:color="000000" w:sz="4" w:space="0"/>
              <w:bottom w:val="single" w:color="000000" w:sz="4" w:space="0"/>
              <w:right w:val="nil"/>
            </w:tcBorders>
            <w:shd w:val="clear" w:color="auto" w:fill="FFFFFF"/>
            <w:noWrap/>
            <w:vAlign w:val="center"/>
          </w:tcPr>
          <w:p w14:paraId="4A480D2E">
            <w:pPr>
              <w:pStyle w:val="23"/>
              <w:bidi w:val="0"/>
              <w:rPr>
                <w:rFonts w:hint="eastAsia"/>
                <w:lang w:val="en-US" w:eastAsia="zh-CN"/>
              </w:rPr>
            </w:pPr>
            <w:r>
              <w:rPr>
                <w:rFonts w:hint="eastAsia"/>
                <w:lang w:val="en-US" w:eastAsia="zh-CN"/>
              </w:rPr>
              <w:t>49%</w:t>
            </w:r>
          </w:p>
        </w:tc>
      </w:tr>
      <w:tr w14:paraId="7FCB56F7">
        <w:tblPrEx>
          <w:tblCellMar>
            <w:top w:w="0" w:type="dxa"/>
            <w:left w:w="108" w:type="dxa"/>
            <w:bottom w:w="0" w:type="dxa"/>
            <w:right w:w="108" w:type="dxa"/>
          </w:tblCellMar>
        </w:tblPrEx>
        <w:trPr>
          <w:trHeight w:val="397" w:hRule="atLeast"/>
          <w:jc w:val="center"/>
        </w:trPr>
        <w:tc>
          <w:tcPr>
            <w:tcW w:w="1309" w:type="dxa"/>
            <w:vMerge w:val="continue"/>
            <w:tcBorders>
              <w:top w:val="single" w:color="000000" w:sz="4" w:space="0"/>
              <w:left w:val="nil"/>
              <w:bottom w:val="single" w:color="000000" w:sz="4" w:space="0"/>
              <w:right w:val="single" w:color="000000" w:sz="4" w:space="0"/>
            </w:tcBorders>
            <w:shd w:val="clear" w:color="auto" w:fill="FFFFFF"/>
            <w:noWrap/>
            <w:vAlign w:val="center"/>
          </w:tcPr>
          <w:p w14:paraId="14C763C1">
            <w:pPr>
              <w:pStyle w:val="23"/>
            </w:pP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A9C0F">
            <w:pPr>
              <w:pStyle w:val="23"/>
            </w:pPr>
            <w:r>
              <w:rPr>
                <w:rFonts w:hint="eastAsia"/>
              </w:rPr>
              <w:t>县道</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1C717">
            <w:pPr>
              <w:pStyle w:val="23"/>
              <w:bidi w:val="0"/>
            </w:pPr>
            <w:r>
              <w:rPr>
                <w:rFonts w:hint="eastAsia"/>
                <w:lang w:val="en-US" w:eastAsia="zh-CN"/>
              </w:rPr>
              <w:t xml:space="preserve">261.00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F7674">
            <w:pPr>
              <w:pStyle w:val="23"/>
              <w:bidi w:val="0"/>
            </w:pPr>
            <w:r>
              <w:rPr>
                <w:rFonts w:hint="eastAsia"/>
                <w:lang w:val="en-US" w:eastAsia="zh-CN"/>
              </w:rPr>
              <w:t xml:space="preserve">261.00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0035B">
            <w:pPr>
              <w:pStyle w:val="23"/>
              <w:bidi w:val="0"/>
            </w:pPr>
            <w:r>
              <w:rPr>
                <w:rFonts w:hint="eastAsia"/>
                <w:lang w:val="en-US" w:eastAsia="zh-CN"/>
              </w:rPr>
              <w:t xml:space="preserve">0.00 </w:t>
            </w:r>
          </w:p>
        </w:tc>
        <w:tc>
          <w:tcPr>
            <w:tcW w:w="1361" w:type="dxa"/>
            <w:tcBorders>
              <w:top w:val="single" w:color="000000" w:sz="4" w:space="0"/>
              <w:left w:val="single" w:color="000000" w:sz="4" w:space="0"/>
              <w:bottom w:val="single" w:color="000000" w:sz="4" w:space="0"/>
              <w:right w:val="nil"/>
            </w:tcBorders>
            <w:shd w:val="clear" w:color="auto" w:fill="FFFFFF"/>
            <w:noWrap/>
            <w:vAlign w:val="center"/>
          </w:tcPr>
          <w:p w14:paraId="4A0D6AE9">
            <w:pPr>
              <w:pStyle w:val="23"/>
              <w:bidi w:val="0"/>
            </w:pPr>
            <w:r>
              <w:rPr>
                <w:rFonts w:hint="eastAsia"/>
                <w:lang w:val="en-US" w:eastAsia="zh-CN"/>
              </w:rPr>
              <w:t>0%</w:t>
            </w:r>
          </w:p>
        </w:tc>
      </w:tr>
      <w:tr w14:paraId="03A2EF34">
        <w:tblPrEx>
          <w:tblCellMar>
            <w:top w:w="0" w:type="dxa"/>
            <w:left w:w="108" w:type="dxa"/>
            <w:bottom w:w="0" w:type="dxa"/>
            <w:right w:w="108" w:type="dxa"/>
          </w:tblCellMar>
        </w:tblPrEx>
        <w:trPr>
          <w:trHeight w:val="397" w:hRule="atLeast"/>
          <w:jc w:val="center"/>
        </w:trPr>
        <w:tc>
          <w:tcPr>
            <w:tcW w:w="1309" w:type="dxa"/>
            <w:vMerge w:val="continue"/>
            <w:tcBorders>
              <w:top w:val="single" w:color="000000" w:sz="4" w:space="0"/>
              <w:left w:val="nil"/>
              <w:bottom w:val="single" w:color="000000" w:sz="4" w:space="0"/>
              <w:right w:val="single" w:color="000000" w:sz="4" w:space="0"/>
            </w:tcBorders>
            <w:shd w:val="clear" w:color="auto" w:fill="FFFFFF"/>
            <w:noWrap/>
            <w:vAlign w:val="center"/>
          </w:tcPr>
          <w:p w14:paraId="36D443BB">
            <w:pPr>
              <w:pStyle w:val="23"/>
            </w:pP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73C79">
            <w:pPr>
              <w:pStyle w:val="23"/>
            </w:pPr>
            <w:r>
              <w:rPr>
                <w:rFonts w:hint="eastAsia"/>
              </w:rPr>
              <w:t>乡道</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791C6">
            <w:pPr>
              <w:pStyle w:val="23"/>
              <w:bidi w:val="0"/>
            </w:pPr>
            <w:r>
              <w:rPr>
                <w:rFonts w:hint="eastAsia"/>
                <w:lang w:val="en-US" w:eastAsia="zh-CN"/>
              </w:rPr>
              <w:t xml:space="preserve">244.54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02C07">
            <w:pPr>
              <w:pStyle w:val="23"/>
              <w:bidi w:val="0"/>
            </w:pPr>
            <w:r>
              <w:rPr>
                <w:rFonts w:hint="eastAsia"/>
                <w:lang w:val="en-US" w:eastAsia="zh-CN"/>
              </w:rPr>
              <w:t xml:space="preserve">246.37 </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5CCE2">
            <w:pPr>
              <w:pStyle w:val="23"/>
              <w:bidi w:val="0"/>
            </w:pPr>
            <w:r>
              <w:rPr>
                <w:rFonts w:hint="eastAsia"/>
                <w:lang w:val="en-US" w:eastAsia="zh-CN"/>
              </w:rPr>
              <w:t xml:space="preserve">-1.83 </w:t>
            </w:r>
          </w:p>
        </w:tc>
        <w:tc>
          <w:tcPr>
            <w:tcW w:w="1361" w:type="dxa"/>
            <w:tcBorders>
              <w:top w:val="single" w:color="000000" w:sz="4" w:space="0"/>
              <w:left w:val="single" w:color="000000" w:sz="4" w:space="0"/>
              <w:bottom w:val="single" w:color="000000" w:sz="4" w:space="0"/>
              <w:right w:val="nil"/>
            </w:tcBorders>
            <w:shd w:val="clear" w:color="auto" w:fill="FFFFFF"/>
            <w:noWrap/>
            <w:vAlign w:val="center"/>
          </w:tcPr>
          <w:p w14:paraId="4FF1A064">
            <w:pPr>
              <w:pStyle w:val="23"/>
              <w:bidi w:val="0"/>
            </w:pPr>
            <w:r>
              <w:rPr>
                <w:rFonts w:hint="eastAsia"/>
                <w:lang w:val="en-US" w:eastAsia="zh-CN"/>
              </w:rPr>
              <w:t>-1%</w:t>
            </w:r>
          </w:p>
        </w:tc>
      </w:tr>
      <w:tr w14:paraId="15A68C2E">
        <w:tblPrEx>
          <w:tblCellMar>
            <w:top w:w="0" w:type="dxa"/>
            <w:left w:w="108" w:type="dxa"/>
            <w:bottom w:w="0" w:type="dxa"/>
            <w:right w:w="108" w:type="dxa"/>
          </w:tblCellMar>
        </w:tblPrEx>
        <w:trPr>
          <w:trHeight w:val="397" w:hRule="atLeast"/>
          <w:jc w:val="center"/>
        </w:trPr>
        <w:tc>
          <w:tcPr>
            <w:tcW w:w="1309" w:type="dxa"/>
            <w:vMerge w:val="continue"/>
            <w:tcBorders>
              <w:top w:val="single" w:color="000000" w:sz="4" w:space="0"/>
              <w:left w:val="nil"/>
              <w:bottom w:val="single" w:color="000000" w:sz="12" w:space="0"/>
              <w:right w:val="single" w:color="000000" w:sz="4" w:space="0"/>
            </w:tcBorders>
            <w:shd w:val="clear" w:color="auto" w:fill="FFFFFF"/>
            <w:noWrap/>
            <w:vAlign w:val="center"/>
          </w:tcPr>
          <w:p w14:paraId="1CBF4D53">
            <w:pPr>
              <w:pStyle w:val="23"/>
            </w:pPr>
          </w:p>
        </w:tc>
        <w:tc>
          <w:tcPr>
            <w:tcW w:w="141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72061BCD">
            <w:pPr>
              <w:pStyle w:val="23"/>
            </w:pPr>
            <w:r>
              <w:rPr>
                <w:rFonts w:hint="eastAsia"/>
              </w:rPr>
              <w:t>村道</w:t>
            </w:r>
          </w:p>
        </w:tc>
        <w:tc>
          <w:tcPr>
            <w:tcW w:w="141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6F657F95">
            <w:pPr>
              <w:pStyle w:val="23"/>
              <w:bidi w:val="0"/>
            </w:pPr>
            <w:r>
              <w:rPr>
                <w:rFonts w:hint="eastAsia"/>
                <w:lang w:val="en-US" w:eastAsia="zh-CN"/>
              </w:rPr>
              <w:t xml:space="preserve">507.43 </w:t>
            </w:r>
          </w:p>
        </w:tc>
        <w:tc>
          <w:tcPr>
            <w:tcW w:w="141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23DC5790">
            <w:pPr>
              <w:pStyle w:val="23"/>
              <w:bidi w:val="0"/>
            </w:pPr>
            <w:r>
              <w:rPr>
                <w:rFonts w:hint="eastAsia"/>
                <w:lang w:val="en-US" w:eastAsia="zh-CN"/>
              </w:rPr>
              <w:t xml:space="preserve">467.35 </w:t>
            </w:r>
          </w:p>
        </w:tc>
        <w:tc>
          <w:tcPr>
            <w:tcW w:w="141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57180075">
            <w:pPr>
              <w:pStyle w:val="23"/>
              <w:bidi w:val="0"/>
            </w:pPr>
            <w:r>
              <w:rPr>
                <w:rFonts w:hint="eastAsia"/>
                <w:lang w:val="en-US" w:eastAsia="zh-CN"/>
              </w:rPr>
              <w:t xml:space="preserve">40.08 </w:t>
            </w:r>
          </w:p>
        </w:tc>
        <w:tc>
          <w:tcPr>
            <w:tcW w:w="1361" w:type="dxa"/>
            <w:tcBorders>
              <w:top w:val="single" w:color="000000" w:sz="4" w:space="0"/>
              <w:left w:val="single" w:color="000000" w:sz="4" w:space="0"/>
              <w:bottom w:val="single" w:color="000000" w:sz="12" w:space="0"/>
              <w:right w:val="nil"/>
            </w:tcBorders>
            <w:shd w:val="clear" w:color="auto" w:fill="FFFFFF"/>
            <w:noWrap/>
            <w:vAlign w:val="center"/>
          </w:tcPr>
          <w:p w14:paraId="4ED67DD7">
            <w:pPr>
              <w:pStyle w:val="23"/>
              <w:bidi w:val="0"/>
            </w:pPr>
            <w:r>
              <w:rPr>
                <w:rFonts w:hint="eastAsia"/>
                <w:lang w:val="en-US" w:eastAsia="zh-CN"/>
              </w:rPr>
              <w:t>9%</w:t>
            </w:r>
          </w:p>
        </w:tc>
      </w:tr>
    </w:tbl>
    <w:p w14:paraId="339B5B52">
      <w:pPr>
        <w:ind w:firstLine="560"/>
      </w:pPr>
    </w:p>
    <w:p w14:paraId="65CE74C7">
      <w:pPr>
        <w:ind w:firstLine="560"/>
        <w:rPr>
          <w:rFonts w:hint="default" w:eastAsia="仿宋_GB2312"/>
          <w:lang w:val="en-US" w:eastAsia="zh-CN"/>
        </w:rPr>
      </w:pPr>
      <w:r>
        <w:rPr>
          <w:rFonts w:hint="eastAsia"/>
          <w:lang w:val="en-US" w:eastAsia="zh-CN"/>
        </w:rPr>
        <w:t>从乡镇通达情况看，按乡镇政府所在地3公里范围测算，全县所有乡镇均已实现通三级及以上公路，其中邛溪镇、刷经寺镇、瓦切镇、安曲镇、色地镇、阿木乡、麦洼乡等乡镇已实现二级公路通达，龙日镇、江茸乡、查尔玛乡实现三级公路通达，乡镇对外联系条件总体较好，见</w:t>
      </w:r>
      <w:r>
        <w:rPr>
          <w:rFonts w:hint="eastAsia"/>
          <w:lang w:val="en-US" w:eastAsia="zh-CN"/>
        </w:rPr>
        <w:fldChar w:fldCharType="begin"/>
      </w:r>
      <w:r>
        <w:rPr>
          <w:rFonts w:hint="eastAsia"/>
          <w:lang w:val="en-US" w:eastAsia="zh-CN"/>
        </w:rPr>
        <w:instrText xml:space="preserve"> REF _Ref30123 \h </w:instrText>
      </w:r>
      <w:r>
        <w:rPr>
          <w:rFonts w:hint="eastAsia"/>
          <w:lang w:val="en-US" w:eastAsia="zh-CN"/>
        </w:rPr>
        <w:fldChar w:fldCharType="separate"/>
      </w:r>
      <w:r>
        <w:t>表 8</w:t>
      </w:r>
      <w:r>
        <w:rPr>
          <w:rFonts w:hint="eastAsia"/>
          <w:lang w:val="en-US" w:eastAsia="zh-CN"/>
        </w:rPr>
        <w:fldChar w:fldCharType="end"/>
      </w:r>
      <w:r>
        <w:rPr>
          <w:rFonts w:hint="eastAsia"/>
          <w:lang w:val="en-US" w:eastAsia="zh-CN"/>
        </w:rPr>
        <w:t>。从建制村通达情况看，按建制村聚居点1公里范围测算，全县建制村均已实现通四级及以上公路，74%的建制村实现通二级公路，88%的建制村实现通三级及以上公路，农村公路通达深度和服务能力持续增强。</w:t>
      </w:r>
    </w:p>
    <w:p w14:paraId="28797C50">
      <w:pPr>
        <w:pStyle w:val="25"/>
        <w:keepNext/>
        <w:keepLines/>
        <w:pageBreakBefore w:val="0"/>
        <w:widowControl w:val="0"/>
        <w:kinsoku/>
        <w:wordWrap/>
        <w:overflowPunct/>
        <w:topLinePunct w:val="0"/>
        <w:autoSpaceDE/>
        <w:autoSpaceDN/>
        <w:bidi w:val="0"/>
        <w:adjustRightInd/>
        <w:textAlignment w:val="auto"/>
        <w:rPr>
          <w:rFonts w:hint="default"/>
          <w:lang w:val="en-US" w:eastAsia="zh-CN"/>
        </w:rPr>
      </w:pPr>
      <w:bookmarkStart w:id="14" w:name="_Ref30123"/>
      <w:r>
        <w:t xml:space="preserve">表 </w:t>
      </w:r>
      <w:r>
        <w:fldChar w:fldCharType="begin"/>
      </w:r>
      <w:r>
        <w:instrText xml:space="preserve"> SEQ 表 \* ARABIC </w:instrText>
      </w:r>
      <w:r>
        <w:fldChar w:fldCharType="separate"/>
      </w:r>
      <w:r>
        <w:t>8</w:t>
      </w:r>
      <w:r>
        <w:fldChar w:fldCharType="end"/>
      </w:r>
      <w:bookmarkEnd w:id="14"/>
      <w:r>
        <w:rPr>
          <w:rFonts w:hint="eastAsia"/>
          <w:lang w:val="en-US" w:eastAsia="zh-CN"/>
        </w:rPr>
        <w:t xml:space="preserve"> 乡镇通三级公路情况</w:t>
      </w:r>
    </w:p>
    <w:tbl>
      <w:tblPr>
        <w:tblStyle w:val="18"/>
        <w:tblW w:w="69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9"/>
        <w:gridCol w:w="3231"/>
        <w:gridCol w:w="1701"/>
      </w:tblGrid>
      <w:tr w14:paraId="6D256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059" w:type="dxa"/>
            <w:tcBorders>
              <w:top w:val="single" w:color="000000" w:sz="12" w:space="0"/>
              <w:left w:val="nil"/>
              <w:bottom w:val="single" w:color="000000" w:sz="8" w:space="0"/>
              <w:right w:val="single" w:color="000000" w:sz="4" w:space="0"/>
            </w:tcBorders>
            <w:shd w:val="clear" w:color="auto" w:fill="FFFFFF"/>
            <w:noWrap/>
            <w:vAlign w:val="center"/>
          </w:tcPr>
          <w:p w14:paraId="2131C6B4">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3231"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137E0F50">
            <w:pPr>
              <w:pStyle w:val="24"/>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3km范围内路线编号</w:t>
            </w:r>
          </w:p>
          <w:p w14:paraId="6E332D1B">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（最高技术等级）</w:t>
            </w:r>
          </w:p>
        </w:tc>
        <w:tc>
          <w:tcPr>
            <w:tcW w:w="1701" w:type="dxa"/>
            <w:tcBorders>
              <w:top w:val="single" w:color="000000" w:sz="12" w:space="0"/>
              <w:left w:val="single" w:color="000000" w:sz="4" w:space="0"/>
              <w:bottom w:val="single" w:color="000000" w:sz="8" w:space="0"/>
              <w:right w:val="nil"/>
            </w:tcBorders>
            <w:shd w:val="clear" w:color="auto" w:fill="FFFFFF"/>
            <w:noWrap/>
            <w:vAlign w:val="center"/>
          </w:tcPr>
          <w:p w14:paraId="52D3CF91">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最高技术等级</w:t>
            </w:r>
          </w:p>
        </w:tc>
      </w:tr>
      <w:tr w14:paraId="4A79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8" w:space="0"/>
              <w:left w:val="nil"/>
              <w:bottom w:val="single" w:color="000000" w:sz="4" w:space="0"/>
              <w:right w:val="single" w:color="000000" w:sz="4" w:space="0"/>
            </w:tcBorders>
            <w:shd w:val="clear" w:color="auto" w:fill="FFFFFF"/>
            <w:noWrap/>
            <w:vAlign w:val="center"/>
          </w:tcPr>
          <w:p w14:paraId="26734B23">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邛溪镇</w:t>
            </w:r>
          </w:p>
        </w:tc>
        <w:tc>
          <w:tcPr>
            <w:tcW w:w="3231"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7CD0F395">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G248</w:t>
            </w:r>
          </w:p>
        </w:tc>
        <w:tc>
          <w:tcPr>
            <w:tcW w:w="1701" w:type="dxa"/>
            <w:tcBorders>
              <w:top w:val="single" w:color="000000" w:sz="8" w:space="0"/>
              <w:left w:val="single" w:color="000000" w:sz="4" w:space="0"/>
              <w:bottom w:val="single" w:color="000000" w:sz="4" w:space="0"/>
              <w:right w:val="nil"/>
            </w:tcBorders>
            <w:shd w:val="clear" w:color="auto" w:fill="FFFFFF"/>
            <w:noWrap/>
            <w:vAlign w:val="center"/>
          </w:tcPr>
          <w:p w14:paraId="3B2113B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5F10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0E50C39D">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刷经寺镇</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E9A29">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G248</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25A4802E">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7C8E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7B1D0D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瓦切镇</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A140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G248,S301</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7CC4452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6130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4EC1781C">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安曲镇</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952C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G248,G347,S217</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7C57CE4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31985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6DE5E10">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色地镇</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9131C">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S301</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212F845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46545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059" w:type="dxa"/>
            <w:tcBorders>
              <w:top w:val="single" w:color="000000" w:sz="4" w:space="0"/>
              <w:left w:val="nil"/>
              <w:bottom w:val="single" w:color="000000" w:sz="4" w:space="0"/>
              <w:right w:val="single" w:color="000000" w:sz="4" w:space="0"/>
            </w:tcBorders>
            <w:shd w:val="clear" w:color="auto" w:fill="FFFFFF"/>
            <w:noWrap/>
            <w:vAlign w:val="center"/>
          </w:tcPr>
          <w:p w14:paraId="2F91969B">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龙日镇</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DA7D3">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X124</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3ABED771">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三级</w:t>
            </w:r>
          </w:p>
        </w:tc>
      </w:tr>
      <w:tr w14:paraId="725B6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25784976">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江茸乡</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FF98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S217</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3F4980E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三级</w:t>
            </w:r>
          </w:p>
        </w:tc>
      </w:tr>
      <w:tr w14:paraId="4902A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6430BBE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阿木乡</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23C46">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G248</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5B223FE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60ECA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6D6CF91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麦洼乡</w:t>
            </w:r>
          </w:p>
        </w:tc>
        <w:tc>
          <w:tcPr>
            <w:tcW w:w="3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A7F6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S301</w:t>
            </w:r>
          </w:p>
        </w:tc>
        <w:tc>
          <w:tcPr>
            <w:tcW w:w="1701" w:type="dxa"/>
            <w:tcBorders>
              <w:top w:val="single" w:color="000000" w:sz="4" w:space="0"/>
              <w:left w:val="single" w:color="000000" w:sz="4" w:space="0"/>
              <w:bottom w:val="single" w:color="000000" w:sz="4" w:space="0"/>
              <w:right w:val="nil"/>
            </w:tcBorders>
            <w:shd w:val="clear" w:color="auto" w:fill="FFFFFF"/>
            <w:noWrap/>
            <w:vAlign w:val="center"/>
          </w:tcPr>
          <w:p w14:paraId="318B136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二级</w:t>
            </w:r>
          </w:p>
        </w:tc>
      </w:tr>
      <w:tr w14:paraId="565D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2059" w:type="dxa"/>
            <w:tcBorders>
              <w:top w:val="single" w:color="000000" w:sz="4" w:space="0"/>
              <w:left w:val="nil"/>
              <w:bottom w:val="single" w:color="000000" w:sz="12" w:space="0"/>
              <w:right w:val="single" w:color="000000" w:sz="4" w:space="0"/>
            </w:tcBorders>
            <w:shd w:val="clear" w:color="auto" w:fill="FFFFFF"/>
            <w:noWrap/>
            <w:vAlign w:val="center"/>
          </w:tcPr>
          <w:p w14:paraId="5F624DE3">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查尔玛乡</w:t>
            </w:r>
          </w:p>
        </w:tc>
        <w:tc>
          <w:tcPr>
            <w:tcW w:w="3231" w:type="dxa"/>
            <w:tcBorders>
              <w:top w:val="single" w:color="000000" w:sz="4" w:space="0"/>
              <w:left w:val="single" w:color="000000" w:sz="4" w:space="0"/>
              <w:bottom w:val="single" w:color="000000" w:sz="12" w:space="0"/>
              <w:right w:val="single" w:color="000000" w:sz="4" w:space="0"/>
            </w:tcBorders>
            <w:shd w:val="clear" w:color="auto" w:fill="FFFFFF"/>
            <w:vAlign w:val="center"/>
          </w:tcPr>
          <w:p w14:paraId="7F590BC6">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S217</w:t>
            </w:r>
          </w:p>
        </w:tc>
        <w:tc>
          <w:tcPr>
            <w:tcW w:w="1701" w:type="dxa"/>
            <w:tcBorders>
              <w:top w:val="single" w:color="000000" w:sz="4" w:space="0"/>
              <w:left w:val="single" w:color="000000" w:sz="4" w:space="0"/>
              <w:bottom w:val="single" w:color="000000" w:sz="12" w:space="0"/>
              <w:right w:val="nil"/>
            </w:tcBorders>
            <w:shd w:val="clear" w:color="auto" w:fill="FFFFFF"/>
            <w:noWrap/>
            <w:vAlign w:val="center"/>
          </w:tcPr>
          <w:p w14:paraId="656B3E4E">
            <w:pPr>
              <w:pStyle w:val="23"/>
              <w:keepNext/>
              <w:keepLines/>
              <w:pageBreakBefore w:val="0"/>
              <w:widowControl w:val="0"/>
              <w:kinsoku/>
              <w:wordWrap/>
              <w:overflowPunct/>
              <w:topLinePunct w:val="0"/>
              <w:autoSpaceDE/>
              <w:autoSpaceDN/>
              <w:bidi w:val="0"/>
              <w:adjustRightInd/>
              <w:ind w:firstLine="0" w:firstLineChars="0"/>
              <w:textAlignment w:val="auto"/>
              <w:rPr>
                <w:rFonts w:hint="eastAsia"/>
                <w:lang w:val="en-US" w:eastAsia="zh-CN"/>
              </w:rPr>
            </w:pPr>
            <w:r>
              <w:rPr>
                <w:rFonts w:hint="eastAsia"/>
                <w:lang w:val="en-US" w:eastAsia="zh-CN"/>
              </w:rPr>
              <w:t>三级</w:t>
            </w:r>
          </w:p>
        </w:tc>
      </w:tr>
    </w:tbl>
    <w:p w14:paraId="7F385692">
      <w:pPr>
        <w:keepNext/>
        <w:keepLines/>
        <w:pageBreakBefore w:val="0"/>
        <w:widowControl w:val="0"/>
        <w:kinsoku/>
        <w:wordWrap/>
        <w:overflowPunct/>
        <w:topLinePunct w:val="0"/>
        <w:autoSpaceDE/>
        <w:autoSpaceDN/>
        <w:bidi w:val="0"/>
        <w:adjustRightInd/>
        <w:ind w:firstLine="560"/>
        <w:textAlignment w:val="auto"/>
        <w:rPr>
          <w:rFonts w:hint="eastAsia"/>
        </w:rPr>
      </w:pPr>
    </w:p>
    <w:p w14:paraId="78724EEC">
      <w:pPr>
        <w:pStyle w:val="4"/>
        <w:bidi w:val="0"/>
        <w:rPr>
          <w:rFonts w:hint="eastAsia"/>
        </w:rPr>
      </w:pPr>
      <w:r>
        <w:rPr>
          <w:rFonts w:hint="eastAsia"/>
        </w:rPr>
        <w:t>县际通达和高速接入能力稳步增强</w:t>
      </w:r>
    </w:p>
    <w:p w14:paraId="183EAE84">
      <w:pPr>
        <w:ind w:firstLine="560"/>
        <w:rPr>
          <w:rFonts w:hint="eastAsia"/>
        </w:rPr>
      </w:pPr>
      <w:r>
        <w:rPr>
          <w:rFonts w:hint="eastAsia"/>
        </w:rPr>
        <w:t>从县际通达情况看，红原县与周边县（市）之间已形成较为稳定的公路联系，县域对外联通能力持续增强。红原县政府至阿坝县、黑水县、理县、马尔康市、若尔盖县、松潘县等毗邻县（市）政府的驾车距离在120.68—224.73公里之间，驾车时间在133—212分钟之间，平均驾车速度约53.8—69.3公里/小时。其中，至理县、若尔盖县、阿坝县方向绕行系数分别为1.39、1.42和1.52，</w:t>
      </w:r>
      <w:r>
        <w:rPr>
          <w:rFonts w:hint="eastAsia"/>
          <w:lang w:val="en-US" w:eastAsia="zh-CN"/>
        </w:rPr>
        <w:t>通行时间分别为195分钟、133分钟和135分钟，</w:t>
      </w:r>
      <w:r>
        <w:rPr>
          <w:rFonts w:hint="eastAsia"/>
        </w:rPr>
        <w:t>通达效率相对较好；至马尔康市、黑水县、松潘县方向虽通行时间相对较长</w:t>
      </w:r>
      <w:r>
        <w:rPr>
          <w:rFonts w:hint="eastAsia"/>
          <w:lang w:eastAsia="zh-CN"/>
        </w:rPr>
        <w:t>（</w:t>
      </w:r>
      <w:r>
        <w:rPr>
          <w:rFonts w:hint="eastAsia"/>
          <w:lang w:val="en-US" w:eastAsia="zh-CN"/>
        </w:rPr>
        <w:t>分别为163分钟、163分钟和212分钟</w:t>
      </w:r>
      <w:r>
        <w:rPr>
          <w:rFonts w:hint="eastAsia"/>
          <w:lang w:eastAsia="zh-CN"/>
        </w:rPr>
        <w:t>）</w:t>
      </w:r>
      <w:r>
        <w:rPr>
          <w:rFonts w:hint="eastAsia"/>
        </w:rPr>
        <w:t>，但已具备稳定公路联系基础。总体来看，红原县依托G248、G347、S301、S217等干线通道，基本形成连接周边县市的对外公路联系网络，为加强与州府马尔康、大九寨旅游环线、阿坝牧区及成都方向联系提供了重要支撑。</w:t>
      </w:r>
    </w:p>
    <w:p w14:paraId="2D9E3D68">
      <w:pPr>
        <w:pStyle w:val="21"/>
        <w:bidi w:val="0"/>
        <w:rPr>
          <w:rFonts w:hint="eastAsia"/>
          <w:lang w:eastAsia="zh-CN"/>
        </w:rPr>
      </w:pPr>
      <w:r>
        <w:rPr>
          <w:rFonts w:hint="eastAsia"/>
          <w:lang w:eastAsia="zh-CN"/>
        </w:rPr>
        <w:drawing>
          <wp:inline distT="0" distB="0" distL="114300" distR="114300">
            <wp:extent cx="3780155" cy="5346700"/>
            <wp:effectExtent l="0" t="0" r="8890" b="7620"/>
            <wp:docPr id="3" name="图片 3" descr="红原节点通达毗邻县市路径-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红原节点通达毗邻县市路径-0515"/>
                    <pic:cNvPicPr>
                      <a:picLocks noChangeAspect="1"/>
                    </pic:cNvPicPr>
                  </pic:nvPicPr>
                  <pic:blipFill>
                    <a:blip r:embed="rId14"/>
                    <a:stretch>
                      <a:fillRect/>
                    </a:stretch>
                  </pic:blipFill>
                  <pic:spPr>
                    <a:xfrm>
                      <a:off x="0" y="0"/>
                      <a:ext cx="3780155" cy="5346700"/>
                    </a:xfrm>
                    <a:prstGeom prst="rect">
                      <a:avLst/>
                    </a:prstGeom>
                  </pic:spPr>
                </pic:pic>
              </a:graphicData>
            </a:graphic>
          </wp:inline>
        </w:drawing>
      </w:r>
    </w:p>
    <w:p w14:paraId="083D00C7">
      <w:pPr>
        <w:pStyle w:val="25"/>
        <w:bidi w:val="0"/>
        <w:rPr>
          <w:rFonts w:hint="eastAsia" w:eastAsia="仿宋_GB2312"/>
          <w:lang w:val="en-US" w:eastAsia="zh-CN"/>
        </w:rPr>
      </w:pPr>
      <w:r>
        <w:t xml:space="preserve">图 </w:t>
      </w:r>
      <w:r>
        <w:fldChar w:fldCharType="begin"/>
      </w:r>
      <w:r>
        <w:instrText xml:space="preserve"> SEQ 图 \* ARABIC </w:instrText>
      </w:r>
      <w:r>
        <w:fldChar w:fldCharType="separate"/>
      </w:r>
      <w:r>
        <w:t>1</w:t>
      </w:r>
      <w:r>
        <w:fldChar w:fldCharType="end"/>
      </w:r>
      <w:r>
        <w:rPr>
          <w:rFonts w:hint="eastAsia"/>
          <w:lang w:val="en-US" w:eastAsia="zh-CN"/>
        </w:rPr>
        <w:t xml:space="preserve"> 红原县政府通往毗邻县（市）政府路径示意图</w:t>
      </w:r>
    </w:p>
    <w:p w14:paraId="613094E1">
      <w:pPr>
        <w:pStyle w:val="25"/>
        <w:keepNext w:val="0"/>
        <w:keepLines w:val="0"/>
        <w:pageBreakBefore w:val="0"/>
        <w:widowControl w:val="0"/>
        <w:kinsoku/>
        <w:wordWrap/>
        <w:overflowPunct/>
        <w:topLinePunct w:val="0"/>
        <w:autoSpaceDE/>
        <w:autoSpaceDN/>
        <w:bidi w:val="0"/>
        <w:adjustRightInd/>
        <w:textAlignment w:val="auto"/>
        <w:rPr>
          <w:rFonts w:hint="default"/>
          <w:lang w:val="en-US" w:eastAsia="zh-CN"/>
        </w:rPr>
      </w:pPr>
      <w:r>
        <w:t xml:space="preserve">表 </w:t>
      </w:r>
      <w:r>
        <w:fldChar w:fldCharType="begin"/>
      </w:r>
      <w:r>
        <w:instrText xml:space="preserve"> SEQ 表 \* ARABIC </w:instrText>
      </w:r>
      <w:r>
        <w:fldChar w:fldCharType="separate"/>
      </w:r>
      <w:r>
        <w:t>9</w:t>
      </w:r>
      <w:r>
        <w:fldChar w:fldCharType="end"/>
      </w:r>
      <w:r>
        <w:rPr>
          <w:rFonts w:hint="eastAsia"/>
          <w:lang w:val="en-US" w:eastAsia="zh-CN"/>
        </w:rPr>
        <w:t xml:space="preserve"> 红原县政府通往毗邻县（市）政府可达性情况</w:t>
      </w:r>
    </w:p>
    <w:tbl>
      <w:tblPr>
        <w:tblStyle w:val="18"/>
        <w:tblW w:w="87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7"/>
        <w:gridCol w:w="1247"/>
        <w:gridCol w:w="1247"/>
        <w:gridCol w:w="1247"/>
        <w:gridCol w:w="1247"/>
        <w:gridCol w:w="1247"/>
        <w:gridCol w:w="1247"/>
      </w:tblGrid>
      <w:tr w14:paraId="2690C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247" w:type="dxa"/>
            <w:tcBorders>
              <w:top w:val="single" w:color="000000" w:sz="12" w:space="0"/>
              <w:left w:val="nil"/>
              <w:bottom w:val="single" w:color="000000" w:sz="8" w:space="0"/>
              <w:right w:val="single" w:color="000000" w:sz="4" w:space="0"/>
            </w:tcBorders>
            <w:shd w:val="clear" w:color="auto" w:fill="FFFFFF"/>
            <w:vAlign w:val="center"/>
          </w:tcPr>
          <w:p w14:paraId="52BA5B8F">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起点</w:t>
            </w:r>
          </w:p>
        </w:tc>
        <w:tc>
          <w:tcPr>
            <w:tcW w:w="1247"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5AED1E5F">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相邻区县</w:t>
            </w:r>
          </w:p>
        </w:tc>
        <w:tc>
          <w:tcPr>
            <w:tcW w:w="1247"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5522E196">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直线距离（公里）</w:t>
            </w:r>
          </w:p>
        </w:tc>
        <w:tc>
          <w:tcPr>
            <w:tcW w:w="1247"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261D338E">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驾车距离（公里）</w:t>
            </w:r>
          </w:p>
        </w:tc>
        <w:tc>
          <w:tcPr>
            <w:tcW w:w="1247"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5A041B3C">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驾车时间（分钟）</w:t>
            </w:r>
          </w:p>
        </w:tc>
        <w:tc>
          <w:tcPr>
            <w:tcW w:w="1247" w:type="dxa"/>
            <w:tcBorders>
              <w:top w:val="single" w:color="000000" w:sz="12" w:space="0"/>
              <w:left w:val="single" w:color="000000" w:sz="4" w:space="0"/>
              <w:bottom w:val="single" w:color="000000" w:sz="8" w:space="0"/>
              <w:right w:val="single" w:color="000000" w:sz="4" w:space="0"/>
            </w:tcBorders>
            <w:shd w:val="clear" w:color="auto" w:fill="FFFFFF"/>
            <w:vAlign w:val="center"/>
          </w:tcPr>
          <w:p w14:paraId="772D6A54">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驾车速度（km/h）</w:t>
            </w:r>
          </w:p>
        </w:tc>
        <w:tc>
          <w:tcPr>
            <w:tcW w:w="1247" w:type="dxa"/>
            <w:tcBorders>
              <w:top w:val="single" w:color="000000" w:sz="12" w:space="0"/>
              <w:left w:val="single" w:color="000000" w:sz="4" w:space="0"/>
              <w:bottom w:val="single" w:color="000000" w:sz="8" w:space="0"/>
              <w:right w:val="nil"/>
            </w:tcBorders>
            <w:shd w:val="clear" w:color="auto" w:fill="FFFFFF"/>
            <w:vAlign w:val="center"/>
          </w:tcPr>
          <w:p w14:paraId="236946DF">
            <w:pPr>
              <w:pStyle w:val="24"/>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绕行系数</w:t>
            </w:r>
          </w:p>
        </w:tc>
      </w:tr>
      <w:tr w14:paraId="62DC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247" w:type="dxa"/>
            <w:tcBorders>
              <w:top w:val="single" w:color="000000" w:sz="8" w:space="0"/>
              <w:left w:val="nil"/>
              <w:bottom w:val="single" w:color="000000" w:sz="4" w:space="0"/>
              <w:right w:val="single" w:color="000000" w:sz="4" w:space="0"/>
            </w:tcBorders>
            <w:shd w:val="clear" w:color="auto" w:fill="FFFFFF"/>
            <w:noWrap/>
            <w:vAlign w:val="center"/>
          </w:tcPr>
          <w:p w14:paraId="1E54650F">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3AA3F393">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阿坝县</w:t>
            </w:r>
          </w:p>
        </w:tc>
        <w:tc>
          <w:tcPr>
            <w:tcW w:w="124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1491E116">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79.23</w:t>
            </w:r>
          </w:p>
        </w:tc>
        <w:tc>
          <w:tcPr>
            <w:tcW w:w="124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7213600E">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120.68</w:t>
            </w:r>
          </w:p>
        </w:tc>
        <w:tc>
          <w:tcPr>
            <w:tcW w:w="124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1C7B4693">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135 </w:t>
            </w:r>
          </w:p>
        </w:tc>
        <w:tc>
          <w:tcPr>
            <w:tcW w:w="1247"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5E968133">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53.8 </w:t>
            </w:r>
          </w:p>
        </w:tc>
        <w:tc>
          <w:tcPr>
            <w:tcW w:w="1247" w:type="dxa"/>
            <w:tcBorders>
              <w:top w:val="single" w:color="000000" w:sz="8" w:space="0"/>
              <w:left w:val="single" w:color="000000" w:sz="4" w:space="0"/>
              <w:bottom w:val="single" w:color="000000" w:sz="4" w:space="0"/>
              <w:right w:val="nil"/>
            </w:tcBorders>
            <w:shd w:val="clear" w:color="auto" w:fill="FFFFFF"/>
            <w:noWrap/>
            <w:vAlign w:val="center"/>
          </w:tcPr>
          <w:p w14:paraId="76663CDB">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1.52 </w:t>
            </w:r>
          </w:p>
        </w:tc>
      </w:tr>
      <w:tr w14:paraId="136ED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247" w:type="dxa"/>
            <w:tcBorders>
              <w:top w:val="single" w:color="000000" w:sz="4" w:space="0"/>
              <w:left w:val="nil"/>
              <w:bottom w:val="single" w:color="000000" w:sz="4" w:space="0"/>
              <w:right w:val="single" w:color="000000" w:sz="4" w:space="0"/>
            </w:tcBorders>
            <w:shd w:val="clear" w:color="auto" w:fill="FFFFFF"/>
            <w:noWrap/>
            <w:vAlign w:val="center"/>
          </w:tcPr>
          <w:p w14:paraId="35784A34">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AC8EB">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黑水县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FAB8D">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91.24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BB997">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150.35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8E96D">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163 </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07492">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55.2 </w:t>
            </w:r>
          </w:p>
        </w:tc>
        <w:tc>
          <w:tcPr>
            <w:tcW w:w="1247" w:type="dxa"/>
            <w:tcBorders>
              <w:top w:val="single" w:color="000000" w:sz="4" w:space="0"/>
              <w:left w:val="single" w:color="000000" w:sz="4" w:space="0"/>
              <w:bottom w:val="single" w:color="000000" w:sz="4" w:space="0"/>
              <w:right w:val="nil"/>
            </w:tcBorders>
            <w:shd w:val="clear" w:color="auto" w:fill="FFFFFF"/>
            <w:noWrap/>
            <w:vAlign w:val="center"/>
          </w:tcPr>
          <w:p w14:paraId="46CB9C75">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1.65 </w:t>
            </w:r>
          </w:p>
        </w:tc>
      </w:tr>
      <w:tr w14:paraId="0902B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247" w:type="dxa"/>
            <w:tcBorders>
              <w:top w:val="single" w:color="000000" w:sz="4" w:space="0"/>
              <w:left w:val="nil"/>
              <w:bottom w:val="single" w:color="000000" w:sz="4" w:space="0"/>
              <w:right w:val="single" w:color="000000" w:sz="4" w:space="0"/>
            </w:tcBorders>
            <w:shd w:val="clear" w:color="auto" w:fill="FFFFFF"/>
            <w:noWrap/>
            <w:vAlign w:val="center"/>
          </w:tcPr>
          <w:p w14:paraId="63F26443">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170C0">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理县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91083">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161.58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D8BD8">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224.73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6DC14">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195 </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EBF7A">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69.3 </w:t>
            </w:r>
          </w:p>
        </w:tc>
        <w:tc>
          <w:tcPr>
            <w:tcW w:w="1247" w:type="dxa"/>
            <w:tcBorders>
              <w:top w:val="single" w:color="000000" w:sz="4" w:space="0"/>
              <w:left w:val="single" w:color="000000" w:sz="4" w:space="0"/>
              <w:bottom w:val="single" w:color="000000" w:sz="4" w:space="0"/>
              <w:right w:val="nil"/>
            </w:tcBorders>
            <w:shd w:val="clear" w:color="auto" w:fill="FFFFFF"/>
            <w:noWrap/>
            <w:vAlign w:val="center"/>
          </w:tcPr>
          <w:p w14:paraId="508E1944">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1.39 </w:t>
            </w:r>
          </w:p>
        </w:tc>
      </w:tr>
      <w:tr w14:paraId="17CF7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247" w:type="dxa"/>
            <w:tcBorders>
              <w:top w:val="single" w:color="000000" w:sz="4" w:space="0"/>
              <w:left w:val="nil"/>
              <w:bottom w:val="single" w:color="000000" w:sz="4" w:space="0"/>
              <w:right w:val="single" w:color="000000" w:sz="4" w:space="0"/>
            </w:tcBorders>
            <w:shd w:val="clear" w:color="auto" w:fill="FFFFFF"/>
            <w:noWrap/>
            <w:vAlign w:val="center"/>
          </w:tcPr>
          <w:p w14:paraId="1419F3B7">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517B4">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马尔康市</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A6B72">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103.39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8C21C">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179.24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28AFA">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163 </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4DECD">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65.9 </w:t>
            </w:r>
          </w:p>
        </w:tc>
        <w:tc>
          <w:tcPr>
            <w:tcW w:w="1247" w:type="dxa"/>
            <w:tcBorders>
              <w:top w:val="single" w:color="000000" w:sz="4" w:space="0"/>
              <w:left w:val="single" w:color="000000" w:sz="4" w:space="0"/>
              <w:bottom w:val="single" w:color="000000" w:sz="4" w:space="0"/>
              <w:right w:val="nil"/>
            </w:tcBorders>
            <w:shd w:val="clear" w:color="auto" w:fill="FFFFFF"/>
            <w:noWrap/>
            <w:vAlign w:val="center"/>
          </w:tcPr>
          <w:p w14:paraId="6E5D024E">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1.73 </w:t>
            </w:r>
          </w:p>
        </w:tc>
      </w:tr>
      <w:tr w14:paraId="5F1FB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247" w:type="dxa"/>
            <w:tcBorders>
              <w:top w:val="single" w:color="000000" w:sz="4" w:space="0"/>
              <w:left w:val="nil"/>
              <w:bottom w:val="single" w:color="000000" w:sz="4" w:space="0"/>
              <w:right w:val="single" w:color="000000" w:sz="4" w:space="0"/>
            </w:tcBorders>
            <w:shd w:val="clear" w:color="auto" w:fill="FFFFFF"/>
            <w:noWrap/>
            <w:vAlign w:val="center"/>
          </w:tcPr>
          <w:p w14:paraId="576EF3D8">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FC7BA">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若尔盖县</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386BE">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95.89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6B3E8">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136.54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62E20">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133 </w:t>
            </w:r>
          </w:p>
        </w:tc>
        <w:tc>
          <w:tcPr>
            <w:tcW w:w="124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A6032">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61.4 </w:t>
            </w:r>
          </w:p>
        </w:tc>
        <w:tc>
          <w:tcPr>
            <w:tcW w:w="1247" w:type="dxa"/>
            <w:tcBorders>
              <w:top w:val="single" w:color="000000" w:sz="4" w:space="0"/>
              <w:left w:val="single" w:color="000000" w:sz="4" w:space="0"/>
              <w:bottom w:val="single" w:color="000000" w:sz="4" w:space="0"/>
              <w:right w:val="nil"/>
            </w:tcBorders>
            <w:shd w:val="clear" w:color="auto" w:fill="FFFFFF"/>
            <w:noWrap/>
            <w:vAlign w:val="center"/>
          </w:tcPr>
          <w:p w14:paraId="1ABE9025">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1.42 </w:t>
            </w:r>
          </w:p>
        </w:tc>
      </w:tr>
      <w:tr w14:paraId="28F4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247" w:type="dxa"/>
            <w:tcBorders>
              <w:top w:val="single" w:color="000000" w:sz="4" w:space="0"/>
              <w:left w:val="nil"/>
              <w:bottom w:val="single" w:color="000000" w:sz="12" w:space="0"/>
              <w:right w:val="single" w:color="000000" w:sz="4" w:space="0"/>
            </w:tcBorders>
            <w:shd w:val="clear" w:color="auto" w:fill="FFFFFF"/>
            <w:noWrap/>
            <w:vAlign w:val="center"/>
          </w:tcPr>
          <w:p w14:paraId="37EAD9D5">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w:t>
            </w:r>
          </w:p>
        </w:tc>
        <w:tc>
          <w:tcPr>
            <w:tcW w:w="124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4FC68DC2">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松潘县</w:t>
            </w:r>
          </w:p>
        </w:tc>
        <w:tc>
          <w:tcPr>
            <w:tcW w:w="124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22117BBF">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100.31</w:t>
            </w:r>
          </w:p>
        </w:tc>
        <w:tc>
          <w:tcPr>
            <w:tcW w:w="124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1E459050">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206.18</w:t>
            </w:r>
          </w:p>
        </w:tc>
        <w:tc>
          <w:tcPr>
            <w:tcW w:w="124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08279751">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212 </w:t>
            </w:r>
          </w:p>
        </w:tc>
        <w:tc>
          <w:tcPr>
            <w:tcW w:w="1247"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459AD568">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58.5 </w:t>
            </w:r>
          </w:p>
        </w:tc>
        <w:tc>
          <w:tcPr>
            <w:tcW w:w="1247" w:type="dxa"/>
            <w:tcBorders>
              <w:top w:val="single" w:color="000000" w:sz="4" w:space="0"/>
              <w:left w:val="single" w:color="000000" w:sz="4" w:space="0"/>
              <w:bottom w:val="single" w:color="000000" w:sz="12" w:space="0"/>
              <w:right w:val="nil"/>
            </w:tcBorders>
            <w:shd w:val="clear" w:color="auto" w:fill="FFFFFF"/>
            <w:noWrap/>
            <w:vAlign w:val="center"/>
          </w:tcPr>
          <w:p w14:paraId="7DB4C9B7">
            <w:pPr>
              <w:pStyle w:val="23"/>
              <w:keepNext w:val="0"/>
              <w:keepLines w:val="0"/>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2.06 </w:t>
            </w:r>
          </w:p>
        </w:tc>
      </w:tr>
    </w:tbl>
    <w:p w14:paraId="7C22965B">
      <w:pPr>
        <w:keepNext w:val="0"/>
        <w:keepLines w:val="0"/>
        <w:pageBreakBefore w:val="0"/>
        <w:widowControl w:val="0"/>
        <w:kinsoku/>
        <w:wordWrap/>
        <w:overflowPunct/>
        <w:topLinePunct w:val="0"/>
        <w:autoSpaceDE/>
        <w:autoSpaceDN/>
        <w:bidi w:val="0"/>
        <w:adjustRightInd/>
        <w:ind w:firstLine="560"/>
        <w:textAlignment w:val="auto"/>
        <w:rPr>
          <w:rFonts w:hint="eastAsia"/>
        </w:rPr>
      </w:pPr>
    </w:p>
    <w:p w14:paraId="6771194C">
      <w:pPr>
        <w:ind w:firstLine="560"/>
      </w:pPr>
      <w:r>
        <w:rPr>
          <w:rFonts w:hint="eastAsia"/>
        </w:rPr>
        <w:t>高速公路服务县乡联系能力逐步显现。从县乡政府上高速可达性看，随着高速公路通道建成投用，红原县县城及多数乡镇与高速入口之间已形成较为稳定的联系。红原县人民政府至最近的龙日坝高速入口驾车距离约52.56公里，驾车时间约54分钟，绕行系数为1.29。分乡镇看，刷经寺镇至刷经寺高速入口距离最近，驾车距离仅4.02公里、约7分钟；安曲镇、龙日镇、江茸乡至龙日坝高速入口驾车时间分别约24分钟、16分钟和30分钟，高速可达性相对较好。阿木乡、查尔玛乡、邛溪镇等乡镇至高速入口驾车时间在49—74分钟之间，基本具备较稳定的高速接入条件。但不同乡镇之间高速可达性仍存在一定差异，瓦切镇、麦洼乡、色地镇受空间距离、道路走向及地形条件影响，至最近高速入口驾车时间仍在95分钟以上，部分偏远乡镇快速接入高速公路网络的能力仍有提升空间。总体来看，红原县高速公路出入口对县城和周边乡镇的辐射带动作用开始显现，为提升县域对外出行效率、改善旅游集散条件和增强应急保障能力提供了重要支撑。</w:t>
      </w:r>
    </w:p>
    <w:p w14:paraId="262923E8">
      <w:pPr>
        <w:pStyle w:val="25"/>
        <w:keepNext/>
        <w:keepLines/>
        <w:pageBreakBefore w:val="0"/>
        <w:widowControl w:val="0"/>
        <w:kinsoku/>
        <w:wordWrap/>
        <w:overflowPunct/>
        <w:topLinePunct w:val="0"/>
        <w:autoSpaceDE/>
        <w:autoSpaceDN/>
        <w:bidi w:val="0"/>
        <w:adjustRightInd/>
        <w:textAlignment w:val="auto"/>
        <w:rPr>
          <w:rFonts w:hint="eastAsia"/>
          <w:lang w:val="en-US" w:eastAsia="zh-CN"/>
        </w:rPr>
      </w:pPr>
      <w:r>
        <w:t xml:space="preserve">表 </w:t>
      </w:r>
      <w:r>
        <w:fldChar w:fldCharType="begin"/>
      </w:r>
      <w:r>
        <w:instrText xml:space="preserve"> SEQ 表 \* ARABIC </w:instrText>
      </w:r>
      <w:r>
        <w:fldChar w:fldCharType="separate"/>
      </w:r>
      <w:r>
        <w:t>10</w:t>
      </w:r>
      <w:r>
        <w:fldChar w:fldCharType="end"/>
      </w:r>
      <w:r>
        <w:rPr>
          <w:rFonts w:hint="eastAsia"/>
          <w:lang w:val="en-US" w:eastAsia="zh-CN"/>
        </w:rPr>
        <w:t xml:space="preserve"> 红原县县乡政府上高速可达性情况</w:t>
      </w:r>
    </w:p>
    <w:tbl>
      <w:tblPr>
        <w:tblStyle w:val="18"/>
        <w:tblW w:w="9243" w:type="dxa"/>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324"/>
        <w:gridCol w:w="964"/>
        <w:gridCol w:w="1191"/>
        <w:gridCol w:w="1191"/>
        <w:gridCol w:w="1191"/>
        <w:gridCol w:w="1191"/>
        <w:gridCol w:w="1191"/>
      </w:tblGrid>
      <w:tr w14:paraId="30126BD8">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atLeast"/>
          <w:jc w:val="center"/>
        </w:trPr>
        <w:tc>
          <w:tcPr>
            <w:tcW w:w="2324" w:type="dxa"/>
            <w:tcBorders>
              <w:top w:val="single" w:color="000000" w:sz="12" w:space="0"/>
              <w:left w:val="nil"/>
              <w:bottom w:val="single" w:color="000000" w:sz="8" w:space="0"/>
            </w:tcBorders>
            <w:shd w:val="clear" w:color="auto" w:fill="FFFFFF"/>
            <w:vAlign w:val="center"/>
          </w:tcPr>
          <w:p w14:paraId="5F536F22">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政府名称</w:t>
            </w:r>
          </w:p>
        </w:tc>
        <w:tc>
          <w:tcPr>
            <w:tcW w:w="964" w:type="dxa"/>
            <w:tcBorders>
              <w:top w:val="single" w:color="000000" w:sz="12" w:space="0"/>
              <w:bottom w:val="single" w:color="000000" w:sz="8" w:space="0"/>
            </w:tcBorders>
            <w:shd w:val="clear" w:color="auto" w:fill="FFFFFF"/>
            <w:vAlign w:val="center"/>
          </w:tcPr>
          <w:p w14:paraId="0D6FF400">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等级</w:t>
            </w:r>
          </w:p>
        </w:tc>
        <w:tc>
          <w:tcPr>
            <w:tcW w:w="1191" w:type="dxa"/>
            <w:tcBorders>
              <w:top w:val="single" w:color="000000" w:sz="12" w:space="0"/>
              <w:bottom w:val="single" w:color="000000" w:sz="8" w:space="0"/>
            </w:tcBorders>
            <w:shd w:val="clear" w:color="auto" w:fill="FFFFFF"/>
            <w:vAlign w:val="center"/>
          </w:tcPr>
          <w:p w14:paraId="269FB222">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最近高速入口</w:t>
            </w:r>
          </w:p>
        </w:tc>
        <w:tc>
          <w:tcPr>
            <w:tcW w:w="1191" w:type="dxa"/>
            <w:tcBorders>
              <w:top w:val="single" w:color="000000" w:sz="12" w:space="0"/>
              <w:bottom w:val="single" w:color="000000" w:sz="8" w:space="0"/>
            </w:tcBorders>
            <w:shd w:val="clear" w:color="auto" w:fill="FFFFFF"/>
            <w:vAlign w:val="center"/>
          </w:tcPr>
          <w:p w14:paraId="503DA85D">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直线距离（公里）</w:t>
            </w:r>
          </w:p>
        </w:tc>
        <w:tc>
          <w:tcPr>
            <w:tcW w:w="1191" w:type="dxa"/>
            <w:tcBorders>
              <w:top w:val="single" w:color="000000" w:sz="12" w:space="0"/>
              <w:bottom w:val="single" w:color="000000" w:sz="8" w:space="0"/>
            </w:tcBorders>
            <w:shd w:val="clear" w:color="auto" w:fill="FFFFFF"/>
            <w:vAlign w:val="center"/>
          </w:tcPr>
          <w:p w14:paraId="08F40ADB">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驾车距离（公里）</w:t>
            </w:r>
          </w:p>
        </w:tc>
        <w:tc>
          <w:tcPr>
            <w:tcW w:w="1191" w:type="dxa"/>
            <w:tcBorders>
              <w:top w:val="single" w:color="000000" w:sz="12" w:space="0"/>
              <w:bottom w:val="single" w:color="000000" w:sz="8" w:space="0"/>
            </w:tcBorders>
            <w:shd w:val="clear" w:color="auto" w:fill="FFFFFF"/>
            <w:vAlign w:val="center"/>
          </w:tcPr>
          <w:p w14:paraId="35CE6654">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驾车时间（分钟）</w:t>
            </w:r>
          </w:p>
        </w:tc>
        <w:tc>
          <w:tcPr>
            <w:tcW w:w="1191" w:type="dxa"/>
            <w:tcBorders>
              <w:top w:val="single" w:color="000000" w:sz="12" w:space="0"/>
              <w:bottom w:val="single" w:color="000000" w:sz="8" w:space="0"/>
              <w:right w:val="nil"/>
            </w:tcBorders>
            <w:shd w:val="clear" w:color="auto" w:fill="FFFFFF"/>
            <w:vAlign w:val="center"/>
          </w:tcPr>
          <w:p w14:paraId="77C2BE60">
            <w:pPr>
              <w:pStyle w:val="24"/>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绕行系数</w:t>
            </w:r>
          </w:p>
        </w:tc>
      </w:tr>
      <w:tr w14:paraId="02D1DA8D">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top w:val="single" w:color="000000" w:sz="8" w:space="0"/>
              <w:left w:val="nil"/>
            </w:tcBorders>
            <w:shd w:val="clear" w:color="auto" w:fill="FFFFFF"/>
            <w:noWrap/>
            <w:vAlign w:val="center"/>
          </w:tcPr>
          <w:p w14:paraId="0F913C5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红原县人民政府</w:t>
            </w:r>
          </w:p>
        </w:tc>
        <w:tc>
          <w:tcPr>
            <w:tcW w:w="964" w:type="dxa"/>
            <w:tcBorders>
              <w:top w:val="single" w:color="000000" w:sz="8" w:space="0"/>
            </w:tcBorders>
            <w:shd w:val="clear" w:color="auto" w:fill="FFFFFF"/>
            <w:noWrap/>
            <w:vAlign w:val="center"/>
          </w:tcPr>
          <w:p w14:paraId="535C6C9D">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县政府</w:t>
            </w:r>
          </w:p>
        </w:tc>
        <w:tc>
          <w:tcPr>
            <w:tcW w:w="1191" w:type="dxa"/>
            <w:tcBorders>
              <w:top w:val="single" w:color="000000" w:sz="8" w:space="0"/>
            </w:tcBorders>
            <w:shd w:val="clear" w:color="auto" w:fill="FFFFFF"/>
            <w:noWrap/>
            <w:vAlign w:val="center"/>
          </w:tcPr>
          <w:p w14:paraId="31BA16A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tcBorders>
              <w:top w:val="single" w:color="000000" w:sz="8" w:space="0"/>
            </w:tcBorders>
            <w:shd w:val="clear" w:color="auto" w:fill="FFFFFF"/>
            <w:noWrap/>
            <w:vAlign w:val="center"/>
          </w:tcPr>
          <w:p w14:paraId="0CF13C55">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40.69</w:t>
            </w:r>
          </w:p>
        </w:tc>
        <w:tc>
          <w:tcPr>
            <w:tcW w:w="1191" w:type="dxa"/>
            <w:tcBorders>
              <w:top w:val="single" w:color="000000" w:sz="8" w:space="0"/>
            </w:tcBorders>
            <w:shd w:val="clear" w:color="auto" w:fill="FFFFFF"/>
            <w:noWrap/>
            <w:vAlign w:val="center"/>
          </w:tcPr>
          <w:p w14:paraId="5F86156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52.56</w:t>
            </w:r>
          </w:p>
        </w:tc>
        <w:tc>
          <w:tcPr>
            <w:tcW w:w="1191" w:type="dxa"/>
            <w:tcBorders>
              <w:top w:val="single" w:color="000000" w:sz="8" w:space="0"/>
            </w:tcBorders>
            <w:shd w:val="clear" w:color="auto" w:fill="FFFFFF"/>
            <w:noWrap/>
            <w:vAlign w:val="center"/>
          </w:tcPr>
          <w:p w14:paraId="20DB238E">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54</w:t>
            </w:r>
          </w:p>
        </w:tc>
        <w:tc>
          <w:tcPr>
            <w:tcW w:w="1191" w:type="dxa"/>
            <w:tcBorders>
              <w:top w:val="single" w:color="000000" w:sz="8" w:space="0"/>
              <w:right w:val="nil"/>
            </w:tcBorders>
            <w:shd w:val="clear" w:color="auto" w:fill="FFFFFF"/>
            <w:noWrap/>
            <w:vAlign w:val="center"/>
          </w:tcPr>
          <w:p w14:paraId="43DC1C4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1.29 </w:t>
            </w:r>
          </w:p>
        </w:tc>
      </w:tr>
      <w:tr w14:paraId="4B52ECF4">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01B578CD">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瓦切镇人民政府</w:t>
            </w:r>
          </w:p>
        </w:tc>
        <w:tc>
          <w:tcPr>
            <w:tcW w:w="964" w:type="dxa"/>
            <w:shd w:val="clear" w:color="auto" w:fill="FFFFFF"/>
            <w:noWrap/>
            <w:vAlign w:val="center"/>
          </w:tcPr>
          <w:p w14:paraId="5CEDE78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76DF7A00">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19B0FC0E">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78.89</w:t>
            </w:r>
          </w:p>
        </w:tc>
        <w:tc>
          <w:tcPr>
            <w:tcW w:w="1191" w:type="dxa"/>
            <w:shd w:val="clear" w:color="auto" w:fill="FFFFFF"/>
            <w:noWrap/>
            <w:vAlign w:val="center"/>
          </w:tcPr>
          <w:p w14:paraId="5A6AE72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94.59</w:t>
            </w:r>
          </w:p>
        </w:tc>
        <w:tc>
          <w:tcPr>
            <w:tcW w:w="1191" w:type="dxa"/>
            <w:shd w:val="clear" w:color="auto" w:fill="FFFFFF"/>
            <w:noWrap/>
            <w:vAlign w:val="center"/>
          </w:tcPr>
          <w:p w14:paraId="03EBA0C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95</w:t>
            </w:r>
          </w:p>
        </w:tc>
        <w:tc>
          <w:tcPr>
            <w:tcW w:w="1191" w:type="dxa"/>
            <w:tcBorders>
              <w:right w:val="nil"/>
            </w:tcBorders>
            <w:shd w:val="clear" w:color="auto" w:fill="FFFFFF"/>
            <w:noWrap/>
            <w:vAlign w:val="center"/>
          </w:tcPr>
          <w:p w14:paraId="5752AAEE">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1.20 </w:t>
            </w:r>
          </w:p>
        </w:tc>
      </w:tr>
      <w:tr w14:paraId="2F507C91">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7BD779C8">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刷经寺镇人民政府</w:t>
            </w:r>
          </w:p>
        </w:tc>
        <w:tc>
          <w:tcPr>
            <w:tcW w:w="964" w:type="dxa"/>
            <w:shd w:val="clear" w:color="auto" w:fill="FFFFFF"/>
            <w:noWrap/>
            <w:vAlign w:val="center"/>
          </w:tcPr>
          <w:p w14:paraId="1D2E1E2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3968F85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刷经寺</w:t>
            </w:r>
          </w:p>
        </w:tc>
        <w:tc>
          <w:tcPr>
            <w:tcW w:w="1191" w:type="dxa"/>
            <w:shd w:val="clear" w:color="auto" w:fill="FFFFFF"/>
            <w:noWrap/>
            <w:vAlign w:val="center"/>
          </w:tcPr>
          <w:p w14:paraId="43660B6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2.81</w:t>
            </w:r>
          </w:p>
        </w:tc>
        <w:tc>
          <w:tcPr>
            <w:tcW w:w="1191" w:type="dxa"/>
            <w:shd w:val="clear" w:color="auto" w:fill="FFFFFF"/>
            <w:noWrap/>
            <w:vAlign w:val="center"/>
          </w:tcPr>
          <w:p w14:paraId="58E1448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4.02</w:t>
            </w:r>
          </w:p>
        </w:tc>
        <w:tc>
          <w:tcPr>
            <w:tcW w:w="1191" w:type="dxa"/>
            <w:shd w:val="clear" w:color="auto" w:fill="FFFFFF"/>
            <w:noWrap/>
            <w:vAlign w:val="center"/>
          </w:tcPr>
          <w:p w14:paraId="3FA90CD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7</w:t>
            </w:r>
          </w:p>
        </w:tc>
        <w:tc>
          <w:tcPr>
            <w:tcW w:w="1191" w:type="dxa"/>
            <w:tcBorders>
              <w:right w:val="nil"/>
            </w:tcBorders>
            <w:shd w:val="clear" w:color="auto" w:fill="FFFFFF"/>
            <w:noWrap/>
            <w:vAlign w:val="center"/>
          </w:tcPr>
          <w:p w14:paraId="3DA1380D">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1.43 </w:t>
            </w:r>
          </w:p>
        </w:tc>
      </w:tr>
      <w:tr w14:paraId="17AE1E24">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11191D7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色地镇人民政府</w:t>
            </w:r>
          </w:p>
        </w:tc>
        <w:tc>
          <w:tcPr>
            <w:tcW w:w="964" w:type="dxa"/>
            <w:shd w:val="clear" w:color="auto" w:fill="FFFFFF"/>
            <w:noWrap/>
            <w:vAlign w:val="center"/>
          </w:tcPr>
          <w:p w14:paraId="112EB576">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2EE7603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2ECABA90">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83.75</w:t>
            </w:r>
          </w:p>
        </w:tc>
        <w:tc>
          <w:tcPr>
            <w:tcW w:w="1191" w:type="dxa"/>
            <w:shd w:val="clear" w:color="auto" w:fill="FFFFFF"/>
            <w:noWrap/>
            <w:vAlign w:val="center"/>
          </w:tcPr>
          <w:p w14:paraId="19BD06F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143.12</w:t>
            </w:r>
          </w:p>
        </w:tc>
        <w:tc>
          <w:tcPr>
            <w:tcW w:w="1191" w:type="dxa"/>
            <w:shd w:val="clear" w:color="auto" w:fill="FFFFFF"/>
            <w:noWrap/>
            <w:vAlign w:val="center"/>
          </w:tcPr>
          <w:p w14:paraId="50CC82F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145</w:t>
            </w:r>
          </w:p>
        </w:tc>
        <w:tc>
          <w:tcPr>
            <w:tcW w:w="1191" w:type="dxa"/>
            <w:tcBorders>
              <w:right w:val="nil"/>
            </w:tcBorders>
            <w:shd w:val="clear" w:color="auto" w:fill="FFFFFF"/>
            <w:noWrap/>
            <w:vAlign w:val="center"/>
          </w:tcPr>
          <w:p w14:paraId="4FDE76C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1.71 </w:t>
            </w:r>
          </w:p>
        </w:tc>
      </w:tr>
      <w:tr w14:paraId="57AE8BCA">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092B290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阿木乡人民政府</w:t>
            </w:r>
          </w:p>
        </w:tc>
        <w:tc>
          <w:tcPr>
            <w:tcW w:w="964" w:type="dxa"/>
            <w:shd w:val="clear" w:color="auto" w:fill="FFFFFF"/>
            <w:noWrap/>
            <w:vAlign w:val="center"/>
          </w:tcPr>
          <w:p w14:paraId="67B503F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04CFACE0">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547B645C">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56.96</w:t>
            </w:r>
          </w:p>
        </w:tc>
        <w:tc>
          <w:tcPr>
            <w:tcW w:w="1191" w:type="dxa"/>
            <w:shd w:val="clear" w:color="auto" w:fill="FFFFFF"/>
            <w:noWrap/>
            <w:vAlign w:val="center"/>
          </w:tcPr>
          <w:p w14:paraId="6EA3DCB3">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69.77</w:t>
            </w:r>
          </w:p>
        </w:tc>
        <w:tc>
          <w:tcPr>
            <w:tcW w:w="1191" w:type="dxa"/>
            <w:shd w:val="clear" w:color="auto" w:fill="FFFFFF"/>
            <w:noWrap/>
            <w:vAlign w:val="center"/>
          </w:tcPr>
          <w:p w14:paraId="16D5A02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74</w:t>
            </w:r>
          </w:p>
        </w:tc>
        <w:tc>
          <w:tcPr>
            <w:tcW w:w="1191" w:type="dxa"/>
            <w:tcBorders>
              <w:right w:val="nil"/>
            </w:tcBorders>
            <w:shd w:val="clear" w:color="auto" w:fill="FFFFFF"/>
            <w:noWrap/>
            <w:vAlign w:val="center"/>
          </w:tcPr>
          <w:p w14:paraId="000ACD1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1.22 </w:t>
            </w:r>
          </w:p>
        </w:tc>
      </w:tr>
      <w:tr w14:paraId="6F544835">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3C0B3E9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查尔玛乡人民政府</w:t>
            </w:r>
          </w:p>
        </w:tc>
        <w:tc>
          <w:tcPr>
            <w:tcW w:w="964" w:type="dxa"/>
            <w:shd w:val="clear" w:color="auto" w:fill="FFFFFF"/>
            <w:noWrap/>
            <w:vAlign w:val="center"/>
          </w:tcPr>
          <w:p w14:paraId="013C335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1B01EC8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3F849C9C">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22.96</w:t>
            </w:r>
          </w:p>
        </w:tc>
        <w:tc>
          <w:tcPr>
            <w:tcW w:w="1191" w:type="dxa"/>
            <w:shd w:val="clear" w:color="auto" w:fill="FFFFFF"/>
            <w:noWrap/>
            <w:vAlign w:val="center"/>
          </w:tcPr>
          <w:p w14:paraId="4C961C23">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43.48</w:t>
            </w:r>
          </w:p>
        </w:tc>
        <w:tc>
          <w:tcPr>
            <w:tcW w:w="1191" w:type="dxa"/>
            <w:shd w:val="clear" w:color="auto" w:fill="FFFFFF"/>
            <w:noWrap/>
            <w:vAlign w:val="center"/>
          </w:tcPr>
          <w:p w14:paraId="22FC03B2">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49</w:t>
            </w:r>
          </w:p>
        </w:tc>
        <w:tc>
          <w:tcPr>
            <w:tcW w:w="1191" w:type="dxa"/>
            <w:tcBorders>
              <w:right w:val="nil"/>
            </w:tcBorders>
            <w:shd w:val="clear" w:color="auto" w:fill="FFFFFF"/>
            <w:noWrap/>
            <w:vAlign w:val="center"/>
          </w:tcPr>
          <w:p w14:paraId="08EAF109">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1.89 </w:t>
            </w:r>
          </w:p>
        </w:tc>
      </w:tr>
      <w:tr w14:paraId="2753B62E">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2BC83BD8">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安曲镇人民政府</w:t>
            </w:r>
          </w:p>
        </w:tc>
        <w:tc>
          <w:tcPr>
            <w:tcW w:w="964" w:type="dxa"/>
            <w:shd w:val="clear" w:color="auto" w:fill="FFFFFF"/>
            <w:noWrap/>
            <w:vAlign w:val="center"/>
          </w:tcPr>
          <w:p w14:paraId="3A6C5BBE">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3E3E3026">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604778C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21.53</w:t>
            </w:r>
          </w:p>
        </w:tc>
        <w:tc>
          <w:tcPr>
            <w:tcW w:w="1191" w:type="dxa"/>
            <w:shd w:val="clear" w:color="auto" w:fill="FFFFFF"/>
            <w:noWrap/>
            <w:vAlign w:val="center"/>
          </w:tcPr>
          <w:p w14:paraId="704CC5CB">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22.62</w:t>
            </w:r>
          </w:p>
        </w:tc>
        <w:tc>
          <w:tcPr>
            <w:tcW w:w="1191" w:type="dxa"/>
            <w:shd w:val="clear" w:color="auto" w:fill="FFFFFF"/>
            <w:noWrap/>
            <w:vAlign w:val="center"/>
          </w:tcPr>
          <w:p w14:paraId="7D82E803">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24</w:t>
            </w:r>
          </w:p>
        </w:tc>
        <w:tc>
          <w:tcPr>
            <w:tcW w:w="1191" w:type="dxa"/>
            <w:tcBorders>
              <w:right w:val="nil"/>
            </w:tcBorders>
            <w:shd w:val="clear" w:color="auto" w:fill="FFFFFF"/>
            <w:noWrap/>
            <w:vAlign w:val="center"/>
          </w:tcPr>
          <w:p w14:paraId="2E08413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1.05 </w:t>
            </w:r>
          </w:p>
        </w:tc>
      </w:tr>
      <w:tr w14:paraId="7832455F">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55C27A61">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江茸乡人民政府</w:t>
            </w:r>
          </w:p>
        </w:tc>
        <w:tc>
          <w:tcPr>
            <w:tcW w:w="964" w:type="dxa"/>
            <w:shd w:val="clear" w:color="auto" w:fill="FFFFFF"/>
            <w:noWrap/>
            <w:vAlign w:val="center"/>
          </w:tcPr>
          <w:p w14:paraId="0C99C4C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乡镇</w:t>
            </w:r>
          </w:p>
        </w:tc>
        <w:tc>
          <w:tcPr>
            <w:tcW w:w="1191" w:type="dxa"/>
            <w:shd w:val="clear" w:color="auto" w:fill="FFFFFF"/>
            <w:noWrap/>
            <w:vAlign w:val="center"/>
          </w:tcPr>
          <w:p w14:paraId="61030A57">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龙日坝</w:t>
            </w:r>
          </w:p>
        </w:tc>
        <w:tc>
          <w:tcPr>
            <w:tcW w:w="1191" w:type="dxa"/>
            <w:shd w:val="clear" w:color="auto" w:fill="FFFFFF"/>
            <w:noWrap/>
            <w:vAlign w:val="center"/>
          </w:tcPr>
          <w:p w14:paraId="32A83F7C">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10.38</w:t>
            </w:r>
          </w:p>
        </w:tc>
        <w:tc>
          <w:tcPr>
            <w:tcW w:w="1191" w:type="dxa"/>
            <w:shd w:val="clear" w:color="auto" w:fill="FFFFFF"/>
            <w:noWrap/>
            <w:vAlign w:val="center"/>
          </w:tcPr>
          <w:p w14:paraId="21C3415F">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22.97</w:t>
            </w:r>
          </w:p>
        </w:tc>
        <w:tc>
          <w:tcPr>
            <w:tcW w:w="1191" w:type="dxa"/>
            <w:shd w:val="clear" w:color="auto" w:fill="FFFFFF"/>
            <w:noWrap/>
            <w:vAlign w:val="center"/>
          </w:tcPr>
          <w:p w14:paraId="122B7EF4">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30</w:t>
            </w:r>
          </w:p>
        </w:tc>
        <w:tc>
          <w:tcPr>
            <w:tcW w:w="1191" w:type="dxa"/>
            <w:tcBorders>
              <w:right w:val="nil"/>
            </w:tcBorders>
            <w:shd w:val="clear" w:color="auto" w:fill="FFFFFF"/>
            <w:noWrap/>
            <w:vAlign w:val="center"/>
          </w:tcPr>
          <w:p w14:paraId="5BC954DA">
            <w:pPr>
              <w:pStyle w:val="23"/>
              <w:keepNext/>
              <w:keepLines/>
              <w:pageBreakBefore w:val="0"/>
              <w:widowControl w:val="0"/>
              <w:kinsoku/>
              <w:wordWrap/>
              <w:overflowPunct/>
              <w:topLinePunct w:val="0"/>
              <w:autoSpaceDE/>
              <w:autoSpaceDN/>
              <w:bidi w:val="0"/>
              <w:adjustRightInd/>
              <w:textAlignment w:val="auto"/>
              <w:rPr>
                <w:rFonts w:hint="eastAsia"/>
              </w:rPr>
            </w:pPr>
            <w:r>
              <w:rPr>
                <w:rFonts w:hint="eastAsia"/>
                <w:lang w:val="en-US" w:eastAsia="zh-CN"/>
              </w:rPr>
              <w:t xml:space="preserve">2.21 </w:t>
            </w:r>
          </w:p>
        </w:tc>
      </w:tr>
      <w:tr w14:paraId="3835CF40">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134D3BAB">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龙日镇人民政府</w:t>
            </w:r>
          </w:p>
        </w:tc>
        <w:tc>
          <w:tcPr>
            <w:tcW w:w="964" w:type="dxa"/>
            <w:shd w:val="clear" w:color="auto" w:fill="FFFFFF"/>
            <w:noWrap/>
            <w:vAlign w:val="center"/>
          </w:tcPr>
          <w:p w14:paraId="5D42C016">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乡镇</w:t>
            </w:r>
          </w:p>
        </w:tc>
        <w:tc>
          <w:tcPr>
            <w:tcW w:w="1191" w:type="dxa"/>
            <w:shd w:val="clear" w:color="auto" w:fill="FFFFFF"/>
            <w:noWrap/>
            <w:vAlign w:val="center"/>
          </w:tcPr>
          <w:p w14:paraId="33E19E0F">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龙日坝</w:t>
            </w:r>
          </w:p>
        </w:tc>
        <w:tc>
          <w:tcPr>
            <w:tcW w:w="1191" w:type="dxa"/>
            <w:shd w:val="clear" w:color="auto" w:fill="FFFFFF"/>
            <w:noWrap/>
            <w:vAlign w:val="center"/>
          </w:tcPr>
          <w:p w14:paraId="37415F9C">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7.81</w:t>
            </w:r>
          </w:p>
        </w:tc>
        <w:tc>
          <w:tcPr>
            <w:tcW w:w="1191" w:type="dxa"/>
            <w:shd w:val="clear" w:color="auto" w:fill="FFFFFF"/>
            <w:noWrap/>
            <w:vAlign w:val="center"/>
          </w:tcPr>
          <w:p w14:paraId="11C637CA">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11.75</w:t>
            </w:r>
          </w:p>
        </w:tc>
        <w:tc>
          <w:tcPr>
            <w:tcW w:w="1191" w:type="dxa"/>
            <w:shd w:val="clear" w:color="auto" w:fill="FFFFFF"/>
            <w:noWrap/>
            <w:vAlign w:val="center"/>
          </w:tcPr>
          <w:p w14:paraId="5D61898F">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16</w:t>
            </w:r>
          </w:p>
        </w:tc>
        <w:tc>
          <w:tcPr>
            <w:tcW w:w="1191" w:type="dxa"/>
            <w:tcBorders>
              <w:right w:val="nil"/>
            </w:tcBorders>
            <w:shd w:val="clear" w:color="auto" w:fill="FFFFFF"/>
            <w:noWrap/>
            <w:vAlign w:val="center"/>
          </w:tcPr>
          <w:p w14:paraId="6F38B36D">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 xml:space="preserve">1.50 </w:t>
            </w:r>
          </w:p>
        </w:tc>
      </w:tr>
      <w:tr w14:paraId="3AEE63AD">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tcBorders>
            <w:shd w:val="clear" w:color="auto" w:fill="FFFFFF"/>
            <w:noWrap/>
            <w:vAlign w:val="center"/>
          </w:tcPr>
          <w:p w14:paraId="04E1E6EB">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麦洼乡人民政府</w:t>
            </w:r>
          </w:p>
        </w:tc>
        <w:tc>
          <w:tcPr>
            <w:tcW w:w="964" w:type="dxa"/>
            <w:shd w:val="clear" w:color="auto" w:fill="FFFFFF"/>
            <w:noWrap/>
            <w:vAlign w:val="center"/>
          </w:tcPr>
          <w:p w14:paraId="5340200D">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乡镇</w:t>
            </w:r>
          </w:p>
        </w:tc>
        <w:tc>
          <w:tcPr>
            <w:tcW w:w="1191" w:type="dxa"/>
            <w:shd w:val="clear" w:color="auto" w:fill="FFFFFF"/>
            <w:noWrap/>
            <w:vAlign w:val="center"/>
          </w:tcPr>
          <w:p w14:paraId="7BADF933">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龙日坝</w:t>
            </w:r>
          </w:p>
        </w:tc>
        <w:tc>
          <w:tcPr>
            <w:tcW w:w="1191" w:type="dxa"/>
            <w:shd w:val="clear" w:color="auto" w:fill="FFFFFF"/>
            <w:noWrap/>
            <w:vAlign w:val="center"/>
          </w:tcPr>
          <w:p w14:paraId="196E1B5A">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84.33</w:t>
            </w:r>
          </w:p>
        </w:tc>
        <w:tc>
          <w:tcPr>
            <w:tcW w:w="1191" w:type="dxa"/>
            <w:shd w:val="clear" w:color="auto" w:fill="FFFFFF"/>
            <w:noWrap/>
            <w:vAlign w:val="center"/>
          </w:tcPr>
          <w:p w14:paraId="07757DE1">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134.2</w:t>
            </w:r>
          </w:p>
        </w:tc>
        <w:tc>
          <w:tcPr>
            <w:tcW w:w="1191" w:type="dxa"/>
            <w:shd w:val="clear" w:color="auto" w:fill="FFFFFF"/>
            <w:noWrap/>
            <w:vAlign w:val="center"/>
          </w:tcPr>
          <w:p w14:paraId="73A4B19D">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134</w:t>
            </w:r>
          </w:p>
        </w:tc>
        <w:tc>
          <w:tcPr>
            <w:tcW w:w="1191" w:type="dxa"/>
            <w:tcBorders>
              <w:right w:val="nil"/>
            </w:tcBorders>
            <w:shd w:val="clear" w:color="auto" w:fill="FFFFFF"/>
            <w:noWrap/>
            <w:vAlign w:val="center"/>
          </w:tcPr>
          <w:p w14:paraId="6C895890">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 xml:space="preserve">1.59 </w:t>
            </w:r>
          </w:p>
        </w:tc>
      </w:tr>
      <w:tr w14:paraId="2E9E4A5E">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324" w:type="dxa"/>
            <w:tcBorders>
              <w:left w:val="nil"/>
              <w:bottom w:val="single" w:color="000000" w:sz="12" w:space="0"/>
            </w:tcBorders>
            <w:shd w:val="clear" w:color="auto" w:fill="FFFFFF"/>
            <w:noWrap/>
            <w:vAlign w:val="center"/>
          </w:tcPr>
          <w:p w14:paraId="4E68FFEC">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邛溪镇人民政府</w:t>
            </w:r>
          </w:p>
        </w:tc>
        <w:tc>
          <w:tcPr>
            <w:tcW w:w="964" w:type="dxa"/>
            <w:tcBorders>
              <w:bottom w:val="single" w:color="000000" w:sz="12" w:space="0"/>
            </w:tcBorders>
            <w:shd w:val="clear" w:color="auto" w:fill="FFFFFF"/>
            <w:noWrap/>
            <w:vAlign w:val="center"/>
          </w:tcPr>
          <w:p w14:paraId="2633EC1A">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乡镇</w:t>
            </w:r>
          </w:p>
        </w:tc>
        <w:tc>
          <w:tcPr>
            <w:tcW w:w="1191" w:type="dxa"/>
            <w:tcBorders>
              <w:bottom w:val="single" w:color="000000" w:sz="12" w:space="0"/>
            </w:tcBorders>
            <w:shd w:val="clear" w:color="auto" w:fill="FFFFFF"/>
            <w:noWrap/>
            <w:vAlign w:val="center"/>
          </w:tcPr>
          <w:p w14:paraId="2A220269">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龙日坝</w:t>
            </w:r>
          </w:p>
        </w:tc>
        <w:tc>
          <w:tcPr>
            <w:tcW w:w="1191" w:type="dxa"/>
            <w:tcBorders>
              <w:bottom w:val="single" w:color="000000" w:sz="12" w:space="0"/>
            </w:tcBorders>
            <w:shd w:val="clear" w:color="auto" w:fill="FFFFFF"/>
            <w:noWrap/>
            <w:vAlign w:val="center"/>
          </w:tcPr>
          <w:p w14:paraId="208BC64F">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41.6</w:t>
            </w:r>
          </w:p>
        </w:tc>
        <w:tc>
          <w:tcPr>
            <w:tcW w:w="1191" w:type="dxa"/>
            <w:tcBorders>
              <w:bottom w:val="single" w:color="000000" w:sz="12" w:space="0"/>
            </w:tcBorders>
            <w:shd w:val="clear" w:color="auto" w:fill="FFFFFF"/>
            <w:noWrap/>
            <w:vAlign w:val="center"/>
          </w:tcPr>
          <w:p w14:paraId="4C4B77CA">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52.58</w:t>
            </w:r>
          </w:p>
        </w:tc>
        <w:tc>
          <w:tcPr>
            <w:tcW w:w="1191" w:type="dxa"/>
            <w:tcBorders>
              <w:bottom w:val="single" w:color="000000" w:sz="12" w:space="0"/>
            </w:tcBorders>
            <w:shd w:val="clear" w:color="auto" w:fill="FFFFFF"/>
            <w:noWrap/>
            <w:vAlign w:val="center"/>
          </w:tcPr>
          <w:p w14:paraId="07E2899B">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55</w:t>
            </w:r>
          </w:p>
        </w:tc>
        <w:tc>
          <w:tcPr>
            <w:tcW w:w="1191" w:type="dxa"/>
            <w:tcBorders>
              <w:bottom w:val="single" w:color="000000" w:sz="12" w:space="0"/>
              <w:right w:val="nil"/>
            </w:tcBorders>
            <w:shd w:val="clear" w:color="auto" w:fill="FFFFFF"/>
            <w:noWrap/>
            <w:vAlign w:val="center"/>
          </w:tcPr>
          <w:p w14:paraId="72FA6E3E">
            <w:pPr>
              <w:pStyle w:val="23"/>
              <w:keepNext/>
              <w:keepLines/>
              <w:pageBreakBefore w:val="0"/>
              <w:widowControl w:val="0"/>
              <w:kinsoku/>
              <w:wordWrap/>
              <w:overflowPunct/>
              <w:topLinePunct w:val="0"/>
              <w:autoSpaceDE/>
              <w:autoSpaceDN/>
              <w:bidi w:val="0"/>
              <w:adjustRightInd/>
              <w:textAlignment w:val="auto"/>
              <w:rPr>
                <w:rFonts w:hint="eastAsia"/>
                <w:lang w:val="en-US" w:eastAsia="zh-CN"/>
              </w:rPr>
            </w:pPr>
            <w:r>
              <w:rPr>
                <w:rFonts w:hint="eastAsia"/>
                <w:lang w:val="en-US" w:eastAsia="zh-CN"/>
              </w:rPr>
              <w:t xml:space="preserve">1.26 </w:t>
            </w:r>
          </w:p>
        </w:tc>
      </w:tr>
    </w:tbl>
    <w:p w14:paraId="35761C8A">
      <w:pPr>
        <w:keepNext/>
        <w:keepLines/>
        <w:pageBreakBefore w:val="0"/>
        <w:widowControl w:val="0"/>
        <w:kinsoku/>
        <w:wordWrap/>
        <w:overflowPunct/>
        <w:topLinePunct w:val="0"/>
        <w:autoSpaceDE/>
        <w:autoSpaceDN/>
        <w:bidi w:val="0"/>
        <w:adjustRightInd/>
        <w:ind w:firstLine="560"/>
        <w:textAlignment w:val="auto"/>
      </w:pPr>
    </w:p>
    <w:p w14:paraId="3C4DE38D">
      <w:pPr>
        <w:pStyle w:val="4"/>
        <w:bidi w:val="0"/>
        <w:rPr>
          <w:rFonts w:hint="eastAsia"/>
        </w:rPr>
      </w:pPr>
      <w:r>
        <w:rPr>
          <w:rFonts w:hint="eastAsia"/>
        </w:rPr>
        <w:t>旅游交通服务能力持续提升</w:t>
      </w:r>
    </w:p>
    <w:p w14:paraId="4BBB136A">
      <w:pPr>
        <w:ind w:firstLine="560"/>
      </w:pPr>
      <w:r>
        <w:rPr>
          <w:rFonts w:hint="eastAsia"/>
        </w:rPr>
        <w:t>“十四五”时期，红原县依托草原湿地、生态观光、民俗文化等特色旅游资源，持续完善景区对外连接道路和旅游交通服务条件，交通对全域旅游发展的支撑作用不断提升。目前，全县拥有国家</w:t>
      </w:r>
      <w:r>
        <w:rPr>
          <w:rFonts w:hint="eastAsia"/>
          <w:lang w:val="en-US" w:eastAsia="zh-CN"/>
        </w:rPr>
        <w:t>4A</w:t>
      </w:r>
      <w:r>
        <w:rPr>
          <w:rFonts w:hint="eastAsia"/>
        </w:rPr>
        <w:t>级旅游景区3个，</w:t>
      </w:r>
      <w:r>
        <w:rPr>
          <w:rFonts w:hint="eastAsia"/>
          <w:lang w:val="en-US" w:eastAsia="zh-CN"/>
        </w:rPr>
        <w:t>3A</w:t>
      </w:r>
      <w:r>
        <w:rPr>
          <w:rFonts w:hint="eastAsia"/>
        </w:rPr>
        <w:t>级旅游景区5个。全县4A级景区均已实现通三级及以上公路，3A级景区均已实现双车道及以上公路通达，重点景区通行条件总体较好。从景区上高速可达性看，俄么塘花海景区至中壤口高速入口驾车距离约15.59公里、驾车时间约17分钟；月亮湾、达格则、雅克音乐牧场、安曲下哈拉玛、雅克鹿之谷等景区至龙日坝高速入口驾车时间多在35—60分钟左右，景区与高速公路之间已形成较为便捷的联系，为游客快速集散和交旅融合发展提供了有力支撑。</w:t>
      </w:r>
    </w:p>
    <w:p w14:paraId="0AF061D5">
      <w:pPr>
        <w:pStyle w:val="25"/>
        <w:bidi w:val="0"/>
        <w:rPr>
          <w:rFonts w:hint="default"/>
          <w:lang w:val="en-US" w:eastAsia="zh-CN"/>
        </w:rPr>
      </w:pPr>
      <w:r>
        <w:t xml:space="preserve">表 </w:t>
      </w:r>
      <w:r>
        <w:fldChar w:fldCharType="begin"/>
      </w:r>
      <w:r>
        <w:instrText xml:space="preserve"> SEQ 表 \* ARABIC </w:instrText>
      </w:r>
      <w:r>
        <w:fldChar w:fldCharType="separate"/>
      </w:r>
      <w:r>
        <w:t>11</w:t>
      </w:r>
      <w:r>
        <w:fldChar w:fldCharType="end"/>
      </w:r>
      <w:r>
        <w:rPr>
          <w:rFonts w:hint="eastAsia"/>
          <w:lang w:val="en-US" w:eastAsia="zh-CN"/>
        </w:rPr>
        <w:t xml:space="preserve"> 红原县景区上高速可达性情况</w:t>
      </w:r>
    </w:p>
    <w:tbl>
      <w:tblPr>
        <w:tblStyle w:val="18"/>
        <w:tblW w:w="9243"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551"/>
        <w:gridCol w:w="737"/>
        <w:gridCol w:w="1191"/>
        <w:gridCol w:w="1191"/>
        <w:gridCol w:w="1191"/>
        <w:gridCol w:w="1191"/>
        <w:gridCol w:w="1191"/>
      </w:tblGrid>
      <w:tr w14:paraId="6FC995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atLeast"/>
          <w:jc w:val="center"/>
        </w:trPr>
        <w:tc>
          <w:tcPr>
            <w:tcW w:w="2551" w:type="dxa"/>
            <w:tcBorders>
              <w:bottom w:val="single" w:color="000000" w:sz="8" w:space="0"/>
            </w:tcBorders>
            <w:shd w:val="clear" w:color="auto" w:fill="FFFFFF"/>
            <w:vAlign w:val="center"/>
          </w:tcPr>
          <w:p w14:paraId="4F7C5BC8">
            <w:pPr>
              <w:pStyle w:val="24"/>
              <w:bidi w:val="0"/>
              <w:rPr>
                <w:rFonts w:hint="eastAsia"/>
              </w:rPr>
            </w:pPr>
            <w:r>
              <w:rPr>
                <w:rFonts w:hint="eastAsia"/>
                <w:lang w:val="en-US" w:eastAsia="zh-CN"/>
              </w:rPr>
              <w:t>景区名称</w:t>
            </w:r>
          </w:p>
        </w:tc>
        <w:tc>
          <w:tcPr>
            <w:tcW w:w="737" w:type="dxa"/>
            <w:tcBorders>
              <w:bottom w:val="single" w:color="000000" w:sz="8" w:space="0"/>
            </w:tcBorders>
            <w:shd w:val="clear" w:color="auto" w:fill="FFFFFF"/>
            <w:vAlign w:val="center"/>
          </w:tcPr>
          <w:p w14:paraId="2CFD2B9B">
            <w:pPr>
              <w:pStyle w:val="24"/>
              <w:bidi w:val="0"/>
              <w:rPr>
                <w:rFonts w:hint="eastAsia"/>
              </w:rPr>
            </w:pPr>
            <w:r>
              <w:rPr>
                <w:rFonts w:hint="eastAsia"/>
                <w:lang w:val="en-US" w:eastAsia="zh-CN"/>
              </w:rPr>
              <w:t>景区等级</w:t>
            </w:r>
          </w:p>
        </w:tc>
        <w:tc>
          <w:tcPr>
            <w:tcW w:w="1191" w:type="dxa"/>
            <w:tcBorders>
              <w:bottom w:val="single" w:color="000000" w:sz="8" w:space="0"/>
            </w:tcBorders>
            <w:shd w:val="clear" w:color="auto" w:fill="FFFFFF"/>
            <w:vAlign w:val="center"/>
          </w:tcPr>
          <w:p w14:paraId="33E72C75">
            <w:pPr>
              <w:pStyle w:val="24"/>
              <w:bidi w:val="0"/>
              <w:rPr>
                <w:rFonts w:hint="eastAsia"/>
              </w:rPr>
            </w:pPr>
            <w:r>
              <w:rPr>
                <w:rFonts w:hint="eastAsia"/>
                <w:lang w:val="en-US" w:eastAsia="zh-CN"/>
              </w:rPr>
              <w:t>最近高速入口</w:t>
            </w:r>
          </w:p>
        </w:tc>
        <w:tc>
          <w:tcPr>
            <w:tcW w:w="1191" w:type="dxa"/>
            <w:tcBorders>
              <w:bottom w:val="single" w:color="000000" w:sz="8" w:space="0"/>
            </w:tcBorders>
            <w:shd w:val="clear" w:color="auto" w:fill="FFFFFF"/>
            <w:vAlign w:val="center"/>
          </w:tcPr>
          <w:p w14:paraId="41B29E73">
            <w:pPr>
              <w:pStyle w:val="24"/>
              <w:bidi w:val="0"/>
              <w:rPr>
                <w:rFonts w:hint="eastAsia"/>
              </w:rPr>
            </w:pPr>
            <w:r>
              <w:rPr>
                <w:rFonts w:hint="eastAsia"/>
                <w:lang w:val="en-US" w:eastAsia="zh-CN"/>
              </w:rPr>
              <w:t>直线距离（公里）</w:t>
            </w:r>
          </w:p>
        </w:tc>
        <w:tc>
          <w:tcPr>
            <w:tcW w:w="1191" w:type="dxa"/>
            <w:tcBorders>
              <w:bottom w:val="single" w:color="000000" w:sz="8" w:space="0"/>
            </w:tcBorders>
            <w:shd w:val="clear" w:color="auto" w:fill="FFFFFF"/>
            <w:vAlign w:val="center"/>
          </w:tcPr>
          <w:p w14:paraId="1333EB71">
            <w:pPr>
              <w:pStyle w:val="24"/>
              <w:bidi w:val="0"/>
              <w:rPr>
                <w:rFonts w:hint="eastAsia"/>
              </w:rPr>
            </w:pPr>
            <w:r>
              <w:rPr>
                <w:rFonts w:hint="eastAsia"/>
                <w:lang w:val="en-US" w:eastAsia="zh-CN"/>
              </w:rPr>
              <w:t>驾车距离（公里）</w:t>
            </w:r>
          </w:p>
        </w:tc>
        <w:tc>
          <w:tcPr>
            <w:tcW w:w="1191" w:type="dxa"/>
            <w:tcBorders>
              <w:bottom w:val="single" w:color="000000" w:sz="8" w:space="0"/>
            </w:tcBorders>
            <w:shd w:val="clear" w:color="auto" w:fill="FFFFFF"/>
            <w:vAlign w:val="center"/>
          </w:tcPr>
          <w:p w14:paraId="5F17CE12">
            <w:pPr>
              <w:pStyle w:val="24"/>
              <w:bidi w:val="0"/>
              <w:rPr>
                <w:rFonts w:hint="eastAsia"/>
              </w:rPr>
            </w:pPr>
            <w:r>
              <w:rPr>
                <w:rFonts w:hint="eastAsia"/>
                <w:lang w:val="en-US" w:eastAsia="zh-CN"/>
              </w:rPr>
              <w:t>驾车时间（分钟）</w:t>
            </w:r>
          </w:p>
        </w:tc>
        <w:tc>
          <w:tcPr>
            <w:tcW w:w="1191" w:type="dxa"/>
            <w:tcBorders>
              <w:bottom w:val="single" w:color="000000" w:sz="8" w:space="0"/>
            </w:tcBorders>
            <w:shd w:val="clear" w:color="auto" w:fill="FFFFFF"/>
            <w:vAlign w:val="center"/>
          </w:tcPr>
          <w:p w14:paraId="0F80A338">
            <w:pPr>
              <w:pStyle w:val="24"/>
              <w:bidi w:val="0"/>
              <w:rPr>
                <w:rFonts w:hint="eastAsia"/>
              </w:rPr>
            </w:pPr>
            <w:r>
              <w:rPr>
                <w:rFonts w:hint="eastAsia"/>
                <w:lang w:val="en-US" w:eastAsia="zh-CN"/>
              </w:rPr>
              <w:t>绕行系数</w:t>
            </w:r>
          </w:p>
        </w:tc>
      </w:tr>
      <w:tr w14:paraId="2D7AFF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551" w:type="dxa"/>
            <w:tcBorders>
              <w:top w:val="single" w:color="000000" w:sz="8" w:space="0"/>
              <w:tl2br w:val="nil"/>
              <w:tr2bl w:val="nil"/>
            </w:tcBorders>
            <w:shd w:val="clear" w:color="auto" w:fill="FFFFFF"/>
            <w:noWrap/>
            <w:vAlign w:val="center"/>
          </w:tcPr>
          <w:p w14:paraId="6A46E5BE">
            <w:pPr>
              <w:pStyle w:val="23"/>
              <w:bidi w:val="0"/>
              <w:rPr>
                <w:rFonts w:hint="eastAsia"/>
              </w:rPr>
            </w:pPr>
            <w:r>
              <w:rPr>
                <w:rFonts w:hint="eastAsia"/>
                <w:lang w:val="en-US" w:eastAsia="zh-CN"/>
              </w:rPr>
              <w:t>俄么塘花海景区</w:t>
            </w:r>
          </w:p>
        </w:tc>
        <w:tc>
          <w:tcPr>
            <w:tcW w:w="737" w:type="dxa"/>
            <w:tcBorders>
              <w:top w:val="single" w:color="000000" w:sz="8" w:space="0"/>
              <w:tl2br w:val="nil"/>
              <w:tr2bl w:val="nil"/>
            </w:tcBorders>
            <w:shd w:val="clear" w:color="auto" w:fill="FFFFFF"/>
            <w:noWrap/>
            <w:vAlign w:val="center"/>
          </w:tcPr>
          <w:p w14:paraId="611C5801">
            <w:pPr>
              <w:pStyle w:val="23"/>
              <w:bidi w:val="0"/>
              <w:rPr>
                <w:rFonts w:hint="eastAsia"/>
              </w:rPr>
            </w:pPr>
            <w:r>
              <w:rPr>
                <w:rFonts w:hint="eastAsia"/>
                <w:lang w:val="en-US" w:eastAsia="zh-CN"/>
              </w:rPr>
              <w:t>4A</w:t>
            </w:r>
          </w:p>
        </w:tc>
        <w:tc>
          <w:tcPr>
            <w:tcW w:w="1191" w:type="dxa"/>
            <w:tcBorders>
              <w:top w:val="single" w:color="000000" w:sz="8" w:space="0"/>
              <w:tl2br w:val="nil"/>
              <w:tr2bl w:val="nil"/>
            </w:tcBorders>
            <w:shd w:val="clear" w:color="auto" w:fill="FFFFFF"/>
            <w:noWrap/>
            <w:vAlign w:val="center"/>
          </w:tcPr>
          <w:p w14:paraId="3254E408">
            <w:pPr>
              <w:pStyle w:val="23"/>
              <w:bidi w:val="0"/>
              <w:rPr>
                <w:rFonts w:hint="eastAsia"/>
              </w:rPr>
            </w:pPr>
            <w:r>
              <w:rPr>
                <w:rFonts w:hint="eastAsia"/>
                <w:lang w:val="en-US" w:eastAsia="zh-CN"/>
              </w:rPr>
              <w:t>中壤口</w:t>
            </w:r>
          </w:p>
        </w:tc>
        <w:tc>
          <w:tcPr>
            <w:tcW w:w="1191" w:type="dxa"/>
            <w:tcBorders>
              <w:top w:val="single" w:color="000000" w:sz="8" w:space="0"/>
              <w:tl2br w:val="nil"/>
              <w:tr2bl w:val="nil"/>
            </w:tcBorders>
            <w:shd w:val="clear" w:color="auto" w:fill="FFFFFF"/>
            <w:noWrap/>
            <w:vAlign w:val="center"/>
          </w:tcPr>
          <w:p w14:paraId="22B26C6C">
            <w:pPr>
              <w:pStyle w:val="23"/>
              <w:bidi w:val="0"/>
              <w:rPr>
                <w:rFonts w:hint="eastAsia"/>
              </w:rPr>
            </w:pPr>
            <w:r>
              <w:rPr>
                <w:rFonts w:hint="eastAsia"/>
                <w:lang w:val="en-US" w:eastAsia="zh-CN"/>
              </w:rPr>
              <w:t>14.17</w:t>
            </w:r>
          </w:p>
        </w:tc>
        <w:tc>
          <w:tcPr>
            <w:tcW w:w="1191" w:type="dxa"/>
            <w:tcBorders>
              <w:top w:val="single" w:color="000000" w:sz="8" w:space="0"/>
              <w:tl2br w:val="nil"/>
              <w:tr2bl w:val="nil"/>
            </w:tcBorders>
            <w:shd w:val="clear" w:color="auto" w:fill="FFFFFF"/>
            <w:noWrap/>
            <w:vAlign w:val="center"/>
          </w:tcPr>
          <w:p w14:paraId="77BC7681">
            <w:pPr>
              <w:pStyle w:val="23"/>
              <w:bidi w:val="0"/>
              <w:rPr>
                <w:rFonts w:hint="eastAsia"/>
              </w:rPr>
            </w:pPr>
            <w:r>
              <w:rPr>
                <w:rFonts w:hint="eastAsia"/>
                <w:lang w:val="en-US" w:eastAsia="zh-CN"/>
              </w:rPr>
              <w:t>15.59</w:t>
            </w:r>
          </w:p>
        </w:tc>
        <w:tc>
          <w:tcPr>
            <w:tcW w:w="1191" w:type="dxa"/>
            <w:tcBorders>
              <w:top w:val="single" w:color="000000" w:sz="8" w:space="0"/>
              <w:tl2br w:val="nil"/>
              <w:tr2bl w:val="nil"/>
            </w:tcBorders>
            <w:shd w:val="clear" w:color="auto" w:fill="FFFFFF"/>
            <w:noWrap/>
            <w:vAlign w:val="center"/>
          </w:tcPr>
          <w:p w14:paraId="1C2D485C">
            <w:pPr>
              <w:pStyle w:val="23"/>
              <w:bidi w:val="0"/>
              <w:rPr>
                <w:rFonts w:hint="eastAsia"/>
              </w:rPr>
            </w:pPr>
            <w:r>
              <w:rPr>
                <w:rFonts w:hint="eastAsia"/>
                <w:lang w:val="en-US" w:eastAsia="zh-CN"/>
              </w:rPr>
              <w:t>17</w:t>
            </w:r>
          </w:p>
        </w:tc>
        <w:tc>
          <w:tcPr>
            <w:tcW w:w="1191" w:type="dxa"/>
            <w:tcBorders>
              <w:top w:val="single" w:color="000000" w:sz="8" w:space="0"/>
              <w:tl2br w:val="nil"/>
              <w:tr2bl w:val="nil"/>
            </w:tcBorders>
            <w:shd w:val="clear" w:color="auto" w:fill="FFFFFF"/>
            <w:noWrap/>
            <w:vAlign w:val="center"/>
          </w:tcPr>
          <w:p w14:paraId="5D96AD56">
            <w:pPr>
              <w:pStyle w:val="23"/>
              <w:bidi w:val="0"/>
              <w:rPr>
                <w:rFonts w:hint="eastAsia"/>
              </w:rPr>
            </w:pPr>
            <w:r>
              <w:rPr>
                <w:rFonts w:hint="eastAsia"/>
                <w:lang w:val="en-US" w:eastAsia="zh-CN"/>
              </w:rPr>
              <w:t xml:space="preserve">1.10 </w:t>
            </w:r>
          </w:p>
        </w:tc>
      </w:tr>
      <w:tr w14:paraId="540897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7E6C3263">
            <w:pPr>
              <w:pStyle w:val="23"/>
              <w:bidi w:val="0"/>
              <w:rPr>
                <w:rFonts w:hint="eastAsia"/>
              </w:rPr>
            </w:pPr>
            <w:r>
              <w:rPr>
                <w:rFonts w:hint="eastAsia"/>
                <w:lang w:val="en-US" w:eastAsia="zh-CN"/>
              </w:rPr>
              <w:t>月亮湾景区</w:t>
            </w:r>
          </w:p>
        </w:tc>
        <w:tc>
          <w:tcPr>
            <w:tcW w:w="737" w:type="dxa"/>
            <w:tcBorders>
              <w:tl2br w:val="nil"/>
              <w:tr2bl w:val="nil"/>
            </w:tcBorders>
            <w:shd w:val="clear" w:color="auto" w:fill="FFFFFF"/>
            <w:noWrap/>
            <w:vAlign w:val="center"/>
          </w:tcPr>
          <w:p w14:paraId="48B55B18">
            <w:pPr>
              <w:pStyle w:val="23"/>
              <w:bidi w:val="0"/>
              <w:rPr>
                <w:rFonts w:hint="eastAsia"/>
              </w:rPr>
            </w:pPr>
            <w:r>
              <w:rPr>
                <w:rFonts w:hint="eastAsia"/>
                <w:lang w:val="en-US" w:eastAsia="zh-CN"/>
              </w:rPr>
              <w:t>4A</w:t>
            </w:r>
          </w:p>
        </w:tc>
        <w:tc>
          <w:tcPr>
            <w:tcW w:w="1191" w:type="dxa"/>
            <w:tcBorders>
              <w:tl2br w:val="nil"/>
              <w:tr2bl w:val="nil"/>
            </w:tcBorders>
            <w:shd w:val="clear" w:color="auto" w:fill="FFFFFF"/>
            <w:noWrap/>
            <w:vAlign w:val="center"/>
          </w:tcPr>
          <w:p w14:paraId="231ACC9B">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46E5570A">
            <w:pPr>
              <w:pStyle w:val="23"/>
              <w:bidi w:val="0"/>
              <w:rPr>
                <w:rFonts w:hint="eastAsia"/>
              </w:rPr>
            </w:pPr>
            <w:r>
              <w:rPr>
                <w:rFonts w:hint="eastAsia"/>
                <w:lang w:val="en-US" w:eastAsia="zh-CN"/>
              </w:rPr>
              <w:t>37.76</w:t>
            </w:r>
          </w:p>
        </w:tc>
        <w:tc>
          <w:tcPr>
            <w:tcW w:w="1191" w:type="dxa"/>
            <w:tcBorders>
              <w:tl2br w:val="nil"/>
              <w:tr2bl w:val="nil"/>
            </w:tcBorders>
            <w:shd w:val="clear" w:color="auto" w:fill="FFFFFF"/>
            <w:noWrap/>
            <w:vAlign w:val="center"/>
          </w:tcPr>
          <w:p w14:paraId="40267AF7">
            <w:pPr>
              <w:pStyle w:val="23"/>
              <w:bidi w:val="0"/>
              <w:rPr>
                <w:rFonts w:hint="eastAsia"/>
              </w:rPr>
            </w:pPr>
            <w:r>
              <w:rPr>
                <w:rFonts w:hint="eastAsia"/>
                <w:lang w:val="en-US" w:eastAsia="zh-CN"/>
              </w:rPr>
              <w:t>46.24</w:t>
            </w:r>
          </w:p>
        </w:tc>
        <w:tc>
          <w:tcPr>
            <w:tcW w:w="1191" w:type="dxa"/>
            <w:tcBorders>
              <w:tl2br w:val="nil"/>
              <w:tr2bl w:val="nil"/>
            </w:tcBorders>
            <w:shd w:val="clear" w:color="auto" w:fill="FFFFFF"/>
            <w:noWrap/>
            <w:vAlign w:val="center"/>
          </w:tcPr>
          <w:p w14:paraId="5B8B50E2">
            <w:pPr>
              <w:pStyle w:val="23"/>
              <w:bidi w:val="0"/>
              <w:rPr>
                <w:rFonts w:hint="eastAsia"/>
              </w:rPr>
            </w:pPr>
            <w:r>
              <w:rPr>
                <w:rFonts w:hint="eastAsia"/>
                <w:lang w:val="en-US" w:eastAsia="zh-CN"/>
              </w:rPr>
              <w:t>45</w:t>
            </w:r>
          </w:p>
        </w:tc>
        <w:tc>
          <w:tcPr>
            <w:tcW w:w="1191" w:type="dxa"/>
            <w:tcBorders>
              <w:tl2br w:val="nil"/>
              <w:tr2bl w:val="nil"/>
            </w:tcBorders>
            <w:shd w:val="clear" w:color="auto" w:fill="FFFFFF"/>
            <w:noWrap/>
            <w:vAlign w:val="center"/>
          </w:tcPr>
          <w:p w14:paraId="42E0075F">
            <w:pPr>
              <w:pStyle w:val="23"/>
              <w:bidi w:val="0"/>
              <w:rPr>
                <w:rFonts w:hint="eastAsia"/>
              </w:rPr>
            </w:pPr>
            <w:r>
              <w:rPr>
                <w:rFonts w:hint="eastAsia"/>
                <w:lang w:val="en-US" w:eastAsia="zh-CN"/>
              </w:rPr>
              <w:t xml:space="preserve">1.22 </w:t>
            </w:r>
          </w:p>
        </w:tc>
      </w:tr>
      <w:tr w14:paraId="0896A1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5D084E44">
            <w:pPr>
              <w:pStyle w:val="23"/>
              <w:bidi w:val="0"/>
              <w:rPr>
                <w:rFonts w:hint="eastAsia"/>
              </w:rPr>
            </w:pPr>
            <w:r>
              <w:rPr>
                <w:rFonts w:hint="eastAsia"/>
                <w:lang w:val="en-US" w:eastAsia="zh-CN"/>
              </w:rPr>
              <w:t>日干乔湿地景区</w:t>
            </w:r>
          </w:p>
        </w:tc>
        <w:tc>
          <w:tcPr>
            <w:tcW w:w="737" w:type="dxa"/>
            <w:tcBorders>
              <w:tl2br w:val="nil"/>
              <w:tr2bl w:val="nil"/>
            </w:tcBorders>
            <w:shd w:val="clear" w:color="auto" w:fill="FFFFFF"/>
            <w:noWrap/>
            <w:vAlign w:val="center"/>
          </w:tcPr>
          <w:p w14:paraId="6B91B28C">
            <w:pPr>
              <w:pStyle w:val="23"/>
              <w:bidi w:val="0"/>
              <w:rPr>
                <w:rFonts w:hint="eastAsia"/>
              </w:rPr>
            </w:pPr>
            <w:r>
              <w:rPr>
                <w:rFonts w:hint="eastAsia"/>
                <w:lang w:val="en-US" w:eastAsia="zh-CN"/>
              </w:rPr>
              <w:t>4A</w:t>
            </w:r>
          </w:p>
        </w:tc>
        <w:tc>
          <w:tcPr>
            <w:tcW w:w="1191" w:type="dxa"/>
            <w:tcBorders>
              <w:tl2br w:val="nil"/>
              <w:tr2bl w:val="nil"/>
            </w:tcBorders>
            <w:shd w:val="clear" w:color="auto" w:fill="FFFFFF"/>
            <w:noWrap/>
            <w:vAlign w:val="center"/>
          </w:tcPr>
          <w:p w14:paraId="6FFB3D8B">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580640DB">
            <w:pPr>
              <w:pStyle w:val="23"/>
              <w:bidi w:val="0"/>
              <w:rPr>
                <w:rFonts w:hint="eastAsia"/>
              </w:rPr>
            </w:pPr>
            <w:r>
              <w:rPr>
                <w:rFonts w:hint="eastAsia"/>
                <w:lang w:val="en-US" w:eastAsia="zh-CN"/>
              </w:rPr>
              <w:t>76.51</w:t>
            </w:r>
          </w:p>
        </w:tc>
        <w:tc>
          <w:tcPr>
            <w:tcW w:w="1191" w:type="dxa"/>
            <w:tcBorders>
              <w:tl2br w:val="nil"/>
              <w:tr2bl w:val="nil"/>
            </w:tcBorders>
            <w:shd w:val="clear" w:color="auto" w:fill="FFFFFF"/>
            <w:noWrap/>
            <w:vAlign w:val="center"/>
          </w:tcPr>
          <w:p w14:paraId="5C0E4F0E">
            <w:pPr>
              <w:pStyle w:val="23"/>
              <w:bidi w:val="0"/>
              <w:rPr>
                <w:rFonts w:hint="eastAsia"/>
              </w:rPr>
            </w:pPr>
            <w:r>
              <w:rPr>
                <w:rFonts w:hint="eastAsia"/>
                <w:lang w:val="en-US" w:eastAsia="zh-CN"/>
              </w:rPr>
              <w:t>97.29</w:t>
            </w:r>
          </w:p>
        </w:tc>
        <w:tc>
          <w:tcPr>
            <w:tcW w:w="1191" w:type="dxa"/>
            <w:tcBorders>
              <w:tl2br w:val="nil"/>
              <w:tr2bl w:val="nil"/>
            </w:tcBorders>
            <w:shd w:val="clear" w:color="auto" w:fill="FFFFFF"/>
            <w:noWrap/>
            <w:vAlign w:val="center"/>
          </w:tcPr>
          <w:p w14:paraId="44F96975">
            <w:pPr>
              <w:pStyle w:val="23"/>
              <w:bidi w:val="0"/>
              <w:rPr>
                <w:rFonts w:hint="eastAsia"/>
              </w:rPr>
            </w:pPr>
            <w:r>
              <w:rPr>
                <w:rFonts w:hint="eastAsia"/>
                <w:lang w:val="en-US" w:eastAsia="zh-CN"/>
              </w:rPr>
              <w:t>96</w:t>
            </w:r>
          </w:p>
        </w:tc>
        <w:tc>
          <w:tcPr>
            <w:tcW w:w="1191" w:type="dxa"/>
            <w:tcBorders>
              <w:tl2br w:val="nil"/>
              <w:tr2bl w:val="nil"/>
            </w:tcBorders>
            <w:shd w:val="clear" w:color="auto" w:fill="FFFFFF"/>
            <w:noWrap/>
            <w:vAlign w:val="center"/>
          </w:tcPr>
          <w:p w14:paraId="4F775C39">
            <w:pPr>
              <w:pStyle w:val="23"/>
              <w:bidi w:val="0"/>
              <w:rPr>
                <w:rFonts w:hint="eastAsia"/>
              </w:rPr>
            </w:pPr>
            <w:r>
              <w:rPr>
                <w:rFonts w:hint="eastAsia"/>
                <w:lang w:val="en-US" w:eastAsia="zh-CN"/>
              </w:rPr>
              <w:t xml:space="preserve">1.27 </w:t>
            </w:r>
          </w:p>
        </w:tc>
      </w:tr>
      <w:tr w14:paraId="3B821A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29BA88D4">
            <w:pPr>
              <w:pStyle w:val="23"/>
              <w:bidi w:val="0"/>
              <w:rPr>
                <w:rFonts w:hint="eastAsia"/>
              </w:rPr>
            </w:pPr>
            <w:r>
              <w:rPr>
                <w:rFonts w:hint="eastAsia"/>
                <w:lang w:val="en-US" w:eastAsia="zh-CN"/>
              </w:rPr>
              <w:t>安多部落民俗风情村</w:t>
            </w:r>
          </w:p>
        </w:tc>
        <w:tc>
          <w:tcPr>
            <w:tcW w:w="737" w:type="dxa"/>
            <w:tcBorders>
              <w:tl2br w:val="nil"/>
              <w:tr2bl w:val="nil"/>
            </w:tcBorders>
            <w:shd w:val="clear" w:color="auto" w:fill="FFFFFF"/>
            <w:noWrap/>
            <w:vAlign w:val="center"/>
          </w:tcPr>
          <w:p w14:paraId="4D148E94">
            <w:pPr>
              <w:pStyle w:val="23"/>
              <w:bidi w:val="0"/>
              <w:rPr>
                <w:rFonts w:hint="eastAsia"/>
              </w:rPr>
            </w:pPr>
            <w:r>
              <w:rPr>
                <w:rFonts w:hint="eastAsia"/>
                <w:lang w:val="en-US" w:eastAsia="zh-CN"/>
              </w:rPr>
              <w:t>3A</w:t>
            </w:r>
          </w:p>
        </w:tc>
        <w:tc>
          <w:tcPr>
            <w:tcW w:w="1191" w:type="dxa"/>
            <w:tcBorders>
              <w:tl2br w:val="nil"/>
              <w:tr2bl w:val="nil"/>
            </w:tcBorders>
            <w:shd w:val="clear" w:color="auto" w:fill="FFFFFF"/>
            <w:noWrap/>
            <w:vAlign w:val="center"/>
          </w:tcPr>
          <w:p w14:paraId="76B4924F">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36D4421C">
            <w:pPr>
              <w:pStyle w:val="23"/>
              <w:bidi w:val="0"/>
              <w:rPr>
                <w:rFonts w:hint="eastAsia"/>
              </w:rPr>
            </w:pPr>
            <w:r>
              <w:rPr>
                <w:rFonts w:hint="eastAsia"/>
                <w:lang w:val="en-US" w:eastAsia="zh-CN"/>
              </w:rPr>
              <w:t>69.29</w:t>
            </w:r>
          </w:p>
        </w:tc>
        <w:tc>
          <w:tcPr>
            <w:tcW w:w="1191" w:type="dxa"/>
            <w:tcBorders>
              <w:tl2br w:val="nil"/>
              <w:tr2bl w:val="nil"/>
            </w:tcBorders>
            <w:shd w:val="clear" w:color="auto" w:fill="FFFFFF"/>
            <w:noWrap/>
            <w:vAlign w:val="center"/>
          </w:tcPr>
          <w:p w14:paraId="634715F0">
            <w:pPr>
              <w:pStyle w:val="23"/>
              <w:bidi w:val="0"/>
              <w:rPr>
                <w:rFonts w:hint="eastAsia"/>
              </w:rPr>
            </w:pPr>
            <w:r>
              <w:rPr>
                <w:rFonts w:hint="eastAsia"/>
                <w:lang w:val="en-US" w:eastAsia="zh-CN"/>
              </w:rPr>
              <w:t>84.42</w:t>
            </w:r>
          </w:p>
        </w:tc>
        <w:tc>
          <w:tcPr>
            <w:tcW w:w="1191" w:type="dxa"/>
            <w:tcBorders>
              <w:tl2br w:val="nil"/>
              <w:tr2bl w:val="nil"/>
            </w:tcBorders>
            <w:shd w:val="clear" w:color="auto" w:fill="FFFFFF"/>
            <w:noWrap/>
            <w:vAlign w:val="center"/>
          </w:tcPr>
          <w:p w14:paraId="6501D7CE">
            <w:pPr>
              <w:pStyle w:val="23"/>
              <w:bidi w:val="0"/>
              <w:rPr>
                <w:rFonts w:hint="eastAsia"/>
              </w:rPr>
            </w:pPr>
            <w:r>
              <w:rPr>
                <w:rFonts w:hint="eastAsia"/>
                <w:lang w:val="en-US" w:eastAsia="zh-CN"/>
              </w:rPr>
              <w:t>86</w:t>
            </w:r>
          </w:p>
        </w:tc>
        <w:tc>
          <w:tcPr>
            <w:tcW w:w="1191" w:type="dxa"/>
            <w:tcBorders>
              <w:tl2br w:val="nil"/>
              <w:tr2bl w:val="nil"/>
            </w:tcBorders>
            <w:shd w:val="clear" w:color="auto" w:fill="FFFFFF"/>
            <w:noWrap/>
            <w:vAlign w:val="center"/>
          </w:tcPr>
          <w:p w14:paraId="0B9DD1E0">
            <w:pPr>
              <w:pStyle w:val="23"/>
              <w:bidi w:val="0"/>
              <w:rPr>
                <w:rFonts w:hint="eastAsia"/>
              </w:rPr>
            </w:pPr>
            <w:r>
              <w:rPr>
                <w:rFonts w:hint="eastAsia"/>
                <w:lang w:val="en-US" w:eastAsia="zh-CN"/>
              </w:rPr>
              <w:t xml:space="preserve">1.22 </w:t>
            </w:r>
          </w:p>
        </w:tc>
      </w:tr>
      <w:tr w14:paraId="13A189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4574F094">
            <w:pPr>
              <w:pStyle w:val="23"/>
              <w:bidi w:val="0"/>
              <w:rPr>
                <w:rFonts w:hint="eastAsia"/>
              </w:rPr>
            </w:pPr>
            <w:r>
              <w:rPr>
                <w:rFonts w:hint="eastAsia"/>
                <w:lang w:val="en-US" w:eastAsia="zh-CN"/>
              </w:rPr>
              <w:t>达格则神山圣湖景区</w:t>
            </w:r>
          </w:p>
        </w:tc>
        <w:tc>
          <w:tcPr>
            <w:tcW w:w="737" w:type="dxa"/>
            <w:tcBorders>
              <w:tl2br w:val="nil"/>
              <w:tr2bl w:val="nil"/>
            </w:tcBorders>
            <w:shd w:val="clear" w:color="auto" w:fill="FFFFFF"/>
            <w:noWrap/>
            <w:vAlign w:val="center"/>
          </w:tcPr>
          <w:p w14:paraId="377581BF">
            <w:pPr>
              <w:pStyle w:val="23"/>
              <w:bidi w:val="0"/>
              <w:rPr>
                <w:rFonts w:hint="eastAsia"/>
              </w:rPr>
            </w:pPr>
            <w:r>
              <w:rPr>
                <w:rFonts w:hint="eastAsia"/>
                <w:lang w:val="en-US" w:eastAsia="zh-CN"/>
              </w:rPr>
              <w:t>3A</w:t>
            </w:r>
          </w:p>
        </w:tc>
        <w:tc>
          <w:tcPr>
            <w:tcW w:w="1191" w:type="dxa"/>
            <w:tcBorders>
              <w:tl2br w:val="nil"/>
              <w:tr2bl w:val="nil"/>
            </w:tcBorders>
            <w:shd w:val="clear" w:color="auto" w:fill="FFFFFF"/>
            <w:noWrap/>
            <w:vAlign w:val="center"/>
          </w:tcPr>
          <w:p w14:paraId="55D9BB94">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209832DD">
            <w:pPr>
              <w:pStyle w:val="23"/>
              <w:bidi w:val="0"/>
              <w:rPr>
                <w:rFonts w:hint="eastAsia"/>
              </w:rPr>
            </w:pPr>
            <w:r>
              <w:rPr>
                <w:rFonts w:hint="eastAsia"/>
                <w:lang w:val="en-US" w:eastAsia="zh-CN"/>
              </w:rPr>
              <w:t>19.54</w:t>
            </w:r>
          </w:p>
        </w:tc>
        <w:tc>
          <w:tcPr>
            <w:tcW w:w="1191" w:type="dxa"/>
            <w:tcBorders>
              <w:tl2br w:val="nil"/>
              <w:tr2bl w:val="nil"/>
            </w:tcBorders>
            <w:shd w:val="clear" w:color="auto" w:fill="FFFFFF"/>
            <w:noWrap/>
            <w:vAlign w:val="center"/>
          </w:tcPr>
          <w:p w14:paraId="405579AB">
            <w:pPr>
              <w:pStyle w:val="23"/>
              <w:bidi w:val="0"/>
              <w:rPr>
                <w:rFonts w:hint="eastAsia"/>
              </w:rPr>
            </w:pPr>
            <w:r>
              <w:rPr>
                <w:rFonts w:hint="eastAsia"/>
                <w:lang w:val="en-US" w:eastAsia="zh-CN"/>
              </w:rPr>
              <w:t>28.37</w:t>
            </w:r>
          </w:p>
        </w:tc>
        <w:tc>
          <w:tcPr>
            <w:tcW w:w="1191" w:type="dxa"/>
            <w:tcBorders>
              <w:tl2br w:val="nil"/>
              <w:tr2bl w:val="nil"/>
            </w:tcBorders>
            <w:shd w:val="clear" w:color="auto" w:fill="FFFFFF"/>
            <w:noWrap/>
            <w:vAlign w:val="center"/>
          </w:tcPr>
          <w:p w14:paraId="10E7B971">
            <w:pPr>
              <w:pStyle w:val="23"/>
              <w:bidi w:val="0"/>
              <w:rPr>
                <w:rFonts w:hint="eastAsia"/>
              </w:rPr>
            </w:pPr>
            <w:r>
              <w:rPr>
                <w:rFonts w:hint="eastAsia"/>
                <w:lang w:val="en-US" w:eastAsia="zh-CN"/>
              </w:rPr>
              <w:t>35</w:t>
            </w:r>
          </w:p>
        </w:tc>
        <w:tc>
          <w:tcPr>
            <w:tcW w:w="1191" w:type="dxa"/>
            <w:tcBorders>
              <w:tl2br w:val="nil"/>
              <w:tr2bl w:val="nil"/>
            </w:tcBorders>
            <w:shd w:val="clear" w:color="auto" w:fill="FFFFFF"/>
            <w:noWrap/>
            <w:vAlign w:val="center"/>
          </w:tcPr>
          <w:p w14:paraId="6F21B8D6">
            <w:pPr>
              <w:pStyle w:val="23"/>
              <w:bidi w:val="0"/>
              <w:rPr>
                <w:rFonts w:hint="eastAsia"/>
              </w:rPr>
            </w:pPr>
            <w:r>
              <w:rPr>
                <w:rFonts w:hint="eastAsia"/>
                <w:lang w:val="en-US" w:eastAsia="zh-CN"/>
              </w:rPr>
              <w:t xml:space="preserve">1.45 </w:t>
            </w:r>
          </w:p>
        </w:tc>
      </w:tr>
      <w:tr w14:paraId="2F00CF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61F89899">
            <w:pPr>
              <w:pStyle w:val="23"/>
              <w:bidi w:val="0"/>
              <w:rPr>
                <w:rFonts w:hint="eastAsia"/>
              </w:rPr>
            </w:pPr>
            <w:r>
              <w:rPr>
                <w:rFonts w:hint="eastAsia"/>
                <w:lang w:val="en-US" w:eastAsia="zh-CN"/>
              </w:rPr>
              <w:t>雅克音乐牧场景区</w:t>
            </w:r>
          </w:p>
        </w:tc>
        <w:tc>
          <w:tcPr>
            <w:tcW w:w="737" w:type="dxa"/>
            <w:tcBorders>
              <w:tl2br w:val="nil"/>
              <w:tr2bl w:val="nil"/>
            </w:tcBorders>
            <w:shd w:val="clear" w:color="auto" w:fill="FFFFFF"/>
            <w:noWrap/>
            <w:vAlign w:val="center"/>
          </w:tcPr>
          <w:p w14:paraId="6D48343E">
            <w:pPr>
              <w:pStyle w:val="23"/>
              <w:bidi w:val="0"/>
              <w:rPr>
                <w:rFonts w:hint="eastAsia"/>
              </w:rPr>
            </w:pPr>
            <w:r>
              <w:rPr>
                <w:rFonts w:hint="eastAsia"/>
                <w:lang w:val="en-US" w:eastAsia="zh-CN"/>
              </w:rPr>
              <w:t>3A</w:t>
            </w:r>
          </w:p>
        </w:tc>
        <w:tc>
          <w:tcPr>
            <w:tcW w:w="1191" w:type="dxa"/>
            <w:tcBorders>
              <w:tl2br w:val="nil"/>
              <w:tr2bl w:val="nil"/>
            </w:tcBorders>
            <w:shd w:val="clear" w:color="auto" w:fill="FFFFFF"/>
            <w:noWrap/>
            <w:vAlign w:val="center"/>
          </w:tcPr>
          <w:p w14:paraId="6B37D8D2">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382B38B9">
            <w:pPr>
              <w:pStyle w:val="23"/>
              <w:bidi w:val="0"/>
              <w:rPr>
                <w:rFonts w:hint="eastAsia"/>
              </w:rPr>
            </w:pPr>
            <w:r>
              <w:rPr>
                <w:rFonts w:hint="eastAsia"/>
                <w:lang w:val="en-US" w:eastAsia="zh-CN"/>
              </w:rPr>
              <w:t>44.99</w:t>
            </w:r>
          </w:p>
        </w:tc>
        <w:tc>
          <w:tcPr>
            <w:tcW w:w="1191" w:type="dxa"/>
            <w:tcBorders>
              <w:tl2br w:val="nil"/>
              <w:tr2bl w:val="nil"/>
            </w:tcBorders>
            <w:shd w:val="clear" w:color="auto" w:fill="FFFFFF"/>
            <w:noWrap/>
            <w:vAlign w:val="center"/>
          </w:tcPr>
          <w:p w14:paraId="1887A5A1">
            <w:pPr>
              <w:pStyle w:val="23"/>
              <w:bidi w:val="0"/>
              <w:rPr>
                <w:rFonts w:hint="eastAsia"/>
              </w:rPr>
            </w:pPr>
            <w:r>
              <w:rPr>
                <w:rFonts w:hint="eastAsia"/>
                <w:lang w:val="en-US" w:eastAsia="zh-CN"/>
              </w:rPr>
              <w:t>55.99</w:t>
            </w:r>
          </w:p>
        </w:tc>
        <w:tc>
          <w:tcPr>
            <w:tcW w:w="1191" w:type="dxa"/>
            <w:tcBorders>
              <w:tl2br w:val="nil"/>
              <w:tr2bl w:val="nil"/>
            </w:tcBorders>
            <w:shd w:val="clear" w:color="auto" w:fill="FFFFFF"/>
            <w:noWrap/>
            <w:vAlign w:val="center"/>
          </w:tcPr>
          <w:p w14:paraId="5BEA501E">
            <w:pPr>
              <w:pStyle w:val="23"/>
              <w:bidi w:val="0"/>
              <w:rPr>
                <w:rFonts w:hint="eastAsia"/>
              </w:rPr>
            </w:pPr>
            <w:r>
              <w:rPr>
                <w:rFonts w:hint="eastAsia"/>
                <w:lang w:val="en-US" w:eastAsia="zh-CN"/>
              </w:rPr>
              <w:t>60</w:t>
            </w:r>
          </w:p>
        </w:tc>
        <w:tc>
          <w:tcPr>
            <w:tcW w:w="1191" w:type="dxa"/>
            <w:tcBorders>
              <w:tl2br w:val="nil"/>
              <w:tr2bl w:val="nil"/>
            </w:tcBorders>
            <w:shd w:val="clear" w:color="auto" w:fill="FFFFFF"/>
            <w:noWrap/>
            <w:vAlign w:val="center"/>
          </w:tcPr>
          <w:p w14:paraId="393A98D8">
            <w:pPr>
              <w:pStyle w:val="23"/>
              <w:bidi w:val="0"/>
              <w:rPr>
                <w:rFonts w:hint="eastAsia"/>
              </w:rPr>
            </w:pPr>
            <w:r>
              <w:rPr>
                <w:rFonts w:hint="eastAsia"/>
                <w:lang w:val="en-US" w:eastAsia="zh-CN"/>
              </w:rPr>
              <w:t xml:space="preserve">1.24 </w:t>
            </w:r>
          </w:p>
        </w:tc>
      </w:tr>
      <w:tr w14:paraId="338891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263029E6">
            <w:pPr>
              <w:pStyle w:val="23"/>
              <w:bidi w:val="0"/>
              <w:rPr>
                <w:rFonts w:hint="eastAsia"/>
              </w:rPr>
            </w:pPr>
            <w:r>
              <w:rPr>
                <w:rFonts w:hint="eastAsia"/>
                <w:lang w:val="en-US" w:eastAsia="zh-CN"/>
              </w:rPr>
              <w:t>安曲下哈拉玛景区</w:t>
            </w:r>
          </w:p>
        </w:tc>
        <w:tc>
          <w:tcPr>
            <w:tcW w:w="737" w:type="dxa"/>
            <w:tcBorders>
              <w:tl2br w:val="nil"/>
              <w:tr2bl w:val="nil"/>
            </w:tcBorders>
            <w:shd w:val="clear" w:color="auto" w:fill="FFFFFF"/>
            <w:noWrap/>
            <w:vAlign w:val="center"/>
          </w:tcPr>
          <w:p w14:paraId="462B19B3">
            <w:pPr>
              <w:pStyle w:val="23"/>
              <w:bidi w:val="0"/>
              <w:rPr>
                <w:rFonts w:hint="eastAsia"/>
              </w:rPr>
            </w:pPr>
            <w:r>
              <w:rPr>
                <w:rFonts w:hint="eastAsia"/>
                <w:lang w:val="en-US" w:eastAsia="zh-CN"/>
              </w:rPr>
              <w:t>3A</w:t>
            </w:r>
          </w:p>
        </w:tc>
        <w:tc>
          <w:tcPr>
            <w:tcW w:w="1191" w:type="dxa"/>
            <w:tcBorders>
              <w:tl2br w:val="nil"/>
              <w:tr2bl w:val="nil"/>
            </w:tcBorders>
            <w:shd w:val="clear" w:color="auto" w:fill="FFFFFF"/>
            <w:noWrap/>
            <w:vAlign w:val="center"/>
          </w:tcPr>
          <w:p w14:paraId="7B72737C">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57AA205F">
            <w:pPr>
              <w:pStyle w:val="23"/>
              <w:bidi w:val="0"/>
              <w:rPr>
                <w:rFonts w:hint="eastAsia"/>
              </w:rPr>
            </w:pPr>
            <w:r>
              <w:rPr>
                <w:rFonts w:hint="eastAsia"/>
                <w:lang w:val="en-US" w:eastAsia="zh-CN"/>
              </w:rPr>
              <w:t>37.24</w:t>
            </w:r>
          </w:p>
        </w:tc>
        <w:tc>
          <w:tcPr>
            <w:tcW w:w="1191" w:type="dxa"/>
            <w:tcBorders>
              <w:tl2br w:val="nil"/>
              <w:tr2bl w:val="nil"/>
            </w:tcBorders>
            <w:shd w:val="clear" w:color="auto" w:fill="FFFFFF"/>
            <w:noWrap/>
            <w:vAlign w:val="center"/>
          </w:tcPr>
          <w:p w14:paraId="44194DA7">
            <w:pPr>
              <w:pStyle w:val="23"/>
              <w:bidi w:val="0"/>
              <w:rPr>
                <w:rFonts w:hint="eastAsia"/>
              </w:rPr>
            </w:pPr>
            <w:r>
              <w:rPr>
                <w:rFonts w:hint="eastAsia"/>
                <w:lang w:val="en-US" w:eastAsia="zh-CN"/>
              </w:rPr>
              <w:t>46.06</w:t>
            </w:r>
          </w:p>
        </w:tc>
        <w:tc>
          <w:tcPr>
            <w:tcW w:w="1191" w:type="dxa"/>
            <w:tcBorders>
              <w:tl2br w:val="nil"/>
              <w:tr2bl w:val="nil"/>
            </w:tcBorders>
            <w:shd w:val="clear" w:color="auto" w:fill="FFFFFF"/>
            <w:noWrap/>
            <w:vAlign w:val="center"/>
          </w:tcPr>
          <w:p w14:paraId="16669014">
            <w:pPr>
              <w:pStyle w:val="23"/>
              <w:bidi w:val="0"/>
              <w:rPr>
                <w:rFonts w:hint="eastAsia"/>
              </w:rPr>
            </w:pPr>
            <w:r>
              <w:rPr>
                <w:rFonts w:hint="eastAsia"/>
                <w:lang w:val="en-US" w:eastAsia="zh-CN"/>
              </w:rPr>
              <w:t>46</w:t>
            </w:r>
          </w:p>
        </w:tc>
        <w:tc>
          <w:tcPr>
            <w:tcW w:w="1191" w:type="dxa"/>
            <w:tcBorders>
              <w:tl2br w:val="nil"/>
              <w:tr2bl w:val="nil"/>
            </w:tcBorders>
            <w:shd w:val="clear" w:color="auto" w:fill="FFFFFF"/>
            <w:noWrap/>
            <w:vAlign w:val="center"/>
          </w:tcPr>
          <w:p w14:paraId="2B088D47">
            <w:pPr>
              <w:pStyle w:val="23"/>
              <w:bidi w:val="0"/>
              <w:rPr>
                <w:rFonts w:hint="eastAsia"/>
              </w:rPr>
            </w:pPr>
            <w:r>
              <w:rPr>
                <w:rFonts w:hint="eastAsia"/>
                <w:lang w:val="en-US" w:eastAsia="zh-CN"/>
              </w:rPr>
              <w:t xml:space="preserve">1.24 </w:t>
            </w:r>
          </w:p>
        </w:tc>
      </w:tr>
      <w:tr w14:paraId="7C20C4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jc w:val="center"/>
        </w:trPr>
        <w:tc>
          <w:tcPr>
            <w:tcW w:w="2551" w:type="dxa"/>
            <w:tcBorders>
              <w:tl2br w:val="nil"/>
              <w:tr2bl w:val="nil"/>
            </w:tcBorders>
            <w:shd w:val="clear" w:color="auto" w:fill="FFFFFF"/>
            <w:noWrap/>
            <w:vAlign w:val="center"/>
          </w:tcPr>
          <w:p w14:paraId="17A96DC2">
            <w:pPr>
              <w:pStyle w:val="23"/>
              <w:bidi w:val="0"/>
              <w:rPr>
                <w:rFonts w:hint="eastAsia"/>
              </w:rPr>
            </w:pPr>
            <w:r>
              <w:rPr>
                <w:rFonts w:hint="eastAsia"/>
                <w:lang w:val="en-US" w:eastAsia="zh-CN"/>
              </w:rPr>
              <w:t>雅克鹿之谷旅游景区</w:t>
            </w:r>
          </w:p>
        </w:tc>
        <w:tc>
          <w:tcPr>
            <w:tcW w:w="737" w:type="dxa"/>
            <w:tcBorders>
              <w:tl2br w:val="nil"/>
              <w:tr2bl w:val="nil"/>
            </w:tcBorders>
            <w:shd w:val="clear" w:color="auto" w:fill="FFFFFF"/>
            <w:noWrap/>
            <w:vAlign w:val="center"/>
          </w:tcPr>
          <w:p w14:paraId="57920850">
            <w:pPr>
              <w:pStyle w:val="23"/>
              <w:bidi w:val="0"/>
              <w:rPr>
                <w:rFonts w:hint="eastAsia"/>
              </w:rPr>
            </w:pPr>
            <w:r>
              <w:rPr>
                <w:rFonts w:hint="eastAsia"/>
                <w:lang w:val="en-US" w:eastAsia="zh-CN"/>
              </w:rPr>
              <w:t>3A</w:t>
            </w:r>
          </w:p>
        </w:tc>
        <w:tc>
          <w:tcPr>
            <w:tcW w:w="1191" w:type="dxa"/>
            <w:tcBorders>
              <w:tl2br w:val="nil"/>
              <w:tr2bl w:val="nil"/>
            </w:tcBorders>
            <w:shd w:val="clear" w:color="auto" w:fill="FFFFFF"/>
            <w:noWrap/>
            <w:vAlign w:val="center"/>
          </w:tcPr>
          <w:p w14:paraId="5EE80067">
            <w:pPr>
              <w:pStyle w:val="23"/>
              <w:bidi w:val="0"/>
              <w:rPr>
                <w:rFonts w:hint="eastAsia"/>
              </w:rPr>
            </w:pPr>
            <w:r>
              <w:rPr>
                <w:rFonts w:hint="eastAsia"/>
                <w:lang w:val="en-US" w:eastAsia="zh-CN"/>
              </w:rPr>
              <w:t>龙日坝</w:t>
            </w:r>
          </w:p>
        </w:tc>
        <w:tc>
          <w:tcPr>
            <w:tcW w:w="1191" w:type="dxa"/>
            <w:tcBorders>
              <w:tl2br w:val="nil"/>
              <w:tr2bl w:val="nil"/>
            </w:tcBorders>
            <w:shd w:val="clear" w:color="auto" w:fill="FFFFFF"/>
            <w:noWrap/>
            <w:vAlign w:val="center"/>
          </w:tcPr>
          <w:p w14:paraId="448222D0">
            <w:pPr>
              <w:pStyle w:val="23"/>
              <w:bidi w:val="0"/>
              <w:rPr>
                <w:rFonts w:hint="eastAsia"/>
              </w:rPr>
            </w:pPr>
            <w:r>
              <w:rPr>
                <w:rFonts w:hint="eastAsia"/>
                <w:lang w:val="en-US" w:eastAsia="zh-CN"/>
              </w:rPr>
              <w:t>39.18</w:t>
            </w:r>
          </w:p>
        </w:tc>
        <w:tc>
          <w:tcPr>
            <w:tcW w:w="1191" w:type="dxa"/>
            <w:tcBorders>
              <w:tl2br w:val="nil"/>
              <w:tr2bl w:val="nil"/>
            </w:tcBorders>
            <w:shd w:val="clear" w:color="auto" w:fill="FFFFFF"/>
            <w:noWrap/>
            <w:vAlign w:val="center"/>
          </w:tcPr>
          <w:p w14:paraId="05D73754">
            <w:pPr>
              <w:pStyle w:val="23"/>
              <w:bidi w:val="0"/>
              <w:rPr>
                <w:rFonts w:hint="eastAsia"/>
              </w:rPr>
            </w:pPr>
            <w:r>
              <w:rPr>
                <w:rFonts w:hint="eastAsia"/>
                <w:lang w:val="en-US" w:eastAsia="zh-CN"/>
              </w:rPr>
              <w:t>53.98</w:t>
            </w:r>
          </w:p>
        </w:tc>
        <w:tc>
          <w:tcPr>
            <w:tcW w:w="1191" w:type="dxa"/>
            <w:tcBorders>
              <w:tl2br w:val="nil"/>
              <w:tr2bl w:val="nil"/>
            </w:tcBorders>
            <w:shd w:val="clear" w:color="auto" w:fill="FFFFFF"/>
            <w:noWrap/>
            <w:vAlign w:val="center"/>
          </w:tcPr>
          <w:p w14:paraId="73145EFA">
            <w:pPr>
              <w:pStyle w:val="23"/>
              <w:bidi w:val="0"/>
              <w:rPr>
                <w:rFonts w:hint="eastAsia"/>
              </w:rPr>
            </w:pPr>
            <w:r>
              <w:rPr>
                <w:rFonts w:hint="eastAsia"/>
                <w:lang w:val="en-US" w:eastAsia="zh-CN"/>
              </w:rPr>
              <w:t>56</w:t>
            </w:r>
          </w:p>
        </w:tc>
        <w:tc>
          <w:tcPr>
            <w:tcW w:w="1191" w:type="dxa"/>
            <w:tcBorders>
              <w:tl2br w:val="nil"/>
              <w:tr2bl w:val="nil"/>
            </w:tcBorders>
            <w:shd w:val="clear" w:color="auto" w:fill="FFFFFF"/>
            <w:noWrap/>
            <w:vAlign w:val="center"/>
          </w:tcPr>
          <w:p w14:paraId="6869EA5D">
            <w:pPr>
              <w:pStyle w:val="23"/>
              <w:bidi w:val="0"/>
              <w:rPr>
                <w:rFonts w:hint="eastAsia"/>
              </w:rPr>
            </w:pPr>
            <w:r>
              <w:rPr>
                <w:rFonts w:hint="eastAsia"/>
                <w:lang w:val="en-US" w:eastAsia="zh-CN"/>
              </w:rPr>
              <w:t xml:space="preserve">1.38 </w:t>
            </w:r>
          </w:p>
        </w:tc>
      </w:tr>
    </w:tbl>
    <w:p w14:paraId="12793368">
      <w:pPr>
        <w:pStyle w:val="21"/>
        <w:bidi w:val="0"/>
        <w:rPr>
          <w:rFonts w:hint="eastAsia"/>
          <w:lang w:eastAsia="zh-CN"/>
        </w:rPr>
      </w:pPr>
      <w:r>
        <w:rPr>
          <w:rFonts w:hint="eastAsia"/>
          <w:lang w:eastAsia="zh-CN"/>
        </w:rPr>
        <w:drawing>
          <wp:inline distT="0" distB="0" distL="114300" distR="114300">
            <wp:extent cx="3599815" cy="5090795"/>
            <wp:effectExtent l="0" t="0" r="5715" b="4445"/>
            <wp:docPr id="8" name="图片 8" descr="D:/交通规划项目/红原县交通规划/地理数据库/图库/2红原节点上高速路径-0820.png2红原节点上高速路径-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交通规划项目/红原县交通规划/地理数据库/图库/2红原节点上高速路径-0820.png2红原节点上高速路径-0820"/>
                    <pic:cNvPicPr>
                      <a:picLocks noChangeAspect="1"/>
                    </pic:cNvPicPr>
                  </pic:nvPicPr>
                  <pic:blipFill>
                    <a:blip r:embed="rId15"/>
                    <a:srcRect t="9" b="9"/>
                    <a:stretch>
                      <a:fillRect/>
                    </a:stretch>
                  </pic:blipFill>
                  <pic:spPr>
                    <a:xfrm>
                      <a:off x="0" y="0"/>
                      <a:ext cx="3599815" cy="5090795"/>
                    </a:xfrm>
                    <a:prstGeom prst="rect">
                      <a:avLst/>
                    </a:prstGeom>
                  </pic:spPr>
                </pic:pic>
              </a:graphicData>
            </a:graphic>
          </wp:inline>
        </w:drawing>
      </w:r>
    </w:p>
    <w:p w14:paraId="33841D4D">
      <w:pPr>
        <w:pStyle w:val="25"/>
        <w:bidi w:val="0"/>
      </w:pPr>
      <w:r>
        <w:t xml:space="preserve">图 </w:t>
      </w:r>
      <w:r>
        <w:fldChar w:fldCharType="begin"/>
      </w:r>
      <w:r>
        <w:instrText xml:space="preserve"> SEQ 图 \* ARABIC </w:instrText>
      </w:r>
      <w:r>
        <w:fldChar w:fldCharType="separate"/>
      </w:r>
      <w:r>
        <w:t>2</w:t>
      </w:r>
      <w:r>
        <w:fldChar w:fldCharType="end"/>
      </w:r>
      <w:r>
        <w:rPr>
          <w:rFonts w:hint="eastAsia"/>
          <w:lang w:val="en-US" w:eastAsia="zh-CN"/>
        </w:rPr>
        <w:t xml:space="preserve"> 红原县重要节点（政府、景区）上高速路径示意图</w:t>
      </w:r>
    </w:p>
    <w:p w14:paraId="6E64D894">
      <w:pPr>
        <w:pStyle w:val="4"/>
        <w:ind w:firstLine="562"/>
      </w:pPr>
      <w:r>
        <w:rPr>
          <w:rFonts w:hint="eastAsia"/>
        </w:rPr>
        <w:t>运输服务保障能力稳步提升</w:t>
      </w:r>
    </w:p>
    <w:p w14:paraId="76D45DB4">
      <w:pPr>
        <w:ind w:firstLine="560"/>
      </w:pPr>
      <w:r>
        <w:rPr>
          <w:rFonts w:hint="eastAsia"/>
        </w:rPr>
        <w:t>“十四五”时期，红原县持续完善城乡客运、农村物流和交通服务设施，运输服务保障能力稳步提升。城乡客运服务网络不断优化，县城、乡镇、建制村之间的客运联系持续巩固，群众基本出行条件进一步改善。农村客运、旅游客运、预约响应式服务等运输组织方式逐步探索，运输服务更加贴近群众出行和旅游出行需求。县乡村三级物流体系加快建设，快递进村、农畜产品外运、工业品下乡等双向流通渠道更加畅通，交通运输对牧区生产生活、农牧产品销售和城乡物资配送的支撑作用持续增强。同时，依托高速公路、普通干线和农村公路网络完善，红原县客货运输服务范围不断拓展，运输组织效率和服务覆盖水平逐步提升。</w:t>
      </w:r>
    </w:p>
    <w:p w14:paraId="4C1BC4EA">
      <w:pPr>
        <w:pStyle w:val="4"/>
        <w:ind w:firstLine="562"/>
      </w:pPr>
      <w:r>
        <w:rPr>
          <w:rFonts w:hint="eastAsia" w:ascii="Times New Roman" w:hAnsi="Times New Roman" w:eastAsia="楷体_GB2312" w:cstheme="minorBidi"/>
          <w:b/>
          <w:kern w:val="2"/>
          <w:sz w:val="28"/>
          <w:szCs w:val="24"/>
          <w:lang w:val="en-US" w:eastAsia="zh-CN" w:bidi="ar-SA"/>
        </w:rPr>
        <w:t>行业治理和安全保障能力持续增强</w:t>
      </w:r>
    </w:p>
    <w:p w14:paraId="62EA848F">
      <w:pPr>
        <w:ind w:firstLine="560"/>
      </w:pPr>
      <w:r>
        <w:rPr>
          <w:rFonts w:hint="eastAsia"/>
        </w:rPr>
        <w:t>“十四五”时期，红原县持续加强交通行业治理、公路养护管理和安全应急保障，交通运输治理能力稳步提升。农村公路管理养护体制改革持续深化，路长制全面推行，县、乡、村三级公路管养责任体系不断健全，公路日常养护和路域环境整治有序开展。围绕高寒高海拔地区交通运行特点，持续加强安全生产监管、隐患排查治理、冬季除雪保通和应急抢险保障，重点路段安全风险防控能力不断增强。智慧交通建设加快起步，视频监控、路况感知、信息发布等设施逐步完善，为路网运行监测和应急调度提供了基础支撑。绿色交通发展稳步推进，交通建设、生态保护和沿线环境整治协同实施，行业治理现代化水平不断提高。</w:t>
      </w:r>
    </w:p>
    <w:p w14:paraId="59EC53B0">
      <w:pPr>
        <w:pStyle w:val="3"/>
      </w:pPr>
      <w:bookmarkStart w:id="15" w:name="_Toc12139"/>
      <w:bookmarkStart w:id="16" w:name="_Toc10358"/>
      <w:r>
        <w:rPr>
          <w:rFonts w:hint="eastAsia"/>
        </w:rPr>
        <w:t>存在问题</w:t>
      </w:r>
      <w:bookmarkEnd w:id="15"/>
      <w:bookmarkEnd w:id="16"/>
    </w:p>
    <w:p w14:paraId="5A537CCC">
      <w:pPr>
        <w:ind w:firstLine="560"/>
      </w:pPr>
      <w:r>
        <w:rPr>
          <w:rFonts w:hint="eastAsia"/>
        </w:rPr>
        <w:t>总体来看，红原县综合交通运输发展仍处于补短板、强弱项、提质效的关键阶段，与新时期高质量发展要求相比仍存在一定差距。</w:t>
      </w:r>
    </w:p>
    <w:p w14:paraId="4FE79399">
      <w:pPr>
        <w:ind w:firstLine="562"/>
      </w:pPr>
      <w:r>
        <w:rPr>
          <w:rFonts w:hint="eastAsia" w:ascii="Times New Roman" w:hAnsi="Times New Roman" w:eastAsia="楷体_GB2312" w:cs="黑体"/>
          <w:b/>
          <w:bCs/>
        </w:rPr>
        <w:t>对外综合通道能级仍需提升。</w:t>
      </w:r>
      <w:r>
        <w:rPr>
          <w:rFonts w:hint="eastAsia"/>
        </w:rPr>
        <w:t>红原县高速公路网络尚未完全形成，对外快速通道数量不足，区域联系效率仍有待提升。从运行情况看，2026年一季度红原县</w:t>
      </w:r>
      <w:r>
        <w:rPr>
          <w:rFonts w:hint="eastAsia"/>
          <w:lang w:val="en-US" w:eastAsia="zh-CN"/>
        </w:rPr>
        <w:t>3个</w:t>
      </w:r>
      <w:r>
        <w:rPr>
          <w:rFonts w:hint="eastAsia"/>
        </w:rPr>
        <w:t>高速公路出口交通量合计</w:t>
      </w:r>
      <w:r>
        <w:rPr>
          <w:rFonts w:hint="eastAsia"/>
          <w:lang w:val="en-US" w:eastAsia="zh-CN"/>
        </w:rPr>
        <w:t>32.2</w:t>
      </w:r>
      <w:r>
        <w:rPr>
          <w:rFonts w:hint="eastAsia"/>
        </w:rPr>
        <w:t>万PCU，红原县本地交通量18.5万PCU，占比约</w:t>
      </w:r>
      <w:r>
        <w:rPr>
          <w:rFonts w:hint="eastAsia"/>
          <w:lang w:val="en-US" w:eastAsia="zh-CN"/>
        </w:rPr>
        <w:t>57.5</w:t>
      </w:r>
      <w:r>
        <w:rPr>
          <w:rFonts w:hint="eastAsia"/>
        </w:rPr>
        <w:t>%，现状高速公路交通仍以本地上高速车流为主，对外联系带动作用尚未充分释放。铁路方面，西成铁路正在加快建设，但尚未形成实际运输能力</w:t>
      </w:r>
      <w:r>
        <w:rPr>
          <w:rFonts w:hint="eastAsia"/>
          <w:lang w:eastAsia="zh-CN"/>
        </w:rPr>
        <w:t>；</w:t>
      </w:r>
      <w:r>
        <w:rPr>
          <w:rFonts w:hint="eastAsia"/>
        </w:rPr>
        <w:t>其他通道仍处于前期研究阶段，“十五五”期间落地建设难度较大。航空方面，红原机场客流规模总体偏小且波动明显，2016—2025年旅客吞吐量在1.25万—4.70万人次之间波动，2025年为2.81万人次，航线覆盖和航班频次仍需提升。总体看，红原县“公铁空”协同支撑体系尚未形成，对外开放和区域联通能级仍需持续提升。</w:t>
      </w:r>
    </w:p>
    <w:p w14:paraId="0216273B">
      <w:pPr>
        <w:ind w:firstLine="562"/>
      </w:pPr>
      <w:r>
        <w:rPr>
          <w:rFonts w:hint="eastAsia" w:ascii="Times New Roman" w:hAnsi="Times New Roman" w:eastAsia="楷体_GB2312" w:cs="黑体"/>
          <w:b/>
          <w:bCs/>
        </w:rPr>
        <w:t>县域内部路网结构仍不优。</w:t>
      </w:r>
      <w:r>
        <w:rPr>
          <w:rFonts w:hint="eastAsia"/>
          <w:lang w:val="en-US" w:eastAsia="zh-CN"/>
        </w:rPr>
        <w:t>红原县</w:t>
      </w:r>
      <w:r>
        <w:rPr>
          <w:rFonts w:hint="eastAsia"/>
        </w:rPr>
        <w:t>部分国省干线路段技术等级偏低，城镇过境交通与城市交通交织问题仍然存在，通行效率和安全水平有待提升。县域横向联络通道不足，部分乡镇和县际方向连接仍不顺畅。红原县至黑水县、马尔康市、松潘县方向绕行系数分别为1.65、1.73和2.06，实际驾车距离明显高于直线距离，其中至松潘县方向绕行最为突出，驾车距离达206.18公里、驾车时间约212分钟，快速直连能力不足。从技术等级看，全县普通公路仍以四级公路为主体，四级公路822.52公里，占比56.3%；等外公路123.98公里，占比8.5%。县乡村道路技术等级整体偏低，县道四级及等外公路占76.1%，乡道四级及等外公路占98.3%，村道全部为四级及等外公路。总体来看，县乡村道路提质改造、等外公路整治、安防设施完善和冬季保通保畅仍需持续加强。</w:t>
      </w:r>
    </w:p>
    <w:p w14:paraId="26EBC353">
      <w:pPr>
        <w:ind w:firstLine="562"/>
      </w:pPr>
      <w:r>
        <w:rPr>
          <w:rFonts w:hint="eastAsia" w:ascii="Times New Roman" w:hAnsi="Times New Roman" w:eastAsia="楷体_GB2312" w:cs="黑体"/>
          <w:b/>
          <w:bCs/>
        </w:rPr>
        <w:t>运输服务品质仍需提高。</w:t>
      </w:r>
      <w:r>
        <w:rPr>
          <w:rFonts w:hint="eastAsia"/>
        </w:rPr>
        <w:t>城乡客运服务一体化水平还需进一步提升，县城、乡镇、建制村之间的客运衔接仍不够高效，部分偏远乡村群众出行便利性仍需改善。旅游旺季客流集中、出行需求波动较大，旅游客运、定制客运、预约响应式服务等个性化、灵活化运输供给仍显不足。物流方面，县域物流企业总体规模偏小，集约化、专业化水平不高，冷链物流、仓储配送、分拣中转等设施能力仍较薄弱，特色农畜产品外运成本偏高、时效性不足。县乡村三级物流体系虽已初步推进，但末端配送效率、快递进村稳定性和客货邮融合水平仍需进一步提升。</w:t>
      </w:r>
    </w:p>
    <w:p w14:paraId="3DB1062B">
      <w:pPr>
        <w:ind w:firstLine="562"/>
      </w:pPr>
      <w:r>
        <w:rPr>
          <w:rFonts w:hint="eastAsia" w:ascii="Times New Roman" w:hAnsi="Times New Roman" w:eastAsia="楷体_GB2312" w:cs="黑体"/>
          <w:b/>
          <w:bCs/>
        </w:rPr>
        <w:t>交通支撑文旅和产业融合能力仍需增强。</w:t>
      </w:r>
      <w:r>
        <w:rPr>
          <w:rFonts w:hint="eastAsia"/>
        </w:rPr>
        <w:t>红原县重点景区交通通达条件总体较好，但部分景区景点、产业基地、牧业生产点与高速公路、普通国省干线等主通道之间衔接效率仍不高，旅游公路、产业路、资源路体系还需进一步完善。部分旅游道路沿线停车、充电、观景、导览、厕所、应急救援等服务设施配套不足，交通对游客停留消费、线路组织和旅游体验提升的带动作用尚未充分释放。交通与文旅、农牧、商贸、物流等产业融合深度仍需提高，“交通+旅游”“交通+农牧”“交通+物流”等新业态、新模式培育仍需加快，交通带动县域经济发展的综合效益尚未充分显现。</w:t>
      </w:r>
    </w:p>
    <w:p w14:paraId="608D704A">
      <w:pPr>
        <w:ind w:firstLine="562"/>
      </w:pPr>
      <w:r>
        <w:rPr>
          <w:rFonts w:hint="eastAsia" w:ascii="Times New Roman" w:hAnsi="Times New Roman" w:eastAsia="楷体_GB2312" w:cs="黑体"/>
          <w:b/>
          <w:bCs/>
        </w:rPr>
        <w:t>要素保障和转型发展压力加大。</w:t>
      </w:r>
      <w:r>
        <w:rPr>
          <w:rFonts w:hint="eastAsia"/>
        </w:rPr>
        <w:t>红原县地处高寒高海拔地区，生态环境敏感脆弱，交通项目建设面临用地、环评、资金筹措、施工组织和生态保护等多重约束，重大项目推进难度较大。随着公路里程增加和部分设施进入集中养护期，公路养护、安防完善、桥涵维护、冬季除雪保通等资金需求持续增长，财政保障压力较大。同时，智慧交通、绿色交通、低空经济等新领域发展基础仍较薄弱，路网运行监测、信息发布、智慧养护、新能源补能、低空应急和低空旅游等应用场景仍处于起步阶段，行业治理现代化水平仍需持续提升。</w:t>
      </w:r>
    </w:p>
    <w:p w14:paraId="2D199DCD">
      <w:pPr>
        <w:ind w:firstLine="560"/>
      </w:pPr>
    </w:p>
    <w:p w14:paraId="4AC78FEC">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4E93164">
      <w:pPr>
        <w:pStyle w:val="2"/>
      </w:pPr>
      <w:bookmarkStart w:id="17" w:name="_Toc25131"/>
      <w:bookmarkStart w:id="18" w:name="_Toc4210"/>
      <w:r>
        <w:rPr>
          <w:rFonts w:hint="eastAsia"/>
        </w:rPr>
        <w:t>形势要求</w:t>
      </w:r>
      <w:bookmarkEnd w:id="17"/>
      <w:bookmarkEnd w:id="18"/>
    </w:p>
    <w:p w14:paraId="6118AF4E">
      <w:pPr>
        <w:pStyle w:val="3"/>
      </w:pPr>
      <w:bookmarkStart w:id="19" w:name="_Toc28945"/>
      <w:bookmarkStart w:id="20" w:name="_Toc28870"/>
      <w:r>
        <w:rPr>
          <w:rFonts w:hint="eastAsia"/>
        </w:rPr>
        <w:t>形势分析</w:t>
      </w:r>
      <w:bookmarkEnd w:id="19"/>
      <w:bookmarkEnd w:id="20"/>
    </w:p>
    <w:p w14:paraId="0B0A2558">
      <w:pPr>
        <w:ind w:firstLine="560"/>
      </w:pPr>
      <w:r>
        <w:rPr>
          <w:rFonts w:hint="eastAsia"/>
        </w:rPr>
        <w:t>“十五五”时期，是我国基本实现社会主义现代化夯实基础、全面发力的关键时期，也是四川推动经济量质齐升、阿坝州建设民族地区高质量发展典范的重要阶段。红原县作为川甘青结合部重要节点、川西北生态示范区重要组成部分和黄河上游重要生态屏障，交通运输发展正处于战略位势提升、通道格局重塑、运输结构转型、交旅融合深化、绿色安全约束增强等多重形势叠加的关键阶段。</w:t>
      </w:r>
    </w:p>
    <w:p w14:paraId="1F476AED">
      <w:pPr>
        <w:pStyle w:val="4"/>
        <w:ind w:firstLine="562"/>
      </w:pPr>
      <w:r>
        <w:rPr>
          <w:rFonts w:hint="eastAsia"/>
        </w:rPr>
        <w:t>重大战略纵深推进，红原交通区位价值进一步凸显</w:t>
      </w:r>
    </w:p>
    <w:p w14:paraId="11DDC44B">
      <w:pPr>
        <w:ind w:firstLine="560"/>
      </w:pPr>
      <w:r>
        <w:rPr>
          <w:rFonts w:hint="eastAsia"/>
        </w:rPr>
        <w:t>新时代西部大开发、长江经济带发展、黄河流域生态保护和高质量发展等国家战略纵深推进，成渝地区双城经济圈建设走深走实。在省委“四化同步、城乡融合、五区共兴”战略部署和州委“1610”发展战略指引下，阿坝州正处于由“四川之边”向“西部中间”区位转变的关键阶段。红原县地处川西北高原腹地，是连接阿坝西北片区、甘青方向和成都平原经济区的重要节点，既承担着服务区域开放联通的重要功能，也承担着支撑生态保护、民族团结、乡村振兴和高质量发展的综合使命。</w:t>
      </w:r>
    </w:p>
    <w:p w14:paraId="03C01B96">
      <w:pPr>
        <w:ind w:firstLine="560"/>
      </w:pPr>
      <w:r>
        <w:rPr>
          <w:rFonts w:hint="eastAsia"/>
        </w:rPr>
        <w:t>“十五五”时期，随着国家战略腹地建设、涉藏地区基础设施补短板、三州地区交通高质量发展等政策持续推进，红原县交通发展将迎来更加有利的政策窗口。红原县必须主动对接国家、省、州重大战略布局，围绕川甘青结合部综合交通枢纽建设，强化红原在区域通道、旅游集散、生态保护和特色产业发展中的支撑作用，推动交通区位优势加快转化为发展优势。</w:t>
      </w:r>
    </w:p>
    <w:p w14:paraId="7BEEEEA7">
      <w:pPr>
        <w:pStyle w:val="4"/>
        <w:ind w:firstLine="562"/>
      </w:pPr>
      <w:r>
        <w:rPr>
          <w:rFonts w:hint="eastAsia"/>
        </w:rPr>
        <w:t>综合交通主骨架加快成型，红原由“通道末端”向“节点支撑”转变</w:t>
      </w:r>
    </w:p>
    <w:p w14:paraId="18468078">
      <w:pPr>
        <w:ind w:firstLine="560"/>
      </w:pPr>
      <w:r>
        <w:rPr>
          <w:rFonts w:hint="eastAsia"/>
        </w:rPr>
        <w:t>随着川青铁路、都四轨道、久马高速等重大项目加快推进，阿坝州交通运输结构正处在由单一公路运输向“公铁航”综合运输协调发展的提质飞跃期。红原县作为久马高速、G248、S14川主寺至红原高速、红原机场等重要交通资源的承载地和辐射区，将在区域综合交通网络中的地位进一步提升。</w:t>
      </w:r>
    </w:p>
    <w:p w14:paraId="63BB428D">
      <w:pPr>
        <w:ind w:firstLine="560"/>
        <w:rPr>
          <w:color w:val="auto"/>
        </w:rPr>
      </w:pPr>
      <w:r>
        <w:rPr>
          <w:rFonts w:hint="eastAsia"/>
        </w:rPr>
        <w:t>长期以来，红原县对外交通主要依托普通国省干线，通道单一、时效偏低、受气候和灾害影响较大。进入“十五五”时期，随着久马高速建成运营、S14川主寺至红原高速持续推进、G0611郎木寺至川主寺高速加快建设，红原县将逐步融入区域高速公路网络，对外联系效率和通道保障能力显著提升。同时，西宁至成都铁路加快建设并在红原设站，红原铁路交通将实现从无到有的重要突破</w:t>
      </w:r>
      <w:r>
        <w:rPr>
          <w:rFonts w:hint="eastAsia"/>
          <w:lang w:eastAsia="zh-CN"/>
        </w:rPr>
        <w:t>，</w:t>
      </w:r>
      <w:r>
        <w:rPr>
          <w:rFonts w:hint="eastAsia"/>
        </w:rPr>
        <w:t>红原机场保持运营服务，进一步丰富了红原综合交通发展的基础条件。交通发展将从过去以普通公路为主的单一支撑模式，逐步转向以高速公路和普通国省道为骨架、航空运输为补充、铁路和接驳体系为支撑的</w:t>
      </w:r>
      <w:r>
        <w:rPr>
          <w:rFonts w:hint="eastAsia"/>
          <w:color w:val="auto"/>
        </w:rPr>
        <w:t>综合交通发展新阶段，为扩大对外开放、承接旅游客流、发展现代物流和提升区域影响力创造有利条件。</w:t>
      </w:r>
    </w:p>
    <w:p w14:paraId="21F4F597">
      <w:pPr>
        <w:pStyle w:val="4"/>
        <w:ind w:firstLine="562"/>
      </w:pPr>
      <w:r>
        <w:rPr>
          <w:rFonts w:hint="eastAsia"/>
        </w:rPr>
        <w:t>文旅消费持续升级，交通从“通景区”向“强体验”转变</w:t>
      </w:r>
    </w:p>
    <w:p w14:paraId="4D7E5794">
      <w:pPr>
        <w:ind w:firstLine="560"/>
      </w:pPr>
      <w:r>
        <w:rPr>
          <w:rFonts w:hint="eastAsia"/>
        </w:rPr>
        <w:t>大九寨旅游环线、黄河国家文化公园、长征国家文化公园等重大文旅布局持续推进，全域旅游、生态经济发展步伐加快。红原县拥有月亮湾、日干乔湿地、俄么塘花海、瓦切塔林、雅克音乐季等特色文旅资源，是阿坝州草原旅游、红色文化旅游和生态休闲旅游的重要承载地。</w:t>
      </w:r>
    </w:p>
    <w:p w14:paraId="02F2ABAD">
      <w:pPr>
        <w:ind w:firstLine="560"/>
      </w:pPr>
      <w:r>
        <w:rPr>
          <w:rFonts w:hint="eastAsia"/>
        </w:rPr>
        <w:t>新阶段游客出行更加注重自驾体验、沿途服务、停车补能、观景休憩和智慧导览，交通基础设施不再只是“把游客送到景区”，还要成为旅游体验的重要组成部分。红原县需要围绕G248、S301、S217等重要旅游通道，推动旅游化改造、观景平台、主题服务区、停车点、充电设施和旅游标识系统建设，把交通线转化为风景线、服务线和消费线，提升全域旅游承载能力。交通不仅需要满足传统通行功能，更需要强化对旅游集散、产业协同、资源开发、城乡融合等方面的综合支撑能力。</w:t>
      </w:r>
    </w:p>
    <w:p w14:paraId="32B0B655">
      <w:pPr>
        <w:pStyle w:val="4"/>
        <w:ind w:firstLine="562"/>
      </w:pPr>
      <w:r>
        <w:rPr>
          <w:rFonts w:hint="eastAsia"/>
        </w:rPr>
        <w:t>乡村振兴深入推进，交通物流服务能力需要系统提升</w:t>
      </w:r>
    </w:p>
    <w:p w14:paraId="404FB459">
      <w:pPr>
        <w:ind w:firstLine="560"/>
      </w:pPr>
      <w:r>
        <w:rPr>
          <w:rFonts w:hint="eastAsia"/>
        </w:rPr>
        <w:t>红原县是典型高原牧区，牦牛肉、乳制品、藏药材、生态农畜产品等特色资源丰富。随着乡村振兴和现代草原畜牧业发展，农畜产品外运、冷链储运、电商配送、生产资料下乡等需求不断增加，对农村公路、物流节点和城乡配送体系提出更高要求。</w:t>
      </w:r>
    </w:p>
    <w:p w14:paraId="4CC6802A">
      <w:pPr>
        <w:ind w:firstLine="560"/>
      </w:pPr>
      <w:r>
        <w:rPr>
          <w:rFonts w:hint="eastAsia"/>
        </w:rPr>
        <w:t>当前，红原县县乡村三级物流体系仍处于完善阶段，部分乡镇物流服务能力不足，村级寄递物流末端效率不高，冷链物流、共同配送、客货邮融合等发展相对滞后。同时，城乡居民对交通运输服务的需求正由“走得了”向“走得好”“走得便捷”“走得舒适”加快转变，城乡公交一体化、预约响应式运输、旅游专线等新模式加快发展。未来五年，需要依托县级物流中心、乡镇运输服务站、村级服务点和农村公路网络，推动“交商邮供”融合发展，完善农畜产品上行和工业品下行双向流通体系，降低牧区物流成本，提升交通服务乡村振兴、特色产业发展和群众高品质出行的能力。</w:t>
      </w:r>
    </w:p>
    <w:p w14:paraId="762FB02F">
      <w:pPr>
        <w:pStyle w:val="4"/>
        <w:ind w:firstLine="562"/>
      </w:pPr>
      <w:r>
        <w:rPr>
          <w:rFonts w:hint="eastAsia"/>
        </w:rPr>
        <w:t>新质生产力加快发展，为行业转型升级提供重要支撑</w:t>
      </w:r>
    </w:p>
    <w:p w14:paraId="1E86EE9E">
      <w:pPr>
        <w:ind w:firstLine="560"/>
      </w:pPr>
      <w:r>
        <w:rPr>
          <w:rFonts w:hint="eastAsia"/>
        </w:rPr>
        <w:t>当前，以数字经济、人工智能、低空经济、新能源等为代表的新质生产力快速发展，正在深刻重塑交通运输发展模式。智慧公路、数字交通、车路协同、无人机应用、新能源运输装备等新技术新业态加快推广，为高寒高海拔地区突破传统交通发展瓶颈提供了新路径。</w:t>
      </w:r>
    </w:p>
    <w:p w14:paraId="397CDA79">
      <w:pPr>
        <w:ind w:firstLine="560"/>
      </w:pPr>
      <w:r>
        <w:rPr>
          <w:rFonts w:hint="eastAsia"/>
        </w:rPr>
        <w:t>红原县具备机场、草原景区、国省干线、边远牧区、生态巡护和应急救援等多元应用场景，在低空旅游、智慧文旅、绿色交通、数字化治理等方面具备良好发展潜力，适宜探索智慧交旅、无人机巡检、低空观光、应急救援、牧区物流配送等新模式。未来五年，应结合重点国省干线、旅游公路、农村公路和交通枢纽建设，推进交通运行监测、路况感知、智慧服务、灾害预警、数字养护等应用，逐步提升交通行业精细化管理和智慧化服务水平。通过数字赋能、绿色赋能和融合赋能，推动交通运输由传统建设驱动向质量效益驱动转变。</w:t>
      </w:r>
    </w:p>
    <w:p w14:paraId="05D61AD8">
      <w:pPr>
        <w:pStyle w:val="4"/>
        <w:ind w:firstLine="562"/>
      </w:pPr>
      <w:r>
        <w:rPr>
          <w:rFonts w:hint="eastAsia"/>
        </w:rPr>
        <w:t>生态环境与要素约束趋紧，绿色安全发展成为刚性要求</w:t>
      </w:r>
    </w:p>
    <w:p w14:paraId="01D07D81">
      <w:pPr>
        <w:ind w:firstLine="560"/>
      </w:pPr>
      <w:r>
        <w:rPr>
          <w:rFonts w:hint="eastAsia"/>
        </w:rPr>
        <w:t>红原县地处高寒高海拔地区，是黄河上游重要水源涵养区和高寒草原湿地生态敏感区，生态保护地位特殊。交通项目建设面临生态保护红线、草原湿地保护、水源涵养、地质灾害防治等多重约束，项目审批、用地保障和环境保护压力持续加大。</w:t>
      </w:r>
    </w:p>
    <w:p w14:paraId="366B77B5">
      <w:pPr>
        <w:ind w:firstLine="560"/>
      </w:pPr>
      <w:r>
        <w:rPr>
          <w:rFonts w:hint="eastAsia"/>
        </w:rPr>
        <w:t>与平原地区相比，红原交通建设不仅要解决工程建设难度大、施工周期短、养护成本高等问题，更要处理好交通发展与生态保护之间的关系。“十五五”时期，必须坚持生态优先、绿色低碳、安全韧性，把生态保护要求贯穿规划、设计、建设、运营和养护全过程。重点推进绿色公路、生态修复、路域环境整治、新能源交通设施、重点路段灾害监测和冬季保通能力建设，推动交通建设与草原湿地保护、黄河上游生态屏障建设相协调。</w:t>
      </w:r>
    </w:p>
    <w:p w14:paraId="53DC3D49">
      <w:pPr>
        <w:pStyle w:val="4"/>
        <w:ind w:firstLine="562"/>
      </w:pPr>
      <w:r>
        <w:rPr>
          <w:rFonts w:hint="eastAsia"/>
        </w:rPr>
        <w:t>综合交通发展仍处于补短板提质效的关键阶段</w:t>
      </w:r>
    </w:p>
    <w:p w14:paraId="432804E4">
      <w:pPr>
        <w:ind w:firstLine="560"/>
      </w:pPr>
      <w:r>
        <w:rPr>
          <w:rFonts w:hint="eastAsia"/>
        </w:rPr>
        <w:t>总体来看，红原县综合交通运输发展仍处于由“基本通达”向“提质增效”加快转变的重要阶段。从县域内部看，路网结构仍存在等级结构不优、横向联系不足、部分路段通行能力和安全保障水平不高等问题。特别是县城过境段、重点景区连接线、县际出口通道和部分农村公路，仍难以完全适应旅游旺季交通集散、农牧产品运输和群众高品质出行需求。对外综合通道尚未完全成型，运输服务体系还不健全，交通与产业融合发展深度不足，行业智慧化、绿色化发展仍处于起步阶段。</w:t>
      </w:r>
    </w:p>
    <w:p w14:paraId="715083D4">
      <w:pPr>
        <w:ind w:firstLine="560"/>
      </w:pPr>
      <w:r>
        <w:rPr>
          <w:rFonts w:hint="eastAsia"/>
        </w:rPr>
        <w:t>“十五五”时期，红原县交通建设重点将由单纯追求“通不通”转向更加注重“畅不畅、安不安全、服务好不好”。必须牢牢把握国家政策机遇和区域发展机遇，坚持系统谋划、适度超前、精准发力，加快补齐综合交通基础设施短板，着力提升运输服务品质和行业治理能力，推动红原县综合交通运输发展实现由规模扩张向质量效益提升转变，更好服务全县经济社会高质量发展。</w:t>
      </w:r>
    </w:p>
    <w:p w14:paraId="38DE5686">
      <w:pPr>
        <w:pStyle w:val="3"/>
      </w:pPr>
      <w:bookmarkStart w:id="21" w:name="_Toc12000"/>
      <w:bookmarkStart w:id="22" w:name="_Toc20961"/>
      <w:r>
        <w:rPr>
          <w:rFonts w:hint="eastAsia"/>
        </w:rPr>
        <w:t>阶段特征</w:t>
      </w:r>
      <w:bookmarkEnd w:id="21"/>
      <w:bookmarkEnd w:id="22"/>
    </w:p>
    <w:p w14:paraId="44AA2BEB">
      <w:pPr>
        <w:ind w:firstLine="560"/>
      </w:pPr>
      <w:r>
        <w:rPr>
          <w:rFonts w:hint="eastAsia"/>
        </w:rPr>
        <w:t>综合研判国家和省州战略导向、区域交通格局变化以及红原县交通运输发展基础，“十五五”时期，红原县综合交通运输发展总体呈现以下阶段特征。</w:t>
      </w:r>
    </w:p>
    <w:p w14:paraId="4F63BD06">
      <w:pPr>
        <w:pStyle w:val="4"/>
        <w:ind w:firstLine="562"/>
      </w:pPr>
      <w:r>
        <w:rPr>
          <w:rFonts w:hint="eastAsia"/>
        </w:rPr>
        <w:t>由区位边缘向区域节点转变的战略提升期</w:t>
      </w:r>
    </w:p>
    <w:p w14:paraId="4057632D">
      <w:pPr>
        <w:ind w:firstLine="560"/>
      </w:pPr>
      <w:r>
        <w:rPr>
          <w:rFonts w:hint="eastAsia"/>
        </w:rPr>
        <w:t>随着川甘青结合部综合交通枢纽建设加快推进，红原县在区域交通格局中的地位将进一步提升。过去，红原县更多承担县域内部通行和周边区域联系功能，对外</w:t>
      </w:r>
      <w:r>
        <w:rPr>
          <w:rFonts w:hint="eastAsia"/>
          <w:color w:val="auto"/>
        </w:rPr>
        <w:t>交通主要依靠普通国省干线，区域辐射能力相对有限。“十五五”时期，随着久马高速、S14川主寺至红原高速、G0611郎木寺至川主寺高速等通道项目加快推进，红原县与成都平原经济区、甘青方向、大九寨片区和阿坝州西北部</w:t>
      </w:r>
      <w:r>
        <w:rPr>
          <w:rFonts w:hint="eastAsia"/>
        </w:rPr>
        <w:t>地区的联系将更加紧密，交通区位将由相对边缘的高原牧区节点，逐步向区域联通支撑节点转变。</w:t>
      </w:r>
    </w:p>
    <w:p w14:paraId="73848093">
      <w:pPr>
        <w:ind w:firstLine="560"/>
      </w:pPr>
      <w:r>
        <w:rPr>
          <w:rFonts w:hint="eastAsia"/>
        </w:rPr>
        <w:t>这一阶段，红原交通不仅要服务县域群众出行，更要承担服务区域开放、旅游集散、产业联动和应急保障等综合功能，交通发展的战略性、先导性作用将更加突出。</w:t>
      </w:r>
    </w:p>
    <w:p w14:paraId="3D456F54">
      <w:pPr>
        <w:pStyle w:val="4"/>
        <w:ind w:firstLine="562"/>
      </w:pPr>
      <w:r>
        <w:rPr>
          <w:rFonts w:hint="eastAsia"/>
        </w:rPr>
        <w:t>由单一公路支撑向综合交通协同转变的体系成型期</w:t>
      </w:r>
    </w:p>
    <w:p w14:paraId="173BEB17">
      <w:pPr>
        <w:ind w:firstLine="560"/>
        <w:rPr>
          <w:rFonts w:hint="eastAsia"/>
        </w:rPr>
      </w:pPr>
      <w:r>
        <w:rPr>
          <w:rFonts w:hint="eastAsia"/>
        </w:rPr>
        <w:t>长期以来，红原县交通运输以公路为主体，航空运输服务能力相对有限，铁路运输长期处于空白状态，综合交通协同支撑作用尚未充分发挥。“十五五”时期，随着高速公路网络加快成型、红原机场服务能力逐步提升，以及西宁至成都铁路加快建设并在红原设站，红原县铁路交通将实现从无到有的重要突破，红原县将逐步进入以公路为主导、铁路和航空协同发展的综合交通体系成型阶段。</w:t>
      </w:r>
    </w:p>
    <w:p w14:paraId="69134FDE">
      <w:pPr>
        <w:ind w:firstLine="560"/>
      </w:pPr>
      <w:r>
        <w:rPr>
          <w:rFonts w:hint="eastAsia"/>
        </w:rPr>
        <w:t>这一阶段，交通建设重点将不再局限于单一线路建设，而是更加注重高速公路、普通干线、农村公路、机场、铁路通道及接驳体系之间的统筹衔接，更加注重枢纽场站、集疏运道路和联程运输服务体系建设。红原需要围绕综合交通协同发展，统筹推进客运接驳、物流组织、旅游集散和应急保障，推动交通体系由“单一公路支撑”向“多方式衔接、网络化协同”转变。</w:t>
      </w:r>
    </w:p>
    <w:p w14:paraId="24EBE1D3">
      <w:pPr>
        <w:pStyle w:val="4"/>
        <w:ind w:firstLine="562"/>
      </w:pPr>
      <w:r>
        <w:rPr>
          <w:rFonts w:hint="eastAsia"/>
        </w:rPr>
        <w:t>由补齐基础短板向提升网络效能转变的提质攻坚期</w:t>
      </w:r>
    </w:p>
    <w:p w14:paraId="08431DE5">
      <w:pPr>
        <w:ind w:firstLine="560"/>
      </w:pPr>
      <w:r>
        <w:rPr>
          <w:rFonts w:hint="eastAsia"/>
        </w:rPr>
        <w:t>“十四五”以来，红原县交通基础设施建设取得积极成效，但县域路网仍存在局部瓶颈。部分国省干线路段等级和服务水平不高，城镇过境交通与内部交通混行问题仍需解决，县际横向联系和农村公路抗灾能力仍需提升。</w:t>
      </w:r>
    </w:p>
    <w:p w14:paraId="11DE7D30">
      <w:pPr>
        <w:ind w:firstLine="560"/>
      </w:pPr>
      <w:r>
        <w:rPr>
          <w:rFonts w:hint="eastAsia"/>
        </w:rPr>
        <w:t>“十五五”时期，红原交通发展将从“扩大覆盖、打通通道”逐步转向“优化结构、提升效率、</w:t>
      </w:r>
      <w:r>
        <w:rPr>
          <w:rFonts w:hint="eastAsia"/>
          <w:color w:val="auto"/>
        </w:rPr>
        <w:t>增强韧</w:t>
      </w:r>
      <w:r>
        <w:rPr>
          <w:rFonts w:hint="eastAsia"/>
          <w:color w:val="auto"/>
          <w:highlight w:val="none"/>
        </w:rPr>
        <w:t>性”。G248红原县城过境段、G347阿坝县青海界至红原县安曲镇段、S313红原县阿木乡至松潘县草原村段、G248马尔康市三家寨至红原县壤口段等项目，</w:t>
      </w:r>
      <w:r>
        <w:rPr>
          <w:rFonts w:hint="eastAsia"/>
          <w:color w:val="auto"/>
        </w:rPr>
        <w:t>将成为提升县域路网效能的重要抓手。交通建设需要更加注重干支衔接、内</w:t>
      </w:r>
      <w:r>
        <w:rPr>
          <w:rFonts w:hint="eastAsia"/>
        </w:rPr>
        <w:t>外联通、节点集散和安全保障，推动路网由“通而不畅”向“畅安舒美”转变。</w:t>
      </w:r>
    </w:p>
    <w:p w14:paraId="1F75473F">
      <w:pPr>
        <w:pStyle w:val="4"/>
        <w:ind w:firstLine="562"/>
      </w:pPr>
      <w:r>
        <w:rPr>
          <w:rFonts w:hint="eastAsia"/>
        </w:rPr>
        <w:t>由交通服务出行向交通赋能产业转变的融合深化期</w:t>
      </w:r>
    </w:p>
    <w:p w14:paraId="713B0730">
      <w:pPr>
        <w:ind w:firstLine="560"/>
      </w:pPr>
      <w:r>
        <w:rPr>
          <w:rFonts w:hint="eastAsia"/>
        </w:rPr>
        <w:t>红原县具有鲜明的生态旅游、高原牧业和红色文化资源优势。随着全域旅游、现代草原畜牧业、农畜产品加工、低空旅游等产业加快发展，交通运输对产业发展的支撑作用将进一步增强。</w:t>
      </w:r>
    </w:p>
    <w:p w14:paraId="008FAB56">
      <w:pPr>
        <w:ind w:firstLine="560"/>
      </w:pPr>
      <w:r>
        <w:rPr>
          <w:rFonts w:hint="eastAsia"/>
        </w:rPr>
        <w:t>“十五五”时期，红原交通将进入“交通+旅游”“交通+产业”“交通+物流”融合深化阶段。交通基础设施不再只是提供通行条件，还要成为串联景区景点、服务农牧产品外运、支撑节庆活动、带动沿线消费的重要载体。旅游公路、产业路、资源路、冷链物流节点、综合服务区、观景平台、充电补能设施等将成为交通服务产业发展的重要内容，推动交通线向风景线、产业线、富民线转变。</w:t>
      </w:r>
    </w:p>
    <w:p w14:paraId="22ACAF20">
      <w:pPr>
        <w:pStyle w:val="4"/>
        <w:ind w:firstLine="562"/>
      </w:pPr>
      <w:r>
        <w:rPr>
          <w:rFonts w:hint="eastAsia"/>
        </w:rPr>
        <w:t>由传统建设养护向安全韧性治理转变的能力提升期</w:t>
      </w:r>
    </w:p>
    <w:p w14:paraId="55C730E5">
      <w:pPr>
        <w:ind w:firstLine="560"/>
      </w:pPr>
      <w:r>
        <w:rPr>
          <w:rFonts w:hint="eastAsia"/>
        </w:rPr>
        <w:t>红原县地处高寒高海拔地区，受冻融、冰雪、泥石流、地质灾害等影响，交通基础设施建设、运营和养护难度较大。随着公路里程和设施规模持续增加，交通发展面临的重点将从“建起来”逐步转向“管得好、养得住、保得通”。</w:t>
      </w:r>
    </w:p>
    <w:p w14:paraId="55ABB777">
      <w:pPr>
        <w:ind w:firstLine="560"/>
      </w:pPr>
      <w:r>
        <w:rPr>
          <w:rFonts w:hint="eastAsia"/>
        </w:rPr>
        <w:t>“十五五”时期，红原县需要更加重视交通安全韧性建设，强化重点路段灾害监测、危桥改造、安全生命防护、冬季除雪保通、应急物资储备和养护站点建设。通过完善公路养护管理体系、提升机械化养护能力、加强路网运行监测，推动交通行业由建设管理向全生命周期治理转变，提升高原地区交通运输系统抗风险能力。</w:t>
      </w:r>
    </w:p>
    <w:p w14:paraId="37AA328A">
      <w:pPr>
        <w:pStyle w:val="4"/>
        <w:ind w:firstLine="562"/>
      </w:pPr>
      <w:r>
        <w:rPr>
          <w:rFonts w:hint="eastAsia"/>
        </w:rPr>
        <w:t>由资源要素投入向绿色智慧驱动转变的转型起步期</w:t>
      </w:r>
    </w:p>
    <w:p w14:paraId="1761979A">
      <w:pPr>
        <w:ind w:firstLine="560"/>
      </w:pPr>
      <w:r>
        <w:rPr>
          <w:rFonts w:hint="eastAsia"/>
        </w:rPr>
        <w:t>在生态保护红线、基本草原、湿地保护等约束持续强化背景下，红原交通发展不能再简单依赖大规模用地和传统建设模式，而必须更加注重绿色低碳、集约节约和智慧赋能。阿坝州上位规划也将数智化升级、绿色化转型、安全韧性提升作为“十五五”交通发展的重要方向。</w:t>
      </w:r>
    </w:p>
    <w:p w14:paraId="16019CA8">
      <w:pPr>
        <w:ind w:firstLine="560"/>
      </w:pPr>
      <w:r>
        <w:rPr>
          <w:rFonts w:hint="eastAsia"/>
        </w:rPr>
        <w:t>“十五五”时期，红原县将进入绿色交通和智慧交通起步提升阶段。绿色公路、路域生态修复、新能源运输装备、旅游通道充电设施、智慧监测、数字养护、低空应用等将逐步成为交通发展的新内容。通过新技术应用和绿色发展方式转变，推动交通运输从传统要素驱动向数字赋能、绿色赋能、融合赋能转变。</w:t>
      </w:r>
    </w:p>
    <w:p w14:paraId="56E384DD">
      <w:pPr>
        <w:ind w:firstLine="560"/>
      </w:pPr>
      <w:r>
        <w:rPr>
          <w:rFonts w:hint="eastAsia"/>
        </w:rPr>
        <w:t>总体来看，“十五五”时期是红原县交通运输发展从“基础补短”迈向“系统提升”的关键五年，是综合交通体系加快成型、县域路网提质增效、交旅产业深度融合、安全韧性持续增强、绿色智慧转型起步推进的重要阶段。必须准确把握阶段特征，统筹推进重大通道、内部路网、运输服务、产业融合和行业治理现代化建设，为建设阿坝牧区高质量发展红原典范提供坚实交通支撑。</w:t>
      </w:r>
    </w:p>
    <w:p w14:paraId="716CF616">
      <w:pPr>
        <w:pStyle w:val="3"/>
      </w:pPr>
      <w:bookmarkStart w:id="23" w:name="_Toc8068"/>
      <w:bookmarkStart w:id="24" w:name="_Toc15893"/>
      <w:r>
        <w:rPr>
          <w:rFonts w:hint="eastAsia"/>
        </w:rPr>
        <w:t>发展要求</w:t>
      </w:r>
      <w:bookmarkEnd w:id="23"/>
      <w:bookmarkEnd w:id="24"/>
    </w:p>
    <w:p w14:paraId="7C29A818">
      <w:pPr>
        <w:ind w:firstLine="560"/>
      </w:pPr>
      <w:r>
        <w:rPr>
          <w:rFonts w:hint="eastAsia"/>
        </w:rPr>
        <w:t>“十五五”时期，红原县综合交通运输发展要主动适应国家战略部署、省州发展要求和县域经济社会高质量发展需要，立足高原牧区、生态功能区、旅游节点县实际，着力补短板、强弱项、提品质、促融合，推动交通运输由基础支撑向综合赋能转变。</w:t>
      </w:r>
    </w:p>
    <w:p w14:paraId="65229588">
      <w:pPr>
        <w:pStyle w:val="4"/>
        <w:ind w:firstLine="562"/>
      </w:pPr>
      <w:r>
        <w:rPr>
          <w:rFonts w:hint="eastAsia"/>
        </w:rPr>
        <w:t>服务国家和省州战略布局，要求交通运输进一步强化先行支撑作用</w:t>
      </w:r>
    </w:p>
    <w:p w14:paraId="7ACF6323">
      <w:pPr>
        <w:ind w:firstLine="560"/>
      </w:pPr>
      <w:r>
        <w:rPr>
          <w:rFonts w:hint="eastAsia"/>
        </w:rPr>
        <w:t>红原县地处川甘青结合部和黄河上游重要生态功能区，是阿坝州西北向联通的重要节点，也是服务涉藏地区长治久安、民族团结进步和区域协调发展的重要区域。“十五五”时期，随着新时代西部大开发、黄河流域生态保护和高质量发展、成渝地区双城经济圈建设等战略深入推进，红原县交通运输必须更加主动融入国家和省州发展大局，强化对外通道联系，提升区域联通效率，服务阿坝州由“四川之边”向“西部中间”战略转变。</w:t>
      </w:r>
    </w:p>
    <w:p w14:paraId="011B22AA">
      <w:pPr>
        <w:ind w:firstLine="560"/>
      </w:pPr>
      <w:r>
        <w:rPr>
          <w:rFonts w:hint="eastAsia"/>
        </w:rPr>
        <w:t>要围绕川甘青结合部综合交通枢纽建设，积极对接上位规划，争取重大交通项目布局，推动高速公路、铁路、机场、普通国省干线等多方式协同发展，进一步提升红原在区域通道体系中的节点功能和支撑能力。</w:t>
      </w:r>
    </w:p>
    <w:p w14:paraId="090D8B6F">
      <w:pPr>
        <w:pStyle w:val="4"/>
        <w:ind w:firstLine="562"/>
      </w:pPr>
      <w:r>
        <w:rPr>
          <w:rFonts w:hint="eastAsia"/>
        </w:rPr>
        <w:t>支撑县域高质量发展，要求交通运输进一步提升综合服务能级</w:t>
      </w:r>
    </w:p>
    <w:p w14:paraId="67AAD33A">
      <w:pPr>
        <w:ind w:firstLine="560"/>
      </w:pPr>
      <w:r>
        <w:rPr>
          <w:rFonts w:hint="eastAsia"/>
        </w:rPr>
        <w:t>红原县正处于产业转型升级、城乡融合发展和县域经济提质增效的重要阶段。交通运输作为基础性、先导性、战略性行业，必须从单纯满足通行需求向支撑县域发展全局转变，更好服务产业布局、人口流动、资源开发和公共服务提升。</w:t>
      </w:r>
    </w:p>
    <w:p w14:paraId="1F763C5D">
      <w:pPr>
        <w:ind w:firstLine="560"/>
      </w:pPr>
      <w:r>
        <w:rPr>
          <w:rFonts w:hint="eastAsia"/>
        </w:rPr>
        <w:t>要围绕建设阿坝牧区高质量发展红原典范，进一步完善县城、重点乡镇、产业园区、旅游景区、农牧业基地之间的交通联系，提升县域内部通达效率和路网运行品质。通过完善骨架路网、优化农村公路网络、提升客货运输服务水平，增强交通对县域经济循环、城乡融合和乡村振兴的综合支撑能力。</w:t>
      </w:r>
    </w:p>
    <w:p w14:paraId="15F68751">
      <w:pPr>
        <w:pStyle w:val="4"/>
        <w:ind w:firstLine="562"/>
      </w:pPr>
      <w:r>
        <w:rPr>
          <w:rFonts w:hint="eastAsia"/>
        </w:rPr>
        <w:t>适应综合交通体系成型趋势，要求交通运输进一步强化多方式衔接</w:t>
      </w:r>
    </w:p>
    <w:p w14:paraId="68C12105">
      <w:pPr>
        <w:ind w:firstLine="560"/>
        <w:rPr>
          <w:rFonts w:hint="eastAsia"/>
        </w:rPr>
      </w:pPr>
      <w:r>
        <w:rPr>
          <w:rFonts w:hint="eastAsia"/>
        </w:rPr>
        <w:t>随着久马高速、川红高速等重大公路通道加快推进，红原机场服务功能持续发挥，西宁至成都铁路加快建设并在红原设站，以及成都至格尔木铁路、合作经马尔康至理塘至香格里拉铁路等铁路通道前期研究和规划持续深化，红原县交通运输将由以普通公路为主的单一支撑模式，逐步向高速公路、普通国省干线、航空运输和铁路接驳协同支撑转变。新阶段交通发展不能只重视线路建设，更要重视通道之间、枢纽之间、城乡之间的高效衔接。</w:t>
      </w:r>
    </w:p>
    <w:p w14:paraId="1CBE2662">
      <w:pPr>
        <w:ind w:firstLine="560"/>
      </w:pPr>
      <w:r>
        <w:rPr>
          <w:rFonts w:hint="eastAsia"/>
        </w:rPr>
        <w:t>要加快完善机场、高速出入口、铁路接驳节点、客运站、物流节点等重要交通节点的集疏运体系，推动客运接驳、旅游集散、物流配送和应急运输一体化组织。通过提升综合客运枢纽、乡镇运输服务站、旅游集散点等设施功能，促进不同运输方式之间高效转换，提升综合交通整体效能。</w:t>
      </w:r>
    </w:p>
    <w:p w14:paraId="45D350FF">
      <w:pPr>
        <w:pStyle w:val="4"/>
        <w:ind w:firstLine="562"/>
      </w:pPr>
      <w:r>
        <w:rPr>
          <w:rFonts w:hint="eastAsia"/>
        </w:rPr>
        <w:t>满足人民群众美好出行需求，要求交通运输进一步提升公共服务品质</w:t>
      </w:r>
    </w:p>
    <w:p w14:paraId="56D726D8">
      <w:pPr>
        <w:ind w:firstLine="560"/>
      </w:pPr>
      <w:r>
        <w:rPr>
          <w:rFonts w:hint="eastAsia"/>
        </w:rPr>
        <w:t>随着城乡居民生活水平提高，群众出行需求已由“走得了”向“走得好、走得安全、走得舒适”转变。红原县高原牧区地域广、乡镇村组分布较散，部分群众出行距离长、成本高，对农村客运、城乡公交、预约响应式服务、道路安全保障等提出更高要求。</w:t>
      </w:r>
    </w:p>
    <w:p w14:paraId="16FA0F01">
      <w:pPr>
        <w:ind w:firstLine="560"/>
      </w:pPr>
      <w:r>
        <w:rPr>
          <w:rFonts w:hint="eastAsia"/>
        </w:rPr>
        <w:t>要坚持以人民为中心，持续巩固建制村通客车成果，优化城乡客运服务网络，发展定制客运、预约响应式客运、旅游专线等多样化服务，提升交通基本公共服务均等化水平。要同步完善农村公路安全防护、危桥改造、候车招呼站、停车休憩等配套设施，让交通发展成果更多惠及农牧区群众。</w:t>
      </w:r>
    </w:p>
    <w:p w14:paraId="121E475F">
      <w:pPr>
        <w:pStyle w:val="4"/>
        <w:ind w:firstLine="562"/>
      </w:pPr>
      <w:r>
        <w:rPr>
          <w:rFonts w:hint="eastAsia"/>
        </w:rPr>
        <w:t>服务全域旅游和特色产业发展，要求交通运输进一步深化融合赋能</w:t>
      </w:r>
    </w:p>
    <w:p w14:paraId="03AE6AAB">
      <w:pPr>
        <w:ind w:firstLine="560"/>
      </w:pPr>
      <w:r>
        <w:rPr>
          <w:rFonts w:hint="eastAsia"/>
        </w:rPr>
        <w:t>红原县旅游资源特色鲜明，草原湿地、红色文化、藏族民俗、节庆活动等资源优势突出，是阿坝州草原生态旅游和大九寨旅游环线的重要节点。随着游客出行方式更加多元，自驾游、深度游、研学游、低空旅游等新业态加快发展，旅游交通不再只是通往景区的通道，而是旅游体验和消费场景的重要组成部分。</w:t>
      </w:r>
    </w:p>
    <w:p w14:paraId="553ED4FF">
      <w:pPr>
        <w:ind w:firstLine="560"/>
      </w:pPr>
      <w:r>
        <w:rPr>
          <w:rFonts w:hint="eastAsia"/>
        </w:rPr>
        <w:t>要围绕月亮湾、日干乔湿地、俄么塘花海、瓦切塔林等重点景区和G248、S301、S217等重要旅游通道，推动旅游公路、服务区、观景平台、停车点、充电设施、旅游标识和智慧导览系统建设，完善“快进慢游”交通服务体系。要同步加强产业路、资源路、物流节点建设，服务牦牛肉、乳制品、藏药材等特色农畜产品外运，推动交通线向旅游线、产业线、富民线转变。</w:t>
      </w:r>
    </w:p>
    <w:p w14:paraId="667E2149">
      <w:pPr>
        <w:pStyle w:val="4"/>
        <w:ind w:firstLine="562"/>
      </w:pPr>
      <w:r>
        <w:rPr>
          <w:rFonts w:hint="eastAsia"/>
        </w:rPr>
        <w:t>筑牢黄河上游生态屏障，要求交通运输进一步推进绿色低碳发展</w:t>
      </w:r>
    </w:p>
    <w:p w14:paraId="0FCFE7E1">
      <w:pPr>
        <w:ind w:firstLine="560"/>
      </w:pPr>
      <w:r>
        <w:rPr>
          <w:rFonts w:hint="eastAsia"/>
        </w:rPr>
        <w:t>红原县生态地位特殊，是黄河上游重要水源涵养区和高寒草原湿地集中区域，交通建设必须把生态保护放在更加突出的位置。未来交通发展既要补齐基础设施短板，也要严守生态保护红线、基本草原、湿地保护等刚性约束，避免粗放建设对生态环境造成影响。</w:t>
      </w:r>
    </w:p>
    <w:p w14:paraId="35FF6DF8">
      <w:pPr>
        <w:ind w:firstLine="560"/>
      </w:pPr>
      <w:r>
        <w:rPr>
          <w:rFonts w:hint="eastAsia"/>
        </w:rPr>
        <w:t>要坚持生态优先、绿色发展，将生态保护理念贯穿交通规划、设计、建设、运营、养护全过程。积极推广生态选线、绿色施工、弃渣综合利用、路域生态修复、绿色养护、新能源车辆和充换电设施建设，推动交通基础设施与草原湿地生态系统相协调。阿坝州上位规划提出推进交通规划建设生态化、构建绿色低碳交通体系、完善新能源配套设施等要求，红原县应结合自身生态敏感特征，探索高原牧区绿色交通发展路径。</w:t>
      </w:r>
    </w:p>
    <w:p w14:paraId="232A84A8">
      <w:pPr>
        <w:pStyle w:val="4"/>
        <w:ind w:firstLine="562"/>
      </w:pPr>
      <w:r>
        <w:rPr>
          <w:rFonts w:hint="eastAsia"/>
        </w:rPr>
        <w:t>应对高原灾害和安全风险，要求交通运输进一步增强韧性保障能力</w:t>
      </w:r>
    </w:p>
    <w:p w14:paraId="312FF866">
      <w:pPr>
        <w:ind w:firstLine="560"/>
      </w:pPr>
      <w:r>
        <w:rPr>
          <w:rFonts w:hint="eastAsia"/>
        </w:rPr>
        <w:t>红原县海拔高、冬季长、气候条件复杂，冻融、冰雪、强降雨、泥石流、地质灾害等对公路运行安全和保通保畅影响较大。随着交通网络规模扩大，公路养护、安全监管、应急抢险和灾害防治任务将持续加重。</w:t>
      </w:r>
    </w:p>
    <w:p w14:paraId="185932F4">
      <w:pPr>
        <w:ind w:firstLine="560"/>
      </w:pPr>
      <w:r>
        <w:rPr>
          <w:rFonts w:hint="eastAsia"/>
        </w:rPr>
        <w:t>要坚持安全发展，强化交通基础设施全生命周期管理，提升重点路段、桥梁、边坡、临水临崖路段的安全防护和监测预警能力。加快推进安全生命防护工程、危桥改造、灾害治理、养护站点建设和应急装备配置，提升冬季除雪保通、旅游旺季疏堵保畅和突发灾害应急处置能力，构建安全可靠、韧性充足的高原交通保障体系。</w:t>
      </w:r>
    </w:p>
    <w:p w14:paraId="31048293">
      <w:pPr>
        <w:pStyle w:val="4"/>
        <w:ind w:firstLine="562"/>
      </w:pPr>
      <w:r>
        <w:rPr>
          <w:rFonts w:hint="eastAsia"/>
        </w:rPr>
        <w:t>顺应新质生产力发展趋势，要求交通运输进一步加快智慧化转型</w:t>
      </w:r>
    </w:p>
    <w:p w14:paraId="15120344">
      <w:pPr>
        <w:ind w:firstLine="560"/>
      </w:pPr>
      <w:r>
        <w:rPr>
          <w:rFonts w:hint="eastAsia"/>
        </w:rPr>
        <w:t>数字交通、低空经济、新能源装备、智能监测等新技术新业态加快发展，为红原县提升交通治理效率、破解高原地区管理难题提供了新路径。红原县具备草原旅游、机场运营、生态巡护、应急救援、农村物流等应用场景，应积极探索新技术赋能交通发展的现实路径。</w:t>
      </w:r>
    </w:p>
    <w:p w14:paraId="6F141494">
      <w:pPr>
        <w:ind w:firstLine="560"/>
      </w:pPr>
      <w:r>
        <w:rPr>
          <w:rFonts w:hint="eastAsia"/>
        </w:rPr>
        <w:t>要推进交通运行监测、智慧养护、路况感知、灾害预警、旅游信息服务等系统建设，提升路网运行管理和公众出行服务能力。结合红原机场、重点景区和牧区物流需求，探索低空观光、无人机巡检、应急救援、物流配送等应用场景，推动交通运输由传统建设驱动向智慧赋能、绿色赋能和融合赋能转变。</w:t>
      </w:r>
    </w:p>
    <w:p w14:paraId="7066598A">
      <w:pPr>
        <w:ind w:firstLine="560"/>
      </w:pPr>
    </w:p>
    <w:p w14:paraId="2185F301">
      <w:pPr>
        <w:ind w:firstLine="560"/>
      </w:pPr>
    </w:p>
    <w:p w14:paraId="2AC8282F">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BBA5D1A">
      <w:pPr>
        <w:pStyle w:val="2"/>
      </w:pPr>
      <w:bookmarkStart w:id="25" w:name="_Toc26624"/>
      <w:bookmarkStart w:id="26" w:name="_Toc13360"/>
      <w:r>
        <w:rPr>
          <w:rFonts w:hint="eastAsia"/>
        </w:rPr>
        <w:t>总体思路</w:t>
      </w:r>
      <w:bookmarkEnd w:id="25"/>
      <w:bookmarkEnd w:id="26"/>
    </w:p>
    <w:p w14:paraId="179299F8">
      <w:pPr>
        <w:pStyle w:val="3"/>
      </w:pPr>
      <w:bookmarkStart w:id="27" w:name="_Toc3937"/>
      <w:bookmarkStart w:id="28" w:name="_Toc19479"/>
      <w:r>
        <w:rPr>
          <w:rFonts w:hint="eastAsia"/>
        </w:rPr>
        <w:t>指导思想</w:t>
      </w:r>
      <w:bookmarkEnd w:id="27"/>
      <w:bookmarkEnd w:id="28"/>
    </w:p>
    <w:p w14:paraId="6E298BAB">
      <w:pPr>
        <w:ind w:firstLine="560"/>
      </w:pPr>
      <w:r>
        <w:rPr>
          <w:rFonts w:hint="eastAsia"/>
        </w:rPr>
        <w:t>坚持以习近平新时代中国特色社会主义思想为指导，深入贯彻党的二十大和二十届历次全会精神，全面落实习近平总书记关于交通强国的重要论述和对四川工作系列重要指示精神，认真落实交通强国建设纲要、国家综合立体交通网规划纲要和交通运输部“十五五”时期“五个转变”要求，紧扣省委“四化同步、城乡融合、五区共兴”战略部署、四川交通强省建设和阿坝州“1610”发展战略，围绕红原县建设阿坝牧区高质量发展红原典范目标，坚持生态优先、安全为本、适度超前、融合赋能，以服务国家战略、支撑区域协同、保障民生出行、促进产业发展为导向，加快完善综合立体交通网络，提升运输服务质效，增强安全韧性能力，推进绿色智慧转型，构建外联内畅、立体多元、安全可靠、绿色高效的现代综合交通运输体系，为红原县经济社会高质量发展和长治久安当好开路先锋。阿坝州上位规划也明确提出，要聚焦补通道留白、补网络短板、补枢纽缺失，提升安全韧性和运输品质，强化融合、绿色、数智赋能，这与红原县“十五五”交通发展方向高度一致。</w:t>
      </w:r>
    </w:p>
    <w:p w14:paraId="4AE01163">
      <w:pPr>
        <w:pStyle w:val="3"/>
      </w:pPr>
      <w:bookmarkStart w:id="29" w:name="_Toc6084"/>
      <w:bookmarkStart w:id="30" w:name="_Toc9613"/>
      <w:r>
        <w:rPr>
          <w:rFonts w:hint="eastAsia"/>
        </w:rPr>
        <w:t>基本原则</w:t>
      </w:r>
      <w:bookmarkEnd w:id="29"/>
      <w:bookmarkEnd w:id="30"/>
    </w:p>
    <w:p w14:paraId="1107DCF5">
      <w:pPr>
        <w:ind w:firstLine="562"/>
      </w:pPr>
      <w:r>
        <w:rPr>
          <w:rFonts w:hint="eastAsia" w:ascii="Times New Roman" w:hAnsi="Times New Roman" w:eastAsia="楷体_GB2312" w:cs="黑体"/>
          <w:b/>
          <w:bCs/>
        </w:rPr>
        <w:t>服务战略，适度超前。</w:t>
      </w:r>
      <w:r>
        <w:rPr>
          <w:rFonts w:hint="eastAsia"/>
        </w:rPr>
        <w:t>主动融入国家、省、州重大战略布局，围绕川甘青结合部综合交通枢纽建设和阿坝州“1610”发展战略，强化红原县在区域通道、旅游集散、生态保护和牧区发展中的节点功能，科学谋划一批支撑长远发展的重大交通项目。</w:t>
      </w:r>
    </w:p>
    <w:p w14:paraId="75B45C3F">
      <w:pPr>
        <w:ind w:firstLine="562"/>
      </w:pPr>
      <w:r>
        <w:rPr>
          <w:rFonts w:hint="eastAsia" w:ascii="Times New Roman" w:hAnsi="Times New Roman" w:eastAsia="楷体_GB2312" w:cs="黑体"/>
          <w:b/>
          <w:bCs/>
        </w:rPr>
        <w:t>生态优先，绿色安全。</w:t>
      </w:r>
      <w:r>
        <w:rPr>
          <w:rFonts w:hint="eastAsia"/>
        </w:rPr>
        <w:t>坚持把生态保护贯穿交通规划、建设、运营、养护全过程，严守生态保护红线、基本草原和湿地保护要求，统筹推进绿色公路、路域修复、节能减排和新能源设施建设，持续提升交通安全韧性和应急保障能力。</w:t>
      </w:r>
    </w:p>
    <w:p w14:paraId="2343D466">
      <w:pPr>
        <w:ind w:firstLine="562"/>
      </w:pPr>
      <w:r>
        <w:rPr>
          <w:rFonts w:hint="eastAsia" w:ascii="Times New Roman" w:hAnsi="Times New Roman" w:eastAsia="楷体_GB2312" w:cs="黑体"/>
          <w:b/>
          <w:bCs/>
        </w:rPr>
        <w:t>补短强弱，提质增效。</w:t>
      </w:r>
      <w:r>
        <w:rPr>
          <w:rFonts w:hint="eastAsia"/>
        </w:rPr>
        <w:t>坚持增量建设和存量提质并重，加快补齐高速公路、普通国省干线、农村公路、运输场站等短板，重点提升干线通行效率、农村公路服务水平和既有设施养护能力，推动交通发展由规模扩张向质量效益提升转变。</w:t>
      </w:r>
    </w:p>
    <w:p w14:paraId="7C381C1A">
      <w:pPr>
        <w:ind w:firstLine="562"/>
      </w:pPr>
      <w:r>
        <w:rPr>
          <w:rFonts w:hint="eastAsia" w:ascii="Times New Roman" w:hAnsi="Times New Roman" w:eastAsia="楷体_GB2312" w:cs="黑体"/>
          <w:b/>
          <w:bCs/>
        </w:rPr>
        <w:t>融合发展，服务民生。</w:t>
      </w:r>
      <w:r>
        <w:rPr>
          <w:rFonts w:hint="eastAsia"/>
        </w:rPr>
        <w:t>坚持交通与旅游、产业、物流、乡村振兴深度融合，完善城乡客运、农村物流、旅游交通和产业道路体系，提升群众出行便利度和农牧区交通公共服务水平，让交通发展成果更多惠及农牧区群众。</w:t>
      </w:r>
    </w:p>
    <w:p w14:paraId="0F9B037D">
      <w:pPr>
        <w:ind w:firstLine="562"/>
      </w:pPr>
      <w:r>
        <w:rPr>
          <w:rFonts w:hint="eastAsia" w:ascii="Times New Roman" w:hAnsi="Times New Roman" w:eastAsia="楷体_GB2312" w:cs="黑体"/>
          <w:b/>
          <w:bCs/>
        </w:rPr>
        <w:t>创新驱动，智慧赋能。</w:t>
      </w:r>
      <w:r>
        <w:rPr>
          <w:rFonts w:hint="eastAsia"/>
        </w:rPr>
        <w:t>顺应数字交通、低空经济、新能源装备等发展趋势，推动智慧监测、数字养护、旅游信息服务、低空应用等新技术新业态在交通领域落地，提升行业治理现代化水平。</w:t>
      </w:r>
    </w:p>
    <w:p w14:paraId="48E19792">
      <w:pPr>
        <w:pStyle w:val="3"/>
      </w:pPr>
      <w:bookmarkStart w:id="31" w:name="_Toc31027"/>
      <w:bookmarkStart w:id="32" w:name="_Toc3287"/>
      <w:r>
        <w:rPr>
          <w:rFonts w:hint="eastAsia"/>
        </w:rPr>
        <w:t>发展思路</w:t>
      </w:r>
      <w:bookmarkEnd w:id="31"/>
      <w:bookmarkEnd w:id="32"/>
    </w:p>
    <w:p w14:paraId="1180889E">
      <w:pPr>
        <w:ind w:firstLine="562"/>
      </w:pPr>
      <w:r>
        <w:rPr>
          <w:rFonts w:hint="eastAsia" w:ascii="Times New Roman" w:hAnsi="Times New Roman" w:eastAsia="楷体_GB2312" w:cs="黑体"/>
          <w:b/>
          <w:bCs/>
        </w:rPr>
        <w:t>畅通对外联系，提升区域联通能级。</w:t>
      </w:r>
      <w:r>
        <w:rPr>
          <w:rFonts w:hint="eastAsia"/>
        </w:rPr>
        <w:t>以高速公路、铁路、航空和普通国省干线为重点，主动衔接阿坝州综合立体交通网布局，推动红原更加高效融入成都平原经济区、甘青方向和大九寨旅游环线，增强红原在川甘青结合部的通道支撑和节点服务能力。</w:t>
      </w:r>
    </w:p>
    <w:p w14:paraId="0B05E14E">
      <w:pPr>
        <w:ind w:firstLine="562"/>
      </w:pPr>
      <w:r>
        <w:rPr>
          <w:rFonts w:hint="eastAsia" w:ascii="Times New Roman" w:hAnsi="Times New Roman" w:eastAsia="楷体_GB2312" w:cs="黑体"/>
          <w:b/>
          <w:bCs/>
        </w:rPr>
        <w:t>优化县域路网，提高内部循环效率。</w:t>
      </w:r>
      <w:r>
        <w:rPr>
          <w:rFonts w:hint="eastAsia"/>
        </w:rPr>
        <w:t>围绕县城、重点乡镇、产业节点、旅游景区和周边县市联系需求，推进国省干线提档升级、过境路段改造、县际通道完善和农村公路补短提升，构建层次清晰、干支衔接、城乡一体的县域交通网络。</w:t>
      </w:r>
    </w:p>
    <w:p w14:paraId="7BA120E2">
      <w:pPr>
        <w:ind w:firstLine="562"/>
      </w:pPr>
      <w:r>
        <w:rPr>
          <w:rFonts w:hint="eastAsia" w:ascii="Times New Roman" w:hAnsi="Times New Roman" w:eastAsia="楷体_GB2312" w:cs="黑体"/>
          <w:b/>
          <w:bCs/>
        </w:rPr>
        <w:t>提升运输品质，完善城乡服务体系。</w:t>
      </w:r>
      <w:r>
        <w:rPr>
          <w:rFonts w:hint="eastAsia"/>
        </w:rPr>
        <w:t>以群众出行和货物流通需求为导向，优化城乡客运、旅游客运、定制客运和农村物流服务，完善县乡村三级运输服务节点，推动客货邮融合、快递进村、冷链配送和共同配送发展，提高运输组织效率和公共服务均等化水平。</w:t>
      </w:r>
    </w:p>
    <w:p w14:paraId="6F777D1A">
      <w:pPr>
        <w:ind w:firstLine="562"/>
      </w:pPr>
      <w:r>
        <w:rPr>
          <w:rFonts w:hint="eastAsia" w:ascii="Times New Roman" w:hAnsi="Times New Roman" w:eastAsia="楷体_GB2312" w:cs="黑体"/>
          <w:b/>
          <w:bCs/>
        </w:rPr>
        <w:t>深化交通融合，释放产业带动效应。</w:t>
      </w:r>
      <w:r>
        <w:rPr>
          <w:rFonts w:hint="eastAsia"/>
        </w:rPr>
        <w:t>围绕草原旅游、红色文化、现代农牧业和特色产品外运需求，推进“交通+旅游”“交通+产业”“交通+物流”融合发展，完善旅游公路、产业路、资源路、综合服务区、观景平台和充电补能设施，推动交通线转化为风景线、产业线、富民线。</w:t>
      </w:r>
    </w:p>
    <w:p w14:paraId="56074A27">
      <w:pPr>
        <w:ind w:firstLine="562"/>
      </w:pPr>
      <w:r>
        <w:rPr>
          <w:rFonts w:hint="eastAsia" w:ascii="Times New Roman" w:hAnsi="Times New Roman" w:eastAsia="楷体_GB2312" w:cs="黑体"/>
          <w:b/>
          <w:bCs/>
        </w:rPr>
        <w:t>强化安全韧性，夯实高原保通能力。</w:t>
      </w:r>
      <w:r>
        <w:rPr>
          <w:rFonts w:hint="eastAsia"/>
        </w:rPr>
        <w:t>聚焦高寒高海拔、冰雪冻融、地质灾害等突出风险，加强安全生命防护、危桥改造、灾害治理、冬季除雪保通、应急物资储备和养护站点建设，提升交通设施全生命周期管养水平和突发事件应急保障能力。</w:t>
      </w:r>
    </w:p>
    <w:p w14:paraId="70B48FCF">
      <w:pPr>
        <w:ind w:firstLine="562"/>
      </w:pPr>
      <w:r>
        <w:rPr>
          <w:rFonts w:hint="eastAsia" w:ascii="Times New Roman" w:hAnsi="Times New Roman" w:eastAsia="楷体_GB2312" w:cs="黑体"/>
          <w:b/>
          <w:bCs/>
        </w:rPr>
        <w:t>推进绿色智慧，培育交通发展新动能。</w:t>
      </w:r>
      <w:r>
        <w:rPr>
          <w:rFonts w:hint="eastAsia"/>
        </w:rPr>
        <w:t>坚持生态优先和数字赋能，推进绿色公路、路域生态修复、新能源充换电设施、智慧路网监测、数字养护和低空应用场景建设，推动交通发展方式由传统建设驱动向绿色化、智慧化、融合化转型。</w:t>
      </w:r>
    </w:p>
    <w:p w14:paraId="59FDE9A4">
      <w:pPr>
        <w:ind w:firstLine="560"/>
      </w:pPr>
    </w:p>
    <w:p w14:paraId="7CF912B7">
      <w:pPr>
        <w:ind w:firstLine="560"/>
      </w:pPr>
    </w:p>
    <w:p w14:paraId="7A4FE406">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5EBA999">
      <w:pPr>
        <w:pStyle w:val="2"/>
      </w:pPr>
      <w:bookmarkStart w:id="33" w:name="_Toc13925"/>
      <w:bookmarkStart w:id="34" w:name="_Toc17037"/>
      <w:r>
        <w:rPr>
          <w:rFonts w:hint="eastAsia"/>
        </w:rPr>
        <w:t>规划目标</w:t>
      </w:r>
      <w:bookmarkEnd w:id="33"/>
      <w:bookmarkEnd w:id="34"/>
    </w:p>
    <w:p w14:paraId="1CD63052">
      <w:pPr>
        <w:ind w:firstLine="560"/>
      </w:pPr>
      <w:r>
        <w:rPr>
          <w:rFonts w:hint="eastAsia"/>
        </w:rPr>
        <w:t>按照</w:t>
      </w:r>
      <w:r>
        <w:rPr>
          <w:rFonts w:hint="eastAsia" w:ascii="Times New Roman" w:hAnsi="Times New Roman" w:eastAsia="楷体_GB2312" w:cs="黑体"/>
          <w:b/>
          <w:bCs/>
        </w:rPr>
        <w:t>“强通道、优网络、提服务、促融合、保安全、推转型”</w:t>
      </w:r>
      <w:r>
        <w:rPr>
          <w:rFonts w:hint="eastAsia"/>
        </w:rPr>
        <w:t>的总体思路，以提升区域联通能级为牵引，以完善县域骨架路网为基础，以提高客货运输服务品质为核心，以交通赋能旅游、产业和乡村振兴为重点，统筹推进综合交通基础设施建设、运输服务提质、安全韧性提升和绿色智慧转型，全面构建外联内畅、干支衔接、交旅融合、安全绿色、智慧高效的现代综合交通运输体系，为红原县建设阿坝牧区高质量发展红原典范提供坚实交通支撑。</w:t>
      </w:r>
    </w:p>
    <w:p w14:paraId="6008762E">
      <w:pPr>
        <w:pStyle w:val="3"/>
      </w:pPr>
      <w:bookmarkStart w:id="35" w:name="_Toc17726"/>
      <w:bookmarkStart w:id="36" w:name="_Toc11303"/>
      <w:r>
        <w:rPr>
          <w:rFonts w:hint="eastAsia"/>
        </w:rPr>
        <w:t>总体目标</w:t>
      </w:r>
      <w:bookmarkEnd w:id="35"/>
      <w:bookmarkEnd w:id="36"/>
    </w:p>
    <w:p w14:paraId="3FAAABFC">
      <w:pPr>
        <w:ind w:firstLine="560"/>
      </w:pPr>
      <w:r>
        <w:rPr>
          <w:rFonts w:hint="eastAsia"/>
        </w:rPr>
        <w:t>到2030年，红原县综合交通运输发展实现整体性提升，基本形成与阿坝牧区高质量发展红原典范相适应的现代综合交通运输体系。对外通道能级显著增强，高速公路、普通国省干线、机场和铁路通道衔接研究协同推进，红原与成都平原经济区、甘青方向、大九寨旅游环线及周边县市的联系更加便捷高效。县域路网结构持续优化，国省干线通行能力明显提升，农村公路覆盖深度和服务水平进一步提高，基本形成干支衔接、城乡贯通、景产联动的县域交通网络。</w:t>
      </w:r>
    </w:p>
    <w:p w14:paraId="1194C442">
      <w:pPr>
        <w:ind w:firstLine="560"/>
      </w:pPr>
      <w:r>
        <w:rPr>
          <w:rFonts w:hint="eastAsia"/>
        </w:rPr>
        <w:t>运输服务品质明显改善，城乡客运、旅游客运、农村物流、冷链配送、客货邮融合等服务体系更加完善，人民群众出行更加便捷、农畜产品外运更加高效。交通与旅游、农牧、物流、商贸等产业融合更加深入，围绕草原生态旅游、红色文化旅游、现代高原牧业等特色资源，形成一批交旅融合示范线路、产业服务通道和综合服务节点，交通对县域经济发展的支撑带动作用进一步增强。</w:t>
      </w:r>
    </w:p>
    <w:p w14:paraId="1339C60F">
      <w:pPr>
        <w:ind w:firstLine="560"/>
      </w:pPr>
      <w:r>
        <w:rPr>
          <w:rFonts w:hint="eastAsia"/>
        </w:rPr>
        <w:t>安全韧性和绿色智慧水平显著提升，公路养护管理体系更加健全，重点路段灾害防治、冬季保通、应急保障和安全防护能力持续增强。绿色公路、路域生态修复、新能源配套设施、智慧监测、数字养护、低空应用等新模式有序推进，交通运输发展方式加快向绿色化、安全化、智慧化、融合化转型，为红原县经济社会高质量发展、乡村全面振兴、民族团结进步和黄河上游生态保护提供坚实交通保障。</w:t>
      </w:r>
    </w:p>
    <w:p w14:paraId="252826D3">
      <w:pPr>
        <w:pStyle w:val="3"/>
      </w:pPr>
      <w:bookmarkStart w:id="37" w:name="_Toc402"/>
      <w:bookmarkStart w:id="38" w:name="_Toc27104"/>
      <w:r>
        <w:rPr>
          <w:rFonts w:hint="eastAsia"/>
        </w:rPr>
        <w:t>具体目标</w:t>
      </w:r>
      <w:bookmarkEnd w:id="37"/>
      <w:bookmarkEnd w:id="38"/>
    </w:p>
    <w:p w14:paraId="10664645">
      <w:pPr>
        <w:pStyle w:val="4"/>
        <w:ind w:firstLine="562"/>
      </w:pPr>
      <w:r>
        <w:rPr>
          <w:rFonts w:hint="eastAsia"/>
        </w:rPr>
        <w:t>对外通道能级实现重大跃升</w:t>
      </w:r>
    </w:p>
    <w:p w14:paraId="3EA281D5">
      <w:pPr>
        <w:ind w:firstLine="560"/>
      </w:pPr>
      <w:r>
        <w:rPr>
          <w:rFonts w:hint="eastAsia"/>
        </w:rPr>
        <w:t>到2030年，红原县对外综合交通联系能力明显增强，基本形成以高速公路为骨架、普通国省干线为支撑、机场和铁路通道为补充的立体化对外交通体系，县域对接成都平原经济区、甘青方向、大九寨旅游环线和阿坝州西北片区的通行效率显著提升。</w:t>
      </w:r>
    </w:p>
    <w:p w14:paraId="7B5BAE21">
      <w:pPr>
        <w:ind w:firstLine="560"/>
      </w:pPr>
      <w:r>
        <w:rPr>
          <w:rFonts w:hint="eastAsia"/>
        </w:rPr>
        <w:t>高速公路方面，</w:t>
      </w:r>
      <w:r>
        <w:rPr>
          <w:rFonts w:hint="eastAsia"/>
          <w:lang w:val="en-US" w:eastAsia="zh-CN"/>
        </w:rPr>
        <w:t>实现</w:t>
      </w:r>
      <w:r>
        <w:rPr>
          <w:rFonts w:hint="eastAsia"/>
        </w:rPr>
        <w:t>G0615久治（川青界）至马尔康段高速公路红原段全面建成运营，充分发挥久马高速通道效益，进一步强化红原连接马尔康、成都方向及青海、甘肃方向的快速通道功能。加快推进G0611郎木寺（川甘界）至川主寺段高速公路、S14川主寺至红原段高速公路建设，强化红原融入川甘青结合部高速公路网络和大九寨旅游快速通道的能力。积极争取S28黑水至红原段、茂县至刷经寺等高速公路项目前期工作取得突破，谋划形成多向联通、互为补充的高速公路通道格局。</w:t>
      </w:r>
    </w:p>
    <w:p w14:paraId="07341B75">
      <w:pPr>
        <w:ind w:firstLine="560"/>
      </w:pPr>
      <w:r>
        <w:rPr>
          <w:rFonts w:hint="eastAsia"/>
        </w:rPr>
        <w:t>铁路方面，加快推进西宁至成都铁路建设及配套衔接工作，依托红原站布局，提前谋划站点集疏运、旅游集散、公交换乘和物流周转等功能，充分发挥铁路对县域发展的带动作用。同时，积极跟进区域铁路通道前期研究，重点加强成都至格尔木铁路、合作经马尔康至理塘至香格里拉铁路等重大铁路通道与红原县的规划衔接，持续争取更多铁路通道过境设站，做好相关廊道和接驳条件预留。推动既有铁路建设与远期铁路规划协同衔接，不断提升红原在川西北综合交通格局中的通道节点地位和综合交通服务能力。</w:t>
      </w:r>
    </w:p>
    <w:p w14:paraId="750E0788">
      <w:pPr>
        <w:ind w:firstLine="560"/>
      </w:pPr>
      <w:r>
        <w:rPr>
          <w:rFonts w:hint="eastAsia"/>
        </w:rPr>
        <w:t>航空方面，持续提升红原机场运行保障和旅游服务能力，支持红原机场航线优化和航班加密，增强高原旅游快速进出能力。积极推动红原机场改扩建、设施设备更新、安防系统提升等工作，谋划通用机场、低空经济中心等项目，探索发展低空旅游、应急救援、航空巡检、短途运输等新业态，提升红原航空服务能级和综合保障能力。</w:t>
      </w:r>
    </w:p>
    <w:p w14:paraId="3643D6CE">
      <w:pPr>
        <w:pStyle w:val="4"/>
        <w:ind w:firstLine="562"/>
      </w:pPr>
      <w:r>
        <w:rPr>
          <w:rFonts w:hint="eastAsia"/>
        </w:rPr>
        <w:t>普通国省干线网络提档升级</w:t>
      </w:r>
    </w:p>
    <w:p w14:paraId="639473FA">
      <w:pPr>
        <w:ind w:firstLine="560"/>
      </w:pPr>
      <w:r>
        <w:rPr>
          <w:rFonts w:hint="eastAsia"/>
        </w:rPr>
        <w:t>到2030年，红原县普通国省干线通行能力、服务品质和安全韧性明显提升，基本形成连接县城、重点乡镇、周边县市、重要景区和产业节点的干线公路骨架体系，国省干线“通而不畅”、过境拥堵、局部瓶颈等问题得到有效缓解。</w:t>
      </w:r>
    </w:p>
    <w:p w14:paraId="5132212D">
      <w:pPr>
        <w:ind w:firstLine="560"/>
      </w:pPr>
      <w:r>
        <w:rPr>
          <w:rFonts w:hint="eastAsia"/>
        </w:rPr>
        <w:t>加快推进G248红原县城过境段公路改建工程，着力解决干线交通与县城内部交通交织、过境车辆穿城通行、交通安全隐患较多等问题，提升县城交通组织效率和城市品质。推进S313红原县阿木乡至松潘县草原村段改建工程，改善红原东北向联系松潘、川主寺及大九寨片区的通行条件，强化县域北部、东部出县通道功能。</w:t>
      </w:r>
    </w:p>
    <w:p w14:paraId="0B2F8FA5">
      <w:pPr>
        <w:ind w:firstLine="560"/>
      </w:pPr>
      <w:r>
        <w:rPr>
          <w:rFonts w:hint="eastAsia"/>
        </w:rPr>
        <w:t>积极推进G347阿坝县青海界至红原县安曲镇段改建工程，提升红原与阿坝县、青海方向的联系能力，增强黄河上游牧区横向通道服务水平。争取实施G248马尔康市三家寨至红原县壤口段改建工程，强化红原南向联系马尔康、成都方向的干线通道能力。谋划推进G248红原县瓦切镇至月亮湾服务区段改建工程，提升红原北向联系若尔盖和重点旅游景区的通行效率。</w:t>
      </w:r>
    </w:p>
    <w:p w14:paraId="3AA66DAE">
      <w:pPr>
        <w:ind w:firstLine="560"/>
      </w:pPr>
      <w:r>
        <w:rPr>
          <w:rFonts w:hint="eastAsia"/>
        </w:rPr>
        <w:t>同步推进S301松潘县川主寺镇至红原县瓦切镇段韧性提升工程，重点提升道路抗灾保通、安全防护和旅游服务能力。争取实施G248红原县安曲隆登嘎至安曲老牧场改线工程等局部改线项目，优化干线线形条件，提升重点路段运行安全。通过国省干线提档升级、过境段改造、韧性提升和服务设施完善，推动红原县普通国省干线由“基础通达”向“高效畅达、安全舒适、交旅融合”转变。上述G248、G347、S301、S313等项目均为红原县“十五五”普通国省干线重点项目。</w:t>
      </w:r>
    </w:p>
    <w:p w14:paraId="1DCA83A8">
      <w:pPr>
        <w:pStyle w:val="4"/>
        <w:ind w:firstLine="562"/>
      </w:pPr>
      <w:r>
        <w:rPr>
          <w:rFonts w:hint="eastAsia"/>
        </w:rPr>
        <w:t>农村公路网络更加完善</w:t>
      </w:r>
    </w:p>
    <w:p w14:paraId="7D297688">
      <w:pPr>
        <w:ind w:firstLine="560"/>
      </w:pPr>
      <w:r>
        <w:rPr>
          <w:rFonts w:hint="eastAsia"/>
        </w:rPr>
        <w:t>到2030年，红原县农村公路通达深度、路况水平、安全保障和服务产业能力持续提升，基本形成覆盖乡镇、连接建制村、服务自然村、通达景区产业节点的农村公路网络，农村公路从“通得了”向“走得好、运得出、带得动”转变。</w:t>
      </w:r>
    </w:p>
    <w:p w14:paraId="3AB52995">
      <w:pPr>
        <w:ind w:firstLine="560"/>
      </w:pPr>
      <w:r>
        <w:rPr>
          <w:rFonts w:hint="eastAsia"/>
        </w:rPr>
        <w:t>持续推进幸福美丽乡村路建设，重点实施X124阿龙路龙日坝至阿木乡S313岔口段幸福美丽乡村路、C020玛萨村村口至村尾段美丽乡村路、X122龙壤寺至虎头山安多部落段幸福美丽乡村路等项目，提升乡镇之间、景区之间和农牧区之间的连接水平。谋划推进Y002花海景区至壤噶夺玛村段、Y006邛溪镇龙壤至安曲桑钦沟段等旅游路、产业路和出县通道建设，改善重点景区、特色村寨、农牧业基地对外交通条件。</w:t>
      </w:r>
    </w:p>
    <w:p w14:paraId="5308FB71">
      <w:pPr>
        <w:ind w:firstLine="560"/>
      </w:pPr>
      <w:r>
        <w:rPr>
          <w:rFonts w:hint="eastAsia"/>
        </w:rPr>
        <w:t>加快实施农村公路更新提质工程，重点推进C069、Y009、C057、C104、C109、Y009哈拉玛村、Y007哈拉玛村等一批农村公路路面改善和提质项目，对早期建成、技术等级偏低、路况较差、通行能力不足的农村公路进行集中整治，提升道路耐久性和通行舒适性。针对省级认定次差路和群众出行需求较强的路段，推进C014壤口村至措琼海段、C055龙日村一组一路、C077哈拉玛村一组一路、C093洞拉村三组二路、C107龙日坝村路等一批改建工程，逐步补齐农村路网短板。</w:t>
      </w:r>
    </w:p>
    <w:p w14:paraId="1AA2EE60">
      <w:pPr>
        <w:ind w:firstLine="560"/>
      </w:pPr>
      <w:r>
        <w:rPr>
          <w:rFonts w:hint="eastAsia"/>
        </w:rPr>
        <w:t>围绕乡村振兴、牧区生产生活和跨县联系需求，积极谋划C100瓦切镇达峨村虎头山至曼扎唐段、C019查龙村至阿坝茸安乡格尔登玛村段、X123刷经寺镇刷马路口至鹧鸪山垭口段、Y010色地镇茸塔村至阿木乡卡口村段、C003/C008日干村至唐日村段等储备项目，统筹解决出县通道、断头路、景区连接路和产业发展道路需求。对生态红线、国家公园、基本草原等约束较强的项目，坚持审慎论证、分类推进，优先保障群众急需、产业急用、安全必要的项目。</w:t>
      </w:r>
    </w:p>
    <w:p w14:paraId="779FA7EC">
      <w:pPr>
        <w:ind w:firstLine="560"/>
      </w:pPr>
      <w:r>
        <w:rPr>
          <w:rFonts w:hint="eastAsia"/>
        </w:rPr>
        <w:t>同步实施农村公路桥梁补短建设、安全生命防护工程和安防设施提升工程，重点改造危桥、漫水桥、临水临崖、急弯陡坡、事故多发等重点路段，完善波形护栏、标志标线、排水防护、错车道等设施。到2030年，农村公路路况水平、通行安全和抗灾能力明显提升，农村公路“建管养运”协调发展机制更加健全，为乡村振兴、农牧民出行、特色农畜产品运输和全域旅游发展提供有力支撑。红原县“十五五”项目清单已系统谋划幸福美丽乡村路、农村公路更新提质、桥梁补短、安防设施和出县通道等多类农村公路项目。</w:t>
      </w:r>
    </w:p>
    <w:p w14:paraId="42F9FAC7">
      <w:pPr>
        <w:pStyle w:val="4"/>
        <w:ind w:firstLine="562"/>
      </w:pPr>
      <w:r>
        <w:rPr>
          <w:rFonts w:hint="eastAsia"/>
        </w:rPr>
        <w:t>运输服务体系更加高效便捷</w:t>
      </w:r>
    </w:p>
    <w:p w14:paraId="0B166975">
      <w:pPr>
        <w:ind w:firstLine="560"/>
      </w:pPr>
      <w:r>
        <w:rPr>
          <w:rFonts w:hint="eastAsia"/>
        </w:rPr>
        <w:t>到2030年，城乡客运、旅游客运和农村物流服务体系更加完善。县级综合客运枢纽、铁路接驳站、乡镇运输服务站、村级招呼站等节点功能进一步健全，城乡客运一体化水平持续提升，定制客运、预约响应式客运、旅游直通车、景区微循环等服务模式有序发展。</w:t>
      </w:r>
    </w:p>
    <w:p w14:paraId="75D853B7">
      <w:pPr>
        <w:ind w:firstLine="560"/>
      </w:pPr>
      <w:r>
        <w:rPr>
          <w:rFonts w:hint="eastAsia"/>
        </w:rPr>
        <w:t>县乡村三级物流体系基本完善，快递进村、客货邮融合、共同配送、冷链物流等服务能力明显增强，农畜产品上行和工业品下行更加顺畅，牧区群众出行和特色产品外运更加便利高效。</w:t>
      </w:r>
    </w:p>
    <w:p w14:paraId="071085C0">
      <w:pPr>
        <w:pStyle w:val="4"/>
        <w:ind w:firstLine="562"/>
      </w:pPr>
      <w:r>
        <w:rPr>
          <w:rFonts w:hint="eastAsia"/>
        </w:rPr>
        <w:t>交旅产融合发展取得明显成效</w:t>
      </w:r>
    </w:p>
    <w:p w14:paraId="1FE7CA61">
      <w:pPr>
        <w:ind w:firstLine="560"/>
      </w:pPr>
      <w:r>
        <w:rPr>
          <w:rFonts w:hint="eastAsia"/>
        </w:rPr>
        <w:t>到2030年，交通对文化旅游、现代农牧业、商贸物流等产业的支撑带动作用进一步增强。围绕G248、S301、S217等重点旅游通道，推进旅游化改造、综合服务区、停车点、观景平台、充电设施、旅游标识和智慧导览系统建设，打造一批精品自驾线路和交旅融合示范节点。</w:t>
      </w:r>
    </w:p>
    <w:p w14:paraId="1A4BA47C">
      <w:pPr>
        <w:ind w:firstLine="560"/>
      </w:pPr>
      <w:r>
        <w:rPr>
          <w:rFonts w:hint="eastAsia"/>
        </w:rPr>
        <w:t>围绕月亮湾、日干乔湿地、俄么塘花海、瓦切塔林、达格则、措琼海等重点景区景点，提升旅游交通通达性和服务品质。围绕牦牛肉、乳制品、藏药材等特色产业，完善产业路、资源路和物流配套设施，推动交通线向风景线、产业线、富民线转变。</w:t>
      </w:r>
    </w:p>
    <w:p w14:paraId="62F1FA31">
      <w:pPr>
        <w:pStyle w:val="4"/>
        <w:ind w:firstLine="562"/>
      </w:pPr>
      <w:r>
        <w:rPr>
          <w:rFonts w:hint="eastAsia"/>
        </w:rPr>
        <w:t>安全韧性保障能力明显增强</w:t>
      </w:r>
    </w:p>
    <w:p w14:paraId="78181F23">
      <w:pPr>
        <w:ind w:firstLine="560"/>
      </w:pPr>
      <w:r>
        <w:rPr>
          <w:rFonts w:hint="eastAsia"/>
        </w:rPr>
        <w:t>到2030年，交通安全生产和应急保障体系更加完善。重点路段、重要桥梁、临水临崖、急弯陡坡、冰雪灾害易发路段安全隐患治理持续推进，危桥改造、安全生命防护、灾害防治、边坡治理、冬季除雪保通等能力明显增强。</w:t>
      </w:r>
    </w:p>
    <w:p w14:paraId="506F6CC9">
      <w:pPr>
        <w:ind w:firstLine="560"/>
      </w:pPr>
      <w:r>
        <w:rPr>
          <w:rFonts w:hint="eastAsia"/>
        </w:rPr>
        <w:t>公路养护站点、养护机械设备和应急物资储备体系进一步完善，农村公路养护管理和路长制运行机制更加健全，路网运行监测、灾害预警、应急调度和抢险保通能力持续提升。</w:t>
      </w:r>
    </w:p>
    <w:p w14:paraId="5DAD4A96">
      <w:pPr>
        <w:pStyle w:val="4"/>
        <w:ind w:firstLine="562"/>
      </w:pPr>
      <w:r>
        <w:rPr>
          <w:rFonts w:hint="eastAsia"/>
        </w:rPr>
        <w:t>绿色智慧转型稳步推进</w:t>
      </w:r>
    </w:p>
    <w:p w14:paraId="5C134816">
      <w:pPr>
        <w:ind w:firstLine="560"/>
      </w:pPr>
      <w:r>
        <w:rPr>
          <w:rFonts w:hint="eastAsia"/>
        </w:rPr>
        <w:t>到2030年，绿色交通和智慧交通建设取得积极进展。交通建设全过程生态保护和节约集约利用水平明显提升，重点公路沿线路域环境整治、生态修复和绿色养护有序推进。</w:t>
      </w:r>
    </w:p>
    <w:p w14:paraId="6AC16DE6">
      <w:pPr>
        <w:ind w:firstLine="560"/>
      </w:pPr>
      <w:r>
        <w:rPr>
          <w:rFonts w:hint="eastAsia"/>
        </w:rPr>
        <w:t>新能源车辆、充换电设施、绿色服务区等应用场景逐步拓展，交通运输绿色低碳发展水平持续提高。智慧公路、数字养护、路况监测、交通信息发布、旅游出行服务等系统加快建设，低空旅游、无人机巡检、应急救援、物流配送等新业态开展探索，交通行业治理现代化水平明显提升。</w:t>
      </w:r>
    </w:p>
    <w:p w14:paraId="19A1FEB4">
      <w:pPr>
        <w:pStyle w:val="3"/>
      </w:pPr>
      <w:bookmarkStart w:id="39" w:name="_Toc29552"/>
      <w:bookmarkStart w:id="40" w:name="_Toc23299"/>
      <w:r>
        <w:rPr>
          <w:rFonts w:hint="eastAsia"/>
        </w:rPr>
        <w:t>远期目标</w:t>
      </w:r>
      <w:bookmarkEnd w:id="39"/>
      <w:bookmarkEnd w:id="40"/>
    </w:p>
    <w:p w14:paraId="76B4F350">
      <w:pPr>
        <w:ind w:firstLine="560"/>
      </w:pPr>
      <w:r>
        <w:rPr>
          <w:rFonts w:hint="eastAsia"/>
        </w:rPr>
        <w:t>展望到2035年，红原县基本建成与社会主义现代化新红原相适应的现代综合交通运输体系，形成高速公路、普通国省干线、农村公路、航空运输、铁路接驳多方式协同发展的综合立体交通格局。对外通道更加畅达，红原与成都平原经济区、甘青方向、大九寨旅游环线和周边县市之间实现更加高效便捷联通，区域交通节点功能明显增强；县域路网更加完善，国省干线通行能力、农村公路通达深度、旅游公路服务品质和产业道路支撑能力全面提升，形成干支衔接、城乡贯通、景产联动、安全可靠的公路网络。</w:t>
      </w:r>
    </w:p>
    <w:p w14:paraId="16E73F8C">
      <w:pPr>
        <w:ind w:firstLine="560"/>
      </w:pPr>
      <w:r>
        <w:rPr>
          <w:rFonts w:hint="eastAsia"/>
        </w:rPr>
        <w:t>运输服务更加优质高效，城乡客运、旅游客运、农村物流、冷链配送、客货邮融合等体系成熟完善，基本实现群众便捷出行、货物高效流通、旅游舒适集散。交通与文化旅游、现代农牧业、商贸物流、低空经济等融合更加深入，交通线、旅游线、产业线、生态线融合发展成效显著。</w:t>
      </w:r>
    </w:p>
    <w:p w14:paraId="407D9E86">
      <w:pPr>
        <w:ind w:firstLine="560"/>
      </w:pPr>
      <w:r>
        <w:rPr>
          <w:rFonts w:hint="eastAsia"/>
        </w:rPr>
        <w:t>绿色交通、智慧交通和平安交通建设取得明显成效，交通基础设施全生命周期管理体系更加健全，安全韧性、应急保障、生态保护和数字治理能力显著提升，全面形成外联内畅、绿色安全、智慧高效、融合发展的现代综合交通运输体系，为红原县长远发展和阿坝牧区高质量发展红原典范建设提供持续有力支撑。</w:t>
      </w:r>
    </w:p>
    <w:p w14:paraId="2E374B27">
      <w:pPr>
        <w:ind w:firstLine="560"/>
      </w:pPr>
    </w:p>
    <w:p w14:paraId="40A5A0DA">
      <w:pPr>
        <w:ind w:firstLine="560"/>
      </w:pPr>
    </w:p>
    <w:p w14:paraId="2D18A928">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61E34D5">
      <w:pPr>
        <w:pStyle w:val="2"/>
      </w:pPr>
      <w:bookmarkStart w:id="41" w:name="_Toc17636"/>
      <w:bookmarkStart w:id="42" w:name="_Toc31470"/>
      <w:r>
        <w:rPr>
          <w:rFonts w:hint="eastAsia"/>
        </w:rPr>
        <w:t>重点任务</w:t>
      </w:r>
      <w:bookmarkEnd w:id="41"/>
      <w:bookmarkEnd w:id="42"/>
    </w:p>
    <w:p w14:paraId="6FDD85ED">
      <w:pPr>
        <w:ind w:firstLine="560"/>
      </w:pPr>
      <w:r>
        <w:rPr>
          <w:rFonts w:hint="eastAsia"/>
        </w:rPr>
        <w:t>“十五五”时期，是红原县加快完善综合交通运输体系、提升区域联通能级、推动交通与产业深度融合的重要阶段。全县交通运输发展要紧紧围绕“强通道、优网络、提服务、促融合、保安全、推转型”的总体思路，以重大项目建设为牵引，以补齐短板弱项为重点，以服务县域经济社会高质量发展为导向，统筹推进高速公路、普通国省干线、农村公路、客货运站场、交旅融合、养护安防、智慧绿色交通等重点任务，加快构建外联内畅、干支衔接、交旅融合、安全绿色、智慧高效的现代综合交通运输体系。</w:t>
      </w:r>
    </w:p>
    <w:p w14:paraId="2067B7EE">
      <w:pPr>
        <w:pStyle w:val="3"/>
      </w:pPr>
      <w:bookmarkStart w:id="43" w:name="_Toc20450"/>
      <w:bookmarkEnd w:id="43"/>
      <w:bookmarkStart w:id="44" w:name="_Toc8975"/>
      <w:r>
        <w:rPr>
          <w:rFonts w:hint="eastAsia"/>
        </w:rPr>
        <w:t>畅通对外综合通道，提升区域联通能级</w:t>
      </w:r>
      <w:bookmarkEnd w:id="44"/>
    </w:p>
    <w:p w14:paraId="4607EF6A">
      <w:pPr>
        <w:ind w:firstLine="562"/>
      </w:pPr>
      <w:r>
        <w:rPr>
          <w:rFonts w:hint="eastAsia" w:ascii="Times New Roman" w:hAnsi="Times New Roman" w:eastAsia="楷体_GB2312" w:cs="黑体"/>
          <w:b/>
          <w:bCs/>
        </w:rPr>
        <w:t>加快高速公路通道建设。</w:t>
      </w:r>
      <w:r>
        <w:rPr>
          <w:rFonts w:hint="eastAsia"/>
        </w:rPr>
        <w:t>坚持把高速公路作为提升红原对外联通能力的核心抓手，重点推进续建高速公路项目建设，尽快形成连接成都平原经济区、甘青方向和大九寨旅游环线的快速通道体系。推动G0615久治（川青界）至马尔康段高速公路红原段完成扫尾工作和临建恢复，全面发挥久马高速对红原南向联系马尔康、成都方向和西北向联系青海、甘肃方向的通道作用。加快推进G0611郎木寺（川甘界）至川主寺段高速公路工程，强化红原融入郎川高速通道体系的能力。全力推动S14川主寺至红原段高速公路工程建设，形成红原联系川主寺、松潘和大九寨片区的重要快速通道，支撑红原由普通干线节点向高速路网节点转变。</w:t>
      </w:r>
    </w:p>
    <w:p w14:paraId="39789A10">
      <w:pPr>
        <w:ind w:firstLine="562"/>
      </w:pPr>
      <w:r>
        <w:rPr>
          <w:rFonts w:hint="eastAsia" w:ascii="Times New Roman" w:hAnsi="Times New Roman" w:eastAsia="楷体_GB2312" w:cs="黑体"/>
          <w:b/>
          <w:bCs/>
        </w:rPr>
        <w:t>积极谋划远期高速通道。</w:t>
      </w:r>
      <w:r>
        <w:rPr>
          <w:rFonts w:hint="eastAsia"/>
        </w:rPr>
        <w:t>围绕完善红原多向联通格局，持续跟踪S28黑刷高速黑水至红原段项目研究进展，加强与上位规划和省州交通主管部门衔接，深化路线方案、控制性因素、建设时序和资金模式研究，力争在“十五五”期间取得前期工作突破。结合区域高速公路网络布局变化，积极争取更多有利于红原对外开放、旅游集散和应急保障的高速通道纳入上位规划。</w:t>
      </w:r>
    </w:p>
    <w:p w14:paraId="62BB2882">
      <w:pPr>
        <w:ind w:firstLine="562"/>
      </w:pPr>
      <w:r>
        <w:rPr>
          <w:rFonts w:hint="eastAsia" w:ascii="Times New Roman" w:hAnsi="Times New Roman" w:eastAsia="楷体_GB2312" w:cs="黑体"/>
          <w:b/>
          <w:bCs/>
        </w:rPr>
        <w:t>加强铁路和航空前期衔接。</w:t>
      </w:r>
      <w:r>
        <w:rPr>
          <w:rFonts w:hint="eastAsia"/>
        </w:rPr>
        <w:t>积极跟踪成都至格尔木铁路、合作经马尔康至理塘至香格里拉铁路等重大铁路通道研究进展，围绕红原设站、廊道预留、集疏运体系等开展前期研究和对上争取，提升红原参与区域铁路通道布局的主动性。持续关注红原机场改扩建、红原通用机场等远期项目，结合旅游客流、应急救援、低空经济和通用航空发展需求，做好建设条件、功能定位和场景培育研究，为远期航空服务能级提升奠定基础。</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4F815D5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PrEx>
        <w:trPr>
          <w:trHeight w:val="567" w:hRule="atLeast"/>
          <w:jc w:val="center"/>
        </w:trPr>
        <w:tc>
          <w:tcPr>
            <w:tcW w:w="8277" w:type="dxa"/>
            <w:tcBorders>
              <w:tl2br w:val="nil"/>
              <w:tr2bl w:val="nil"/>
            </w:tcBorders>
            <w:shd w:val="clear" w:color="auto" w:fill="2F5496"/>
            <w:vAlign w:val="center"/>
          </w:tcPr>
          <w:p w14:paraId="410DF51E">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1</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红原县“十五五”对外综合通道重点项目</w:t>
            </w:r>
          </w:p>
        </w:tc>
      </w:tr>
      <w:tr w14:paraId="393BC296">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30E67320">
            <w:pPr>
              <w:pStyle w:val="23"/>
              <w:spacing w:before="120" w:after="120"/>
              <w:ind w:firstLine="482" w:firstLineChars="200"/>
              <w:jc w:val="left"/>
              <w:rPr>
                <w:b/>
                <w:bCs/>
              </w:rPr>
            </w:pPr>
            <w:r>
              <w:rPr>
                <w:rFonts w:hint="eastAsia"/>
                <w:b/>
                <w:bCs/>
              </w:rPr>
              <w:t>1.高速公路</w:t>
            </w:r>
          </w:p>
          <w:p w14:paraId="13DB6606">
            <w:pPr>
              <w:pStyle w:val="23"/>
              <w:spacing w:before="120" w:after="120"/>
              <w:ind w:firstLine="482" w:firstLineChars="200"/>
              <w:jc w:val="left"/>
            </w:pPr>
            <w:r>
              <w:rPr>
                <w:rFonts w:hint="eastAsia"/>
                <w:b/>
                <w:bCs/>
              </w:rPr>
              <w:t>续建项目：</w:t>
            </w:r>
            <w:r>
              <w:rPr>
                <w:rFonts w:hint="eastAsia"/>
              </w:rPr>
              <w:t>G0615久治（川青界）至马尔康段高速公路；G0611郎木寺（川甘界）至川主寺段高速公路工程；S14川主寺至红原段高速公路工程。</w:t>
            </w:r>
          </w:p>
          <w:p w14:paraId="62E5AE06">
            <w:pPr>
              <w:pStyle w:val="23"/>
              <w:spacing w:before="120" w:after="120"/>
              <w:ind w:firstLine="482" w:firstLineChars="200"/>
              <w:jc w:val="left"/>
            </w:pPr>
            <w:r>
              <w:rPr>
                <w:rFonts w:hint="eastAsia"/>
                <w:b/>
                <w:bCs/>
              </w:rPr>
              <w:t>远期储备项目：</w:t>
            </w:r>
            <w:r>
              <w:rPr>
                <w:rFonts w:hint="eastAsia"/>
              </w:rPr>
              <w:t>S28黑刷高速黑水至红原段。</w:t>
            </w:r>
          </w:p>
          <w:p w14:paraId="2051FEB6">
            <w:pPr>
              <w:pStyle w:val="23"/>
              <w:spacing w:before="120" w:after="120"/>
              <w:ind w:firstLine="482" w:firstLineChars="200"/>
              <w:jc w:val="left"/>
              <w:rPr>
                <w:b/>
                <w:bCs/>
              </w:rPr>
            </w:pPr>
            <w:r>
              <w:rPr>
                <w:rFonts w:hint="eastAsia"/>
                <w:b/>
                <w:bCs/>
              </w:rPr>
              <w:t>2.铁路建设</w:t>
            </w:r>
          </w:p>
          <w:p w14:paraId="04A5607E">
            <w:pPr>
              <w:pStyle w:val="23"/>
              <w:spacing w:before="120" w:after="120"/>
              <w:ind w:firstLine="482" w:firstLineChars="200"/>
              <w:jc w:val="left"/>
            </w:pPr>
            <w:r>
              <w:rPr>
                <w:rFonts w:hint="eastAsia"/>
                <w:b/>
                <w:bCs/>
              </w:rPr>
              <w:t>远期储备项目：</w:t>
            </w:r>
            <w:r>
              <w:rPr>
                <w:rFonts w:hint="eastAsia"/>
              </w:rPr>
              <w:t>成都至格尔木铁路；合作经马尔康至理塘至香格里拉铁路。</w:t>
            </w:r>
          </w:p>
          <w:p w14:paraId="5773631E">
            <w:pPr>
              <w:pStyle w:val="23"/>
              <w:spacing w:before="120" w:after="120"/>
              <w:ind w:firstLine="482" w:firstLineChars="200"/>
              <w:jc w:val="left"/>
              <w:rPr>
                <w:b/>
                <w:bCs/>
              </w:rPr>
            </w:pPr>
            <w:r>
              <w:rPr>
                <w:rFonts w:hint="eastAsia"/>
                <w:b/>
                <w:bCs/>
              </w:rPr>
              <w:t>3.机场建设</w:t>
            </w:r>
          </w:p>
          <w:p w14:paraId="00AE4939">
            <w:pPr>
              <w:pStyle w:val="23"/>
              <w:spacing w:before="120" w:after="120"/>
              <w:ind w:firstLine="482" w:firstLineChars="200"/>
              <w:jc w:val="left"/>
            </w:pPr>
            <w:r>
              <w:rPr>
                <w:rFonts w:hint="eastAsia"/>
                <w:b/>
                <w:bCs/>
              </w:rPr>
              <w:t>远期储备项目：</w:t>
            </w:r>
            <w:r>
              <w:rPr>
                <w:rFonts w:hint="eastAsia"/>
              </w:rPr>
              <w:t>红原机场改扩建；红原通用机场。</w:t>
            </w:r>
          </w:p>
        </w:tc>
      </w:tr>
    </w:tbl>
    <w:p w14:paraId="44A4B4C8">
      <w:pPr>
        <w:ind w:firstLine="560"/>
      </w:pPr>
    </w:p>
    <w:p w14:paraId="7DB83C1D">
      <w:pPr>
        <w:pStyle w:val="3"/>
      </w:pPr>
      <w:bookmarkStart w:id="45" w:name="_Toc18138"/>
      <w:bookmarkEnd w:id="45"/>
      <w:bookmarkStart w:id="46" w:name="_Toc31214"/>
      <w:r>
        <w:rPr>
          <w:rFonts w:hint="eastAsia"/>
        </w:rPr>
        <w:t>完善普通国省干线，强化县域骨架支撑</w:t>
      </w:r>
      <w:bookmarkEnd w:id="46"/>
    </w:p>
    <w:p w14:paraId="1FE70E1D">
      <w:pPr>
        <w:ind w:firstLine="562"/>
      </w:pPr>
      <w:r>
        <w:rPr>
          <w:rFonts w:hint="eastAsia" w:ascii="Times New Roman" w:hAnsi="Times New Roman" w:eastAsia="楷体_GB2312" w:cs="黑体"/>
          <w:b/>
          <w:bCs/>
        </w:rPr>
        <w:t>推进国省干线提档升级。</w:t>
      </w:r>
      <w:r>
        <w:rPr>
          <w:rFonts w:hint="eastAsia"/>
        </w:rPr>
        <w:t>围绕提升县域骨架路网通行能力和服务品质，重点推进普通国省干线改建、韧性提升和局部改线工程。加快S313红原县阿木乡至松潘县草原村段改建工程扫尾，提升红原东北向联系松潘、川主寺和大九寨片区的通行条件。推进G248红原县城过境段公路改建工程，着力缓解过境交通与县城内部交通混行问题，提升县城通行效率和道路安全水平。推动G347阿坝县青海界至红原县安曲镇段改建工程开工建设，完善红原与阿坝县、青海方向的横向联系。</w:t>
      </w:r>
    </w:p>
    <w:p w14:paraId="7E151F76">
      <w:pPr>
        <w:ind w:firstLine="562"/>
      </w:pPr>
      <w:r>
        <w:rPr>
          <w:rFonts w:hint="eastAsia" w:ascii="Times New Roman" w:hAnsi="Times New Roman" w:eastAsia="楷体_GB2312" w:cs="黑体"/>
          <w:b/>
          <w:bCs/>
        </w:rPr>
        <w:t>强化重点方向连接能力。</w:t>
      </w:r>
      <w:r>
        <w:rPr>
          <w:rFonts w:hint="eastAsia"/>
        </w:rPr>
        <w:t>围绕红原与马尔康、若尔盖、松潘等周边县市联系需求，积极推进G248马尔康市三家寨至红原县壤口段改建工程，增强红原南向联系马尔康和成都方向的通道能力。谋划推进G248红原县瓦切镇（若尔盖界）至月亮湾服务区段改建工程，提升红原北向连接若尔盖和重点旅游节点的道路品质。推进S301松潘县川主寺镇（尕里台）至红原县瓦切镇段韧性提升工程，重点增强道路抗灾保通、安全防护和旅游服务功能。</w:t>
      </w:r>
    </w:p>
    <w:p w14:paraId="0B64E32A">
      <w:pPr>
        <w:ind w:firstLine="562"/>
      </w:pPr>
      <w:r>
        <w:rPr>
          <w:rFonts w:hint="eastAsia" w:ascii="Times New Roman" w:hAnsi="Times New Roman" w:eastAsia="楷体_GB2312" w:cs="黑体"/>
          <w:b/>
          <w:bCs/>
        </w:rPr>
        <w:t>提升干线安全韧性和服务功能。</w:t>
      </w:r>
      <w:r>
        <w:rPr>
          <w:rFonts w:hint="eastAsia"/>
        </w:rPr>
        <w:t>结合高寒高海拔、冰雪冻融和生态敏感等特点，统筹推进国省干线线形优化、路面改善、安防设施、排水防护、服务区和停车休憩设施建设。实施G248红原县安曲隆登嘎至安曲老牧场改线工程，优化局部线形条件，提升重点路段通行安全。结合G248、S301等重要通道旅游化改造，推动普通国省干线由单一通行功能向交通、旅游、服务、应急复合功能拓展。</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0B7F96C5">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386B67F3">
            <w:pPr>
              <w:pStyle w:val="25"/>
              <w:keepNext/>
              <w:keepLines/>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2</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红原县“十五五”普通国省干线重点建设项目</w:t>
            </w:r>
          </w:p>
        </w:tc>
      </w:tr>
      <w:tr w14:paraId="7A9790F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38C7AD9A">
            <w:pPr>
              <w:pStyle w:val="23"/>
              <w:keepNext/>
              <w:keepLines/>
              <w:spacing w:before="120" w:after="120"/>
              <w:ind w:firstLine="482" w:firstLineChars="200"/>
              <w:jc w:val="left"/>
              <w:rPr>
                <w:b/>
                <w:bCs/>
              </w:rPr>
            </w:pPr>
            <w:r>
              <w:rPr>
                <w:rFonts w:hint="eastAsia"/>
                <w:b/>
                <w:bCs/>
              </w:rPr>
              <w:t>1.普通国道</w:t>
            </w:r>
          </w:p>
          <w:p w14:paraId="5F5BC2F6">
            <w:pPr>
              <w:pStyle w:val="23"/>
              <w:keepNext/>
              <w:keepLines/>
              <w:spacing w:before="120" w:after="120"/>
              <w:ind w:firstLine="482" w:firstLineChars="200"/>
              <w:jc w:val="left"/>
            </w:pPr>
            <w:r>
              <w:rPr>
                <w:rFonts w:hint="eastAsia"/>
                <w:b/>
                <w:bCs/>
              </w:rPr>
              <w:t>续建项目：</w:t>
            </w:r>
            <w:r>
              <w:rPr>
                <w:rFonts w:hint="eastAsia"/>
              </w:rPr>
              <w:t>G248红原县城过境段公路改建工程。</w:t>
            </w:r>
          </w:p>
          <w:p w14:paraId="5E534549">
            <w:pPr>
              <w:pStyle w:val="23"/>
              <w:keepNext/>
              <w:keepLines/>
              <w:spacing w:before="120" w:after="120"/>
              <w:ind w:firstLine="482" w:firstLineChars="200"/>
              <w:jc w:val="left"/>
            </w:pPr>
            <w:r>
              <w:rPr>
                <w:rFonts w:hint="eastAsia"/>
                <w:b/>
                <w:bCs/>
              </w:rPr>
              <w:t>促开工项目：</w:t>
            </w:r>
            <w:r>
              <w:rPr>
                <w:rFonts w:hint="eastAsia"/>
              </w:rPr>
              <w:t>G347阿坝县青海界至红原县安曲镇段改建工程。</w:t>
            </w:r>
          </w:p>
          <w:p w14:paraId="3B95ED44">
            <w:pPr>
              <w:pStyle w:val="23"/>
              <w:keepNext/>
              <w:keepLines/>
              <w:spacing w:before="120" w:after="120"/>
              <w:ind w:firstLine="482" w:firstLineChars="200"/>
              <w:jc w:val="left"/>
            </w:pPr>
            <w:r>
              <w:rPr>
                <w:rFonts w:hint="eastAsia"/>
                <w:b/>
                <w:bCs/>
              </w:rPr>
              <w:t>储备项目：</w:t>
            </w:r>
            <w:r>
              <w:rPr>
                <w:rFonts w:hint="eastAsia"/>
              </w:rPr>
              <w:t>G248红原县瓦切镇（若尔盖界）至月亮湾服务区段改建工程；G248红原县安曲隆登嘎至安曲老牧场改线工程；G248马尔康市三家寨至红原县壤口段改建工程。</w:t>
            </w:r>
          </w:p>
          <w:p w14:paraId="01BC2B30">
            <w:pPr>
              <w:pStyle w:val="23"/>
              <w:keepNext/>
              <w:keepLines/>
              <w:spacing w:before="120" w:after="120"/>
              <w:ind w:firstLine="482" w:firstLineChars="200"/>
              <w:jc w:val="left"/>
              <w:rPr>
                <w:b/>
                <w:bCs/>
              </w:rPr>
            </w:pPr>
            <w:r>
              <w:rPr>
                <w:rFonts w:hint="eastAsia"/>
                <w:b/>
                <w:bCs/>
              </w:rPr>
              <w:t>2.普通省道</w:t>
            </w:r>
          </w:p>
          <w:p w14:paraId="2AD18FFA">
            <w:pPr>
              <w:pStyle w:val="23"/>
              <w:keepNext/>
              <w:keepLines/>
              <w:spacing w:before="120" w:after="120"/>
              <w:ind w:firstLine="482" w:firstLineChars="200"/>
              <w:jc w:val="left"/>
            </w:pPr>
            <w:r>
              <w:rPr>
                <w:rFonts w:hint="eastAsia"/>
                <w:b/>
                <w:bCs/>
              </w:rPr>
              <w:t>续建项目：</w:t>
            </w:r>
            <w:r>
              <w:rPr>
                <w:rFonts w:hint="eastAsia"/>
              </w:rPr>
              <w:t>S313红原县阿木乡至松潘县草原村段改建工程。</w:t>
            </w:r>
          </w:p>
          <w:p w14:paraId="448D44DC">
            <w:pPr>
              <w:pStyle w:val="23"/>
              <w:keepNext/>
              <w:keepLines/>
              <w:spacing w:before="120" w:after="120"/>
              <w:ind w:firstLine="482" w:firstLineChars="200"/>
              <w:jc w:val="left"/>
            </w:pPr>
            <w:r>
              <w:rPr>
                <w:rFonts w:hint="eastAsia"/>
                <w:b/>
                <w:bCs/>
              </w:rPr>
              <w:t>储备项目：</w:t>
            </w:r>
            <w:r>
              <w:rPr>
                <w:rFonts w:hint="eastAsia"/>
              </w:rPr>
              <w:t>S301松潘县川主寺镇（尕里台）至红原县瓦切镇段韧性提升工程。</w:t>
            </w:r>
          </w:p>
        </w:tc>
      </w:tr>
    </w:tbl>
    <w:p w14:paraId="23A2881D">
      <w:pPr>
        <w:ind w:firstLine="560"/>
      </w:pPr>
    </w:p>
    <w:p w14:paraId="2D4C9595">
      <w:pPr>
        <w:pStyle w:val="3"/>
      </w:pPr>
      <w:bookmarkStart w:id="47" w:name="_Toc9826"/>
      <w:r>
        <w:rPr>
          <w:rFonts w:hint="eastAsia"/>
        </w:rPr>
        <w:t>推进农村公路提质扩面，服务乡村振兴发展</w:t>
      </w:r>
      <w:bookmarkEnd w:id="47"/>
    </w:p>
    <w:p w14:paraId="6E132ED2">
      <w:pPr>
        <w:ind w:firstLine="562"/>
      </w:pPr>
      <w:r>
        <w:rPr>
          <w:rFonts w:hint="eastAsia" w:ascii="Times New Roman" w:hAnsi="Times New Roman" w:eastAsia="楷体_GB2312" w:cs="黑体"/>
          <w:b/>
          <w:bCs/>
        </w:rPr>
        <w:t>实施幸福美丽乡村路建设。</w:t>
      </w:r>
      <w:r>
        <w:rPr>
          <w:rFonts w:hint="eastAsia"/>
        </w:rPr>
        <w:t>围绕乡村振兴、全域旅游和牧区群众出行需求，持续推进一批连接乡镇、村组、景区和产业节点的幸福美丽乡村路项目。重点推动X124阿龙路、C020玛萨村村口至村尾段、X122龙壤寺至虎头山安多部落段等项目建设，改善重点村寨、景区景点和农牧区对外交通条件，提升农村公路通行品质和服务水平。</w:t>
      </w:r>
    </w:p>
    <w:p w14:paraId="70F8293E">
      <w:pPr>
        <w:ind w:firstLine="562"/>
      </w:pPr>
      <w:r>
        <w:rPr>
          <w:rFonts w:hint="eastAsia" w:ascii="Times New Roman" w:hAnsi="Times New Roman" w:eastAsia="楷体_GB2312" w:cs="黑体"/>
          <w:b/>
          <w:bCs/>
        </w:rPr>
        <w:t>推进农村公路更新提质。</w:t>
      </w:r>
      <w:r>
        <w:rPr>
          <w:rFonts w:hint="eastAsia"/>
        </w:rPr>
        <w:t>针对早期建成、路况较差、服务能力不足的农村公路，实施一批更新提质和次差路整治项目，重点推进C069、Y009、C057、C104、C109、Y009哈拉玛村、Y007哈拉玛村等农村公路更新提质工程，以及C014、C055、C057、C077、C093、C104、C107、C070、C040等改建工程，逐步提升农村公路路况水平和通行舒适性。</w:t>
      </w:r>
    </w:p>
    <w:p w14:paraId="7B533292">
      <w:pPr>
        <w:ind w:firstLine="562"/>
      </w:pPr>
      <w:r>
        <w:rPr>
          <w:rFonts w:hint="eastAsia" w:ascii="Times New Roman" w:hAnsi="Times New Roman" w:eastAsia="楷体_GB2312" w:cs="黑体"/>
          <w:b/>
          <w:bCs/>
        </w:rPr>
        <w:t>谋划农村公路补短和出县通道。</w:t>
      </w:r>
      <w:r>
        <w:rPr>
          <w:rFonts w:hint="eastAsia"/>
        </w:rPr>
        <w:t>围绕群众出行、产业发展和县际联系需求，统筹推进农村公路补短建设项目，积极谋划C100瓦切镇达峨村虎头山至曼扎唐段、C019查龙村至阿坝茸安乡格尔登玛村段、X123刷经寺镇刷马路口至鹧鸪山垭口段、Y010色地镇茸塔村至阿木乡卡口村段、C003/C008日干村至唐日村段等储备项目。对涉及生态红线、国家公园、基本草原等敏感区域的项目，坚持审慎论证、分类推进，优先保障群众急需、产业急用、安全必要的路段。</w:t>
      </w:r>
    </w:p>
    <w:p w14:paraId="41C7FF67">
      <w:pPr>
        <w:ind w:firstLine="562"/>
      </w:pPr>
      <w:r>
        <w:rPr>
          <w:rFonts w:hint="eastAsia" w:ascii="Times New Roman" w:hAnsi="Times New Roman" w:eastAsia="楷体_GB2312" w:cs="黑体"/>
          <w:b/>
          <w:bCs/>
        </w:rPr>
        <w:t>提升农村公路安全保障。</w:t>
      </w:r>
      <w:r>
        <w:rPr>
          <w:rFonts w:hint="eastAsia"/>
        </w:rPr>
        <w:t>同步推进农村公路桥梁补短建设、安全生命防护和隐患治理，重点补齐农村公路危桥、漫水桥、临水临崖、急弯陡坡等安全短板，提升农村公路抗灾能力和保通水平，推动农村公路由“通得了”向“走得好、管得住、养得起、带得动”转变。</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3601ABB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309DEFB4">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3</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红原县“十五五”农村公路重点建设项目</w:t>
            </w:r>
          </w:p>
        </w:tc>
      </w:tr>
      <w:tr w14:paraId="3251EB8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7924CDA9">
            <w:pPr>
              <w:pStyle w:val="23"/>
              <w:spacing w:before="120" w:after="120"/>
              <w:ind w:firstLine="482" w:firstLineChars="200"/>
              <w:jc w:val="left"/>
            </w:pPr>
            <w:r>
              <w:rPr>
                <w:rFonts w:hint="eastAsia"/>
                <w:b/>
                <w:bCs/>
              </w:rPr>
              <w:t>续建项目：</w:t>
            </w:r>
            <w:r>
              <w:rPr>
                <w:rFonts w:hint="eastAsia"/>
              </w:rPr>
              <w:t>红原县X124阿龙路龙日坝至阿木乡S313岔口段幸福美丽乡村路。</w:t>
            </w:r>
          </w:p>
          <w:p w14:paraId="13F2D238">
            <w:pPr>
              <w:pStyle w:val="23"/>
              <w:spacing w:before="120" w:after="120"/>
              <w:ind w:firstLine="482" w:firstLineChars="200"/>
              <w:jc w:val="left"/>
            </w:pPr>
            <w:r>
              <w:rPr>
                <w:rFonts w:hint="eastAsia"/>
                <w:b/>
                <w:bCs/>
              </w:rPr>
              <w:t>促开工项目：</w:t>
            </w:r>
            <w:r>
              <w:rPr>
                <w:rFonts w:hint="eastAsia"/>
              </w:rPr>
              <w:t>红原县C020玛萨村村口至村尾段美丽乡村路；红原县X122龙壤寺至虎头山安多部落段幸福美丽乡村路；C069、Y009、C057、C104、C109等农村公路更新提质工程；Y009哈拉玛村、Y007哈拉玛村更新提质工程。</w:t>
            </w:r>
          </w:p>
          <w:p w14:paraId="657771B4">
            <w:pPr>
              <w:pStyle w:val="23"/>
              <w:spacing w:before="120" w:after="120"/>
              <w:ind w:firstLine="482" w:firstLineChars="200"/>
              <w:jc w:val="left"/>
            </w:pPr>
            <w:r>
              <w:rPr>
                <w:rFonts w:hint="eastAsia"/>
                <w:b/>
                <w:bCs/>
              </w:rPr>
              <w:t>储备项目：</w:t>
            </w:r>
            <w:r>
              <w:rPr>
                <w:rFonts w:hint="eastAsia"/>
              </w:rPr>
              <w:t>Y002花海景区至壤噶夺玛村段幸福美丽乡村路；Y006邛溪镇龙壤至安曲桑钦沟（阿坝界）段幸福美丽乡村路；C014壤口村至措琼海段改建工程；C055、C057、C077、C093、C104、C107、C070、C040等次差路改建工程；农村公路补短建设项目；C100、C019、X123、Y010、C003/C008等出县通道和储备项目。</w:t>
            </w:r>
          </w:p>
        </w:tc>
      </w:tr>
    </w:tbl>
    <w:p w14:paraId="0BC61595">
      <w:pPr>
        <w:ind w:firstLine="560"/>
      </w:pPr>
    </w:p>
    <w:p w14:paraId="49369FB0">
      <w:pPr>
        <w:pStyle w:val="3"/>
      </w:pPr>
      <w:bookmarkStart w:id="48" w:name="_Toc15937"/>
      <w:r>
        <w:rPr>
          <w:rFonts w:hint="eastAsia"/>
        </w:rPr>
        <w:t>完善客货运输体系，提升城乡服务品质</w:t>
      </w:r>
      <w:bookmarkEnd w:id="48"/>
    </w:p>
    <w:p w14:paraId="4F99035F">
      <w:pPr>
        <w:ind w:firstLine="562"/>
      </w:pPr>
      <w:r>
        <w:rPr>
          <w:rFonts w:hint="eastAsia" w:ascii="Times New Roman" w:hAnsi="Times New Roman" w:eastAsia="楷体_GB2312" w:cs="黑体"/>
          <w:b/>
          <w:bCs/>
        </w:rPr>
        <w:t>完善综合运输服务节点。</w:t>
      </w:r>
      <w:r>
        <w:rPr>
          <w:rFonts w:hint="eastAsia"/>
        </w:rPr>
        <w:t>围绕高速公路、铁路接驳、县城客运和乡镇物流需求，统筹推进客货运输站场建设，提升交通节点综合服务能力。推动高铁红原站接驳站建设，强化客运换乘、旅游集散和物流周转功能。谋划物流中心项目，在10个乡镇设置综合物流配送中心，推动农村客运、快递收寄、仓储配送、装卸搬运、包装加工和信息处理等功能集成发展。</w:t>
      </w:r>
    </w:p>
    <w:p w14:paraId="3C232496">
      <w:pPr>
        <w:ind w:firstLine="562"/>
      </w:pPr>
      <w:r>
        <w:rPr>
          <w:rFonts w:hint="eastAsia" w:ascii="Times New Roman" w:hAnsi="Times New Roman" w:eastAsia="楷体_GB2312" w:cs="黑体"/>
          <w:b/>
          <w:bCs/>
        </w:rPr>
        <w:t>提升城乡客运服务水平。</w:t>
      </w:r>
      <w:r>
        <w:rPr>
          <w:rFonts w:hint="eastAsia"/>
        </w:rPr>
        <w:t>巩固建制村通客车成果，优化县城至乡镇、乡镇至村组的客运服务组织，因地制宜发展定制客运、预约响应式客运、旅游直通车和景区微循环交通。结合旅游旺季、节庆活动和重点景区客流需求，提升运力组织、换乘衔接和应急调度能力，更好满足群众出行和游客集散需求。</w:t>
      </w:r>
    </w:p>
    <w:p w14:paraId="2B3F5680">
      <w:pPr>
        <w:ind w:firstLine="562"/>
      </w:pPr>
      <w:r>
        <w:rPr>
          <w:rFonts w:hint="eastAsia" w:ascii="Times New Roman" w:hAnsi="Times New Roman" w:eastAsia="楷体_GB2312" w:cs="黑体"/>
          <w:b/>
          <w:bCs/>
        </w:rPr>
        <w:t>健全县乡村物流网络。</w:t>
      </w:r>
      <w:r>
        <w:rPr>
          <w:rFonts w:hint="eastAsia"/>
        </w:rPr>
        <w:t>依托县级物流节点、乡镇运输服务站和村级服务点，推动“客货邮商供”融合发展，畅通农畜产品上行和工业品下行双向流通渠道。支持共同配送、统一配送、冷链物流等模式发展，重点服务牦牛肉、乳制品、藏药材等特色农畜产品外运，降低牧区物流成本，提升交通运输服务产业发展的能力。</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1598C6A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37E63555">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4</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红原县“十五五”客货运站场重点项目</w:t>
            </w:r>
          </w:p>
        </w:tc>
      </w:tr>
      <w:tr w14:paraId="2761C3F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21091D01">
            <w:pPr>
              <w:pStyle w:val="23"/>
              <w:spacing w:before="120" w:after="120"/>
              <w:ind w:firstLine="482" w:firstLineChars="200"/>
              <w:jc w:val="left"/>
            </w:pPr>
            <w:r>
              <w:rPr>
                <w:b/>
                <w:bCs/>
              </w:rPr>
              <w:t>促开工项目：</w:t>
            </w:r>
            <w:r>
              <w:t>高铁红原站接驳站（3站）。</w:t>
            </w:r>
          </w:p>
          <w:p w14:paraId="75AA7545">
            <w:pPr>
              <w:pStyle w:val="23"/>
              <w:spacing w:before="120" w:after="120"/>
              <w:ind w:firstLine="482" w:firstLineChars="200"/>
              <w:jc w:val="left"/>
            </w:pPr>
            <w:r>
              <w:rPr>
                <w:b/>
                <w:bCs/>
              </w:rPr>
              <w:t>储备项目：</w:t>
            </w:r>
            <w:r>
              <w:t>物流中心。</w:t>
            </w:r>
          </w:p>
        </w:tc>
      </w:tr>
    </w:tbl>
    <w:p w14:paraId="6CA7A3C8">
      <w:pPr>
        <w:ind w:firstLine="560"/>
      </w:pPr>
    </w:p>
    <w:p w14:paraId="764333AD">
      <w:pPr>
        <w:pStyle w:val="3"/>
      </w:pPr>
      <w:bookmarkStart w:id="49" w:name="_Toc19873"/>
      <w:r>
        <w:rPr>
          <w:rFonts w:hint="eastAsia"/>
        </w:rPr>
        <w:t>深化交旅融合发展，培育交通消费新动能</w:t>
      </w:r>
      <w:bookmarkEnd w:id="49"/>
    </w:p>
    <w:p w14:paraId="0B227627">
      <w:pPr>
        <w:ind w:firstLine="562"/>
      </w:pPr>
      <w:r>
        <w:rPr>
          <w:rFonts w:hint="eastAsia" w:ascii="Times New Roman" w:hAnsi="Times New Roman" w:eastAsia="楷体_GB2312" w:cs="黑体"/>
          <w:b/>
          <w:bCs/>
        </w:rPr>
        <w:t>推进旅游公路品质提升。</w:t>
      </w:r>
      <w:r>
        <w:rPr>
          <w:rFonts w:hint="eastAsia"/>
        </w:rPr>
        <w:t>围绕大九寨旅游环线、黄河草原旅游线路、红色文化旅游线路和草原生态旅游资源，推进G248、S301、S217等重点通道旅游化改造，完善服务设施、慢行设施、景观与环保系统、标识系统、信息与管理设施等内容，提升旅游通道舒适性、观赏性和服务品质。</w:t>
      </w:r>
    </w:p>
    <w:p w14:paraId="441B64D9">
      <w:pPr>
        <w:ind w:firstLine="562"/>
      </w:pPr>
      <w:r>
        <w:rPr>
          <w:rFonts w:hint="eastAsia" w:ascii="Times New Roman" w:hAnsi="Times New Roman" w:eastAsia="楷体_GB2312" w:cs="黑体"/>
          <w:b/>
          <w:bCs/>
        </w:rPr>
        <w:t>完善沿线服务设施体系。</w:t>
      </w:r>
      <w:r>
        <w:rPr>
          <w:rFonts w:hint="eastAsia"/>
        </w:rPr>
        <w:t>结合G248红原县城综合服务区、国省干线服务区建设或提升改造等项目，完善停车、充电、加油、如厕、休憩、餐饮、购物、旅游咨询、文化展示等功能，因地制宜建设观景点、停车点、服务驿站和大车停车区，提升自驾游、团队游和货运车辆综合服务能力。</w:t>
      </w:r>
    </w:p>
    <w:p w14:paraId="69F8B8E3">
      <w:pPr>
        <w:ind w:firstLine="562"/>
      </w:pPr>
      <w:r>
        <w:rPr>
          <w:rFonts w:hint="eastAsia" w:ascii="Times New Roman" w:hAnsi="Times New Roman" w:eastAsia="楷体_GB2312" w:cs="黑体"/>
          <w:b/>
          <w:bCs/>
        </w:rPr>
        <w:t>推动交通与文旅产业联动。</w:t>
      </w:r>
      <w:r>
        <w:rPr>
          <w:rFonts w:hint="eastAsia"/>
        </w:rPr>
        <w:t>围绕月亮湾、日干乔湿地、俄么塘花海、瓦切塔林、达格则、措琼海等重点景区景点，优化旅游交通组织，提升景区连接道路和沿线服务设施水平。结合雅克音乐季等节庆活动，完善临时交通组织、旅游专线和停车保障，推动交通线向风景线、消费线、富民线转化。</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112A26D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05D9D76D">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5</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红原县“十五五”交旅融合重点项目</w:t>
            </w:r>
          </w:p>
        </w:tc>
      </w:tr>
      <w:tr w14:paraId="615E87D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192119CB">
            <w:pPr>
              <w:pStyle w:val="23"/>
              <w:spacing w:before="120" w:after="120"/>
              <w:ind w:firstLine="482" w:firstLineChars="200"/>
              <w:jc w:val="left"/>
            </w:pPr>
            <w:r>
              <w:rPr>
                <w:rFonts w:hint="eastAsia"/>
                <w:b/>
                <w:bCs/>
              </w:rPr>
              <w:t>续建项目：</w:t>
            </w:r>
            <w:r>
              <w:rPr>
                <w:rFonts w:hint="eastAsia"/>
              </w:rPr>
              <w:t>红原县G248旅游化改造项目；红原县S301旅游化改造项目。</w:t>
            </w:r>
          </w:p>
          <w:p w14:paraId="25E734C0">
            <w:pPr>
              <w:pStyle w:val="23"/>
              <w:spacing w:before="120" w:after="120"/>
              <w:ind w:firstLine="482" w:firstLineChars="200"/>
              <w:jc w:val="left"/>
            </w:pPr>
            <w:r>
              <w:rPr>
                <w:rFonts w:hint="eastAsia"/>
                <w:b/>
                <w:bCs/>
              </w:rPr>
              <w:t>促开工项目：</w:t>
            </w:r>
            <w:r>
              <w:rPr>
                <w:rFonts w:hint="eastAsia"/>
              </w:rPr>
              <w:t>公路信息化建设。</w:t>
            </w:r>
          </w:p>
          <w:p w14:paraId="31DF5F7A">
            <w:pPr>
              <w:pStyle w:val="23"/>
              <w:spacing w:before="120" w:after="120"/>
              <w:ind w:firstLine="482" w:firstLineChars="200"/>
              <w:jc w:val="left"/>
            </w:pPr>
            <w:r>
              <w:rPr>
                <w:rFonts w:hint="eastAsia"/>
                <w:b/>
                <w:bCs/>
              </w:rPr>
              <w:t>储备项目：</w:t>
            </w:r>
            <w:r>
              <w:rPr>
                <w:rFonts w:hint="eastAsia"/>
              </w:rPr>
              <w:t>红原县S217旅游化改造项目；G248红原县城综合服务区；国省干线服务区建设或提升改造。</w:t>
            </w:r>
          </w:p>
        </w:tc>
      </w:tr>
    </w:tbl>
    <w:p w14:paraId="028EFA23">
      <w:pPr>
        <w:ind w:firstLine="560"/>
      </w:pPr>
    </w:p>
    <w:p w14:paraId="421EC3D1">
      <w:pPr>
        <w:pStyle w:val="3"/>
      </w:pPr>
      <w:bookmarkStart w:id="50" w:name="_Toc20092"/>
      <w:r>
        <w:rPr>
          <w:rFonts w:hint="eastAsia"/>
        </w:rPr>
        <w:t>强化养护安防和应急保障，提升交通安全韧性</w:t>
      </w:r>
      <w:bookmarkEnd w:id="50"/>
    </w:p>
    <w:p w14:paraId="314AFE1F">
      <w:pPr>
        <w:ind w:firstLine="562"/>
      </w:pPr>
      <w:r>
        <w:rPr>
          <w:rFonts w:hint="eastAsia" w:ascii="Times New Roman" w:hAnsi="Times New Roman" w:eastAsia="楷体_GB2312" w:cs="黑体"/>
          <w:b/>
          <w:bCs/>
        </w:rPr>
        <w:t>加强公路养护能力建设。</w:t>
      </w:r>
      <w:r>
        <w:rPr>
          <w:rFonts w:hint="eastAsia"/>
        </w:rPr>
        <w:t>围绕高寒高海拔地区公路养护需求，推进养护中心养护站建设，改建红原县农村公路养护中心、查尔玛养护站、阿木养护站，完善生活区、办公区、料场、车库、机械房等功能，配置沥青、水泥混凝土拌合设备及挖掘机、装载机、压路机、多功能路面养护车等装备，提升机械化、专业化养护能力。</w:t>
      </w:r>
    </w:p>
    <w:p w14:paraId="2503C9E6">
      <w:pPr>
        <w:ind w:firstLine="562"/>
      </w:pPr>
      <w:r>
        <w:rPr>
          <w:rFonts w:hint="eastAsia" w:ascii="Times New Roman" w:hAnsi="Times New Roman" w:eastAsia="楷体_GB2312" w:cs="黑体"/>
          <w:b/>
          <w:bCs/>
        </w:rPr>
        <w:t>推进桥梁和安防设施补短。</w:t>
      </w:r>
      <w:r>
        <w:rPr>
          <w:rFonts w:hint="eastAsia"/>
        </w:rPr>
        <w:t>实施农村公路桥梁补短建设项目，新改建农村公路桥梁15座，逐步消除桥梁通行安全隐患。实施国省道农村公路安全防护设施补短建设项目，在事故多发、临水临崖、急弯陡坡等重点路段完善波形防护设施、桥梁安全防护和隐患处置设施，提升路网本质安全水平。</w:t>
      </w:r>
    </w:p>
    <w:p w14:paraId="1D653FD8">
      <w:pPr>
        <w:ind w:firstLine="562"/>
      </w:pPr>
      <w:r>
        <w:rPr>
          <w:rFonts w:hint="eastAsia" w:ascii="Times New Roman" w:hAnsi="Times New Roman" w:eastAsia="楷体_GB2312" w:cs="黑体"/>
          <w:b/>
          <w:bCs/>
        </w:rPr>
        <w:t>提升灾害防治和保通能力。</w:t>
      </w:r>
      <w:r>
        <w:rPr>
          <w:rFonts w:hint="eastAsia"/>
        </w:rPr>
        <w:t>针对红原县冰雪冻融、强降雨、地质灾害等风险，完善重点路段巡查监测、冬季除雪保通、应急物资储备和抢险调度机制。加强公路养护与应急保障协同，推动重点通道、旅游线路和农村公路安全韧性提升，保障群众出行、旅游集散和应急运输安全畅通。</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00BE7217">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504EF94A">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6</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红原县“十五五”养护安防重点项目</w:t>
            </w:r>
          </w:p>
        </w:tc>
      </w:tr>
      <w:tr w14:paraId="3D087D2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252B868B">
            <w:pPr>
              <w:pStyle w:val="23"/>
              <w:spacing w:before="120" w:after="120"/>
              <w:ind w:firstLine="482" w:firstLineChars="200"/>
              <w:jc w:val="left"/>
            </w:pPr>
            <w:r>
              <w:rPr>
                <w:rFonts w:hint="eastAsia"/>
                <w:b/>
                <w:bCs/>
              </w:rPr>
              <w:t>促开工项目：</w:t>
            </w:r>
            <w:r>
              <w:rPr>
                <w:rFonts w:hint="eastAsia"/>
              </w:rPr>
              <w:t>农村公路桥梁补短建设项目；国省道农村公路安全防护设施补短建设项目；养护中心养护站建设。</w:t>
            </w:r>
          </w:p>
          <w:p w14:paraId="11D54017">
            <w:pPr>
              <w:pStyle w:val="23"/>
              <w:spacing w:before="120" w:after="120"/>
              <w:ind w:firstLine="482" w:firstLineChars="200"/>
              <w:jc w:val="left"/>
            </w:pPr>
            <w:r>
              <w:rPr>
                <w:rFonts w:hint="eastAsia"/>
                <w:b/>
                <w:bCs/>
              </w:rPr>
              <w:t>储备项目：</w:t>
            </w:r>
            <w:r>
              <w:rPr>
                <w:rFonts w:hint="eastAsia"/>
              </w:rPr>
              <w:t>结合农村公路补短建设、道路沿线生态修复等项目同步推进安全韧性和养护保障相关内容。</w:t>
            </w:r>
          </w:p>
        </w:tc>
      </w:tr>
    </w:tbl>
    <w:p w14:paraId="09B6D5C5">
      <w:pPr>
        <w:ind w:firstLine="560"/>
      </w:pPr>
    </w:p>
    <w:p w14:paraId="46339B04">
      <w:pPr>
        <w:pStyle w:val="3"/>
      </w:pPr>
      <w:bookmarkStart w:id="51" w:name="_Toc25385"/>
      <w:r>
        <w:rPr>
          <w:rFonts w:hint="eastAsia"/>
        </w:rPr>
        <w:t>推进智慧绿色低空发展，提升行业现代治理能力</w:t>
      </w:r>
      <w:bookmarkEnd w:id="51"/>
    </w:p>
    <w:p w14:paraId="44CEC7FD">
      <w:pPr>
        <w:ind w:firstLine="562"/>
      </w:pPr>
      <w:r>
        <w:rPr>
          <w:rFonts w:hint="eastAsia" w:ascii="Times New Roman" w:hAnsi="Times New Roman" w:eastAsia="楷体_GB2312" w:cs="黑体"/>
          <w:b/>
          <w:bCs/>
        </w:rPr>
        <w:t>推进交通信息化建设。</w:t>
      </w:r>
      <w:r>
        <w:rPr>
          <w:rFonts w:hint="eastAsia"/>
        </w:rPr>
        <w:t>围绕国省干线和农村公路主要通道，建设信息化治超、流量检测、实时监控等设施，提升重点路段运行监测、路况感知、交通管理和应急调度能力。结合旅游通道和重点景区需求，推动交通信息与旅游服务融合，提升公众出行信息发布、旅游导览和交通组织能力。</w:t>
      </w:r>
    </w:p>
    <w:p w14:paraId="4BDAFF17">
      <w:pPr>
        <w:ind w:firstLine="562"/>
      </w:pPr>
      <w:r>
        <w:rPr>
          <w:rFonts w:hint="eastAsia" w:ascii="Times New Roman" w:hAnsi="Times New Roman" w:eastAsia="楷体_GB2312" w:cs="黑体"/>
          <w:b/>
          <w:bCs/>
        </w:rPr>
        <w:t>推动道路沿线生态修复。</w:t>
      </w:r>
      <w:r>
        <w:rPr>
          <w:rFonts w:hint="eastAsia"/>
        </w:rPr>
        <w:t>坚持生态优先、绿色发展，推进红原县道路沿线生态修复项目，对国省干线和农村公路沿线开展路域环境整治、生态修复、绿化美化和景观提升。严格落实生态保护要求，推动交通建设与草原湿地保护、黄河上游水源涵养和全域旅游形象提升相协调。</w:t>
      </w:r>
    </w:p>
    <w:p w14:paraId="2B78E874">
      <w:pPr>
        <w:ind w:firstLine="562"/>
      </w:pPr>
      <w:r>
        <w:rPr>
          <w:rFonts w:hint="eastAsia" w:ascii="Times New Roman" w:hAnsi="Times New Roman" w:eastAsia="楷体_GB2312" w:cs="黑体"/>
          <w:b/>
          <w:bCs/>
        </w:rPr>
        <w:t>培育低空经济应用场景。</w:t>
      </w:r>
      <w:r>
        <w:rPr>
          <w:rFonts w:hint="eastAsia"/>
        </w:rPr>
        <w:t>依托红原机场、通用机场和重点景区，谋划低空经济中心项目，探索直升机、无人机训练、低空观光、AI旅游、应急救援、路网巡检、物流配送等应用场景，推动低空经济与交通、旅游、应急、生态巡护等领域融合发展，培育交通运输新质生产力。</w:t>
      </w:r>
    </w:p>
    <w:tbl>
      <w:tblPr>
        <w:tblStyle w:val="19"/>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Layout w:type="autofit"/>
        <w:tblCellMar>
          <w:top w:w="0" w:type="dxa"/>
          <w:left w:w="108" w:type="dxa"/>
          <w:bottom w:w="0" w:type="dxa"/>
          <w:right w:w="108" w:type="dxa"/>
        </w:tblCellMar>
      </w:tblPr>
      <w:tblGrid>
        <w:gridCol w:w="8277"/>
      </w:tblGrid>
      <w:tr w14:paraId="6BED0AF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trHeight w:val="567" w:hRule="atLeast"/>
          <w:jc w:val="center"/>
        </w:trPr>
        <w:tc>
          <w:tcPr>
            <w:tcW w:w="8277" w:type="dxa"/>
            <w:tcBorders>
              <w:tl2br w:val="nil"/>
              <w:tr2bl w:val="nil"/>
            </w:tcBorders>
            <w:shd w:val="clear" w:color="auto" w:fill="2F5496"/>
            <w:vAlign w:val="center"/>
          </w:tcPr>
          <w:p w14:paraId="587A6E79">
            <w:pPr>
              <w:pStyle w:val="25"/>
              <w:rPr>
                <w:rFonts w:eastAsia="仿宋_GB2312"/>
                <w:color w:val="FFFFFF"/>
              </w:rPr>
            </w:pPr>
            <w:r>
              <w:rPr>
                <w:color w:val="FFFFFF" w:themeColor="background1"/>
                <w14:textFill>
                  <w14:solidFill>
                    <w14:schemeClr w14:val="bg1"/>
                  </w14:solidFill>
                </w14:textFill>
              </w:rPr>
              <w:t xml:space="preserve">专栏 </w:t>
            </w: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 SEQ 专栏 \* ARABIC </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7</w:t>
            </w:r>
            <w:r>
              <w:rPr>
                <w:color w:val="FFFFFF" w:themeColor="background1"/>
                <w14:textFill>
                  <w14:solidFill>
                    <w14:schemeClr w14:val="bg1"/>
                  </w14:solidFill>
                </w14:textFill>
              </w:rPr>
              <w:fldChar w:fldCharType="end"/>
            </w:r>
            <w:r>
              <w:rPr>
                <w:rFonts w:hint="eastAsia"/>
                <w:color w:val="FFFFFF" w:themeColor="background1"/>
                <w14:textFill>
                  <w14:solidFill>
                    <w14:schemeClr w14:val="bg1"/>
                  </w14:solidFill>
                </w14:textFill>
              </w:rPr>
              <w:t xml:space="preserve"> 红原县“十五五”智慧绿色低空重点项目</w:t>
            </w:r>
          </w:p>
        </w:tc>
      </w:tr>
      <w:tr w14:paraId="3E08588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none" w:color="auto" w:sz="0" w:space="0"/>
          </w:tblBorders>
          <w:tblCellMar>
            <w:top w:w="0" w:type="dxa"/>
            <w:left w:w="108" w:type="dxa"/>
            <w:bottom w:w="0" w:type="dxa"/>
            <w:right w:w="108" w:type="dxa"/>
          </w:tblCellMar>
        </w:tblPrEx>
        <w:trPr>
          <w:jc w:val="center"/>
        </w:trPr>
        <w:tc>
          <w:tcPr>
            <w:tcW w:w="8277" w:type="dxa"/>
            <w:tcBorders>
              <w:tl2br w:val="nil"/>
              <w:tr2bl w:val="nil"/>
            </w:tcBorders>
            <w:shd w:val="clear" w:color="auto" w:fill="FFFFFF"/>
          </w:tcPr>
          <w:p w14:paraId="7FCAC553">
            <w:pPr>
              <w:pStyle w:val="23"/>
              <w:spacing w:before="120" w:after="120"/>
              <w:ind w:firstLine="482" w:firstLineChars="200"/>
              <w:jc w:val="left"/>
            </w:pPr>
            <w:r>
              <w:rPr>
                <w:rFonts w:hint="eastAsia"/>
                <w:b/>
                <w:bCs/>
              </w:rPr>
              <w:t>促开工项目：</w:t>
            </w:r>
            <w:r>
              <w:rPr>
                <w:rFonts w:hint="eastAsia"/>
              </w:rPr>
              <w:t>公路信息化建设。</w:t>
            </w:r>
          </w:p>
          <w:p w14:paraId="2100FD76">
            <w:pPr>
              <w:pStyle w:val="23"/>
              <w:spacing w:before="120" w:after="120"/>
              <w:ind w:firstLine="482" w:firstLineChars="200"/>
              <w:jc w:val="left"/>
            </w:pPr>
            <w:r>
              <w:rPr>
                <w:rFonts w:hint="eastAsia"/>
                <w:b/>
                <w:bCs/>
              </w:rPr>
              <w:t>储备项目：</w:t>
            </w:r>
            <w:r>
              <w:rPr>
                <w:rFonts w:hint="eastAsia"/>
              </w:rPr>
              <w:t>红原县道路沿线生态修复；低空经济中心；红原通用机场。</w:t>
            </w:r>
          </w:p>
        </w:tc>
      </w:tr>
    </w:tbl>
    <w:p w14:paraId="613929E1">
      <w:pPr>
        <w:ind w:firstLine="560"/>
      </w:pPr>
    </w:p>
    <w:p w14:paraId="00FE4A7D">
      <w:pPr>
        <w:ind w:firstLine="560"/>
      </w:pPr>
    </w:p>
    <w:p w14:paraId="367C5502">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AD5FF06">
      <w:pPr>
        <w:pStyle w:val="2"/>
      </w:pPr>
      <w:bookmarkStart w:id="52" w:name="_Toc13016"/>
      <w:bookmarkStart w:id="53" w:name="_Toc1193"/>
      <w:r>
        <w:rPr>
          <w:rFonts w:hint="eastAsia"/>
        </w:rPr>
        <w:t>资金需求</w:t>
      </w:r>
      <w:bookmarkEnd w:id="52"/>
      <w:bookmarkEnd w:id="53"/>
    </w:p>
    <w:p w14:paraId="5EA5718E">
      <w:pPr>
        <w:ind w:firstLine="560"/>
      </w:pPr>
      <w:r>
        <w:rPr>
          <w:rFonts w:hint="eastAsia"/>
        </w:rPr>
        <w:t>经对“十五五”期间规划建设和谋划储备的铁路、机场、高速公路、普通国省干线、农村公路、农村公路桥梁、安防设施、配套设施、客货运站场、交旅融合、低空经济及道路沿线生态修复等项目进行投资估算汇总，红原县综合交通运输发展“十五五”规划项目的总投资约862.75亿元，其中在“十五五”期间计划完成投资约214.85亿元。总体来看，规划投资以高速公路、普通国省干线等重大通道项目为主体，以农村公路、交旅融合、站场设施、养护安防和生态修复等项目为补充，统筹近期建设、促开工项目和远期储备，为构建现代综合交通运输体系提供项目和资金支撑。</w:t>
      </w:r>
    </w:p>
    <w:p w14:paraId="0C022F67">
      <w:pPr>
        <w:pStyle w:val="3"/>
      </w:pPr>
      <w:bookmarkStart w:id="54" w:name="_Toc24665"/>
      <w:r>
        <w:rPr>
          <w:rFonts w:hint="eastAsia"/>
        </w:rPr>
        <w:t>投资构成</w:t>
      </w:r>
      <w:bookmarkEnd w:id="54"/>
    </w:p>
    <w:p w14:paraId="4AE13B97">
      <w:pPr>
        <w:pStyle w:val="4"/>
        <w:ind w:firstLine="562"/>
      </w:pPr>
      <w:r>
        <w:rPr>
          <w:rFonts w:hint="eastAsia"/>
        </w:rPr>
        <w:t>按项目类别划分</w:t>
      </w:r>
    </w:p>
    <w:p w14:paraId="3DB7DA09">
      <w:pPr>
        <w:ind w:firstLine="560"/>
      </w:pPr>
      <w:r>
        <w:rPr>
          <w:rFonts w:hint="eastAsia"/>
        </w:rPr>
        <w:t>“十五五”时期，红原县综合交通运输规划项目投资按类别统计主要集中在高速公路、普通国省干线、农村公路和交旅融合项目，其中高速公路投资占比最高，达到85.1%（182.81亿元），是“十五五”交通建设的绝对主力；普通国省干线投资占比8.8%（18.91亿元）；农村公路（含桥梁）投资占比2.7%（5.84亿元）；交旅融合项目投资占比1.9%（4.08亿元）。铁路建设、机场建设、低空经济等均为储备类或远期类项目，“十五五”期间暂无计划投资。详细投资数据见</w:t>
      </w:r>
      <w:r>
        <w:rPr>
          <w:rFonts w:hint="eastAsia"/>
        </w:rPr>
        <w:fldChar w:fldCharType="begin"/>
      </w:r>
      <w:r>
        <w:rPr>
          <w:rFonts w:hint="eastAsia"/>
        </w:rPr>
        <w:instrText xml:space="preserve"> REF _Ref13869 \h </w:instrText>
      </w:r>
      <w:r>
        <w:rPr>
          <w:rFonts w:hint="eastAsia"/>
        </w:rPr>
        <w:fldChar w:fldCharType="separate"/>
      </w:r>
      <w:r>
        <w:t>表 12</w:t>
      </w:r>
      <w:r>
        <w:rPr>
          <w:rFonts w:hint="eastAsia"/>
        </w:rPr>
        <w:fldChar w:fldCharType="end"/>
      </w:r>
      <w:r>
        <w:rPr>
          <w:rFonts w:hint="eastAsia"/>
        </w:rPr>
        <w:t>。</w:t>
      </w:r>
    </w:p>
    <w:p w14:paraId="51345E5D">
      <w:pPr>
        <w:ind w:firstLine="562"/>
      </w:pPr>
      <w:r>
        <w:rPr>
          <w:rFonts w:hint="eastAsia" w:ascii="Times New Roman" w:hAnsi="Times New Roman" w:eastAsia="楷体_GB2312" w:cs="黑体"/>
          <w:b/>
          <w:bCs/>
        </w:rPr>
        <w:t>铁路建设项目</w:t>
      </w:r>
      <w:r>
        <w:rPr>
          <w:rFonts w:hint="eastAsia"/>
        </w:rPr>
        <w:t>总投资460亿元，但“十五五”期间暂无计划投资。主要包括成都至格尔木铁路、合作经马尔康至理塘至香格里拉铁路2个储备项目，均为远期谋划研究项目，投资主要安排在“十五五”以后。</w:t>
      </w:r>
    </w:p>
    <w:p w14:paraId="6115007B">
      <w:pPr>
        <w:ind w:firstLine="562"/>
      </w:pPr>
      <w:r>
        <w:rPr>
          <w:rFonts w:hint="eastAsia" w:ascii="Times New Roman" w:hAnsi="Times New Roman" w:eastAsia="楷体_GB2312" w:cs="黑体"/>
          <w:b/>
          <w:bCs/>
        </w:rPr>
        <w:t>机场建设项目</w:t>
      </w:r>
      <w:r>
        <w:rPr>
          <w:rFonts w:hint="eastAsia"/>
        </w:rPr>
        <w:t>总投资14亿元，但“十五五”期间暂无计划投资。主要包括红原机场改扩建、红原通用机场2个储备项目，建设期主要安排在2031年以后。</w:t>
      </w:r>
    </w:p>
    <w:p w14:paraId="7DC061B2">
      <w:pPr>
        <w:ind w:firstLine="562"/>
      </w:pPr>
      <w:r>
        <w:rPr>
          <w:rFonts w:hint="eastAsia" w:ascii="Times New Roman" w:hAnsi="Times New Roman" w:eastAsia="楷体_GB2312" w:cs="黑体"/>
          <w:b/>
          <w:bCs/>
        </w:rPr>
        <w:t>高速公路项目</w:t>
      </w:r>
      <w:r>
        <w:rPr>
          <w:rFonts w:hint="eastAsia"/>
        </w:rPr>
        <w:t>总投资317.26亿元，“十五五”期间计划投资182.81亿元。主要包括G0615久治（川青界）至马尔康段高速公路、G0611郎木寺（川甘界）至川主寺段高速公路工程、S14川主寺至红原段高速公路工程、S28黑刷高速黑水至红原段等项目，是“十五五”期间投资规模最大的项目类别。</w:t>
      </w:r>
    </w:p>
    <w:p w14:paraId="5870E2E6">
      <w:pPr>
        <w:ind w:firstLine="562"/>
      </w:pPr>
      <w:r>
        <w:rPr>
          <w:rFonts w:hint="eastAsia" w:ascii="Times New Roman" w:hAnsi="Times New Roman" w:eastAsia="楷体_GB2312" w:cs="黑体"/>
          <w:b/>
          <w:bCs/>
        </w:rPr>
        <w:t>普通国省干线项目</w:t>
      </w:r>
      <w:r>
        <w:rPr>
          <w:rFonts w:hint="eastAsia"/>
        </w:rPr>
        <w:t>总投资40.27亿元，“十五五”期间计划投资18.91亿元。主要包括S313红原县阿木乡至松潘县草原村段改建工程、G248红原县城过境段公路改建工程、G347阿坝县青海界至红原县安曲镇段改建工程、G248红原县瓦切镇（若尔盖界）至月亮湾服务区段改建工程、S301松潘县川主寺镇（尕里台）至红原县瓦切镇段韧性提升工程、G248红原县安曲隆登嘎至安曲老牧场改线工程、G248马尔康市三家寨至红原县壤口段改建工程等项目。</w:t>
      </w:r>
    </w:p>
    <w:p w14:paraId="7DBD677E">
      <w:pPr>
        <w:ind w:firstLine="562"/>
      </w:pPr>
      <w:r>
        <w:rPr>
          <w:rFonts w:hint="eastAsia" w:ascii="Times New Roman" w:hAnsi="Times New Roman" w:eastAsia="楷体_GB2312" w:cs="黑体"/>
          <w:b/>
          <w:bCs/>
        </w:rPr>
        <w:t>农村公路项目</w:t>
      </w:r>
      <w:r>
        <w:rPr>
          <w:rFonts w:hint="eastAsia"/>
        </w:rPr>
        <w:t>总投资15.98亿元，“十五五”期间计划投资5.09亿元。主要包括幸福美丽乡村路、农村公路更新提质工程、农村公路补短建设项目、出县通道及部分次差路改建工程等，重点提升农村公路通达深度、路况水平和服务产业能力。</w:t>
      </w:r>
    </w:p>
    <w:p w14:paraId="66385A16">
      <w:pPr>
        <w:ind w:firstLine="562"/>
      </w:pPr>
      <w:r>
        <w:rPr>
          <w:rFonts w:hint="eastAsia" w:ascii="Times New Roman" w:hAnsi="Times New Roman" w:eastAsia="楷体_GB2312" w:cs="黑体"/>
          <w:b/>
          <w:bCs/>
        </w:rPr>
        <w:t>农村公路桥梁建设项目</w:t>
      </w:r>
      <w:r>
        <w:rPr>
          <w:rFonts w:hint="eastAsia"/>
        </w:rPr>
        <w:t>总投资0.75亿元，“十五五”期间计划投资0.75亿元。主要为农村公路桥梁补短建设项目，计划新改建农村公路桥梁15座。</w:t>
      </w:r>
    </w:p>
    <w:p w14:paraId="1AE4EE03">
      <w:pPr>
        <w:ind w:firstLine="562"/>
      </w:pPr>
      <w:r>
        <w:rPr>
          <w:rFonts w:hint="eastAsia" w:ascii="Times New Roman" w:hAnsi="Times New Roman" w:eastAsia="楷体_GB2312" w:cs="黑体"/>
          <w:b/>
          <w:bCs/>
        </w:rPr>
        <w:t>安防设施项目</w:t>
      </w:r>
      <w:r>
        <w:rPr>
          <w:rFonts w:hint="eastAsia"/>
        </w:rPr>
        <w:t>总投资0.06亿元，“十五五”期间计划投资0.06亿元。主要为国省道农村公路安全防护设施补短建设项目，重点实施波形防护设施、桥梁安全防护和安全隐患处置等内容。</w:t>
      </w:r>
    </w:p>
    <w:p w14:paraId="5B8BB1C5">
      <w:pPr>
        <w:ind w:firstLine="562"/>
      </w:pPr>
      <w:r>
        <w:rPr>
          <w:rFonts w:hint="eastAsia" w:ascii="Times New Roman" w:hAnsi="Times New Roman" w:eastAsia="楷体_GB2312" w:cs="黑体"/>
          <w:b/>
          <w:bCs/>
        </w:rPr>
        <w:t>配套设施项目</w:t>
      </w:r>
      <w:r>
        <w:rPr>
          <w:rFonts w:hint="eastAsia"/>
        </w:rPr>
        <w:t>总投资1.85亿元，“十五五”期间计划投资1.85亿元。主要包括养护中心养护站建设、G248红原县城综合服务区、国省干线服务区建设或提升改造等项目，重点提升公路养护保障和沿线服务能力。</w:t>
      </w:r>
    </w:p>
    <w:p w14:paraId="192FB3C0">
      <w:pPr>
        <w:ind w:firstLine="562"/>
      </w:pPr>
      <w:r>
        <w:rPr>
          <w:rFonts w:hint="eastAsia" w:ascii="Times New Roman" w:hAnsi="Times New Roman" w:eastAsia="楷体_GB2312" w:cs="黑体"/>
          <w:b/>
          <w:bCs/>
        </w:rPr>
        <w:t>客、货运站场建设项目</w:t>
      </w:r>
      <w:r>
        <w:rPr>
          <w:rFonts w:hint="eastAsia"/>
        </w:rPr>
        <w:t>总投资3.50亿元，“十五五”期间计划投资0.30亿元。主要包括高铁红原站接驳站和物流中心等项目，逐步完善客货运输节点布局和县乡村物流服务体系。</w:t>
      </w:r>
    </w:p>
    <w:p w14:paraId="560F96C7">
      <w:pPr>
        <w:ind w:firstLine="562"/>
      </w:pPr>
      <w:r>
        <w:rPr>
          <w:rFonts w:hint="eastAsia" w:ascii="Times New Roman" w:hAnsi="Times New Roman" w:eastAsia="楷体_GB2312" w:cs="黑体"/>
          <w:b/>
          <w:bCs/>
        </w:rPr>
        <w:t>交旅融合项目</w:t>
      </w:r>
      <w:r>
        <w:rPr>
          <w:rFonts w:hint="eastAsia"/>
        </w:rPr>
        <w:t>总投资4.08亿元，“十五五”期间计划投资4.08亿元。主要包括红原县G248旅游化改造项目、红原县S301旅游化改造项目、红原县S217旅游化改造项目和公路信息化建设等项目，推动交通通道向旅游廊道、服务廊道和消费廊道转变。</w:t>
      </w:r>
    </w:p>
    <w:p w14:paraId="2F183BD1">
      <w:pPr>
        <w:ind w:firstLine="562"/>
      </w:pPr>
      <w:r>
        <w:rPr>
          <w:rFonts w:hint="eastAsia" w:ascii="Times New Roman" w:hAnsi="Times New Roman" w:eastAsia="楷体_GB2312" w:cs="黑体"/>
          <w:b/>
          <w:bCs/>
        </w:rPr>
        <w:t>低空经济项目</w:t>
      </w:r>
      <w:r>
        <w:rPr>
          <w:rFonts w:hint="eastAsia"/>
        </w:rPr>
        <w:t>总投资2.00亿元，但“十五五”期间暂无计划投资。主要为低空经济中心储备项目，依托红原机场、通用机场和重点景区，谋划发展直升机、无人机训练、观光、AI旅游等新业态。</w:t>
      </w:r>
    </w:p>
    <w:p w14:paraId="4FBB8D80">
      <w:pPr>
        <w:ind w:firstLine="562"/>
      </w:pPr>
      <w:r>
        <w:rPr>
          <w:rFonts w:hint="eastAsia" w:ascii="Times New Roman" w:hAnsi="Times New Roman" w:eastAsia="楷体_GB2312" w:cs="黑体"/>
          <w:b/>
          <w:bCs/>
        </w:rPr>
        <w:t>道路沿线生态修复项目</w:t>
      </w:r>
      <w:r>
        <w:rPr>
          <w:rFonts w:hint="eastAsia"/>
        </w:rPr>
        <w:t>总投资3.00亿元，“十五五”期间计划投资1.00亿元。主要为红原县道路沿线生态修复项目，重点对国省干线和农村公路沿线开展生态修复、路域环境整治和景观提升。</w:t>
      </w:r>
    </w:p>
    <w:p w14:paraId="693059C3">
      <w:pPr>
        <w:pStyle w:val="25"/>
      </w:pPr>
      <w:bookmarkStart w:id="55" w:name="_Ref13869"/>
      <w:r>
        <w:t xml:space="preserve">表 </w:t>
      </w:r>
      <w:r>
        <w:fldChar w:fldCharType="begin"/>
      </w:r>
      <w:r>
        <w:instrText xml:space="preserve"> SEQ 表 \* ARABIC </w:instrText>
      </w:r>
      <w:r>
        <w:fldChar w:fldCharType="separate"/>
      </w:r>
      <w:r>
        <w:t>12</w:t>
      </w:r>
      <w:r>
        <w:fldChar w:fldCharType="end"/>
      </w:r>
      <w:bookmarkEnd w:id="55"/>
      <w:r>
        <w:rPr>
          <w:rFonts w:hint="eastAsia"/>
        </w:rPr>
        <w:t xml:space="preserve"> 红原县综合交通运输“十五五”规划项目投资分类别统计表</w:t>
      </w:r>
    </w:p>
    <w:tbl>
      <w:tblPr>
        <w:tblStyle w:val="18"/>
        <w:tblW w:w="7823" w:type="dxa"/>
        <w:jc w:val="center"/>
        <w:tblLayout w:type="fixed"/>
        <w:tblCellMar>
          <w:top w:w="0" w:type="dxa"/>
          <w:left w:w="108" w:type="dxa"/>
          <w:bottom w:w="0" w:type="dxa"/>
          <w:right w:w="108" w:type="dxa"/>
        </w:tblCellMar>
      </w:tblPr>
      <w:tblGrid>
        <w:gridCol w:w="3061"/>
        <w:gridCol w:w="2381"/>
        <w:gridCol w:w="2381"/>
      </w:tblGrid>
      <w:tr w14:paraId="1AD28631">
        <w:tblPrEx>
          <w:tblCellMar>
            <w:top w:w="0" w:type="dxa"/>
            <w:left w:w="108" w:type="dxa"/>
            <w:bottom w:w="0" w:type="dxa"/>
            <w:right w:w="108" w:type="dxa"/>
          </w:tblCellMar>
        </w:tblPrEx>
        <w:trPr>
          <w:trHeight w:val="397" w:hRule="atLeast"/>
          <w:jc w:val="center"/>
        </w:trPr>
        <w:tc>
          <w:tcPr>
            <w:tcW w:w="3061" w:type="dxa"/>
            <w:tcBorders>
              <w:top w:val="single" w:color="000000" w:sz="12" w:space="0"/>
              <w:left w:val="nil"/>
              <w:bottom w:val="single" w:color="000000" w:sz="8" w:space="0"/>
              <w:right w:val="single" w:color="000000" w:sz="4" w:space="0"/>
            </w:tcBorders>
            <w:shd w:val="clear" w:color="auto" w:fill="FFFFFF"/>
            <w:noWrap/>
            <w:vAlign w:val="center"/>
          </w:tcPr>
          <w:p w14:paraId="7EF08E1D">
            <w:pPr>
              <w:pStyle w:val="24"/>
            </w:pPr>
            <w:r>
              <w:rPr>
                <w:rFonts w:hint="eastAsia"/>
              </w:rPr>
              <w:t>项目类别</w:t>
            </w:r>
          </w:p>
        </w:tc>
        <w:tc>
          <w:tcPr>
            <w:tcW w:w="2381"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6D88ED89">
            <w:pPr>
              <w:pStyle w:val="24"/>
            </w:pPr>
            <w:r>
              <w:rPr>
                <w:rFonts w:hint="eastAsia"/>
              </w:rPr>
              <w:t>“十五五”投资</w:t>
            </w:r>
          </w:p>
          <w:p w14:paraId="390D9C7A">
            <w:pPr>
              <w:pStyle w:val="24"/>
            </w:pPr>
            <w:r>
              <w:rPr>
                <w:rFonts w:hint="eastAsia"/>
              </w:rPr>
              <w:t>(亿元)</w:t>
            </w:r>
          </w:p>
        </w:tc>
        <w:tc>
          <w:tcPr>
            <w:tcW w:w="2381" w:type="dxa"/>
            <w:tcBorders>
              <w:top w:val="single" w:color="000000" w:sz="12" w:space="0"/>
              <w:left w:val="single" w:color="000000" w:sz="4" w:space="0"/>
              <w:bottom w:val="single" w:color="000000" w:sz="8" w:space="0"/>
              <w:right w:val="nil"/>
            </w:tcBorders>
            <w:shd w:val="clear" w:color="auto" w:fill="FFFFFF"/>
            <w:noWrap/>
            <w:vAlign w:val="center"/>
          </w:tcPr>
          <w:p w14:paraId="5A38C9F6">
            <w:pPr>
              <w:pStyle w:val="24"/>
            </w:pPr>
            <w:r>
              <w:rPr>
                <w:rFonts w:hint="eastAsia"/>
              </w:rPr>
              <w:t>总投资</w:t>
            </w:r>
          </w:p>
          <w:p w14:paraId="4FA8D3CF">
            <w:pPr>
              <w:pStyle w:val="24"/>
            </w:pPr>
            <w:r>
              <w:rPr>
                <w:rFonts w:hint="eastAsia"/>
              </w:rPr>
              <w:t>（亿元）</w:t>
            </w:r>
          </w:p>
        </w:tc>
      </w:tr>
      <w:tr w14:paraId="7DA37199">
        <w:tblPrEx>
          <w:tblCellMar>
            <w:top w:w="0" w:type="dxa"/>
            <w:left w:w="108" w:type="dxa"/>
            <w:bottom w:w="0" w:type="dxa"/>
            <w:right w:w="108" w:type="dxa"/>
          </w:tblCellMar>
        </w:tblPrEx>
        <w:trPr>
          <w:trHeight w:val="397" w:hRule="atLeast"/>
          <w:jc w:val="center"/>
        </w:trPr>
        <w:tc>
          <w:tcPr>
            <w:tcW w:w="3061" w:type="dxa"/>
            <w:tcBorders>
              <w:top w:val="single" w:color="000000" w:sz="8" w:space="0"/>
              <w:left w:val="nil"/>
              <w:bottom w:val="single" w:color="000000" w:sz="4" w:space="0"/>
              <w:right w:val="single" w:color="000000" w:sz="4" w:space="0"/>
            </w:tcBorders>
            <w:shd w:val="clear" w:color="auto" w:fill="FFFFFF"/>
            <w:noWrap/>
            <w:vAlign w:val="center"/>
          </w:tcPr>
          <w:p w14:paraId="1972BF0C">
            <w:pPr>
              <w:pStyle w:val="23"/>
            </w:pPr>
            <w:r>
              <w:rPr>
                <w:rFonts w:hint="eastAsia"/>
              </w:rPr>
              <w:t>铁路建设</w:t>
            </w:r>
          </w:p>
        </w:tc>
        <w:tc>
          <w:tcPr>
            <w:tcW w:w="2381"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62180081">
            <w:pPr>
              <w:pStyle w:val="23"/>
            </w:pPr>
            <w:r>
              <w:rPr>
                <w:rFonts w:hint="eastAsia"/>
              </w:rPr>
              <w:t xml:space="preserve">0.00 </w:t>
            </w:r>
          </w:p>
        </w:tc>
        <w:tc>
          <w:tcPr>
            <w:tcW w:w="2381" w:type="dxa"/>
            <w:tcBorders>
              <w:top w:val="single" w:color="000000" w:sz="8" w:space="0"/>
              <w:left w:val="single" w:color="000000" w:sz="4" w:space="0"/>
              <w:bottom w:val="single" w:color="000000" w:sz="4" w:space="0"/>
              <w:right w:val="nil"/>
            </w:tcBorders>
            <w:shd w:val="clear" w:color="auto" w:fill="FFFFFF"/>
            <w:noWrap/>
            <w:vAlign w:val="center"/>
          </w:tcPr>
          <w:p w14:paraId="4DD84A33">
            <w:pPr>
              <w:pStyle w:val="23"/>
            </w:pPr>
            <w:r>
              <w:rPr>
                <w:rFonts w:hint="eastAsia"/>
              </w:rPr>
              <w:t xml:space="preserve">460.00 </w:t>
            </w:r>
          </w:p>
        </w:tc>
      </w:tr>
      <w:tr w14:paraId="6DBD634F">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249EA14">
            <w:pPr>
              <w:pStyle w:val="23"/>
            </w:pPr>
            <w:r>
              <w:rPr>
                <w:rFonts w:hint="eastAsia"/>
              </w:rPr>
              <w:t>机场建设</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5BF87">
            <w:pPr>
              <w:pStyle w:val="23"/>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39B19C13">
            <w:pPr>
              <w:pStyle w:val="23"/>
            </w:pPr>
            <w:r>
              <w:rPr>
                <w:rFonts w:hint="eastAsia"/>
              </w:rPr>
              <w:t xml:space="preserve">14.00 </w:t>
            </w:r>
          </w:p>
        </w:tc>
      </w:tr>
      <w:tr w14:paraId="7266D55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1597C8CF">
            <w:pPr>
              <w:pStyle w:val="23"/>
            </w:pPr>
            <w:r>
              <w:rPr>
                <w:rFonts w:hint="eastAsia"/>
              </w:rPr>
              <w:t>高速公路</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F7175">
            <w:pPr>
              <w:pStyle w:val="23"/>
            </w:pPr>
            <w:r>
              <w:rPr>
                <w:rFonts w:hint="eastAsia"/>
              </w:rPr>
              <w:t xml:space="preserve">182.81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34B0818D">
            <w:pPr>
              <w:pStyle w:val="23"/>
            </w:pPr>
            <w:r>
              <w:rPr>
                <w:rFonts w:hint="eastAsia"/>
              </w:rPr>
              <w:t xml:space="preserve">317.26 </w:t>
            </w:r>
          </w:p>
        </w:tc>
      </w:tr>
      <w:tr w14:paraId="5F2A8E20">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E143423">
            <w:pPr>
              <w:pStyle w:val="23"/>
            </w:pPr>
            <w:r>
              <w:rPr>
                <w:rFonts w:hint="eastAsia"/>
              </w:rPr>
              <w:t>普通国省干线</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11D86">
            <w:pPr>
              <w:pStyle w:val="23"/>
            </w:pPr>
            <w:r>
              <w:rPr>
                <w:rFonts w:hint="eastAsia"/>
              </w:rPr>
              <w:t xml:space="preserve">18.91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49766C6E">
            <w:pPr>
              <w:pStyle w:val="23"/>
            </w:pPr>
            <w:r>
              <w:rPr>
                <w:rFonts w:hint="eastAsia"/>
              </w:rPr>
              <w:t xml:space="preserve">40.27 </w:t>
            </w:r>
          </w:p>
        </w:tc>
      </w:tr>
      <w:tr w14:paraId="061598FC">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7E9B5D7A">
            <w:pPr>
              <w:pStyle w:val="23"/>
            </w:pPr>
            <w:r>
              <w:rPr>
                <w:rFonts w:hint="eastAsia"/>
              </w:rPr>
              <w:t>农村公路</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E1B31">
            <w:pPr>
              <w:pStyle w:val="23"/>
            </w:pPr>
            <w:r>
              <w:rPr>
                <w:rFonts w:hint="eastAsia"/>
              </w:rPr>
              <w:t xml:space="preserve">5.09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1A45E2AC">
            <w:pPr>
              <w:pStyle w:val="23"/>
            </w:pPr>
            <w:r>
              <w:rPr>
                <w:rFonts w:hint="eastAsia"/>
              </w:rPr>
              <w:t xml:space="preserve">15.98 </w:t>
            </w:r>
          </w:p>
        </w:tc>
      </w:tr>
      <w:tr w14:paraId="0C527243">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59AAD61">
            <w:pPr>
              <w:pStyle w:val="23"/>
            </w:pPr>
            <w:r>
              <w:rPr>
                <w:rFonts w:hint="eastAsia"/>
              </w:rPr>
              <w:t>农村公路-桥梁建设</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A0DB3">
            <w:pPr>
              <w:pStyle w:val="23"/>
            </w:pPr>
            <w:r>
              <w:rPr>
                <w:rFonts w:hint="eastAsia"/>
              </w:rPr>
              <w:t xml:space="preserve">0.75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8EC4CFE">
            <w:pPr>
              <w:pStyle w:val="23"/>
            </w:pPr>
            <w:r>
              <w:rPr>
                <w:rFonts w:hint="eastAsia"/>
              </w:rPr>
              <w:t xml:space="preserve">0.75 </w:t>
            </w:r>
          </w:p>
        </w:tc>
      </w:tr>
      <w:tr w14:paraId="114A8698">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51F61A7A">
            <w:pPr>
              <w:pStyle w:val="23"/>
            </w:pPr>
            <w:r>
              <w:rPr>
                <w:rFonts w:hint="eastAsia"/>
              </w:rPr>
              <w:t>安防设施</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2A59E">
            <w:pPr>
              <w:pStyle w:val="23"/>
            </w:pPr>
            <w:r>
              <w:rPr>
                <w:rFonts w:hint="eastAsia"/>
              </w:rPr>
              <w:t xml:space="preserve">0.06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8787C70">
            <w:pPr>
              <w:pStyle w:val="23"/>
            </w:pPr>
            <w:r>
              <w:rPr>
                <w:rFonts w:hint="eastAsia"/>
              </w:rPr>
              <w:t xml:space="preserve">0.06 </w:t>
            </w:r>
          </w:p>
        </w:tc>
      </w:tr>
      <w:tr w14:paraId="3A04B43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731A27A5">
            <w:pPr>
              <w:pStyle w:val="23"/>
            </w:pPr>
            <w:r>
              <w:rPr>
                <w:rFonts w:hint="eastAsia"/>
              </w:rPr>
              <w:t>配套设施</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C825">
            <w:pPr>
              <w:pStyle w:val="23"/>
            </w:pPr>
            <w:r>
              <w:rPr>
                <w:rFonts w:hint="eastAsia"/>
              </w:rPr>
              <w:t xml:space="preserve">1.85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545E2029">
            <w:pPr>
              <w:pStyle w:val="23"/>
            </w:pPr>
            <w:r>
              <w:rPr>
                <w:rFonts w:hint="eastAsia"/>
              </w:rPr>
              <w:t xml:space="preserve">1.85 </w:t>
            </w:r>
          </w:p>
        </w:tc>
      </w:tr>
      <w:tr w14:paraId="1DC8FD16">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1835EDA">
            <w:pPr>
              <w:pStyle w:val="23"/>
            </w:pPr>
            <w:r>
              <w:rPr>
                <w:rFonts w:hint="eastAsia"/>
              </w:rPr>
              <w:t>客、货运站场建设</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AB11B">
            <w:pPr>
              <w:pStyle w:val="23"/>
            </w:pPr>
            <w:r>
              <w:rPr>
                <w:rFonts w:hint="eastAsia"/>
              </w:rPr>
              <w:t xml:space="preserve">0.30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6BC91F77">
            <w:pPr>
              <w:pStyle w:val="23"/>
            </w:pPr>
            <w:r>
              <w:rPr>
                <w:rFonts w:hint="eastAsia"/>
              </w:rPr>
              <w:t xml:space="preserve">3.50 </w:t>
            </w:r>
          </w:p>
        </w:tc>
      </w:tr>
      <w:tr w14:paraId="1AFB790B">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2A1FB5A">
            <w:pPr>
              <w:pStyle w:val="23"/>
            </w:pPr>
            <w:r>
              <w:rPr>
                <w:rFonts w:hint="eastAsia"/>
              </w:rPr>
              <w:t>交旅融合项目</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474AD">
            <w:pPr>
              <w:pStyle w:val="23"/>
            </w:pPr>
            <w:r>
              <w:rPr>
                <w:rFonts w:hint="eastAsia"/>
              </w:rPr>
              <w:t xml:space="preserve">4.08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66CE78B">
            <w:pPr>
              <w:pStyle w:val="23"/>
            </w:pPr>
            <w:r>
              <w:rPr>
                <w:rFonts w:hint="eastAsia"/>
              </w:rPr>
              <w:t xml:space="preserve">4.08 </w:t>
            </w:r>
          </w:p>
        </w:tc>
      </w:tr>
      <w:tr w14:paraId="1F637FE0">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3C5F61A7">
            <w:pPr>
              <w:pStyle w:val="23"/>
            </w:pPr>
            <w:r>
              <w:rPr>
                <w:rFonts w:hint="eastAsia"/>
              </w:rPr>
              <w:t>低空经济</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22886">
            <w:pPr>
              <w:pStyle w:val="23"/>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494962E3">
            <w:pPr>
              <w:pStyle w:val="23"/>
            </w:pPr>
            <w:r>
              <w:rPr>
                <w:rFonts w:hint="eastAsia"/>
              </w:rPr>
              <w:t xml:space="preserve">2.00 </w:t>
            </w:r>
          </w:p>
        </w:tc>
      </w:tr>
      <w:tr w14:paraId="6425E0A5">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72D6CF2">
            <w:pPr>
              <w:pStyle w:val="23"/>
            </w:pPr>
            <w:r>
              <w:rPr>
                <w:rFonts w:hint="eastAsia"/>
              </w:rPr>
              <w:t>生态沿线修复</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95F13">
            <w:pPr>
              <w:pStyle w:val="23"/>
            </w:pPr>
            <w:r>
              <w:rPr>
                <w:rFonts w:hint="eastAsia"/>
              </w:rPr>
              <w:t xml:space="preserve">1.00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4681299A">
            <w:pPr>
              <w:pStyle w:val="23"/>
            </w:pPr>
            <w:r>
              <w:rPr>
                <w:rFonts w:hint="eastAsia"/>
              </w:rPr>
              <w:t xml:space="preserve">3.00 </w:t>
            </w:r>
          </w:p>
        </w:tc>
      </w:tr>
      <w:tr w14:paraId="7ADFE70E">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12" w:space="0"/>
              <w:right w:val="single" w:color="000000" w:sz="4" w:space="0"/>
            </w:tcBorders>
            <w:shd w:val="clear" w:color="auto" w:fill="FFFFFF"/>
            <w:noWrap/>
            <w:vAlign w:val="center"/>
          </w:tcPr>
          <w:p w14:paraId="1C2802C5">
            <w:pPr>
              <w:pStyle w:val="23"/>
            </w:pPr>
            <w:r>
              <w:rPr>
                <w:rFonts w:hint="eastAsia"/>
              </w:rPr>
              <w:t>总计</w:t>
            </w:r>
          </w:p>
        </w:tc>
        <w:tc>
          <w:tcPr>
            <w:tcW w:w="2381"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45FEF776">
            <w:pPr>
              <w:pStyle w:val="23"/>
            </w:pPr>
            <w:r>
              <w:rPr>
                <w:rFonts w:hint="eastAsia"/>
              </w:rPr>
              <w:t xml:space="preserve">214.85 </w:t>
            </w:r>
          </w:p>
        </w:tc>
        <w:tc>
          <w:tcPr>
            <w:tcW w:w="2381" w:type="dxa"/>
            <w:tcBorders>
              <w:top w:val="single" w:color="000000" w:sz="4" w:space="0"/>
              <w:left w:val="single" w:color="000000" w:sz="4" w:space="0"/>
              <w:bottom w:val="single" w:color="000000" w:sz="12" w:space="0"/>
              <w:right w:val="nil"/>
            </w:tcBorders>
            <w:shd w:val="clear" w:color="auto" w:fill="FFFFFF"/>
            <w:noWrap/>
            <w:vAlign w:val="center"/>
          </w:tcPr>
          <w:p w14:paraId="61685709">
            <w:pPr>
              <w:pStyle w:val="23"/>
            </w:pPr>
            <w:r>
              <w:rPr>
                <w:rFonts w:hint="eastAsia"/>
              </w:rPr>
              <w:t xml:space="preserve">862.75 </w:t>
            </w:r>
          </w:p>
        </w:tc>
      </w:tr>
    </w:tbl>
    <w:p w14:paraId="7AB00EC6">
      <w:pPr>
        <w:ind w:firstLine="560"/>
      </w:pPr>
    </w:p>
    <w:p w14:paraId="4F33CA86">
      <w:pPr>
        <w:pStyle w:val="4"/>
        <w:ind w:firstLine="562"/>
      </w:pPr>
      <w:r>
        <w:rPr>
          <w:rFonts w:hint="eastAsia"/>
        </w:rPr>
        <w:t>按项目性质划分</w:t>
      </w:r>
    </w:p>
    <w:p w14:paraId="10ED559E">
      <w:pPr>
        <w:ind w:firstLine="560"/>
      </w:pPr>
      <w:r>
        <w:rPr>
          <w:rFonts w:hint="eastAsia"/>
        </w:rPr>
        <w:t>从项目性质看，“十五五”时期红原县综合交通运输规划投资以续建项目为主，兼顾促开工项目和远期储备项目，详见</w:t>
      </w:r>
      <w:r>
        <w:rPr>
          <w:rFonts w:hint="eastAsia"/>
        </w:rPr>
        <w:fldChar w:fldCharType="begin"/>
      </w:r>
      <w:r>
        <w:rPr>
          <w:rFonts w:hint="eastAsia"/>
        </w:rPr>
        <w:instrText xml:space="preserve"> REF _Ref19343 \h </w:instrText>
      </w:r>
      <w:r>
        <w:rPr>
          <w:rFonts w:hint="eastAsia"/>
        </w:rPr>
        <w:fldChar w:fldCharType="separate"/>
      </w:r>
      <w:r>
        <w:t>表 13</w:t>
      </w:r>
      <w:r>
        <w:rPr>
          <w:rFonts w:hint="eastAsia"/>
        </w:rPr>
        <w:fldChar w:fldCharType="end"/>
      </w:r>
      <w:r>
        <w:rPr>
          <w:rFonts w:hint="eastAsia"/>
        </w:rPr>
        <w:t>。</w:t>
      </w:r>
    </w:p>
    <w:p w14:paraId="7BFA4731">
      <w:pPr>
        <w:ind w:firstLine="560"/>
      </w:pPr>
      <w:r>
        <w:rPr>
          <w:rFonts w:hint="eastAsia"/>
        </w:rPr>
        <w:t>续建项目“十五五”期间计划投资188.51亿元，占“十五五”总投资的87.7%，项目总投资297.59亿元，主要为久马高速、郎川高速、S14川红高速、S313、G248过境段等“十四五”结转和已启动实施项目，是规划期内形成投资实物量的主体。</w:t>
      </w:r>
    </w:p>
    <w:p w14:paraId="4B8A16DD">
      <w:pPr>
        <w:ind w:firstLine="560"/>
      </w:pPr>
      <w:r>
        <w:rPr>
          <w:rFonts w:hint="eastAsia"/>
        </w:rPr>
        <w:t>储备项目“十五五”期间计划投资20.22亿元，占9.4%，项目总投资556.35亿元，主要包括成格铁路、合作至香格里拉铁路、红原机场改扩建、红原通用机场、S28黑刷高速、G248瓦切至月亮湾段、S301韧性提升工程、国省干线服务区、物流中心、低空经济中心、道路沿线生态修复等项目，重点发挥远期谋划和项目接续作用。</w:t>
      </w:r>
    </w:p>
    <w:p w14:paraId="0B9C0410">
      <w:pPr>
        <w:ind w:firstLine="560"/>
      </w:pPr>
      <w:r>
        <w:rPr>
          <w:rFonts w:hint="eastAsia"/>
        </w:rPr>
        <w:t>促开工项目“十五五”期间计划投资6.12亿元，占2.8%，项目总投资8.82亿元，主要包括G347改建、农村公路更新提质、桥梁补短、安防设施、养护中心站、高铁接驳站、公路信息化等项目，是补齐路网短板、提升服务能力的重要支撑。</w:t>
      </w:r>
    </w:p>
    <w:p w14:paraId="7B54A33D">
      <w:pPr>
        <w:pStyle w:val="25"/>
      </w:pPr>
      <w:bookmarkStart w:id="56" w:name="_Ref19343"/>
      <w:r>
        <w:t xml:space="preserve">表 </w:t>
      </w:r>
      <w:r>
        <w:fldChar w:fldCharType="begin"/>
      </w:r>
      <w:r>
        <w:instrText xml:space="preserve"> SEQ 表 \* ARABIC </w:instrText>
      </w:r>
      <w:r>
        <w:fldChar w:fldCharType="separate"/>
      </w:r>
      <w:r>
        <w:t>13</w:t>
      </w:r>
      <w:r>
        <w:fldChar w:fldCharType="end"/>
      </w:r>
      <w:bookmarkEnd w:id="56"/>
      <w:r>
        <w:rPr>
          <w:rFonts w:hint="eastAsia"/>
        </w:rPr>
        <w:t xml:space="preserve"> 红原县综合交通运输“十五五”规划项目投资分性质统计表</w:t>
      </w:r>
    </w:p>
    <w:tbl>
      <w:tblPr>
        <w:tblStyle w:val="18"/>
        <w:tblW w:w="7823" w:type="dxa"/>
        <w:jc w:val="center"/>
        <w:tblLayout w:type="fixed"/>
        <w:tblCellMar>
          <w:top w:w="0" w:type="dxa"/>
          <w:left w:w="108" w:type="dxa"/>
          <w:bottom w:w="0" w:type="dxa"/>
          <w:right w:w="108" w:type="dxa"/>
        </w:tblCellMar>
      </w:tblPr>
      <w:tblGrid>
        <w:gridCol w:w="3061"/>
        <w:gridCol w:w="2381"/>
        <w:gridCol w:w="2381"/>
      </w:tblGrid>
      <w:tr w14:paraId="3205C90B">
        <w:tblPrEx>
          <w:tblCellMar>
            <w:top w:w="0" w:type="dxa"/>
            <w:left w:w="108" w:type="dxa"/>
            <w:bottom w:w="0" w:type="dxa"/>
            <w:right w:w="108" w:type="dxa"/>
          </w:tblCellMar>
        </w:tblPrEx>
        <w:trPr>
          <w:trHeight w:val="397" w:hRule="atLeast"/>
          <w:jc w:val="center"/>
        </w:trPr>
        <w:tc>
          <w:tcPr>
            <w:tcW w:w="3061" w:type="dxa"/>
            <w:tcBorders>
              <w:top w:val="single" w:color="000000" w:sz="12" w:space="0"/>
              <w:left w:val="nil"/>
              <w:bottom w:val="single" w:color="000000" w:sz="8" w:space="0"/>
              <w:right w:val="single" w:color="000000" w:sz="4" w:space="0"/>
            </w:tcBorders>
            <w:shd w:val="clear" w:color="auto" w:fill="FFFFFF"/>
            <w:noWrap/>
            <w:vAlign w:val="center"/>
          </w:tcPr>
          <w:p w14:paraId="79075BA9">
            <w:pPr>
              <w:pStyle w:val="24"/>
            </w:pPr>
            <w:r>
              <w:rPr>
                <w:rFonts w:hint="eastAsia"/>
              </w:rPr>
              <w:t>项目性质</w:t>
            </w:r>
          </w:p>
        </w:tc>
        <w:tc>
          <w:tcPr>
            <w:tcW w:w="2381"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2A545004">
            <w:pPr>
              <w:pStyle w:val="24"/>
            </w:pPr>
            <w:r>
              <w:rPr>
                <w:rFonts w:hint="eastAsia"/>
              </w:rPr>
              <w:t>“十五五”投资</w:t>
            </w:r>
          </w:p>
          <w:p w14:paraId="7F8E7966">
            <w:pPr>
              <w:pStyle w:val="24"/>
            </w:pPr>
            <w:r>
              <w:rPr>
                <w:rFonts w:hint="eastAsia"/>
              </w:rPr>
              <w:t>(亿元)</w:t>
            </w:r>
          </w:p>
        </w:tc>
        <w:tc>
          <w:tcPr>
            <w:tcW w:w="2381" w:type="dxa"/>
            <w:tcBorders>
              <w:top w:val="single" w:color="000000" w:sz="12" w:space="0"/>
              <w:left w:val="single" w:color="000000" w:sz="4" w:space="0"/>
              <w:bottom w:val="single" w:color="000000" w:sz="8" w:space="0"/>
              <w:right w:val="nil"/>
            </w:tcBorders>
            <w:shd w:val="clear" w:color="auto" w:fill="FFFFFF"/>
            <w:noWrap/>
            <w:vAlign w:val="center"/>
          </w:tcPr>
          <w:p w14:paraId="17D436FE">
            <w:pPr>
              <w:pStyle w:val="24"/>
            </w:pPr>
            <w:r>
              <w:rPr>
                <w:rFonts w:hint="eastAsia"/>
              </w:rPr>
              <w:t>总投资</w:t>
            </w:r>
          </w:p>
          <w:p w14:paraId="434E6858">
            <w:pPr>
              <w:pStyle w:val="24"/>
            </w:pPr>
            <w:r>
              <w:rPr>
                <w:rFonts w:hint="eastAsia"/>
              </w:rPr>
              <w:t>（亿元）</w:t>
            </w:r>
          </w:p>
        </w:tc>
      </w:tr>
      <w:tr w14:paraId="505C7385">
        <w:tblPrEx>
          <w:tblCellMar>
            <w:top w:w="0" w:type="dxa"/>
            <w:left w:w="108" w:type="dxa"/>
            <w:bottom w:w="0" w:type="dxa"/>
            <w:right w:w="108" w:type="dxa"/>
          </w:tblCellMar>
        </w:tblPrEx>
        <w:trPr>
          <w:trHeight w:val="397" w:hRule="atLeast"/>
          <w:jc w:val="center"/>
        </w:trPr>
        <w:tc>
          <w:tcPr>
            <w:tcW w:w="3061" w:type="dxa"/>
            <w:tcBorders>
              <w:top w:val="single" w:color="000000" w:sz="8" w:space="0"/>
              <w:left w:val="nil"/>
              <w:bottom w:val="single" w:color="000000" w:sz="4" w:space="0"/>
              <w:right w:val="single" w:color="000000" w:sz="4" w:space="0"/>
            </w:tcBorders>
            <w:shd w:val="clear" w:color="auto" w:fill="FFFFFF"/>
            <w:noWrap/>
            <w:vAlign w:val="center"/>
          </w:tcPr>
          <w:p w14:paraId="22FE7301">
            <w:pPr>
              <w:pStyle w:val="23"/>
            </w:pPr>
            <w:r>
              <w:rPr>
                <w:rFonts w:hint="eastAsia"/>
              </w:rPr>
              <w:t>续建项目</w:t>
            </w:r>
          </w:p>
        </w:tc>
        <w:tc>
          <w:tcPr>
            <w:tcW w:w="2381"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168EB632">
            <w:pPr>
              <w:pStyle w:val="23"/>
            </w:pPr>
            <w:r>
              <w:rPr>
                <w:rFonts w:hint="eastAsia"/>
              </w:rPr>
              <w:t xml:space="preserve">188.51 </w:t>
            </w:r>
          </w:p>
        </w:tc>
        <w:tc>
          <w:tcPr>
            <w:tcW w:w="2381" w:type="dxa"/>
            <w:tcBorders>
              <w:top w:val="single" w:color="000000" w:sz="8" w:space="0"/>
              <w:left w:val="single" w:color="000000" w:sz="4" w:space="0"/>
              <w:bottom w:val="single" w:color="000000" w:sz="4" w:space="0"/>
              <w:right w:val="nil"/>
            </w:tcBorders>
            <w:shd w:val="clear" w:color="auto" w:fill="FFFFFF"/>
            <w:noWrap/>
            <w:vAlign w:val="center"/>
          </w:tcPr>
          <w:p w14:paraId="7BF064EB">
            <w:pPr>
              <w:pStyle w:val="23"/>
            </w:pPr>
            <w:r>
              <w:rPr>
                <w:rFonts w:hint="eastAsia"/>
              </w:rPr>
              <w:t xml:space="preserve">297.59 </w:t>
            </w:r>
          </w:p>
        </w:tc>
      </w:tr>
      <w:tr w14:paraId="32D4F9BE">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5C8A1BE">
            <w:pPr>
              <w:pStyle w:val="23"/>
            </w:pPr>
            <w:r>
              <w:rPr>
                <w:rFonts w:hint="eastAsia"/>
              </w:rPr>
              <w:t>储备项目</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1A320">
            <w:pPr>
              <w:pStyle w:val="23"/>
            </w:pPr>
            <w:r>
              <w:rPr>
                <w:rFonts w:hint="eastAsia"/>
              </w:rPr>
              <w:t xml:space="preserve">20.22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5D0C102A">
            <w:pPr>
              <w:pStyle w:val="23"/>
            </w:pPr>
            <w:r>
              <w:rPr>
                <w:rFonts w:hint="eastAsia"/>
              </w:rPr>
              <w:t xml:space="preserve">556.35 </w:t>
            </w:r>
          </w:p>
        </w:tc>
      </w:tr>
      <w:tr w14:paraId="71619FFC">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2F7DC9BD">
            <w:pPr>
              <w:pStyle w:val="23"/>
            </w:pPr>
            <w:r>
              <w:rPr>
                <w:rFonts w:hint="eastAsia"/>
              </w:rPr>
              <w:t>促开工项目</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117BA">
            <w:pPr>
              <w:pStyle w:val="23"/>
            </w:pPr>
            <w:r>
              <w:rPr>
                <w:rFonts w:hint="eastAsia"/>
              </w:rPr>
              <w:t xml:space="preserve">6.12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FE7F9A9">
            <w:pPr>
              <w:pStyle w:val="23"/>
            </w:pPr>
            <w:r>
              <w:rPr>
                <w:rFonts w:hint="eastAsia"/>
              </w:rPr>
              <w:t xml:space="preserve">8.82 </w:t>
            </w:r>
          </w:p>
        </w:tc>
      </w:tr>
      <w:tr w14:paraId="37F6A89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12" w:space="0"/>
              <w:right w:val="single" w:color="000000" w:sz="4" w:space="0"/>
            </w:tcBorders>
            <w:shd w:val="clear" w:color="auto" w:fill="FFFFFF"/>
            <w:noWrap/>
            <w:vAlign w:val="center"/>
          </w:tcPr>
          <w:p w14:paraId="49436D59">
            <w:pPr>
              <w:pStyle w:val="23"/>
            </w:pPr>
            <w:r>
              <w:rPr>
                <w:rFonts w:hint="eastAsia"/>
              </w:rPr>
              <w:t>总计</w:t>
            </w:r>
          </w:p>
        </w:tc>
        <w:tc>
          <w:tcPr>
            <w:tcW w:w="2381"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3AC6D144">
            <w:pPr>
              <w:pStyle w:val="23"/>
            </w:pPr>
            <w:r>
              <w:rPr>
                <w:rFonts w:hint="eastAsia"/>
              </w:rPr>
              <w:t xml:space="preserve">214.85 </w:t>
            </w:r>
          </w:p>
        </w:tc>
        <w:tc>
          <w:tcPr>
            <w:tcW w:w="2381" w:type="dxa"/>
            <w:tcBorders>
              <w:top w:val="single" w:color="000000" w:sz="4" w:space="0"/>
              <w:left w:val="single" w:color="000000" w:sz="4" w:space="0"/>
              <w:bottom w:val="single" w:color="000000" w:sz="12" w:space="0"/>
              <w:right w:val="nil"/>
            </w:tcBorders>
            <w:shd w:val="clear" w:color="auto" w:fill="FFFFFF"/>
            <w:noWrap/>
            <w:vAlign w:val="center"/>
          </w:tcPr>
          <w:p w14:paraId="7856E0B0">
            <w:pPr>
              <w:pStyle w:val="23"/>
            </w:pPr>
            <w:r>
              <w:rPr>
                <w:rFonts w:hint="eastAsia"/>
              </w:rPr>
              <w:t xml:space="preserve">862.75 </w:t>
            </w:r>
          </w:p>
        </w:tc>
      </w:tr>
    </w:tbl>
    <w:p w14:paraId="0CAF5F70">
      <w:pPr>
        <w:ind w:firstLine="560"/>
      </w:pPr>
    </w:p>
    <w:p w14:paraId="3EECFB58">
      <w:pPr>
        <w:pStyle w:val="4"/>
        <w:ind w:firstLine="562"/>
      </w:pPr>
      <w:r>
        <w:rPr>
          <w:rFonts w:hint="eastAsia"/>
        </w:rPr>
        <w:t>按建设年限划分</w:t>
      </w:r>
    </w:p>
    <w:p w14:paraId="24732687">
      <w:pPr>
        <w:ind w:firstLine="560"/>
      </w:pPr>
      <w:r>
        <w:rPr>
          <w:rFonts w:hint="eastAsia"/>
        </w:rPr>
        <w:t>从建设年限看，“十五五”期间投资主要集中在2024—2028年项目，计划投资182.26亿元，占“十五五”总投资的84.8%，主要为S14川红高速、G0611郎川高速等重大续建项目集中建设期。2026—2030年项目计划投资8.51亿元，占4.0%，主要用于普通国省干线、桥梁补短、安防设施、服务区和信息化等项目。2028—2030年及以后年度投资相对分散，主要围绕农村公路、普通国省干线韧性提升、旅游化改造、物流站场和储备项目前期推进等内容展开。详细分年限投资数据见</w:t>
      </w:r>
      <w:r>
        <w:rPr>
          <w:rFonts w:hint="eastAsia"/>
        </w:rPr>
        <w:fldChar w:fldCharType="begin"/>
      </w:r>
      <w:r>
        <w:rPr>
          <w:rFonts w:hint="eastAsia"/>
        </w:rPr>
        <w:instrText xml:space="preserve"> REF _Ref20110 \h </w:instrText>
      </w:r>
      <w:r>
        <w:rPr>
          <w:rFonts w:hint="eastAsia"/>
        </w:rPr>
        <w:fldChar w:fldCharType="separate"/>
      </w:r>
      <w:r>
        <w:t>表 14</w:t>
      </w:r>
      <w:r>
        <w:rPr>
          <w:rFonts w:hint="eastAsia"/>
        </w:rPr>
        <w:fldChar w:fldCharType="end"/>
      </w:r>
      <w:r>
        <w:rPr>
          <w:rFonts w:hint="eastAsia"/>
        </w:rPr>
        <w:t>。</w:t>
      </w:r>
    </w:p>
    <w:p w14:paraId="7099CE6D">
      <w:pPr>
        <w:pStyle w:val="25"/>
        <w:keepNext/>
        <w:keepLines/>
      </w:pPr>
      <w:bookmarkStart w:id="57" w:name="_Ref20110"/>
      <w:r>
        <w:t xml:space="preserve">表 </w:t>
      </w:r>
      <w:r>
        <w:fldChar w:fldCharType="begin"/>
      </w:r>
      <w:r>
        <w:instrText xml:space="preserve"> SEQ 表 \* ARABIC </w:instrText>
      </w:r>
      <w:r>
        <w:fldChar w:fldCharType="separate"/>
      </w:r>
      <w:r>
        <w:t>14</w:t>
      </w:r>
      <w:r>
        <w:fldChar w:fldCharType="end"/>
      </w:r>
      <w:bookmarkEnd w:id="57"/>
      <w:r>
        <w:rPr>
          <w:rFonts w:hint="eastAsia"/>
        </w:rPr>
        <w:t xml:space="preserve"> 红原县综合交通运输“十五五”规划项目投资分年限统计表</w:t>
      </w:r>
    </w:p>
    <w:tbl>
      <w:tblPr>
        <w:tblStyle w:val="18"/>
        <w:tblW w:w="7823" w:type="dxa"/>
        <w:jc w:val="center"/>
        <w:tblLayout w:type="fixed"/>
        <w:tblCellMar>
          <w:top w:w="0" w:type="dxa"/>
          <w:left w:w="108" w:type="dxa"/>
          <w:bottom w:w="0" w:type="dxa"/>
          <w:right w:w="108" w:type="dxa"/>
        </w:tblCellMar>
      </w:tblPr>
      <w:tblGrid>
        <w:gridCol w:w="3061"/>
        <w:gridCol w:w="2381"/>
        <w:gridCol w:w="2381"/>
      </w:tblGrid>
      <w:tr w14:paraId="734262D7">
        <w:tblPrEx>
          <w:tblCellMar>
            <w:top w:w="0" w:type="dxa"/>
            <w:left w:w="108" w:type="dxa"/>
            <w:bottom w:w="0" w:type="dxa"/>
            <w:right w:w="108" w:type="dxa"/>
          </w:tblCellMar>
        </w:tblPrEx>
        <w:trPr>
          <w:trHeight w:val="397" w:hRule="atLeast"/>
          <w:jc w:val="center"/>
        </w:trPr>
        <w:tc>
          <w:tcPr>
            <w:tcW w:w="3061" w:type="dxa"/>
            <w:tcBorders>
              <w:top w:val="single" w:color="000000" w:sz="12" w:space="0"/>
              <w:left w:val="nil"/>
              <w:bottom w:val="single" w:color="000000" w:sz="8" w:space="0"/>
              <w:right w:val="single" w:color="000000" w:sz="4" w:space="0"/>
            </w:tcBorders>
            <w:shd w:val="clear" w:color="auto" w:fill="FFFFFF"/>
            <w:noWrap/>
            <w:vAlign w:val="center"/>
          </w:tcPr>
          <w:p w14:paraId="57910D14">
            <w:pPr>
              <w:pStyle w:val="24"/>
              <w:keepNext/>
              <w:keepLines/>
            </w:pPr>
            <w:r>
              <w:rPr>
                <w:rFonts w:hint="eastAsia"/>
              </w:rPr>
              <w:t>建设年限</w:t>
            </w:r>
          </w:p>
          <w:p w14:paraId="72AF9E3E">
            <w:pPr>
              <w:pStyle w:val="24"/>
              <w:keepNext/>
              <w:keepLines/>
            </w:pPr>
            <w:r>
              <w:rPr>
                <w:rFonts w:hint="eastAsia"/>
              </w:rPr>
              <w:t>（计划开工与完工时间）</w:t>
            </w:r>
          </w:p>
        </w:tc>
        <w:tc>
          <w:tcPr>
            <w:tcW w:w="2381" w:type="dxa"/>
            <w:tcBorders>
              <w:top w:val="single" w:color="000000" w:sz="12" w:space="0"/>
              <w:left w:val="single" w:color="000000" w:sz="4" w:space="0"/>
              <w:bottom w:val="single" w:color="000000" w:sz="8" w:space="0"/>
              <w:right w:val="single" w:color="000000" w:sz="4" w:space="0"/>
            </w:tcBorders>
            <w:shd w:val="clear" w:color="auto" w:fill="FFFFFF"/>
            <w:noWrap/>
            <w:vAlign w:val="center"/>
          </w:tcPr>
          <w:p w14:paraId="56569287">
            <w:pPr>
              <w:pStyle w:val="24"/>
              <w:keepNext/>
              <w:keepLines/>
            </w:pPr>
            <w:r>
              <w:rPr>
                <w:rFonts w:hint="eastAsia"/>
              </w:rPr>
              <w:t>“十五五”投资</w:t>
            </w:r>
          </w:p>
          <w:p w14:paraId="5240355C">
            <w:pPr>
              <w:pStyle w:val="24"/>
              <w:keepNext/>
              <w:keepLines/>
            </w:pPr>
            <w:r>
              <w:rPr>
                <w:rFonts w:hint="eastAsia"/>
              </w:rPr>
              <w:t>(亿元)</w:t>
            </w:r>
          </w:p>
        </w:tc>
        <w:tc>
          <w:tcPr>
            <w:tcW w:w="2381" w:type="dxa"/>
            <w:tcBorders>
              <w:top w:val="single" w:color="000000" w:sz="12" w:space="0"/>
              <w:left w:val="single" w:color="000000" w:sz="4" w:space="0"/>
              <w:bottom w:val="single" w:color="000000" w:sz="8" w:space="0"/>
              <w:right w:val="nil"/>
            </w:tcBorders>
            <w:shd w:val="clear" w:color="auto" w:fill="FFFFFF"/>
            <w:noWrap/>
            <w:vAlign w:val="center"/>
          </w:tcPr>
          <w:p w14:paraId="044BEEFB">
            <w:pPr>
              <w:pStyle w:val="24"/>
              <w:keepNext/>
              <w:keepLines/>
            </w:pPr>
            <w:r>
              <w:rPr>
                <w:rFonts w:hint="eastAsia"/>
              </w:rPr>
              <w:t>总投资</w:t>
            </w:r>
          </w:p>
          <w:p w14:paraId="701BBD84">
            <w:pPr>
              <w:pStyle w:val="24"/>
              <w:keepNext/>
              <w:keepLines/>
            </w:pPr>
            <w:r>
              <w:rPr>
                <w:rFonts w:hint="eastAsia"/>
              </w:rPr>
              <w:t>（亿元）</w:t>
            </w:r>
          </w:p>
        </w:tc>
      </w:tr>
      <w:tr w14:paraId="6A5F82C4">
        <w:tblPrEx>
          <w:tblCellMar>
            <w:top w:w="0" w:type="dxa"/>
            <w:left w:w="108" w:type="dxa"/>
            <w:bottom w:w="0" w:type="dxa"/>
            <w:right w:w="108" w:type="dxa"/>
          </w:tblCellMar>
        </w:tblPrEx>
        <w:trPr>
          <w:trHeight w:val="397" w:hRule="atLeast"/>
          <w:jc w:val="center"/>
        </w:trPr>
        <w:tc>
          <w:tcPr>
            <w:tcW w:w="3061" w:type="dxa"/>
            <w:tcBorders>
              <w:top w:val="single" w:color="000000" w:sz="8" w:space="0"/>
              <w:left w:val="nil"/>
              <w:bottom w:val="single" w:color="000000" w:sz="4" w:space="0"/>
              <w:right w:val="single" w:color="000000" w:sz="4" w:space="0"/>
            </w:tcBorders>
            <w:shd w:val="clear" w:color="auto" w:fill="FFFFFF"/>
            <w:noWrap/>
            <w:vAlign w:val="center"/>
          </w:tcPr>
          <w:p w14:paraId="54D6D5E7">
            <w:pPr>
              <w:pStyle w:val="23"/>
              <w:keepNext/>
              <w:keepLines/>
            </w:pPr>
            <w:r>
              <w:rPr>
                <w:rFonts w:hint="eastAsia"/>
              </w:rPr>
              <w:t>2020-2026</w:t>
            </w:r>
          </w:p>
        </w:tc>
        <w:tc>
          <w:tcPr>
            <w:tcW w:w="2381" w:type="dxa"/>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50D8EC3D">
            <w:pPr>
              <w:pStyle w:val="23"/>
              <w:keepNext/>
              <w:keepLines/>
            </w:pPr>
            <w:r>
              <w:rPr>
                <w:rFonts w:hint="eastAsia"/>
              </w:rPr>
              <w:t xml:space="preserve">0.55 </w:t>
            </w:r>
          </w:p>
        </w:tc>
        <w:tc>
          <w:tcPr>
            <w:tcW w:w="2381" w:type="dxa"/>
            <w:tcBorders>
              <w:top w:val="single" w:color="000000" w:sz="8" w:space="0"/>
              <w:left w:val="single" w:color="000000" w:sz="4" w:space="0"/>
              <w:bottom w:val="single" w:color="000000" w:sz="4" w:space="0"/>
              <w:right w:val="nil"/>
            </w:tcBorders>
            <w:shd w:val="clear" w:color="auto" w:fill="FFFFFF"/>
            <w:noWrap/>
            <w:vAlign w:val="center"/>
          </w:tcPr>
          <w:p w14:paraId="2CEBBA86">
            <w:pPr>
              <w:pStyle w:val="23"/>
              <w:keepNext/>
              <w:keepLines/>
            </w:pPr>
            <w:r>
              <w:rPr>
                <w:rFonts w:hint="eastAsia"/>
              </w:rPr>
              <w:t xml:space="preserve">105.00 </w:t>
            </w:r>
          </w:p>
        </w:tc>
      </w:tr>
      <w:tr w14:paraId="76FDDB38">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D287C1B">
            <w:pPr>
              <w:pStyle w:val="23"/>
              <w:keepNext/>
              <w:keepLines/>
            </w:pPr>
            <w:r>
              <w:rPr>
                <w:rFonts w:hint="eastAsia"/>
              </w:rPr>
              <w:t>2023-2026</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E0F05">
            <w:pPr>
              <w:pStyle w:val="23"/>
              <w:keepNext/>
              <w:keepLines/>
            </w:pPr>
            <w:r>
              <w:rPr>
                <w:rFonts w:hint="eastAsia"/>
              </w:rPr>
              <w:t xml:space="preserve">0.60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13030C5C">
            <w:pPr>
              <w:pStyle w:val="23"/>
              <w:keepNext/>
              <w:keepLines/>
            </w:pPr>
            <w:r>
              <w:rPr>
                <w:rFonts w:hint="eastAsia"/>
              </w:rPr>
              <w:t xml:space="preserve">3.63 </w:t>
            </w:r>
          </w:p>
        </w:tc>
      </w:tr>
      <w:tr w14:paraId="43576AC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3CFDD39">
            <w:pPr>
              <w:pStyle w:val="23"/>
              <w:keepNext/>
              <w:keepLines/>
            </w:pPr>
            <w:r>
              <w:rPr>
                <w:rFonts w:hint="eastAsia"/>
              </w:rPr>
              <w:t>2024-2026</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67A25">
            <w:pPr>
              <w:pStyle w:val="23"/>
              <w:keepNext/>
              <w:keepLines/>
            </w:pPr>
            <w:r>
              <w:rPr>
                <w:rFonts w:hint="eastAsia"/>
              </w:rPr>
              <w:t xml:space="preserve">0.30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6E68BE3F">
            <w:pPr>
              <w:pStyle w:val="23"/>
              <w:keepNext/>
              <w:keepLines/>
            </w:pPr>
            <w:r>
              <w:rPr>
                <w:rFonts w:hint="eastAsia"/>
              </w:rPr>
              <w:t xml:space="preserve">1.90 </w:t>
            </w:r>
          </w:p>
        </w:tc>
      </w:tr>
      <w:tr w14:paraId="2649213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BA91451">
            <w:pPr>
              <w:pStyle w:val="23"/>
              <w:keepNext/>
              <w:keepLines/>
            </w:pPr>
            <w:r>
              <w:rPr>
                <w:rFonts w:hint="eastAsia"/>
              </w:rPr>
              <w:t>2024-2028</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D12BB">
            <w:pPr>
              <w:pStyle w:val="23"/>
              <w:keepNext/>
              <w:keepLines/>
            </w:pPr>
            <w:r>
              <w:rPr>
                <w:rFonts w:hint="eastAsia"/>
              </w:rPr>
              <w:t xml:space="preserve">182.26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9448FB1">
            <w:pPr>
              <w:pStyle w:val="23"/>
              <w:keepNext/>
              <w:keepLines/>
            </w:pPr>
            <w:r>
              <w:rPr>
                <w:rFonts w:hint="eastAsia"/>
              </w:rPr>
              <w:t xml:space="preserve">182.26 </w:t>
            </w:r>
          </w:p>
        </w:tc>
      </w:tr>
      <w:tr w14:paraId="7AB45F56">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5E8CF3E1">
            <w:pPr>
              <w:pStyle w:val="23"/>
              <w:keepNext/>
              <w:keepLines/>
            </w:pPr>
            <w:r>
              <w:rPr>
                <w:rFonts w:hint="eastAsia"/>
              </w:rPr>
              <w:t>2025-2026</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4ECF5">
            <w:pPr>
              <w:pStyle w:val="23"/>
              <w:keepNext/>
              <w:keepLines/>
            </w:pPr>
            <w:r>
              <w:rPr>
                <w:rFonts w:hint="eastAsia"/>
              </w:rPr>
              <w:t xml:space="preserve">2.83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0B35444">
            <w:pPr>
              <w:pStyle w:val="23"/>
              <w:keepNext/>
              <w:keepLines/>
            </w:pPr>
            <w:r>
              <w:rPr>
                <w:rFonts w:hint="eastAsia"/>
              </w:rPr>
              <w:t xml:space="preserve">2.83 </w:t>
            </w:r>
          </w:p>
        </w:tc>
      </w:tr>
      <w:tr w14:paraId="18832BBF">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74BA4DA4">
            <w:pPr>
              <w:pStyle w:val="23"/>
              <w:keepNext/>
              <w:keepLines/>
            </w:pPr>
            <w:r>
              <w:rPr>
                <w:rFonts w:hint="eastAsia"/>
              </w:rPr>
              <w:t>2025-2027</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18B6F">
            <w:pPr>
              <w:pStyle w:val="23"/>
              <w:keepNext/>
              <w:keepLines/>
            </w:pPr>
            <w:r>
              <w:rPr>
                <w:rFonts w:hint="eastAsia"/>
              </w:rPr>
              <w:t xml:space="preserve">1.97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F8EE8BB">
            <w:pPr>
              <w:pStyle w:val="23"/>
              <w:keepNext/>
              <w:keepLines/>
            </w:pPr>
            <w:r>
              <w:rPr>
                <w:rFonts w:hint="eastAsia"/>
              </w:rPr>
              <w:t xml:space="preserve">1.97 </w:t>
            </w:r>
          </w:p>
        </w:tc>
      </w:tr>
      <w:tr w14:paraId="337AC7A5">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7B3201BE">
            <w:pPr>
              <w:pStyle w:val="23"/>
              <w:keepNext/>
              <w:keepLines/>
            </w:pPr>
            <w:r>
              <w:rPr>
                <w:rFonts w:hint="eastAsia"/>
              </w:rPr>
              <w:t>2025-2035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9E18A">
            <w:pPr>
              <w:pStyle w:val="23"/>
              <w:keepNext/>
              <w:keepLines/>
            </w:pPr>
            <w:r>
              <w:rPr>
                <w:rFonts w:hint="eastAsia"/>
              </w:rPr>
              <w:t xml:space="preserve">1.00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6CE4D5E">
            <w:pPr>
              <w:pStyle w:val="23"/>
              <w:keepNext/>
              <w:keepLines/>
            </w:pPr>
            <w:r>
              <w:rPr>
                <w:rFonts w:hint="eastAsia"/>
              </w:rPr>
              <w:t xml:space="preserve">3.00 </w:t>
            </w:r>
          </w:p>
        </w:tc>
      </w:tr>
      <w:tr w14:paraId="6BF3F10B">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849DD23">
            <w:pPr>
              <w:pStyle w:val="23"/>
              <w:keepNext/>
              <w:keepLines/>
            </w:pPr>
            <w:r>
              <w:rPr>
                <w:rFonts w:hint="eastAsia"/>
              </w:rPr>
              <w:t>2026-2027</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5332D">
            <w:pPr>
              <w:pStyle w:val="23"/>
              <w:keepNext/>
              <w:keepLines/>
            </w:pPr>
            <w:r>
              <w:rPr>
                <w:rFonts w:hint="eastAsia"/>
              </w:rPr>
              <w:t xml:space="preserve">0.05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6790650">
            <w:pPr>
              <w:pStyle w:val="23"/>
              <w:keepNext/>
              <w:keepLines/>
            </w:pPr>
            <w:r>
              <w:rPr>
                <w:rFonts w:hint="eastAsia"/>
              </w:rPr>
              <w:t xml:space="preserve">0.05 </w:t>
            </w:r>
          </w:p>
        </w:tc>
      </w:tr>
      <w:tr w14:paraId="3AACB965">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87325DD">
            <w:pPr>
              <w:pStyle w:val="23"/>
              <w:keepNext/>
              <w:keepLines/>
            </w:pPr>
            <w:r>
              <w:rPr>
                <w:rFonts w:hint="eastAsia"/>
              </w:rPr>
              <w:t>2026-2028</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544B">
            <w:pPr>
              <w:pStyle w:val="23"/>
              <w:keepNext/>
              <w:keepLines/>
            </w:pPr>
            <w:r>
              <w:rPr>
                <w:rFonts w:hint="eastAsia"/>
              </w:rPr>
              <w:t xml:space="preserve">1.50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A2EA641">
            <w:pPr>
              <w:pStyle w:val="23"/>
              <w:keepNext/>
              <w:keepLines/>
            </w:pPr>
            <w:r>
              <w:rPr>
                <w:rFonts w:hint="eastAsia"/>
              </w:rPr>
              <w:t xml:space="preserve">1.50 </w:t>
            </w:r>
          </w:p>
        </w:tc>
      </w:tr>
      <w:tr w14:paraId="26DEA16F">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F5130DC">
            <w:pPr>
              <w:pStyle w:val="23"/>
              <w:keepNext/>
              <w:keepLines/>
            </w:pPr>
            <w:r>
              <w:rPr>
                <w:rFonts w:hint="eastAsia"/>
              </w:rPr>
              <w:t>2026-2030</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C213E">
            <w:pPr>
              <w:pStyle w:val="23"/>
              <w:keepNext/>
              <w:keepLines/>
            </w:pPr>
            <w:r>
              <w:rPr>
                <w:rFonts w:hint="eastAsia"/>
              </w:rPr>
              <w:t xml:space="preserve">8.51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A241FA5">
            <w:pPr>
              <w:pStyle w:val="23"/>
              <w:keepNext/>
              <w:keepLines/>
            </w:pPr>
            <w:r>
              <w:rPr>
                <w:rFonts w:hint="eastAsia"/>
              </w:rPr>
              <w:t xml:space="preserve">8.51 </w:t>
            </w:r>
          </w:p>
        </w:tc>
      </w:tr>
      <w:tr w14:paraId="12552142">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5E3E468">
            <w:pPr>
              <w:pStyle w:val="23"/>
              <w:keepNext/>
              <w:keepLines/>
            </w:pPr>
            <w:r>
              <w:rPr>
                <w:rFonts w:hint="eastAsia"/>
              </w:rPr>
              <w:t>2026-2035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E55C1">
            <w:pPr>
              <w:pStyle w:val="23"/>
              <w:keepNext/>
              <w:keepLines/>
            </w:pPr>
            <w:r>
              <w:rPr>
                <w:rFonts w:hint="eastAsia"/>
              </w:rPr>
              <w:t xml:space="preserve">0.75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6AEC9D22">
            <w:pPr>
              <w:pStyle w:val="23"/>
              <w:keepNext/>
              <w:keepLines/>
            </w:pPr>
            <w:r>
              <w:rPr>
                <w:rFonts w:hint="eastAsia"/>
              </w:rPr>
              <w:t xml:space="preserve">461.50 </w:t>
            </w:r>
          </w:p>
        </w:tc>
      </w:tr>
      <w:tr w14:paraId="09DDC85C">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6E996D9">
            <w:pPr>
              <w:pStyle w:val="23"/>
              <w:keepNext/>
              <w:keepLines/>
            </w:pPr>
            <w:r>
              <w:rPr>
                <w:rFonts w:hint="eastAsia"/>
              </w:rPr>
              <w:t>2027-2028</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CF3AD">
            <w:pPr>
              <w:pStyle w:val="23"/>
              <w:keepNext/>
              <w:keepLines/>
            </w:pPr>
            <w:r>
              <w:rPr>
                <w:rFonts w:hint="eastAsia"/>
              </w:rPr>
              <w:t xml:space="preserve">0.42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652CFC74">
            <w:pPr>
              <w:pStyle w:val="23"/>
              <w:keepNext/>
              <w:keepLines/>
            </w:pPr>
            <w:r>
              <w:rPr>
                <w:rFonts w:hint="eastAsia"/>
              </w:rPr>
              <w:t xml:space="preserve">0.42 </w:t>
            </w:r>
          </w:p>
        </w:tc>
      </w:tr>
      <w:tr w14:paraId="0FDEC477">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1C5C1936">
            <w:pPr>
              <w:pStyle w:val="23"/>
              <w:keepNext/>
              <w:keepLines/>
            </w:pPr>
            <w:r>
              <w:rPr>
                <w:rFonts w:hint="eastAsia"/>
              </w:rPr>
              <w:t>2027-2029</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FF168">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741CCC83">
            <w:pPr>
              <w:pStyle w:val="23"/>
              <w:keepNext/>
              <w:keepLines/>
            </w:pPr>
            <w:r>
              <w:rPr>
                <w:rFonts w:hint="eastAsia"/>
              </w:rPr>
              <w:t xml:space="preserve">1.49 </w:t>
            </w:r>
          </w:p>
        </w:tc>
      </w:tr>
      <w:tr w14:paraId="285A8E03">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7023BAE8">
            <w:pPr>
              <w:pStyle w:val="23"/>
              <w:keepNext/>
              <w:keepLines/>
            </w:pPr>
            <w:r>
              <w:rPr>
                <w:rFonts w:hint="eastAsia"/>
              </w:rPr>
              <w:t>2028-2029</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64088">
            <w:pPr>
              <w:pStyle w:val="23"/>
              <w:keepNext/>
              <w:keepLines/>
            </w:pPr>
            <w:r>
              <w:rPr>
                <w:rFonts w:hint="eastAsia"/>
              </w:rPr>
              <w:t xml:space="preserve">1.05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41A66AC3">
            <w:pPr>
              <w:pStyle w:val="23"/>
              <w:keepNext/>
              <w:keepLines/>
            </w:pPr>
            <w:r>
              <w:rPr>
                <w:rFonts w:hint="eastAsia"/>
              </w:rPr>
              <w:t xml:space="preserve">1.05 </w:t>
            </w:r>
          </w:p>
        </w:tc>
      </w:tr>
      <w:tr w14:paraId="72EED2E9">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3506D465">
            <w:pPr>
              <w:pStyle w:val="23"/>
              <w:keepNext/>
              <w:keepLines/>
            </w:pPr>
            <w:r>
              <w:rPr>
                <w:rFonts w:hint="eastAsia"/>
              </w:rPr>
              <w:t>2028-2030</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EF38">
            <w:pPr>
              <w:pStyle w:val="23"/>
              <w:keepNext/>
              <w:keepLines/>
            </w:pPr>
            <w:r>
              <w:rPr>
                <w:rFonts w:hint="eastAsia"/>
              </w:rPr>
              <w:t xml:space="preserve">3.24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71FC30F3">
            <w:pPr>
              <w:pStyle w:val="23"/>
              <w:keepNext/>
              <w:keepLines/>
            </w:pPr>
            <w:r>
              <w:rPr>
                <w:rFonts w:hint="eastAsia"/>
              </w:rPr>
              <w:t xml:space="preserve">4.27 </w:t>
            </w:r>
          </w:p>
        </w:tc>
      </w:tr>
      <w:tr w14:paraId="7B863C24">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F1E1F91">
            <w:pPr>
              <w:pStyle w:val="23"/>
              <w:keepNext/>
              <w:keepLines/>
            </w:pPr>
            <w:r>
              <w:rPr>
                <w:rFonts w:hint="eastAsia"/>
              </w:rPr>
              <w:t>2028-2033</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DDF4E">
            <w:pPr>
              <w:pStyle w:val="23"/>
              <w:keepNext/>
              <w:keepLines/>
            </w:pPr>
            <w:r>
              <w:rPr>
                <w:rFonts w:hint="eastAsia"/>
              </w:rPr>
              <w:t xml:space="preserve">4.00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165CA72E">
            <w:pPr>
              <w:pStyle w:val="23"/>
              <w:keepNext/>
              <w:keepLines/>
            </w:pPr>
            <w:r>
              <w:rPr>
                <w:rFonts w:hint="eastAsia"/>
              </w:rPr>
              <w:t xml:space="preserve">13.43 </w:t>
            </w:r>
          </w:p>
        </w:tc>
      </w:tr>
      <w:tr w14:paraId="0CEA6434">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7BE2644">
            <w:pPr>
              <w:pStyle w:val="23"/>
              <w:keepNext/>
              <w:keepLines/>
            </w:pPr>
            <w:r>
              <w:rPr>
                <w:rFonts w:hint="eastAsia"/>
              </w:rPr>
              <w:t>2028-2035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DBD8">
            <w:pPr>
              <w:pStyle w:val="23"/>
              <w:keepNext/>
              <w:keepLines/>
            </w:pPr>
            <w:r>
              <w:rPr>
                <w:rFonts w:hint="eastAsia"/>
              </w:rPr>
              <w:t xml:space="preserve">5.00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ED4987B">
            <w:pPr>
              <w:pStyle w:val="23"/>
              <w:keepNext/>
              <w:keepLines/>
            </w:pPr>
            <w:r>
              <w:rPr>
                <w:rFonts w:hint="eastAsia"/>
              </w:rPr>
              <w:t xml:space="preserve">13.80 </w:t>
            </w:r>
          </w:p>
        </w:tc>
      </w:tr>
      <w:tr w14:paraId="1FBF249E">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1712D73D">
            <w:pPr>
              <w:pStyle w:val="23"/>
              <w:keepNext/>
              <w:keepLines/>
            </w:pPr>
            <w:r>
              <w:rPr>
                <w:rFonts w:hint="eastAsia"/>
              </w:rPr>
              <w:t>2029-2030</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8096A">
            <w:pPr>
              <w:pStyle w:val="23"/>
              <w:keepNext/>
              <w:keepLines/>
            </w:pPr>
            <w:r>
              <w:rPr>
                <w:rFonts w:hint="eastAsia"/>
              </w:rPr>
              <w:t xml:space="preserve">0.18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2EE0193">
            <w:pPr>
              <w:pStyle w:val="23"/>
              <w:keepNext/>
              <w:keepLines/>
            </w:pPr>
            <w:r>
              <w:rPr>
                <w:rFonts w:hint="eastAsia"/>
              </w:rPr>
              <w:t xml:space="preserve">0.18 </w:t>
            </w:r>
          </w:p>
        </w:tc>
      </w:tr>
      <w:tr w14:paraId="5961701F">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2EC8E6E">
            <w:pPr>
              <w:pStyle w:val="23"/>
              <w:keepNext/>
              <w:keepLines/>
            </w:pPr>
            <w:r>
              <w:rPr>
                <w:rFonts w:hint="eastAsia"/>
              </w:rPr>
              <w:t>2030-2030</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0BAF2">
            <w:pPr>
              <w:pStyle w:val="23"/>
              <w:keepNext/>
              <w:keepLines/>
            </w:pPr>
            <w:r>
              <w:rPr>
                <w:rFonts w:hint="eastAsia"/>
              </w:rPr>
              <w:t xml:space="preserve">0.02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AB0BD78">
            <w:pPr>
              <w:pStyle w:val="23"/>
              <w:keepNext/>
              <w:keepLines/>
            </w:pPr>
            <w:r>
              <w:rPr>
                <w:rFonts w:hint="eastAsia"/>
              </w:rPr>
              <w:t xml:space="preserve">0.02 </w:t>
            </w:r>
          </w:p>
        </w:tc>
      </w:tr>
      <w:tr w14:paraId="4E2A80D7">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0A1732B3">
            <w:pPr>
              <w:pStyle w:val="23"/>
              <w:keepNext/>
              <w:keepLines/>
            </w:pPr>
            <w:r>
              <w:rPr>
                <w:rFonts w:hint="eastAsia"/>
              </w:rPr>
              <w:t>2030-2031</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0C3E9">
            <w:pPr>
              <w:pStyle w:val="23"/>
              <w:keepNext/>
              <w:keepLines/>
            </w:pPr>
            <w:r>
              <w:rPr>
                <w:rFonts w:hint="eastAsia"/>
              </w:rPr>
              <w:t xml:space="preserve">0.08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3368950A">
            <w:pPr>
              <w:pStyle w:val="23"/>
              <w:keepNext/>
              <w:keepLines/>
            </w:pPr>
            <w:r>
              <w:rPr>
                <w:rFonts w:hint="eastAsia"/>
              </w:rPr>
              <w:t xml:space="preserve">0.18 </w:t>
            </w:r>
          </w:p>
        </w:tc>
      </w:tr>
      <w:tr w14:paraId="1F507CE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F9D9AA3">
            <w:pPr>
              <w:pStyle w:val="23"/>
              <w:keepNext/>
              <w:keepLines/>
            </w:pPr>
            <w:r>
              <w:rPr>
                <w:rFonts w:hint="eastAsia"/>
              </w:rPr>
              <w:t>2030-2032</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23395">
            <w:pPr>
              <w:pStyle w:val="23"/>
              <w:keepNext/>
              <w:keepLines/>
            </w:pPr>
            <w:r>
              <w:rPr>
                <w:rFonts w:hint="eastAsia"/>
              </w:rPr>
              <w:t xml:space="preserve">0.15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42C1C933">
            <w:pPr>
              <w:pStyle w:val="23"/>
              <w:keepNext/>
              <w:keepLines/>
            </w:pPr>
            <w:r>
              <w:rPr>
                <w:rFonts w:hint="eastAsia"/>
              </w:rPr>
              <w:t xml:space="preserve">2.51 </w:t>
            </w:r>
          </w:p>
        </w:tc>
      </w:tr>
      <w:tr w14:paraId="46A4E694">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6DD549F1">
            <w:pPr>
              <w:pStyle w:val="23"/>
              <w:keepNext/>
              <w:keepLines/>
            </w:pPr>
            <w:r>
              <w:rPr>
                <w:rFonts w:hint="eastAsia"/>
              </w:rPr>
              <w:t>2030-2033</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28515">
            <w:pPr>
              <w:pStyle w:val="23"/>
              <w:keepNext/>
              <w:keepLines/>
            </w:pPr>
            <w:r>
              <w:rPr>
                <w:rFonts w:hint="eastAsia"/>
              </w:rPr>
              <w:t xml:space="preserve">0.10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6C384B12">
            <w:pPr>
              <w:pStyle w:val="23"/>
              <w:keepNext/>
              <w:keepLines/>
            </w:pPr>
            <w:r>
              <w:rPr>
                <w:rFonts w:hint="eastAsia"/>
              </w:rPr>
              <w:t xml:space="preserve">0.83 </w:t>
            </w:r>
          </w:p>
        </w:tc>
      </w:tr>
      <w:tr w14:paraId="3BFC6351">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3F2E8B1D">
            <w:pPr>
              <w:pStyle w:val="23"/>
              <w:keepNext/>
              <w:keepLines/>
            </w:pPr>
            <w:r>
              <w:rPr>
                <w:rFonts w:hint="eastAsia"/>
              </w:rPr>
              <w:t>2030-2035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BBF15">
            <w:pPr>
              <w:pStyle w:val="23"/>
              <w:keepNext/>
              <w:keepLines/>
            </w:pPr>
            <w:r>
              <w:rPr>
                <w:rFonts w:hint="eastAsia"/>
              </w:rPr>
              <w:t xml:space="preserve">0.30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CFE89E2">
            <w:pPr>
              <w:pStyle w:val="23"/>
              <w:keepNext/>
              <w:keepLines/>
            </w:pPr>
            <w:r>
              <w:rPr>
                <w:rFonts w:hint="eastAsia"/>
              </w:rPr>
              <w:t xml:space="preserve">35.50 </w:t>
            </w:r>
          </w:p>
        </w:tc>
      </w:tr>
      <w:tr w14:paraId="037B8E69">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5C7AE773">
            <w:pPr>
              <w:pStyle w:val="23"/>
              <w:keepNext/>
              <w:keepLines/>
            </w:pPr>
            <w:r>
              <w:rPr>
                <w:rFonts w:hint="eastAsia"/>
              </w:rPr>
              <w:t>2031-2031</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E1C7D">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2267CEF7">
            <w:pPr>
              <w:pStyle w:val="23"/>
              <w:keepNext/>
              <w:keepLines/>
            </w:pPr>
            <w:r>
              <w:rPr>
                <w:rFonts w:hint="eastAsia"/>
              </w:rPr>
              <w:t xml:space="preserve">0.21 </w:t>
            </w:r>
          </w:p>
        </w:tc>
      </w:tr>
      <w:tr w14:paraId="51305FDF">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3612F9DC">
            <w:pPr>
              <w:pStyle w:val="23"/>
              <w:keepNext/>
              <w:keepLines/>
            </w:pPr>
            <w:r>
              <w:rPr>
                <w:rFonts w:hint="eastAsia"/>
              </w:rPr>
              <w:t>2031-2032</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2ABE">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15C68E2">
            <w:pPr>
              <w:pStyle w:val="23"/>
              <w:keepNext/>
              <w:keepLines/>
            </w:pPr>
            <w:r>
              <w:rPr>
                <w:rFonts w:hint="eastAsia"/>
              </w:rPr>
              <w:t xml:space="preserve">0.60 </w:t>
            </w:r>
          </w:p>
        </w:tc>
      </w:tr>
      <w:tr w14:paraId="4E33F0CB">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47DAC993">
            <w:pPr>
              <w:pStyle w:val="23"/>
              <w:keepNext/>
              <w:keepLines/>
            </w:pPr>
            <w:r>
              <w:rPr>
                <w:rFonts w:hint="eastAsia"/>
              </w:rPr>
              <w:t>2031-2035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3F05C">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0DD8B8BD">
            <w:pPr>
              <w:pStyle w:val="23"/>
              <w:keepNext/>
              <w:keepLines/>
            </w:pPr>
            <w:r>
              <w:rPr>
                <w:rFonts w:hint="eastAsia"/>
              </w:rPr>
              <w:t xml:space="preserve">14.00 </w:t>
            </w:r>
          </w:p>
        </w:tc>
      </w:tr>
      <w:tr w14:paraId="675E3926">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39A9762F">
            <w:pPr>
              <w:pStyle w:val="23"/>
              <w:keepNext/>
              <w:keepLines/>
            </w:pPr>
            <w:r>
              <w:rPr>
                <w:rFonts w:hint="eastAsia"/>
              </w:rPr>
              <w:t>2032-2033</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7CC21">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52CEECC6">
            <w:pPr>
              <w:pStyle w:val="23"/>
              <w:keepNext/>
              <w:keepLines/>
            </w:pPr>
            <w:r>
              <w:rPr>
                <w:rFonts w:hint="eastAsia"/>
              </w:rPr>
              <w:t xml:space="preserve">0.75 </w:t>
            </w:r>
          </w:p>
        </w:tc>
      </w:tr>
      <w:tr w14:paraId="099D842D">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4" w:space="0"/>
              <w:right w:val="single" w:color="000000" w:sz="4" w:space="0"/>
            </w:tcBorders>
            <w:shd w:val="clear" w:color="auto" w:fill="FFFFFF"/>
            <w:noWrap/>
            <w:vAlign w:val="center"/>
          </w:tcPr>
          <w:p w14:paraId="24C3631D">
            <w:pPr>
              <w:pStyle w:val="23"/>
              <w:keepNext/>
              <w:keepLines/>
            </w:pPr>
            <w:r>
              <w:rPr>
                <w:rFonts w:hint="eastAsia"/>
              </w:rPr>
              <w:t>2032-2035</w:t>
            </w:r>
          </w:p>
        </w:tc>
        <w:tc>
          <w:tcPr>
            <w:tcW w:w="23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E101F">
            <w:pPr>
              <w:pStyle w:val="23"/>
              <w:keepNext/>
              <w:keepLines/>
            </w:pPr>
            <w:r>
              <w:rPr>
                <w:rFonts w:hint="eastAsia"/>
              </w:rPr>
              <w:t xml:space="preserve">0.00 </w:t>
            </w:r>
          </w:p>
        </w:tc>
        <w:tc>
          <w:tcPr>
            <w:tcW w:w="2381" w:type="dxa"/>
            <w:tcBorders>
              <w:top w:val="single" w:color="000000" w:sz="4" w:space="0"/>
              <w:left w:val="single" w:color="000000" w:sz="4" w:space="0"/>
              <w:bottom w:val="single" w:color="000000" w:sz="4" w:space="0"/>
              <w:right w:val="nil"/>
            </w:tcBorders>
            <w:shd w:val="clear" w:color="auto" w:fill="FFFFFF"/>
            <w:noWrap/>
            <w:vAlign w:val="center"/>
          </w:tcPr>
          <w:p w14:paraId="747D6520">
            <w:pPr>
              <w:pStyle w:val="23"/>
              <w:keepNext/>
              <w:keepLines/>
            </w:pPr>
            <w:r>
              <w:rPr>
                <w:rFonts w:hint="eastAsia"/>
              </w:rPr>
              <w:t xml:space="preserve">1.38 </w:t>
            </w:r>
          </w:p>
        </w:tc>
      </w:tr>
      <w:tr w14:paraId="487F4624">
        <w:tblPrEx>
          <w:tblCellMar>
            <w:top w:w="0" w:type="dxa"/>
            <w:left w:w="108" w:type="dxa"/>
            <w:bottom w:w="0" w:type="dxa"/>
            <w:right w:w="108" w:type="dxa"/>
          </w:tblCellMar>
        </w:tblPrEx>
        <w:trPr>
          <w:trHeight w:val="397" w:hRule="atLeast"/>
          <w:jc w:val="center"/>
        </w:trPr>
        <w:tc>
          <w:tcPr>
            <w:tcW w:w="3061" w:type="dxa"/>
            <w:tcBorders>
              <w:top w:val="single" w:color="000000" w:sz="4" w:space="0"/>
              <w:left w:val="nil"/>
              <w:bottom w:val="single" w:color="000000" w:sz="12" w:space="0"/>
              <w:right w:val="single" w:color="000000" w:sz="4" w:space="0"/>
            </w:tcBorders>
            <w:shd w:val="clear" w:color="auto" w:fill="FFFFFF"/>
            <w:noWrap/>
            <w:vAlign w:val="center"/>
          </w:tcPr>
          <w:p w14:paraId="7AE45616">
            <w:pPr>
              <w:pStyle w:val="23"/>
              <w:keepNext/>
              <w:keepLines/>
            </w:pPr>
            <w:r>
              <w:rPr>
                <w:rFonts w:hint="eastAsia"/>
              </w:rPr>
              <w:t>总计</w:t>
            </w:r>
          </w:p>
        </w:tc>
        <w:tc>
          <w:tcPr>
            <w:tcW w:w="2381"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24C77C7C">
            <w:pPr>
              <w:pStyle w:val="23"/>
              <w:keepNext/>
              <w:keepLines/>
            </w:pPr>
            <w:r>
              <w:rPr>
                <w:rFonts w:hint="eastAsia"/>
              </w:rPr>
              <w:t xml:space="preserve">214.85 </w:t>
            </w:r>
          </w:p>
        </w:tc>
        <w:tc>
          <w:tcPr>
            <w:tcW w:w="2381" w:type="dxa"/>
            <w:tcBorders>
              <w:top w:val="single" w:color="000000" w:sz="4" w:space="0"/>
              <w:left w:val="single" w:color="000000" w:sz="4" w:space="0"/>
              <w:bottom w:val="single" w:color="000000" w:sz="12" w:space="0"/>
              <w:right w:val="nil"/>
            </w:tcBorders>
            <w:shd w:val="clear" w:color="auto" w:fill="FFFFFF"/>
            <w:noWrap/>
            <w:vAlign w:val="center"/>
          </w:tcPr>
          <w:p w14:paraId="13FF6981">
            <w:pPr>
              <w:pStyle w:val="23"/>
              <w:keepNext/>
              <w:keepLines/>
            </w:pPr>
            <w:r>
              <w:rPr>
                <w:rFonts w:hint="eastAsia"/>
              </w:rPr>
              <w:t xml:space="preserve">862.75 </w:t>
            </w:r>
          </w:p>
        </w:tc>
      </w:tr>
    </w:tbl>
    <w:p w14:paraId="55B2A978">
      <w:pPr>
        <w:ind w:firstLine="560"/>
      </w:pPr>
    </w:p>
    <w:p w14:paraId="421C4AFE">
      <w:pPr>
        <w:pStyle w:val="3"/>
      </w:pPr>
      <w:bookmarkStart w:id="58" w:name="_Toc28954"/>
      <w:r>
        <w:rPr>
          <w:rFonts w:hint="eastAsia"/>
        </w:rPr>
        <w:t>资金筹措</w:t>
      </w:r>
      <w:bookmarkEnd w:id="58"/>
    </w:p>
    <w:p w14:paraId="5275C96A">
      <w:pPr>
        <w:ind w:firstLine="560"/>
      </w:pPr>
      <w:r>
        <w:rPr>
          <w:rFonts w:hint="eastAsia"/>
        </w:rPr>
        <w:t>“十五五”时期，红原县综合交通建设投资需求较大，应坚持“多元投入、分级负责、精准施策”的原则，统筹用好中央、省、州、县各级资金和市场化融资渠道，形成财政资金引导、上级补助支撑、社会资本参与、金融工具协同的多元化资金保障格局。</w:t>
      </w:r>
    </w:p>
    <w:p w14:paraId="0BBCCADE">
      <w:pPr>
        <w:ind w:firstLine="562"/>
      </w:pPr>
      <w:r>
        <w:rPr>
          <w:rFonts w:hint="eastAsia" w:ascii="Times New Roman" w:hAnsi="Times New Roman" w:eastAsia="楷体_GB2312" w:cs="黑体"/>
          <w:b/>
          <w:bCs/>
        </w:rPr>
        <w:t>全力争取上级补助资金。</w:t>
      </w:r>
      <w:r>
        <w:rPr>
          <w:rFonts w:hint="eastAsia"/>
        </w:rPr>
        <w:t>密切跟踪国家“十五五”规划、交通强国建设、三州地区交通高质量发展、新一轮农村公路提升行动、涉藏地区差别化支持、乡村振兴等政策和资金渠道，做深做实项目前期工作，推动高速公路、普通国省干线、农村公路、安防工程、交旅融合等项目尽可能纳入国家和省、州规划及专项项目库，积极争取中央车购税、省级交通专项资金、乡村振兴衔接资金、生态保护修复资金等支持。</w:t>
      </w:r>
    </w:p>
    <w:p w14:paraId="64BF5494">
      <w:pPr>
        <w:ind w:firstLine="562"/>
      </w:pPr>
      <w:r>
        <w:rPr>
          <w:rFonts w:hint="eastAsia" w:ascii="Times New Roman" w:hAnsi="Times New Roman" w:eastAsia="楷体_GB2312" w:cs="黑体"/>
          <w:b/>
          <w:bCs/>
        </w:rPr>
        <w:t>加大县级财政投入。</w:t>
      </w:r>
      <w:r>
        <w:rPr>
          <w:rFonts w:hint="eastAsia"/>
        </w:rPr>
        <w:t>将交通建设和养护资金纳入县级财政预算统筹保障，结合县级财力和项目轻重缓急，优先保障续建项目、民生交通项目、安全应急项目和必要前期工作经费。积极争取一般债券、专项债券等资金支持，统筹整合涉农、援建、乡村振兴、文化旅游、生态修复等资金，用于农村公路、产业路、旅游路、安防设施、养护站点和道路沿线生态修复等项目建设。</w:t>
      </w:r>
    </w:p>
    <w:p w14:paraId="1B1C98DF">
      <w:pPr>
        <w:ind w:firstLine="562"/>
      </w:pPr>
      <w:r>
        <w:rPr>
          <w:rFonts w:hint="eastAsia" w:ascii="Times New Roman" w:hAnsi="Times New Roman" w:eastAsia="楷体_GB2312" w:cs="黑体"/>
          <w:b/>
          <w:bCs/>
        </w:rPr>
        <w:t>创新项目投融资模式。</w:t>
      </w:r>
      <w:r>
        <w:rPr>
          <w:rFonts w:hint="eastAsia"/>
        </w:rPr>
        <w:t>对具备一定收益条件的服务区、物流中心、交旅融合、充电补能、低空经济等项目，依法合规探索特许经营、EPC、运营权合作等模式，吸引社会资本参与建设运营。围绕公路沿线服务设施、停车、充电、广告、旅游服务、农畜产品展销等资源，探索“交通+资源+产业”综合开发路径，建立经营性收益反哺交通建设和养护的长效机制。</w:t>
      </w:r>
    </w:p>
    <w:p w14:paraId="33215417">
      <w:pPr>
        <w:ind w:firstLine="562"/>
      </w:pPr>
      <w:r>
        <w:rPr>
          <w:rFonts w:hint="eastAsia" w:ascii="Times New Roman" w:hAnsi="Times New Roman" w:eastAsia="楷体_GB2312" w:cs="黑体"/>
          <w:b/>
          <w:bCs/>
        </w:rPr>
        <w:t>深化政银企协同合作。</w:t>
      </w:r>
      <w:r>
        <w:rPr>
          <w:rFonts w:hint="eastAsia"/>
        </w:rPr>
        <w:t>主动加强与政策性银行、商业银行和交通投资平台对接，用好中长期低息贷款、政策性开发性金融工具、设备更新改造专项贷款等金融产品，重点支持养护装备更新、物流设施建设、服务区提升、智慧交通和绿色交通项目。探索农村公路灾毁保险、桥梁安全保险等创新保障机制，分散自然灾害和养护管理风险，提升资金保障稳定性。</w:t>
      </w:r>
    </w:p>
    <w:p w14:paraId="20A3CF39">
      <w:pPr>
        <w:ind w:firstLine="560"/>
      </w:pPr>
    </w:p>
    <w:p w14:paraId="47518184">
      <w:pPr>
        <w:ind w:firstLine="560"/>
      </w:pPr>
    </w:p>
    <w:p w14:paraId="1CE28D8E">
      <w:pPr>
        <w:ind w:firstLine="560"/>
      </w:pPr>
    </w:p>
    <w:p w14:paraId="3A5D49F1">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7EA75B9">
      <w:pPr>
        <w:pStyle w:val="2"/>
      </w:pPr>
      <w:bookmarkStart w:id="59" w:name="_Toc5769"/>
      <w:bookmarkStart w:id="60" w:name="_Toc26172"/>
      <w:r>
        <w:rPr>
          <w:rFonts w:hint="eastAsia"/>
        </w:rPr>
        <w:t>保障措施</w:t>
      </w:r>
      <w:bookmarkEnd w:id="59"/>
      <w:bookmarkEnd w:id="60"/>
    </w:p>
    <w:p w14:paraId="68B30582">
      <w:pPr>
        <w:pStyle w:val="3"/>
      </w:pPr>
      <w:bookmarkStart w:id="61" w:name="_Toc30481"/>
      <w:bookmarkStart w:id="62" w:name="_Toc9392"/>
      <w:r>
        <w:rPr>
          <w:rFonts w:hint="eastAsia"/>
        </w:rPr>
        <w:t>加强组织领导</w:t>
      </w:r>
      <w:bookmarkEnd w:id="61"/>
      <w:bookmarkEnd w:id="62"/>
    </w:p>
    <w:p w14:paraId="36E73B1F">
      <w:pPr>
        <w:ind w:firstLine="562"/>
      </w:pPr>
      <w:r>
        <w:rPr>
          <w:rFonts w:hint="eastAsia" w:ascii="Times New Roman" w:hAnsi="Times New Roman" w:eastAsia="楷体_GB2312" w:cs="黑体"/>
          <w:b/>
          <w:bCs/>
        </w:rPr>
        <w:t>加强规划实施统筹协调。</w:t>
      </w:r>
      <w:r>
        <w:rPr>
          <w:rFonts w:hint="eastAsia"/>
        </w:rPr>
        <w:t>坚持县委、县政府统一领导，建立由交通运输、发展改革、财政、自然资源、生态环境、农业农村、文化旅游、应急管理、公安交管等部门共同参与的规划实施协调机制，统筹推进重大项目、重点任务和重要政策落实。强化部门协同和上下联动，及时协调解决项目推进中的规划衔接、用地报批、生态环保、资金筹措、征地拆迁等问题，形成分工明确、协同高效、齐抓共管的工作格局。</w:t>
      </w:r>
    </w:p>
    <w:p w14:paraId="5FD3E781">
      <w:pPr>
        <w:ind w:firstLine="562"/>
      </w:pPr>
      <w:r>
        <w:rPr>
          <w:rFonts w:hint="eastAsia" w:ascii="Times New Roman" w:hAnsi="Times New Roman" w:eastAsia="楷体_GB2312" w:cs="黑体"/>
          <w:b/>
          <w:bCs/>
        </w:rPr>
        <w:t>压实项目推进责任。</w:t>
      </w:r>
      <w:r>
        <w:rPr>
          <w:rFonts w:hint="eastAsia"/>
        </w:rPr>
        <w:t>围绕“十五五”规划确定的重点项目和主要任务，建立项目清单、责任清单、时序清单，明确责任单位、推进节点和工作要求。对续建项目，强化施工组织和要素保障，推动尽快形成实物工作量；对促开工项目，加快前期工作和审批手续办理，推动项目成熟后及时开工；对储备项目，加强与国家、省、州上位规划衔接，持续深化路线方案、建设条件和资金模式研究。</w:t>
      </w:r>
    </w:p>
    <w:p w14:paraId="5F65387F">
      <w:pPr>
        <w:pStyle w:val="3"/>
      </w:pPr>
      <w:bookmarkStart w:id="63" w:name="_Toc144"/>
      <w:bookmarkStart w:id="64" w:name="_Toc32214"/>
      <w:r>
        <w:rPr>
          <w:rFonts w:hint="eastAsia"/>
        </w:rPr>
        <w:t>加强监督管理</w:t>
      </w:r>
      <w:bookmarkEnd w:id="63"/>
      <w:bookmarkEnd w:id="64"/>
    </w:p>
    <w:p w14:paraId="49354AE9">
      <w:pPr>
        <w:ind w:firstLine="562"/>
      </w:pPr>
      <w:r>
        <w:rPr>
          <w:rFonts w:hint="eastAsia" w:ascii="Times New Roman" w:hAnsi="Times New Roman" w:eastAsia="楷体_GB2312" w:cs="黑体"/>
          <w:b/>
          <w:bCs/>
        </w:rPr>
        <w:t>健全规划实施监督机制。</w:t>
      </w:r>
      <w:r>
        <w:rPr>
          <w:rFonts w:hint="eastAsia"/>
        </w:rPr>
        <w:t>加强规划执行情况动态跟踪，定期对重点项目推进、年度投资完成、资金使用绩效、目标任务落实等情况进行调度分析，及时掌握规划实施中的新情况、新问题。结合国家、省、州政策变化和县域发展实际，适时开展规划中期评估和动态调整，提高规划实施的科学性、适应性和可操作性。</w:t>
      </w:r>
    </w:p>
    <w:p w14:paraId="1C87A044">
      <w:pPr>
        <w:ind w:firstLine="562"/>
      </w:pPr>
      <w:r>
        <w:rPr>
          <w:rFonts w:hint="eastAsia" w:ascii="Times New Roman" w:hAnsi="Times New Roman" w:eastAsia="楷体_GB2312" w:cs="黑体"/>
          <w:b/>
          <w:bCs/>
        </w:rPr>
        <w:t>强化项目全过程管理。</w:t>
      </w:r>
      <w:r>
        <w:rPr>
          <w:rFonts w:hint="eastAsia"/>
        </w:rPr>
        <w:t>严格执行基本建设程序，加强项目前期论证、设计审查、招标投标、施工管理、质量安全、竣工验收等全过程监管，确保项目依法依规、规范有序推进。对重大交通项目和民生交通项目，强化质量、安全、环保、进度和投资控制，严守工程质量底线、安全生产红线和生态环保底线。加强廉政风险防控，完善公开透明的项目管理机制，保障规划项目高质量实施。</w:t>
      </w:r>
    </w:p>
    <w:p w14:paraId="1A1C1F75">
      <w:pPr>
        <w:pStyle w:val="3"/>
      </w:pPr>
      <w:bookmarkStart w:id="65" w:name="_Toc15044"/>
      <w:bookmarkStart w:id="66" w:name="_Toc18955"/>
      <w:r>
        <w:rPr>
          <w:rFonts w:hint="eastAsia"/>
        </w:rPr>
        <w:t>强化资金保障</w:t>
      </w:r>
      <w:bookmarkEnd w:id="65"/>
      <w:bookmarkEnd w:id="66"/>
    </w:p>
    <w:p w14:paraId="43EF7B4F">
      <w:pPr>
        <w:ind w:firstLine="562"/>
      </w:pPr>
      <w:r>
        <w:rPr>
          <w:rFonts w:hint="eastAsia" w:ascii="Times New Roman" w:hAnsi="Times New Roman" w:eastAsia="楷体_GB2312" w:cs="黑体"/>
          <w:b/>
          <w:bCs/>
        </w:rPr>
        <w:t>加强资金统筹保障。</w:t>
      </w:r>
      <w:r>
        <w:rPr>
          <w:rFonts w:hint="eastAsia"/>
        </w:rPr>
        <w:t>“十五五”期间，红原县综合交通运输规划项目投资规模大、项目类型多、资金来源复杂，应坚持“尽力而为、量力而行、突出重点、滚动实施”，统筹建设需求和财政承受能力，优先保障续建项目和已纳入国家、省、州规划的重点项目，合理安排促开工项目建设节奏，稳步推进储备项目前期研究。</w:t>
      </w:r>
    </w:p>
    <w:p w14:paraId="555A5B31">
      <w:pPr>
        <w:ind w:firstLine="562"/>
      </w:pPr>
      <w:r>
        <w:rPr>
          <w:rFonts w:hint="eastAsia" w:ascii="Times New Roman" w:hAnsi="Times New Roman" w:eastAsia="楷体_GB2312" w:cs="黑体"/>
          <w:b/>
          <w:bCs/>
        </w:rPr>
        <w:t>拓宽资金筹措渠道。</w:t>
      </w:r>
      <w:r>
        <w:rPr>
          <w:rFonts w:hint="eastAsia"/>
        </w:rPr>
        <w:t>积极争取中央车购税、省级交通专项资金、乡村振兴衔接资金、地方政府债券、生态保护修复等资金支持，推动更多项目纳入上级规划和专项资金支持范围。统筹整合涉农、援建、文旅、物流、生态修复等相关资金，支持农村公路、产业路、旅游路、安防设施、服务区和生态修复等项目建设。</w:t>
      </w:r>
    </w:p>
    <w:p w14:paraId="06694A4F">
      <w:pPr>
        <w:ind w:firstLine="562"/>
      </w:pPr>
      <w:r>
        <w:rPr>
          <w:rFonts w:hint="eastAsia" w:ascii="Times New Roman" w:hAnsi="Times New Roman" w:eastAsia="楷体_GB2312" w:cs="黑体"/>
          <w:b/>
          <w:bCs/>
        </w:rPr>
        <w:t>提升资金使用效益。</w:t>
      </w:r>
      <w:r>
        <w:rPr>
          <w:rFonts w:hint="eastAsia"/>
        </w:rPr>
        <w:t>严格控制工程建设成本，加强项目投资评审、设计审查、招标投标和全过程造价管理，防止超标准建设和重复建设。建立健全交通专项资金管理制度，强化资金拨付、使用、绩效和审计监督，确保资金安全、规范、高效使用。积极盘活公路沿线服务区、停车点、充电设施、旅游驿站、物流节点等经营性资源，探索形成建设投入和运营收益良性循环。</w:t>
      </w:r>
    </w:p>
    <w:p w14:paraId="10547492">
      <w:pPr>
        <w:pStyle w:val="3"/>
      </w:pPr>
      <w:bookmarkStart w:id="67" w:name="_Toc29004"/>
      <w:bookmarkStart w:id="68" w:name="_Toc11750"/>
      <w:r>
        <w:rPr>
          <w:rFonts w:hint="eastAsia"/>
        </w:rPr>
        <w:t>加强人才保障</w:t>
      </w:r>
      <w:bookmarkEnd w:id="67"/>
      <w:bookmarkEnd w:id="68"/>
    </w:p>
    <w:p w14:paraId="1308BD8A">
      <w:pPr>
        <w:ind w:firstLine="562"/>
      </w:pPr>
      <w:r>
        <w:rPr>
          <w:rFonts w:hint="eastAsia" w:ascii="Times New Roman" w:hAnsi="Times New Roman" w:eastAsia="楷体_GB2312" w:cs="黑体"/>
          <w:b/>
          <w:bCs/>
        </w:rPr>
        <w:t>加强交通专业人才队伍建设。</w:t>
      </w:r>
      <w:r>
        <w:rPr>
          <w:rFonts w:hint="eastAsia"/>
        </w:rPr>
        <w:t>围绕重大项目建设、农村公路管养、交通安全应急、智慧交通、绿色交通、交旅融合等重点领域，加大专业技术人才、项目管理人才和基层交通管理人员培养力度，提升交通干部队伍政策研究、项目谋划、工程管理、资金争取和行业治理能力。</w:t>
      </w:r>
    </w:p>
    <w:p w14:paraId="515C08F6">
      <w:pPr>
        <w:ind w:firstLine="562"/>
      </w:pPr>
      <w:r>
        <w:rPr>
          <w:rFonts w:hint="eastAsia" w:ascii="Times New Roman" w:hAnsi="Times New Roman" w:eastAsia="楷体_GB2312" w:cs="黑体"/>
          <w:b/>
          <w:bCs/>
        </w:rPr>
        <w:t>提升基层管养和应急队伍能力。</w:t>
      </w:r>
      <w:r>
        <w:rPr>
          <w:rFonts w:hint="eastAsia"/>
        </w:rPr>
        <w:t>结合高寒高海拔地区交通运行特点，加强养护、保通、应急抢险、安全监管等一线人员培训，提升机械化养护、冬季除雪保通、灾害应急处置和路网运行保障能力。鼓励通过外出培训、专家指导、校地合作等方式，提升交通队伍专业化水平。</w:t>
      </w:r>
    </w:p>
    <w:p w14:paraId="52D09730">
      <w:pPr>
        <w:ind w:firstLine="562"/>
      </w:pPr>
      <w:r>
        <w:rPr>
          <w:rFonts w:hint="eastAsia" w:ascii="Times New Roman" w:hAnsi="Times New Roman" w:eastAsia="楷体_GB2312" w:cs="黑体"/>
          <w:b/>
          <w:bCs/>
        </w:rPr>
        <w:t>强化智力支撑和技术服务。</w:t>
      </w:r>
      <w:r>
        <w:rPr>
          <w:rFonts w:hint="eastAsia"/>
        </w:rPr>
        <w:t>加强与省州交通主管部门、科研院所、设计单位和专业机构的沟通协作，在重大项目谋划、生态环保论证、智慧交通建设、交旅融合策划、投融资模式创新等方面引入专业技术力量。建立规划实施技术咨询和项目储备动态优化机制，为红原县综合交通运输高质量发展提供持续智力支撑。</w:t>
      </w:r>
    </w:p>
    <w:p w14:paraId="2744F3C4">
      <w:pPr>
        <w:ind w:firstLine="560"/>
      </w:pPr>
    </w:p>
    <w:p w14:paraId="1B486C30">
      <w:pPr>
        <w:ind w:firstLine="560"/>
      </w:pPr>
    </w:p>
    <w:p w14:paraId="446B39F0">
      <w:pPr>
        <w:ind w:firstLine="5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643B1EB">
      <w:pPr>
        <w:pStyle w:val="2"/>
        <w:numPr>
          <w:ilvl w:val="0"/>
          <w:numId w:val="0"/>
        </w:numPr>
      </w:pPr>
      <w:bookmarkStart w:id="69" w:name="_Toc15859"/>
      <w:bookmarkStart w:id="70" w:name="_Toc31454"/>
      <w:r>
        <w:rPr>
          <w:rFonts w:hint="eastAsia"/>
        </w:rPr>
        <w:t>附图1：红原县综合交通运输发展“十五五”现状图</w:t>
      </w:r>
      <w:bookmarkEnd w:id="69"/>
      <w:bookmarkEnd w:id="70"/>
    </w:p>
    <w:p w14:paraId="6E0D44CF">
      <w:pPr>
        <w:pStyle w:val="21"/>
        <w:rPr>
          <w:rFonts w:hint="eastAsia" w:eastAsiaTheme="minorEastAsia"/>
          <w:lang w:eastAsia="zh-CN"/>
        </w:rPr>
      </w:pPr>
      <w:r>
        <w:rPr>
          <w:rFonts w:hint="eastAsia" w:eastAsiaTheme="minorEastAsia"/>
          <w:lang w:eastAsia="zh-CN"/>
        </w:rPr>
        <w:drawing>
          <wp:inline distT="0" distB="0" distL="114300" distR="114300">
            <wp:extent cx="8855710" cy="12524105"/>
            <wp:effectExtent l="0" t="0" r="6985" b="8890"/>
            <wp:docPr id="11" name="图片 11" descr="红原县“十五五”综合交通现状图-21-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红原县“十五五”综合交通现状图-21-0824"/>
                    <pic:cNvPicPr>
                      <a:picLocks noChangeAspect="1"/>
                    </pic:cNvPicPr>
                  </pic:nvPicPr>
                  <pic:blipFill>
                    <a:blip r:embed="rId16"/>
                    <a:stretch>
                      <a:fillRect/>
                    </a:stretch>
                  </pic:blipFill>
                  <pic:spPr>
                    <a:xfrm>
                      <a:off x="0" y="0"/>
                      <a:ext cx="8855710" cy="12524105"/>
                    </a:xfrm>
                    <a:prstGeom prst="rect">
                      <a:avLst/>
                    </a:prstGeom>
                  </pic:spPr>
                </pic:pic>
              </a:graphicData>
            </a:graphic>
          </wp:inline>
        </w:drawing>
      </w:r>
    </w:p>
    <w:p w14:paraId="3E80EDCA">
      <w:pPr>
        <w:pStyle w:val="2"/>
        <w:numPr>
          <w:ilvl w:val="0"/>
          <w:numId w:val="0"/>
        </w:numPr>
      </w:pPr>
      <w:bookmarkStart w:id="71" w:name="_Toc3382"/>
      <w:bookmarkStart w:id="72" w:name="_Toc7066"/>
      <w:r>
        <w:rPr>
          <w:rFonts w:hint="eastAsia"/>
        </w:rPr>
        <w:t>附图</w:t>
      </w:r>
      <w:r>
        <w:rPr>
          <w:rFonts w:hint="eastAsia"/>
          <w:lang w:val="en-US" w:eastAsia="zh-CN"/>
        </w:rPr>
        <w:t>2</w:t>
      </w:r>
      <w:r>
        <w:rPr>
          <w:rFonts w:hint="eastAsia"/>
        </w:rPr>
        <w:t>：</w:t>
      </w:r>
      <w:bookmarkEnd w:id="71"/>
      <w:r>
        <w:rPr>
          <w:rFonts w:hint="eastAsia"/>
        </w:rPr>
        <w:t>红原机场一小时等时圈覆盖范围图</w:t>
      </w:r>
      <w:bookmarkEnd w:id="72"/>
    </w:p>
    <w:p w14:paraId="732F2ABB">
      <w:pPr>
        <w:pStyle w:val="25"/>
      </w:pPr>
      <w:r>
        <w:rPr>
          <w:rFonts w:hint="eastAsia"/>
        </w:rPr>
        <w:drawing>
          <wp:inline distT="0" distB="0" distL="114300" distR="114300">
            <wp:extent cx="8855710" cy="12524105"/>
            <wp:effectExtent l="0" t="0" r="6985" b="8890"/>
            <wp:docPr id="6" name="图片 6" descr="D:/交通规划项目/红原县交通规划/地理数据库/红原机场一小时等时圈覆盖0427.png红原机场一小时等时圈覆盖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交通规划项目/红原县交通规划/地理数据库/红原机场一小时等时圈覆盖0427.png红原机场一小时等时圈覆盖0427"/>
                    <pic:cNvPicPr>
                      <a:picLocks noChangeAspect="1"/>
                    </pic:cNvPicPr>
                  </pic:nvPicPr>
                  <pic:blipFill>
                    <a:blip r:embed="rId17"/>
                    <a:srcRect t="4" b="4"/>
                    <a:stretch>
                      <a:fillRect/>
                    </a:stretch>
                  </pic:blipFill>
                  <pic:spPr>
                    <a:xfrm>
                      <a:off x="0" y="0"/>
                      <a:ext cx="8855710" cy="12524105"/>
                    </a:xfrm>
                    <a:prstGeom prst="rect">
                      <a:avLst/>
                    </a:prstGeom>
                  </pic:spPr>
                </pic:pic>
              </a:graphicData>
            </a:graphic>
          </wp:inline>
        </w:drawing>
      </w:r>
    </w:p>
    <w:p w14:paraId="73874BA8">
      <w:pPr>
        <w:pStyle w:val="2"/>
        <w:numPr>
          <w:ilvl w:val="0"/>
          <w:numId w:val="0"/>
        </w:numPr>
      </w:pPr>
      <w:bookmarkStart w:id="73" w:name="_Toc24401"/>
      <w:r>
        <w:rPr>
          <w:rFonts w:hint="eastAsia"/>
        </w:rPr>
        <w:t>附图</w:t>
      </w:r>
      <w:r>
        <w:rPr>
          <w:rFonts w:hint="eastAsia"/>
          <w:lang w:val="en-US" w:eastAsia="zh-CN"/>
        </w:rPr>
        <w:t>3</w:t>
      </w:r>
      <w:r>
        <w:rPr>
          <w:rFonts w:hint="eastAsia"/>
        </w:rPr>
        <w:t>：红原县高速公路一小时等时圈覆盖范围图</w:t>
      </w:r>
      <w:bookmarkEnd w:id="73"/>
    </w:p>
    <w:p w14:paraId="2B5E3809">
      <w:pPr>
        <w:pStyle w:val="25"/>
        <w:rPr>
          <w:rFonts w:hint="eastAsia" w:eastAsia="黑体"/>
          <w:lang w:eastAsia="zh-CN"/>
        </w:rPr>
      </w:pPr>
      <w:r>
        <w:rPr>
          <w:rFonts w:hint="eastAsia"/>
        </w:rPr>
        <w:drawing>
          <wp:inline distT="0" distB="0" distL="114300" distR="114300">
            <wp:extent cx="8855710" cy="12524105"/>
            <wp:effectExtent l="0" t="0" r="6985" b="8890"/>
            <wp:docPr id="7" name="图片 7" descr="红原高速公路一小时等时圈覆盖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红原高速公路一小时等时圈覆盖0427"/>
                    <pic:cNvPicPr>
                      <a:picLocks noChangeAspect="1"/>
                    </pic:cNvPicPr>
                  </pic:nvPicPr>
                  <pic:blipFill>
                    <a:blip r:embed="rId18"/>
                    <a:stretch>
                      <a:fillRect/>
                    </a:stretch>
                  </pic:blipFill>
                  <pic:spPr>
                    <a:xfrm>
                      <a:off x="0" y="0"/>
                      <a:ext cx="8855710" cy="12524105"/>
                    </a:xfrm>
                    <a:prstGeom prst="rect">
                      <a:avLst/>
                    </a:prstGeom>
                  </pic:spPr>
                </pic:pic>
              </a:graphicData>
            </a:graphic>
          </wp:inline>
        </w:drawing>
      </w:r>
    </w:p>
    <w:p w14:paraId="6D11281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pPr>
    </w:p>
    <w:sectPr>
      <w:pgSz w:w="16838" w:h="23811"/>
      <w:pgMar w:top="1474" w:right="1417" w:bottom="1474"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E8939">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786E9">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F2A61">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6031E">
    <w:pPr>
      <w:pStyle w:val="14"/>
      <w:rPr>
        <w:b/>
        <w:bCs/>
      </w:rPr>
    </w:pPr>
    <w:r>
      <w:rPr>
        <w:b/>
        <w:bC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2C0F2">
                          <w:pPr>
                            <w:pStyle w:val="1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42C0F2">
                    <w:pPr>
                      <w:pStyle w:val="1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3</w:t>
                    </w:r>
                    <w:r>
                      <w:rPr>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32ECC">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878C2">
                          <w:pPr>
                            <w:pStyle w:val="14"/>
                            <w:rPr>
                              <w:b/>
                              <w:bCs/>
                              <w:sz w:val="24"/>
                            </w:rPr>
                          </w:pPr>
                          <w:r>
                            <w:rPr>
                              <w:b/>
                              <w:bCs/>
                              <w:sz w:val="24"/>
                            </w:rPr>
                            <w:t xml:space="preserve">— </w:t>
                          </w:r>
                          <w:r>
                            <w:rPr>
                              <w:b/>
                              <w:bCs/>
                              <w:sz w:val="24"/>
                            </w:rPr>
                            <w:fldChar w:fldCharType="begin"/>
                          </w:r>
                          <w:r>
                            <w:rPr>
                              <w:b/>
                              <w:bCs/>
                              <w:sz w:val="24"/>
                            </w:rPr>
                            <w:instrText xml:space="preserve"> PAGE  \* MERGEFORMAT </w:instrText>
                          </w:r>
                          <w:r>
                            <w:rPr>
                              <w:b/>
                              <w:bCs/>
                              <w:sz w:val="24"/>
                            </w:rPr>
                            <w:fldChar w:fldCharType="separate"/>
                          </w:r>
                          <w:r>
                            <w:rPr>
                              <w:b/>
                              <w:bCs/>
                              <w:sz w:val="24"/>
                            </w:rPr>
                            <w:t>2</w:t>
                          </w:r>
                          <w:r>
                            <w:rPr>
                              <w:b/>
                              <w:bCs/>
                              <w:sz w:val="24"/>
                            </w:rPr>
                            <w:fldChar w:fldCharType="end"/>
                          </w:r>
                          <w:r>
                            <w:rPr>
                              <w:b/>
                              <w:bCs/>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E878C2">
                    <w:pPr>
                      <w:pStyle w:val="14"/>
                      <w:rPr>
                        <w:b/>
                        <w:bCs/>
                        <w:sz w:val="24"/>
                      </w:rPr>
                    </w:pPr>
                    <w:r>
                      <w:rPr>
                        <w:b/>
                        <w:bCs/>
                        <w:sz w:val="24"/>
                      </w:rPr>
                      <w:t xml:space="preserve">— </w:t>
                    </w:r>
                    <w:r>
                      <w:rPr>
                        <w:b/>
                        <w:bCs/>
                        <w:sz w:val="24"/>
                      </w:rPr>
                      <w:fldChar w:fldCharType="begin"/>
                    </w:r>
                    <w:r>
                      <w:rPr>
                        <w:b/>
                        <w:bCs/>
                        <w:sz w:val="24"/>
                      </w:rPr>
                      <w:instrText xml:space="preserve"> PAGE  \* MERGEFORMAT </w:instrText>
                    </w:r>
                    <w:r>
                      <w:rPr>
                        <w:b/>
                        <w:bCs/>
                        <w:sz w:val="24"/>
                      </w:rPr>
                      <w:fldChar w:fldCharType="separate"/>
                    </w:r>
                    <w:r>
                      <w:rPr>
                        <w:b/>
                        <w:bCs/>
                        <w:sz w:val="24"/>
                      </w:rPr>
                      <w:t>2</w:t>
                    </w:r>
                    <w:r>
                      <w:rPr>
                        <w:b/>
                        <w:bCs/>
                        <w:sz w:val="24"/>
                      </w:rPr>
                      <w:fldChar w:fldCharType="end"/>
                    </w:r>
                    <w:r>
                      <w:rPr>
                        <w:b/>
                        <w:bCs/>
                        <w:sz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72DA1">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3EB5F">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983C8">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F4EF52"/>
    <w:multiLevelType w:val="multilevel"/>
    <w:tmpl w:val="C8F4EF52"/>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tabs>
          <w:tab w:val="left" w:pos="0"/>
        </w:tabs>
        <w:ind w:left="0" w:firstLine="40"/>
      </w:pPr>
      <w:rPr>
        <w:rFonts w:hint="eastAsia"/>
      </w:rPr>
    </w:lvl>
    <w:lvl w:ilvl="3" w:tentative="0">
      <w:start w:val="1"/>
      <w:numFmt w:val="decimal"/>
      <w:pStyle w:val="5"/>
      <w:suff w:val="nothing"/>
      <w:lvlText w:val="（%4）"/>
      <w:lvlJc w:val="left"/>
      <w:pPr>
        <w:ind w:left="0" w:firstLine="40"/>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92ABE"/>
    <w:rsid w:val="004E0AB4"/>
    <w:rsid w:val="00713CE2"/>
    <w:rsid w:val="008E50F3"/>
    <w:rsid w:val="00AD0B3B"/>
    <w:rsid w:val="0A796E1A"/>
    <w:rsid w:val="0E13321E"/>
    <w:rsid w:val="10AF3068"/>
    <w:rsid w:val="115F06D1"/>
    <w:rsid w:val="137E1D00"/>
    <w:rsid w:val="16315EBE"/>
    <w:rsid w:val="19E57796"/>
    <w:rsid w:val="1E175E9E"/>
    <w:rsid w:val="206D4B89"/>
    <w:rsid w:val="23BF71FF"/>
    <w:rsid w:val="29AE1233"/>
    <w:rsid w:val="2BAE2033"/>
    <w:rsid w:val="2DEF724E"/>
    <w:rsid w:val="2EEA59BF"/>
    <w:rsid w:val="32C65D56"/>
    <w:rsid w:val="33B91574"/>
    <w:rsid w:val="347F427B"/>
    <w:rsid w:val="3AAB2892"/>
    <w:rsid w:val="3CF87579"/>
    <w:rsid w:val="3D436B10"/>
    <w:rsid w:val="3E5A3954"/>
    <w:rsid w:val="486D6C4E"/>
    <w:rsid w:val="500B7261"/>
    <w:rsid w:val="50E92ABE"/>
    <w:rsid w:val="52C86C78"/>
    <w:rsid w:val="52D006F9"/>
    <w:rsid w:val="53585A2C"/>
    <w:rsid w:val="5584155C"/>
    <w:rsid w:val="55B85C27"/>
    <w:rsid w:val="58A41F44"/>
    <w:rsid w:val="5FD63C2B"/>
    <w:rsid w:val="60934EAB"/>
    <w:rsid w:val="645A762D"/>
    <w:rsid w:val="6BFF13CE"/>
    <w:rsid w:val="6C267E7C"/>
    <w:rsid w:val="6E6B7E36"/>
    <w:rsid w:val="79CB43E5"/>
    <w:rsid w:val="79D40878"/>
    <w:rsid w:val="7AAC35D1"/>
    <w:rsid w:val="7AD76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880" w:firstLineChars="200"/>
      <w:jc w:val="both"/>
    </w:pPr>
    <w:rPr>
      <w:rFonts w:ascii="Times New Roman" w:hAnsi="Times New Roman" w:eastAsia="仿宋_GB2312" w:cstheme="minorBidi"/>
      <w:kern w:val="2"/>
      <w:sz w:val="28"/>
      <w:szCs w:val="24"/>
      <w:lang w:val="en-US" w:eastAsia="zh-CN" w:bidi="ar-SA"/>
    </w:rPr>
  </w:style>
  <w:style w:type="paragraph" w:styleId="2">
    <w:name w:val="heading 1"/>
    <w:next w:val="1"/>
    <w:qFormat/>
    <w:uiPriority w:val="0"/>
    <w:pPr>
      <w:keepNext/>
      <w:keepLines/>
      <w:numPr>
        <w:ilvl w:val="0"/>
        <w:numId w:val="1"/>
      </w:numPr>
      <w:tabs>
        <w:tab w:val="left" w:pos="0"/>
      </w:tabs>
      <w:spacing w:line="560" w:lineRule="exact"/>
      <w:ind w:firstLine="880" w:firstLineChars="200"/>
      <w:outlineLvl w:val="0"/>
    </w:pPr>
    <w:rPr>
      <w:rFonts w:ascii="Times New Roman" w:hAnsi="Times New Roman" w:eastAsia="黑体" w:cstheme="minorBidi"/>
      <w:b/>
      <w:kern w:val="44"/>
      <w:sz w:val="32"/>
      <w:lang w:val="en-US" w:eastAsia="zh-CN" w:bidi="ar-SA"/>
    </w:rPr>
  </w:style>
  <w:style w:type="paragraph" w:styleId="3">
    <w:name w:val="heading 2"/>
    <w:next w:val="1"/>
    <w:unhideWhenUsed/>
    <w:qFormat/>
    <w:uiPriority w:val="0"/>
    <w:pPr>
      <w:keepNext/>
      <w:keepLines/>
      <w:numPr>
        <w:ilvl w:val="1"/>
        <w:numId w:val="1"/>
      </w:numPr>
      <w:spacing w:before="120" w:line="560" w:lineRule="exact"/>
      <w:ind w:firstLine="880" w:firstLineChars="200"/>
      <w:outlineLvl w:val="1"/>
    </w:pPr>
    <w:rPr>
      <w:rFonts w:ascii="Times New Roman" w:hAnsi="Times New Roman" w:eastAsia="楷体_GB2312" w:cstheme="minorBidi"/>
      <w:b/>
      <w:sz w:val="32"/>
      <w:lang w:val="en-US" w:eastAsia="zh-CN" w:bidi="ar-SA"/>
    </w:rPr>
  </w:style>
  <w:style w:type="paragraph" w:styleId="4">
    <w:name w:val="heading 3"/>
    <w:basedOn w:val="1"/>
    <w:next w:val="1"/>
    <w:unhideWhenUsed/>
    <w:qFormat/>
    <w:uiPriority w:val="0"/>
    <w:pPr>
      <w:keepNext/>
      <w:keepLines/>
      <w:numPr>
        <w:ilvl w:val="2"/>
        <w:numId w:val="1"/>
      </w:numPr>
      <w:spacing w:line="560" w:lineRule="exact"/>
      <w:ind w:firstLine="880"/>
      <w:outlineLvl w:val="2"/>
    </w:pPr>
    <w:rPr>
      <w:rFonts w:eastAsia="楷体_GB2312"/>
      <w:b/>
    </w:rPr>
  </w:style>
  <w:style w:type="paragraph" w:styleId="5">
    <w:name w:val="heading 4"/>
    <w:basedOn w:val="1"/>
    <w:next w:val="1"/>
    <w:unhideWhenUsed/>
    <w:qFormat/>
    <w:uiPriority w:val="0"/>
    <w:pPr>
      <w:keepNext/>
      <w:keepLines/>
      <w:numPr>
        <w:ilvl w:val="3"/>
        <w:numId w:val="1"/>
      </w:numPr>
      <w:ind w:firstLine="880"/>
      <w:outlineLvl w:val="3"/>
    </w:pPr>
    <w:rPr>
      <w:b/>
    </w:rPr>
  </w:style>
  <w:style w:type="paragraph" w:styleId="6">
    <w:name w:val="heading 5"/>
    <w:basedOn w:val="1"/>
    <w:next w:val="1"/>
    <w:semiHidden/>
    <w:unhideWhenUsed/>
    <w:qFormat/>
    <w:uiPriority w:val="0"/>
    <w:pPr>
      <w:keepNext/>
      <w:keepLines/>
      <w:numPr>
        <w:ilvl w:val="4"/>
        <w:numId w:val="1"/>
      </w:numPr>
      <w:spacing w:before="280" w:after="290" w:line="372" w:lineRule="auto"/>
      <w:ind w:firstLineChars="0"/>
      <w:outlineLvl w:val="4"/>
    </w:pPr>
    <w:rPr>
      <w:b/>
    </w:rPr>
  </w:style>
  <w:style w:type="paragraph" w:styleId="7">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ind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0"/>
    <w:pPr>
      <w:spacing w:before="60" w:line="300" w:lineRule="auto"/>
      <w:ind w:firstLine="0" w:firstLineChars="0"/>
      <w:jc w:val="center"/>
    </w:pPr>
    <w:rPr>
      <w:b/>
    </w:rPr>
  </w:style>
  <w:style w:type="paragraph" w:styleId="12">
    <w:name w:val="annotation text"/>
    <w:basedOn w:val="1"/>
    <w:qFormat/>
    <w:uiPriority w:val="0"/>
    <w:pPr>
      <w:jc w:val="left"/>
    </w:pPr>
  </w:style>
  <w:style w:type="paragraph" w:styleId="13">
    <w:name w:val="toc 3"/>
    <w:basedOn w:val="1"/>
    <w:next w:val="1"/>
    <w:qFormat/>
    <w:uiPriority w:val="0"/>
    <w:pPr>
      <w:ind w:left="840" w:leftChars="400"/>
    </w:pPr>
  </w:style>
  <w:style w:type="paragraph" w:styleId="14">
    <w:name w:val="footer"/>
    <w:basedOn w:val="1"/>
    <w:qFormat/>
    <w:uiPriority w:val="0"/>
    <w:pPr>
      <w:tabs>
        <w:tab w:val="center" w:pos="4153"/>
        <w:tab w:val="right" w:pos="8306"/>
      </w:tabs>
      <w:snapToGrid w:val="0"/>
      <w:ind w:firstLine="0" w:firstLineChars="0"/>
      <w:jc w:val="center"/>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qFormat/>
    <w:uiPriority w:val="0"/>
    <w:pPr>
      <w:spacing w:line="600" w:lineRule="exact"/>
      <w:ind w:firstLine="0" w:firstLineChars="0"/>
    </w:pPr>
    <w:rPr>
      <w:b/>
    </w:rPr>
  </w:style>
  <w:style w:type="paragraph" w:styleId="17">
    <w:name w:val="toc 2"/>
    <w:basedOn w:val="1"/>
    <w:next w:val="1"/>
    <w:qFormat/>
    <w:uiPriority w:val="0"/>
    <w:pPr>
      <w:spacing w:line="560" w:lineRule="exac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图片"/>
    <w:next w:val="1"/>
    <w:qFormat/>
    <w:uiPriority w:val="0"/>
    <w:pPr>
      <w:jc w:val="center"/>
    </w:pPr>
    <w:rPr>
      <w:rFonts w:ascii="Times New Roman" w:hAnsi="Times New Roman" w:eastAsiaTheme="minorEastAsia" w:cstheme="minorBidi"/>
      <w:lang w:val="en-US" w:eastAsia="zh-CN" w:bidi="ar-SA"/>
    </w:rPr>
  </w:style>
  <w:style w:type="paragraph" w:customStyle="1" w:styleId="22">
    <w:name w:val="正文标题"/>
    <w:next w:val="1"/>
    <w:qFormat/>
    <w:uiPriority w:val="0"/>
    <w:pPr>
      <w:spacing w:line="360" w:lineRule="auto"/>
      <w:jc w:val="center"/>
      <w:outlineLvl w:val="0"/>
    </w:pPr>
    <w:rPr>
      <w:rFonts w:hint="eastAsia" w:ascii="Times New Roman" w:hAnsi="Times New Roman" w:eastAsia="方正小标宋_GBK" w:cstheme="minorBidi"/>
      <w:sz w:val="44"/>
      <w:lang w:val="en-US" w:eastAsia="zh-CN" w:bidi="ar-SA"/>
    </w:rPr>
  </w:style>
  <w:style w:type="paragraph" w:customStyle="1" w:styleId="23">
    <w:name w:val="表格文字"/>
    <w:basedOn w:val="1"/>
    <w:qFormat/>
    <w:uiPriority w:val="0"/>
    <w:pPr>
      <w:spacing w:line="300" w:lineRule="auto"/>
      <w:ind w:firstLine="0" w:firstLineChars="0"/>
      <w:jc w:val="center"/>
    </w:pPr>
    <w:rPr>
      <w:color w:val="000000" w:themeColor="text1"/>
      <w:sz w:val="24"/>
      <w14:textFill>
        <w14:solidFill>
          <w14:schemeClr w14:val="tx1"/>
        </w14:solidFill>
      </w14:textFill>
    </w:rPr>
  </w:style>
  <w:style w:type="paragraph" w:customStyle="1" w:styleId="24">
    <w:name w:val="表格标头"/>
    <w:basedOn w:val="1"/>
    <w:qFormat/>
    <w:uiPriority w:val="0"/>
    <w:pPr>
      <w:snapToGrid w:val="0"/>
      <w:spacing w:before="60" w:line="300" w:lineRule="auto"/>
      <w:ind w:firstLine="0" w:firstLineChars="0"/>
      <w:jc w:val="center"/>
    </w:pPr>
    <w:rPr>
      <w:rFonts w:eastAsia="楷体_GB2312" w:cs="宋体"/>
      <w:b/>
      <w:color w:val="000000" w:themeColor="text1"/>
      <w:sz w:val="24"/>
      <w:szCs w:val="20"/>
      <w14:textFill>
        <w14:solidFill>
          <w14:schemeClr w14:val="tx1"/>
        </w14:solidFill>
      </w14:textFill>
    </w:rPr>
  </w:style>
  <w:style w:type="paragraph" w:customStyle="1" w:styleId="25">
    <w:name w:val="图表名"/>
    <w:basedOn w:val="24"/>
    <w:qFormat/>
    <w:uiPriority w:val="0"/>
    <w:pPr>
      <w:snapToGrid/>
    </w:pPr>
    <w:rPr>
      <w:sz w:val="28"/>
    </w:rPr>
  </w:style>
  <w:style w:type="table" w:customStyle="1" w:styleId="26">
    <w:name w:val="Grid Table 1 Light Accent 6"/>
    <w:basedOn w:val="18"/>
    <w:qFormat/>
    <w:uiPriority w:val="46"/>
    <w:tblPr>
      <w:tblBorders>
        <w:top w:val="single" w:color="F4B7BE" w:themeColor="accent6" w:themeTint="66" w:sz="4" w:space="0"/>
        <w:left w:val="single" w:color="F4B7BE" w:themeColor="accent6" w:themeTint="66" w:sz="4" w:space="0"/>
        <w:bottom w:val="single" w:color="F4B7BE" w:themeColor="accent6" w:themeTint="66" w:sz="4" w:space="0"/>
        <w:right w:val="single" w:color="F4B7BE" w:themeColor="accent6" w:themeTint="66" w:sz="4" w:space="0"/>
        <w:insideH w:val="single" w:color="F4B7BE" w:themeColor="accent6" w:themeTint="66" w:sz="4" w:space="0"/>
        <w:insideV w:val="single" w:color="F4B7BE" w:themeColor="accent6" w:themeTint="66"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2" w:space="0"/>
        </w:tcBorders>
      </w:tcPr>
    </w:tblStylePr>
    <w:tblStylePr w:type="firstCol">
      <w:rPr>
        <w:b/>
        <w:bCs/>
      </w:rPr>
    </w:tblStylePr>
    <w:tblStylePr w:type="lastCol">
      <w:rPr>
        <w:b/>
        <w:bCs/>
      </w:rPr>
    </w:tblStylePr>
  </w:style>
  <w:style w:type="table" w:customStyle="1" w:styleId="27">
    <w:name w:val="规划用"/>
    <w:basedOn w:val="18"/>
    <w:qFormat/>
    <w:uiPriority w:val="99"/>
    <w:pPr>
      <w:spacing w:line="300" w:lineRule="auto"/>
      <w:jc w:val="center"/>
    </w:pPr>
    <w:rPr>
      <w:rFonts w:eastAsia="仿宋_GB2312"/>
      <w:sz w:val="24"/>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wordWrap/>
        <w:spacing w:before="60" w:beforeLines="0" w:beforeAutospacing="0" w:line="300" w:lineRule="auto"/>
        <w:ind w:firstLine="0" w:firstLineChars="0"/>
      </w:pPr>
      <w:rPr>
        <w:rFonts w:eastAsia="楷体_GB2312"/>
        <w:b/>
        <w:sz w:val="24"/>
      </w:rPr>
      <w:tcPr>
        <w:tcBorders>
          <w:top w:val="single" w:color="auto" w:sz="12" w:space="0"/>
          <w:left w:val="nil"/>
          <w:bottom w:val="single" w:color="auto" w:sz="6" w:space="0"/>
          <w:right w:val="nil"/>
          <w:insideH w:val="nil"/>
          <w:insideV w:val="single" w:sz="4" w:space="0"/>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929</Words>
  <Characters>969</Characters>
  <Lines>309</Lines>
  <Paragraphs>87</Paragraphs>
  <TotalTime>194</TotalTime>
  <ScaleCrop>false</ScaleCrop>
  <LinksUpToDate>false</LinksUpToDate>
  <CharactersWithSpaces>1115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2026-04-14T12:12:00Z</dcterms:created>
  <dc:creator>Me-68</dc:creator>
  <cp:lastModifiedBy>D.m</cp:lastModifiedBy>
  <cp:lastPrinted>2026-05-15T06:20:00Z</cp:lastPrinted>
  <dcterms:modified xsi:type="dcterms:W3CDTF">2026-09-10T07:41:05Z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2E801D437891416082B6B94CD6C45273_13</vt:lpwstr>
  </property>
  <property fmtid="{D5CDD505-2E9C-101B-9397-08002B2CF9AE}" pid="4" name="KSOTemplateDocerSaveRecord">
    <vt:lpwstr>eyJoZGlkIjoiM2EwYmE4NzE1ZDMyYWUyMWVhN2Y3MjQxOTJjMGI3ODUiLCJ1c2VySWQiOiI3MTE2MTcxNTkifQ==</vt:lpwstr>
  </property>
</Properties>
</file>