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baseline"/>
        <w:rPr>
          <w:rFonts w:ascii="Times New Roman" w:eastAsia="方正小标宋简体" w:cs="Times New Roman" w:hAnsi="Times New Roman"/>
          <w:spacing w:val="-11"/>
          <w:sz w:val="44"/>
          <w:szCs w:val="44"/>
        </w:rPr>
      </w:pPr>
      <w:r>
        <w:rPr>
          <w:rFonts w:ascii="Times New Roman" w:eastAsia="方正小标宋简体" w:cs="Times New Roman" w:hAnsi="Times New Roman"/>
          <w:spacing w:val="-11"/>
          <w:sz w:val="44"/>
          <w:szCs w:val="44"/>
        </w:rPr>
        <w:t>2026 年</w:t>
      </w:r>
      <w:r>
        <w:rPr>
          <w:rFonts w:ascii="Times New Roman" w:eastAsia="方正小标宋简体" w:cs="Times New Roman" w:hAnsi="Times New Roman"/>
          <w:spacing w:val="-11"/>
          <w:sz w:val="44"/>
          <w:szCs w:val="44"/>
          <w:lang w:eastAsia="zh-CN"/>
        </w:rPr>
        <w:t>红原县</w:t>
      </w:r>
      <w:r>
        <w:rPr>
          <w:rFonts w:ascii="Times New Roman" w:eastAsia="方正小标宋简体" w:cs="Times New Roman" w:hAnsi="Times New Roman"/>
          <w:spacing w:val="-11"/>
          <w:sz w:val="44"/>
          <w:szCs w:val="44"/>
        </w:rPr>
        <w:t>科学施肥增效</w:t>
      </w:r>
      <w:r>
        <w:rPr>
          <w:rFonts w:ascii="Times New Roman" w:eastAsia="方正小标宋简体" w:cs="Times New Roman" w:hAnsi="Times New Roman"/>
          <w:spacing w:val="-11"/>
          <w:sz w:val="44"/>
          <w:szCs w:val="44"/>
          <w:lang w:eastAsia="zh-CN"/>
        </w:rPr>
        <w:t>（</w:t>
      </w:r>
      <w:r>
        <w:rPr>
          <w:rFonts w:ascii="Times New Roman" w:eastAsia="方正小标宋简体" w:cs="Times New Roman" w:hAnsi="Times New Roman"/>
          <w:spacing w:val="-11"/>
          <w:sz w:val="44"/>
          <w:szCs w:val="44"/>
        </w:rPr>
        <w:t>化肥减量增效</w:t>
      </w:r>
      <w:r>
        <w:rPr>
          <w:rFonts w:ascii="Times New Roman" w:eastAsia="方正小标宋简体" w:cs="Times New Roman" w:hAnsi="Times New Roman"/>
          <w:spacing w:val="-11"/>
          <w:sz w:val="44"/>
          <w:szCs w:val="44"/>
          <w:lang w:eastAsia="zh-CN"/>
        </w:rPr>
        <w:t>）</w:t>
      </w:r>
      <w:r>
        <w:rPr>
          <w:rFonts w:ascii="Times New Roman" w:eastAsia="方正小标宋简体" w:cs="Times New Roman" w:hAnsi="Times New Roman"/>
          <w:spacing w:val="-11"/>
          <w:sz w:val="44"/>
          <w:szCs w:val="44"/>
        </w:rPr>
        <w:t>项目实施方案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Times New Roman" w:eastAsia="仿宋_GB2312" w:cs="Times New Roman" w:hAnsi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Times New Roman" w:eastAsia="仿宋_GB2312" w:cs="Times New Roman" w:hAnsi="Times New Roman"/>
          <w:sz w:val="32"/>
          <w:szCs w:val="32"/>
        </w:rPr>
      </w:pPr>
      <w:r>
        <w:rPr>
          <w:rFonts w:ascii="Times New Roman" w:eastAsia="仿宋_GB2312" w:cs="Times New Roman" w:hAnsi="Times New Roman"/>
          <w:sz w:val="32"/>
          <w:szCs w:val="32"/>
        </w:rPr>
        <w:t>按照《关于做好 2026 年科学施肥增效工作的通知》［农农（肥水）〔2026〕12 号</w:t>
      </w:r>
      <w:r>
        <w:rPr>
          <w:rFonts w:ascii="Times New Roman" w:eastAsia="仿宋_GB2312" w:cs="Times New Roman" w:hAnsi="Times New Roman"/>
          <w:sz w:val="32"/>
          <w:szCs w:val="32"/>
          <w:lang w:eastAsia="zh-CN"/>
        </w:rPr>
        <w:t>、</w:t>
      </w:r>
      <w:r>
        <w:rPr>
          <w:rFonts w:ascii="Times New Roman" w:eastAsia="仿宋_GB2312" w:cs="Times New Roman" w:hAnsi="Times New Roman"/>
          <w:sz w:val="32"/>
          <w:szCs w:val="32"/>
        </w:rPr>
        <w:t>《2026年四川省科学施肥增效(化肥减量增效)项目实施方案》（川农函〔2026〕240 号）</w:t>
      </w:r>
      <w:r>
        <w:rPr>
          <w:rFonts w:ascii="Times New Roman" w:eastAsia="仿宋_GB2312" w:cs="Times New Roman" w:hAnsi="Times New Roman"/>
          <w:sz w:val="32"/>
          <w:szCs w:val="32"/>
          <w:lang w:eastAsia="zh-CN"/>
        </w:rPr>
        <w:t>以及《2026 年阿坝州科学施肥增效(化肥减量增效) 项目实施方案》（</w:t>
      </w:r>
      <w:r>
        <w:rPr>
          <w:rFonts w:ascii="Times New Roman" w:eastAsia="仿宋_GB2312" w:cs="Times New Roman" w:hAnsi="Times New Roman"/>
          <w:sz w:val="32"/>
          <w:szCs w:val="32"/>
          <w:lang w:val="en-US" w:eastAsia="zh-CN"/>
        </w:rPr>
        <w:t>AZN</w:t>
      </w:r>
      <w:r>
        <w:rPr>
          <w:rFonts w:ascii="Times New Roman" w:eastAsia="仿宋_GB2312" w:cs="Times New Roman" w:hAnsi="Times New Roman"/>
          <w:sz w:val="32"/>
          <w:szCs w:val="32"/>
        </w:rPr>
        <w:t>〔2026〕</w:t>
      </w:r>
      <w:r>
        <w:rPr>
          <w:rFonts w:ascii="Times New Roman" w:eastAsia="仿宋_GB2312" w:cs="Times New Roman" w:hAnsi="Times New Roman"/>
          <w:sz w:val="32"/>
          <w:szCs w:val="32"/>
          <w:lang w:val="en-US" w:eastAsia="zh-CN"/>
        </w:rPr>
        <w:t>98号</w:t>
      </w:r>
      <w:r>
        <w:rPr>
          <w:rFonts w:ascii="Times New Roman" w:eastAsia="仿宋_GB2312" w:cs="Times New Roman" w:hAnsi="Times New Roman"/>
          <w:sz w:val="32"/>
          <w:szCs w:val="32"/>
          <w:lang w:eastAsia="zh-CN"/>
        </w:rPr>
        <w:t>）</w:t>
      </w:r>
      <w:r>
        <w:rPr>
          <w:rFonts w:ascii="Times New Roman" w:eastAsia="仿宋_GB2312" w:cs="Times New Roman" w:hAnsi="Times New Roman"/>
          <w:sz w:val="32"/>
          <w:szCs w:val="32"/>
        </w:rPr>
        <w:t>要求，结合我</w:t>
      </w:r>
      <w:r>
        <w:rPr>
          <w:rFonts w:ascii="Times New Roman" w:eastAsia="仿宋_GB2312" w:cs="Times New Roman" w:hAnsi="Times New Roman"/>
          <w:sz w:val="32"/>
          <w:szCs w:val="32"/>
          <w:lang w:eastAsia="zh-CN"/>
        </w:rPr>
        <w:t>县</w:t>
      </w:r>
      <w:r>
        <w:rPr>
          <w:rFonts w:ascii="Times New Roman" w:eastAsia="仿宋_GB2312" w:cs="Times New Roman" w:hAnsi="Times New Roman"/>
          <w:sz w:val="32"/>
          <w:szCs w:val="32"/>
        </w:rPr>
        <w:t>实际，制定本方案。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黑体" w:eastAsia="黑体" w:cs="黑体" w:hint="eastAsia"/>
          <w:sz w:val="32"/>
          <w:szCs w:val="32"/>
        </w:rPr>
      </w:pPr>
      <w:r>
        <w:rPr>
          <w:rFonts w:ascii="黑体" w:eastAsia="黑体" w:cs="黑体" w:hint="eastAsia"/>
          <w:sz w:val="32"/>
          <w:szCs w:val="32"/>
        </w:rPr>
        <w:t>一、任务目标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Times New Roman" w:eastAsia="仿宋_GB2312" w:cs="Times New Roman" w:hAnsi="Times New Roman" w:hint="eastAsia"/>
          <w:sz w:val="32"/>
          <w:szCs w:val="32"/>
          <w:lang w:val="en-US" w:eastAsia="zh-CN"/>
        </w:rPr>
      </w:pPr>
      <w:r>
        <w:rPr>
          <w:rFonts w:ascii="Times New Roman" w:eastAsia="仿宋_GB2312" w:cs="Times New Roman" w:hAnsi="Times New Roman" w:hint="eastAsia"/>
          <w:sz w:val="32"/>
          <w:szCs w:val="32"/>
          <w:lang w:val="en-US" w:eastAsia="zh-CN"/>
        </w:rPr>
        <w:t>为深入推进化肥减量增效行动，稳步提升耕地质量，助力高原莴笋特色产业提质增效，结合我县实际，以夯实测土配方施肥基础、推进有机无机协同增效、强化科学施肥生产指导为三大工作方向，精准对接生产需求，细化落实各项举措，全面构建长效技术推广模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Times New Roman" w:eastAsia="仿宋_GB2312" w:cs="Times New Roman" w:hAnsi="Times New Roman" w:hint="eastAsia"/>
          <w:sz w:val="32"/>
          <w:szCs w:val="32"/>
          <w:lang w:val="en-US" w:eastAsia="zh-CN"/>
        </w:rPr>
      </w:pPr>
      <w:r>
        <w:rPr>
          <w:rFonts w:ascii="Times New Roman" w:eastAsia="仿宋_GB2312" w:cs="Times New Roman" w:hAnsi="Times New Roman" w:hint="eastAsia"/>
          <w:sz w:val="32"/>
          <w:szCs w:val="32"/>
          <w:lang w:val="en-US" w:eastAsia="zh-CN"/>
        </w:rPr>
        <w:t>全面完成年度既定任务指标：推广有机肥面积 0.2 万亩，测土配方施肥技术覆盖率达到 92.5%，录制发布科学施肥技术短视频 1 条，完成农户施肥量调查 2 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黑体" w:eastAsia="黑体" w:cs="黑体" w:hint="eastAsia"/>
          <w:sz w:val="32"/>
          <w:szCs w:val="32"/>
          <w:lang w:val="en-US" w:eastAsia="zh-CN"/>
        </w:rPr>
      </w:pPr>
      <w:r>
        <w:rPr>
          <w:rFonts w:ascii="黑体" w:eastAsia="黑体" w:cs="黑体" w:hint="eastAsia"/>
          <w:sz w:val="32"/>
          <w:szCs w:val="32"/>
          <w:lang w:val="en-US" w:eastAsia="zh-CN"/>
        </w:rPr>
        <w:t>二、资金来源及分配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baseline"/>
        <w:rPr>
          <w:rFonts w:ascii="Times New Roman" w:eastAsia="仿宋_GB2312" w:cs="Times New Roman" w:hAnsi="Times New Roman"/>
          <w:sz w:val="32"/>
          <w:szCs w:val="32"/>
          <w:lang w:val="en-US" w:eastAsia="zh-CN"/>
        </w:rPr>
      </w:pPr>
      <w:r>
        <w:rPr>
          <w:rFonts w:ascii="Times New Roman" w:eastAsia="仿宋_GB2312" w:cs="Times New Roman" w:hAnsi="Times New Roman" w:hint="eastAsia"/>
          <w:sz w:val="32"/>
          <w:szCs w:val="32"/>
          <w:lang w:val="en-US" w:eastAsia="zh-CN"/>
        </w:rPr>
        <w:t xml:space="preserve">    根据四川省财政厅、四川省农业农村厅《关于下达2026年中央财政耕地建设与利用资金的通知》，我县下达科学施肥增效资金4万元，其中1万元用于</w:t>
      </w:r>
      <w:r>
        <w:rPr>
          <w:rFonts w:ascii="Times New Roman" w:eastAsia="仿宋_GB2312" w:cs="Times New Roman" w:hAnsi="Times New Roman"/>
          <w:sz w:val="32"/>
          <w:szCs w:val="32"/>
        </w:rPr>
        <w:t>地块取土化验</w:t>
      </w:r>
      <w:r>
        <w:rPr>
          <w:rFonts w:ascii="Times New Roman" w:eastAsia="仿宋_GB2312" w:cs="Times New Roman" w:hAnsi="Times New Roman" w:hint="eastAsia"/>
          <w:sz w:val="32"/>
          <w:szCs w:val="32"/>
          <w:lang w:eastAsia="zh-CN"/>
        </w:rPr>
        <w:t>，</w:t>
      </w:r>
      <w:r>
        <w:rPr>
          <w:rFonts w:ascii="Times New Roman" w:eastAsia="仿宋_GB2312" w:cs="Times New Roman" w:hAnsi="Times New Roman" w:hint="eastAsia"/>
          <w:sz w:val="32"/>
          <w:szCs w:val="32"/>
          <w:lang w:val="en-US" w:eastAsia="zh-CN"/>
        </w:rPr>
        <w:t>0.5万用于</w:t>
      </w:r>
      <w:r>
        <w:rPr>
          <w:rFonts w:ascii="Times New Roman" w:eastAsia="仿宋_GB2312" w:cs="Times New Roman" w:hAnsi="Times New Roman"/>
          <w:sz w:val="32"/>
          <w:szCs w:val="32"/>
        </w:rPr>
        <w:t>机肥推广</w:t>
      </w:r>
      <w:r>
        <w:rPr>
          <w:rFonts w:ascii="Times New Roman" w:eastAsia="仿宋_GB2312" w:cs="Times New Roman" w:hAnsi="Times New Roman" w:hint="eastAsia"/>
          <w:sz w:val="32"/>
          <w:szCs w:val="32"/>
          <w:lang w:eastAsia="zh-CN"/>
        </w:rPr>
        <w:t>，</w:t>
      </w:r>
      <w:r>
        <w:rPr>
          <w:rFonts w:ascii="Times New Roman" w:eastAsia="仿宋_GB2312" w:cs="Times New Roman" w:hAnsi="Times New Roman" w:hint="eastAsia"/>
          <w:sz w:val="32"/>
          <w:szCs w:val="32"/>
          <w:lang w:val="en-US" w:eastAsia="zh-CN"/>
        </w:rPr>
        <w:t>1.5万元用于宣传培训，0.5万元用于宣传指导，0.5万元用于农户调查。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黑体" w:eastAsia="黑体" w:cs="黑体"/>
          <w:sz w:val="32"/>
          <w:szCs w:val="32"/>
          <w:lang w:eastAsia="zh-CN"/>
        </w:rPr>
      </w:pPr>
      <w:r>
        <w:rPr>
          <w:rFonts w:ascii="黑体" w:eastAsia="黑体" w:cs="黑体" w:hint="eastAsia"/>
          <w:sz w:val="32"/>
          <w:szCs w:val="32"/>
          <w:lang w:val="en-US" w:eastAsia="zh-CN"/>
        </w:rPr>
        <w:t>三、</w:t>
      </w:r>
      <w:r>
        <w:rPr>
          <w:rFonts w:ascii="黑体" w:eastAsia="黑体" w:cs="黑体"/>
          <w:sz w:val="32"/>
          <w:szCs w:val="32"/>
          <w:lang w:eastAsia="zh-CN"/>
        </w:rPr>
        <w:t>重点工作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楷体_GB2312" w:eastAsia="楷体_GB2312" w:cs="楷体_GB2312" w:hint="eastAsia"/>
          <w:b/>
          <w:bCs/>
          <w:sz w:val="32"/>
          <w:szCs w:val="32"/>
        </w:rPr>
      </w:pPr>
      <w:r>
        <w:rPr>
          <w:rFonts w:ascii="楷体_GB2312" w:eastAsia="楷体_GB2312" w:cs="楷体_GB2312" w:hint="eastAsia"/>
          <w:b/>
          <w:bCs/>
          <w:sz w:val="32"/>
          <w:szCs w:val="32"/>
        </w:rPr>
        <w:t>（一）夯实测土配方施肥基础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Times New Roman" w:eastAsia="仿宋_GB2312" w:cs="Times New Roman" w:hAnsi="Times New Roman"/>
          <w:sz w:val="32"/>
          <w:szCs w:val="32"/>
          <w:lang w:eastAsia="zh-CN"/>
        </w:rPr>
      </w:pPr>
      <w:r>
        <w:rPr>
          <w:rFonts w:ascii="Times New Roman" w:eastAsia="仿宋_GB2312" w:cs="Times New Roman" w:hAnsi="Times New Roman"/>
          <w:sz w:val="32"/>
          <w:szCs w:val="32"/>
        </w:rPr>
        <w:t>持续开展全域莴笋种植地块取土化验，动态掌握土壤养分状况，优化完善莴笋专属施肥配方，印发科学施肥技术指南和施肥建议卡，引导农户按方施肥。规范开展农户施肥情况调查，全年完成农户施肥量调查 2 户，严格使用全国农户施肥信息监测系统开展数据录入、审核、上报，实现监测工作规范化、数字化。 推进精准施肥社会化托管服务，推广莴笋专用配方肥、缓控释肥、水溶肥、生物有机肥、中微量元素肥料等高效新型肥料，分村分户建立配方施肥动态台账，常态化入户劝导、示范对比，持续扩大科学配肥落地范围，全年保障测土配方施肥技术覆盖率稳定达到 92.5%</w:t>
      </w:r>
      <w:r>
        <w:rPr>
          <w:rFonts w:ascii="Times New Roman" w:eastAsia="仿宋_GB2312" w:cs="Times New Roman" w:hAnsi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楷体_GB2312" w:eastAsia="楷体_GB2312" w:cs="楷体_GB2312"/>
          <w:b/>
          <w:bCs/>
          <w:sz w:val="32"/>
          <w:szCs w:val="32"/>
        </w:rPr>
      </w:pPr>
      <w:r>
        <w:rPr>
          <w:rFonts w:ascii="楷体_GB2312" w:eastAsia="楷体_GB2312" w:cs="楷体_GB2312"/>
          <w:b/>
          <w:bCs/>
          <w:sz w:val="32"/>
          <w:szCs w:val="32"/>
        </w:rPr>
        <w:t>（二）加快有机肥推广应用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Times New Roman" w:eastAsia="仿宋_GB2312" w:cs="Times New Roman" w:hAnsi="Times New Roman"/>
          <w:sz w:val="32"/>
          <w:szCs w:val="32"/>
        </w:rPr>
      </w:pPr>
      <w:r>
        <w:rPr>
          <w:rFonts w:ascii="Times New Roman" w:eastAsia="仿宋_GB2312" w:cs="Times New Roman" w:hAnsi="Times New Roman"/>
          <w:sz w:val="32"/>
          <w:szCs w:val="32"/>
        </w:rPr>
        <w:t>集中连片推进有机肥示范推广，全年完成有机肥推广面积 0.2 万亩。合理布局示范区域，优先在莴笋主产区、集中连片种植区打造标准化核心示范片，设立固定示范标识标牌，清晰展示有机无机配施技术模式、化肥减量成效、标准化施用规范。 全面推行高原莴笋有机无机配施技术，明确有机肥施用时期、亩施用量、深翻还田操作方法，做到有机肥科学定量、精准施用。依托乡镇农技站联动农资经营主体，开展有机肥统一采购、集中撒施、整地翻压一体化托管服务，降低农户人工施用成本，保障 0.2 万亩推广任务足额落地，同步建立分户有机肥施用台账，留存完整地块影像、农户签字佐证材料。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楷体_GB2312" w:eastAsia="楷体_GB2312" w:cs="楷体_GB2312"/>
          <w:b/>
          <w:bCs/>
          <w:sz w:val="32"/>
          <w:szCs w:val="32"/>
        </w:rPr>
      </w:pPr>
      <w:r>
        <w:rPr>
          <w:rFonts w:ascii="楷体_GB2312" w:eastAsia="楷体_GB2312" w:cs="楷体_GB2312"/>
          <w:b/>
          <w:bCs/>
          <w:sz w:val="32"/>
          <w:szCs w:val="32"/>
        </w:rPr>
        <w:t>（三）强化科学施肥技术培训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Times New Roman" w:eastAsia="仿宋_GB2312" w:cs="Times New Roman" w:hAnsi="Times New Roman"/>
          <w:sz w:val="32"/>
          <w:szCs w:val="32"/>
        </w:rPr>
      </w:pPr>
      <w:r>
        <w:rPr>
          <w:rFonts w:ascii="Times New Roman" w:eastAsia="仿宋_GB2312" w:cs="Times New Roman" w:hAnsi="Times New Roman"/>
          <w:sz w:val="32"/>
          <w:szCs w:val="32"/>
          <w:lang w:val="en-US" w:eastAsia="zh-CN"/>
        </w:rPr>
        <w:t>为切实提高基层农技人员和种植农户科学施肥水平，确保技术落地见效，2026 年计划开展科学施肥专题培训两场，分别为室内理论培训一场、田间实操培训一场，做到理论与实践相结合、技术与操作相统一。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Times New Roman" w:eastAsia="仿宋_GB2312" w:cs="Times New Roman" w:hAnsi="Times New Roman"/>
          <w:sz w:val="32"/>
          <w:szCs w:val="32"/>
        </w:rPr>
      </w:pPr>
      <w:r>
        <w:rPr>
          <w:rFonts w:ascii="Times New Roman" w:eastAsia="仿宋_GB2312" w:cs="Times New Roman" w:hAnsi="Times New Roman"/>
          <w:sz w:val="32"/>
          <w:szCs w:val="32"/>
        </w:rPr>
        <w:t>1. 室内理论培训一场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Times New Roman" w:eastAsia="仿宋_GB2312" w:cs="Times New Roman" w:hAnsi="Times New Roman"/>
          <w:sz w:val="32"/>
          <w:szCs w:val="32"/>
        </w:rPr>
      </w:pPr>
      <w:r>
        <w:rPr>
          <w:rFonts w:ascii="Times New Roman" w:eastAsia="仿宋_GB2312" w:cs="Times New Roman" w:hAnsi="Times New Roman"/>
          <w:sz w:val="32"/>
          <w:szCs w:val="32"/>
          <w:lang w:val="en-US" w:eastAsia="zh-CN"/>
        </w:rPr>
        <w:t>围绕化肥减量增效政策要求、测土配方施肥技术、有机肥科学施用、莴笋需肥规律、肥料合理选择、施肥时期把握、肥料利用率提升、农业面源污染防控等内容开展系统授课。讲解科学施肥基本知识、肥料产品识别、安全施用注意事项、农户施肥调查规范、全国施肥监测系统应用等内容。培训对象包括乡镇农技人员、村组干部、种植大户、家庭农场、散户代表等，提升参训人员理论水平和政策业务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Times New Roman" w:eastAsia="仿宋_GB2312" w:cs="Times New Roman" w:hAnsi="Times New Roman"/>
          <w:sz w:val="32"/>
          <w:szCs w:val="32"/>
        </w:rPr>
      </w:pPr>
      <w:r>
        <w:rPr>
          <w:rFonts w:ascii="Times New Roman" w:eastAsia="仿宋_GB2312" w:cs="Times New Roman" w:hAnsi="Times New Roman"/>
          <w:sz w:val="32"/>
          <w:szCs w:val="32"/>
        </w:rPr>
        <w:t>2. 田间实操培训一场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Times New Roman" w:eastAsia="仿宋_GB2312" w:cs="Times New Roman" w:hAnsi="Times New Roman"/>
          <w:sz w:val="32"/>
          <w:szCs w:val="32"/>
        </w:rPr>
      </w:pPr>
      <w:r>
        <w:rPr>
          <w:rFonts w:ascii="Times New Roman" w:eastAsia="仿宋_GB2312" w:cs="Times New Roman" w:hAnsi="Times New Roman"/>
          <w:sz w:val="32"/>
          <w:szCs w:val="32"/>
          <w:lang w:val="en-US" w:eastAsia="zh-CN"/>
        </w:rPr>
        <w:t>在莴笋主产区、有机肥示范片核心区选择具有代表性的地块，开展现场实操培训。重点讲解有机肥深施、整地翻压、配方肥分期施用、追肥方法、规范操作、禁止施用未腐熟粪肥、控氮增钾补微等关键技术。由技术专家现场示范、手把手教学、面对面答疑，让农户直观掌握施肥操作要点，真正做到看得懂、学得会、用得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楷体_GB2312" w:eastAsia="楷体_GB2312" w:cs="楷体_GB2312"/>
          <w:b/>
          <w:bCs/>
          <w:sz w:val="32"/>
          <w:szCs w:val="32"/>
        </w:rPr>
      </w:pPr>
      <w:r>
        <w:rPr>
          <w:rFonts w:ascii="楷体_GB2312" w:eastAsia="楷体_GB2312" w:cs="楷体_GB2312"/>
          <w:b/>
          <w:bCs/>
          <w:sz w:val="32"/>
          <w:szCs w:val="32"/>
        </w:rPr>
        <w:t>（四）加强科学施肥宣传指导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Times New Roman" w:eastAsia="仿宋_GB2312" w:cs="Times New Roman" w:hAnsi="Times New Roman"/>
          <w:sz w:val="32"/>
          <w:szCs w:val="32"/>
        </w:rPr>
      </w:pPr>
      <w:r>
        <w:rPr>
          <w:rFonts w:ascii="Times New Roman" w:eastAsia="仿宋_GB2312" w:cs="Times New Roman" w:hAnsi="Times New Roman"/>
          <w:sz w:val="32"/>
          <w:szCs w:val="32"/>
        </w:rPr>
        <w:t>搭建线上线下一体化技术宣传体系，组织技术人员分片包联、入户问诊，覆盖莴笋整地、移栽、膨大采收全生育期施肥关键节点。策划、拍摄、剪辑1 条红原高原莴笋科学施肥技术短视频，内容聚焦有机肥替代、测土配方减量实操、田间施肥误区纠正等本土生产内容，规定时限内完成成片审核，通过县融媒体、村组微信群、短视频平台、乡村广播多渠道公开发布，完整留存成片原文件、平台发布截图、播放传播数据作为验收材料。 同步印制施肥技术挂图、明白纸、操作手册，在各村村委会、农资门店、有机肥示范片区张贴发放，持续扩大科学施肥技术知晓覆盖面。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楷体_GB2312" w:eastAsia="楷体_GB2312" w:cs="楷体_GB2312"/>
          <w:b/>
          <w:bCs/>
          <w:sz w:val="32"/>
          <w:szCs w:val="32"/>
        </w:rPr>
      </w:pPr>
      <w:r>
        <w:rPr>
          <w:rFonts w:ascii="楷体_GB2312" w:eastAsia="楷体_GB2312" w:cs="楷体_GB2312"/>
          <w:b/>
          <w:bCs/>
          <w:sz w:val="32"/>
          <w:szCs w:val="32"/>
        </w:rPr>
        <w:t>（五）规范实施农户施肥监测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Times New Roman" w:eastAsia="仿宋_GB2312" w:cs="Times New Roman" w:hAnsi="Times New Roman"/>
          <w:sz w:val="32"/>
          <w:szCs w:val="32"/>
        </w:rPr>
      </w:pPr>
      <w:r>
        <w:rPr>
          <w:rFonts w:ascii="Times New Roman" w:eastAsia="仿宋_GB2312" w:cs="Times New Roman" w:hAnsi="Times New Roman"/>
          <w:sz w:val="32"/>
          <w:szCs w:val="32"/>
        </w:rPr>
        <w:t>兼顾普通散户与规模化家庭农场两类经营主体，</w:t>
      </w:r>
      <w:r>
        <w:rPr>
          <w:rFonts w:ascii="Times New Roman" w:eastAsia="仿宋_GB2312" w:cs="Times New Roman" w:hAnsi="Times New Roman" w:hint="eastAsia"/>
          <w:sz w:val="32"/>
          <w:szCs w:val="32"/>
          <w:lang w:eastAsia="zh-CN"/>
        </w:rPr>
        <w:t>在刷经寺镇</w:t>
      </w:r>
      <w:r>
        <w:rPr>
          <w:rFonts w:ascii="Times New Roman" w:eastAsia="仿宋_GB2312" w:cs="Times New Roman" w:hAnsi="Times New Roman"/>
          <w:sz w:val="32"/>
          <w:szCs w:val="32"/>
        </w:rPr>
        <w:t>选定 2 户农户作为年度固定施肥调查点位。在莴笋肉质茎膨大关键生育期开展入户实地走访，核对肥料采购凭证、田间施肥原始记录，完整采集全年有机肥、化肥、水溶肥、叶面肥投入相关数据，统一通过全国农户施肥信息监测系统或配套 “施肥监测通” 小程序完成线上录入</w:t>
      </w:r>
      <w:r>
        <w:rPr>
          <w:rFonts w:ascii="Times New Roman" w:eastAsia="仿宋_GB2312" w:cs="Times New Roman" w:hAnsi="Times New Roman" w:hint="eastAsia"/>
          <w:sz w:val="32"/>
          <w:szCs w:val="32"/>
          <w:lang w:eastAsia="zh-CN"/>
        </w:rPr>
        <w:t>。</w:t>
      </w:r>
      <w:r>
        <w:rPr>
          <w:rFonts w:ascii="Times New Roman" w:eastAsia="仿宋_GB2312" w:cs="Times New Roman" w:hAnsi="Times New Roman"/>
          <w:sz w:val="32"/>
          <w:szCs w:val="32"/>
        </w:rPr>
        <w:t>年度调查结束后汇总平台数据，形成县域莴笋施肥现状分析材料，为优化下年度测土配方、有机肥推广工作提供数据支撑。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黑体" w:eastAsia="黑体" w:cs="黑体"/>
          <w:sz w:val="32"/>
          <w:szCs w:val="32"/>
        </w:rPr>
      </w:pPr>
      <w:r>
        <w:rPr>
          <w:rFonts w:ascii="黑体" w:eastAsia="黑体" w:cs="黑体" w:hint="eastAsia"/>
          <w:sz w:val="32"/>
          <w:szCs w:val="32"/>
          <w:lang w:val="en-US" w:eastAsia="zh-CN"/>
        </w:rPr>
        <w:t>四、</w:t>
      </w:r>
      <w:r>
        <w:rPr>
          <w:rFonts w:ascii="黑体" w:eastAsia="黑体" w:cs="黑体"/>
          <w:sz w:val="32"/>
          <w:szCs w:val="32"/>
        </w:rPr>
        <w:t>保障措施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Times New Roman" w:eastAsia="仿宋_GB2312" w:cs="Times New Roman" w:hAnsi="Times New Roman"/>
          <w:sz w:val="32"/>
          <w:szCs w:val="32"/>
        </w:rPr>
      </w:pPr>
      <w:r>
        <w:rPr>
          <w:rFonts w:ascii="楷体_GB2312" w:eastAsia="楷体_GB2312" w:cs="楷体_GB2312"/>
          <w:b/>
          <w:bCs/>
          <w:sz w:val="32"/>
          <w:szCs w:val="32"/>
        </w:rPr>
        <w:t>（一）加强组织领导。</w:t>
      </w:r>
      <w:r>
        <w:rPr>
          <w:rFonts w:ascii="Times New Roman" w:eastAsia="仿宋_GB2312" w:cs="Times New Roman" w:hAnsi="Times New Roman"/>
          <w:sz w:val="32"/>
          <w:szCs w:val="32"/>
        </w:rPr>
        <w:t>成立工作领导小组，统筹推进项目实施，</w:t>
      </w:r>
      <w:r>
        <w:rPr>
          <w:rFonts w:ascii="Times New Roman" w:eastAsia="仿宋_GB2312" w:cs="Times New Roman" w:hAnsi="Times New Roman"/>
          <w:sz w:val="32"/>
          <w:szCs w:val="32"/>
          <w:lang w:eastAsia="zh-CN"/>
        </w:rPr>
        <w:t>不</w:t>
      </w:r>
      <w:r>
        <w:rPr>
          <w:rFonts w:ascii="Times New Roman" w:eastAsia="仿宋_GB2312" w:cs="Times New Roman" w:hAnsi="Times New Roman"/>
          <w:sz w:val="32"/>
          <w:szCs w:val="32"/>
        </w:rPr>
        <w:t>定期研究解决问题，压实部门、乡镇、村组责任，确保各项任务落地落实。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Times New Roman" w:eastAsia="仿宋_GB2312" w:cs="Times New Roman" w:hAnsi="Times New Roman"/>
          <w:sz w:val="32"/>
          <w:szCs w:val="32"/>
        </w:rPr>
      </w:pPr>
      <w:r>
        <w:rPr>
          <w:rFonts w:ascii="楷体_GB2312" w:eastAsia="楷体_GB2312" w:cs="楷体_GB2312"/>
          <w:b/>
          <w:bCs/>
          <w:sz w:val="32"/>
          <w:szCs w:val="32"/>
        </w:rPr>
        <w:t>（二）规范资金使用。</w:t>
      </w:r>
      <w:r>
        <w:rPr>
          <w:rFonts w:ascii="Times New Roman" w:eastAsia="仿宋_GB2312" w:cs="Times New Roman" w:hAnsi="Times New Roman"/>
          <w:sz w:val="32"/>
          <w:szCs w:val="32"/>
        </w:rPr>
        <w:t>严格执行《四川省财政厅 四川省农业农村厅关于印发〈耕地建设与利用资金管理办法实施细则〉的通知》（川财农〔2023〕95 号）等资金文件规定，在县级实施方案中细化补贴环节、标准、方式、范围，规范资金使用行为，采用适当方式公示有关补贴发放情况，强化资金使用监管。物化补贴要加强采购产品质量监管，涉及不合格产品的补助资金实行追回制度。加快资金拨付和使用进度，及时在农业农村部转移支付管理平台中填报进展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Times New Roman" w:eastAsia="仿宋_GB2312" w:cs="Times New Roman" w:hAnsi="Times New Roman"/>
          <w:sz w:val="32"/>
          <w:szCs w:val="32"/>
          <w:lang w:eastAsia="zh-CN"/>
        </w:rPr>
      </w:pPr>
      <w:r>
        <w:rPr>
          <w:rFonts w:ascii="楷体_GB2312" w:eastAsia="楷体_GB2312" w:cs="楷体_GB2312"/>
          <w:b/>
          <w:bCs/>
          <w:sz w:val="32"/>
          <w:szCs w:val="32"/>
        </w:rPr>
        <w:t>（</w:t>
      </w:r>
      <w:r>
        <w:rPr>
          <w:rFonts w:ascii="楷体_GB2312" w:eastAsia="楷体_GB2312" w:cs="楷体_GB2312"/>
          <w:b/>
          <w:bCs/>
          <w:sz w:val="32"/>
          <w:szCs w:val="32"/>
          <w:lang w:eastAsia="zh-CN"/>
        </w:rPr>
        <w:t>三</w:t>
      </w:r>
      <w:r>
        <w:rPr>
          <w:rFonts w:ascii="楷体_GB2312" w:eastAsia="楷体_GB2312" w:cs="楷体_GB2312"/>
          <w:b/>
          <w:bCs/>
          <w:sz w:val="32"/>
          <w:szCs w:val="32"/>
        </w:rPr>
        <w:t>）强化日常管理。</w:t>
      </w:r>
      <w:r>
        <w:rPr>
          <w:rFonts w:ascii="Times New Roman" w:eastAsia="仿宋_GB2312" w:cs="Times New Roman" w:hAnsi="Times New Roman"/>
          <w:sz w:val="32"/>
          <w:szCs w:val="32"/>
        </w:rPr>
        <w:t>建立健全项目管理机制，严格落实“一季一调度”制度，及时掌握项目执行进度和实施成效。建立责任明确、主体积极、多方参与、监管有效的工作机制，适时开展调研指导。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Times New Roman" w:eastAsia="仿宋_GB2312" w:cs="Times New Roman" w:hAnsi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Times New Roman" w:eastAsia="仿宋_GB2312" w:cs="Times New Roman" w:hAnsi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Times New Roman" w:eastAsia="仿宋_GB2312" w:cs="Times New Roman" w:hAnsi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Times New Roman" w:eastAsia="仿宋_GB2312" w:cs="Times New Roman" w:hAnsi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Times New Roman" w:eastAsia="仿宋_GB2312" w:cs="Times New Roman" w:hAnsi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Times New Roman" w:eastAsia="仿宋_GB2312" w:cs="Times New Roman" w:hAnsi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Times New Roman" w:eastAsia="仿宋_GB2312" w:cs="Times New Roman" w:hAnsi="Times New Roman" w:hint="eastAsia"/>
          <w:sz w:val="32"/>
          <w:szCs w:val="32"/>
          <w:lang w:val="en-US" w:eastAsia="zh-CN"/>
        </w:rPr>
      </w:pPr>
      <w:r>
        <w:rPr>
          <w:rFonts w:ascii="Times New Roman" w:eastAsia="仿宋_GB2312" w:cs="Times New Roman" w:hAnsi="Times New Roman" w:hint="eastAsia"/>
          <w:sz w:val="32"/>
          <w:szCs w:val="32"/>
          <w:lang w:val="en-US" w:eastAsia="zh-CN"/>
        </w:rPr>
        <w:t xml:space="preserve">                     红原县科学技术和农业畜牧局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jc w:val="both"/>
        <w:textAlignment w:val="baseline"/>
        <w:rPr>
          <w:rFonts w:ascii="Times New Roman" w:eastAsia="仿宋_GB2312" w:cs="Times New Roman" w:hAnsi="Times New Roman"/>
          <w:sz w:val="32"/>
          <w:szCs w:val="32"/>
          <w:lang w:val="en-US" w:eastAsia="zh-CN"/>
        </w:rPr>
      </w:pPr>
      <w:r>
        <w:rPr>
          <w:rFonts w:ascii="Times New Roman" w:eastAsia="仿宋_GB2312" w:cs="Times New Roman" w:hAnsi="Times New Roman" w:hint="eastAsia"/>
          <w:sz w:val="32"/>
          <w:szCs w:val="32"/>
          <w:lang w:val="en-US" w:eastAsia="zh-CN"/>
        </w:rPr>
        <w:t xml:space="preserve">                           2026年</w:t>
      </w:r>
      <w:r>
        <w:rPr>
          <w:rFonts w:ascii="Times New Roman" w:eastAsia="仿宋_GB2312" w:cs="Times New Roman" w:hAnsi="Times New Roman"/>
          <w:sz w:val="32"/>
          <w:szCs w:val="32"/>
          <w:lang w:val="en-US" w:eastAsia="zh-CN"/>
        </w:rPr>
        <w:t>8</w:t>
      </w:r>
      <w:r>
        <w:rPr>
          <w:rFonts w:ascii="Times New Roman" w:eastAsia="仿宋_GB2312" w:cs="Times New Roman" w:hAnsi="Times New Roman" w:hint="eastAsia"/>
          <w:sz w:val="32"/>
          <w:szCs w:val="32"/>
          <w:lang w:val="en-US" w:eastAsia="zh-CN"/>
        </w:rPr>
        <w:t>月</w:t>
      </w:r>
      <w:r>
        <w:rPr>
          <w:rFonts w:ascii="Times New Roman" w:eastAsia="仿宋_GB2312" w:cs="Times New Roman" w:hAnsi="Times New Roman"/>
          <w:sz w:val="32"/>
          <w:szCs w:val="32"/>
          <w:lang w:val="en-US" w:eastAsia="zh-CN"/>
        </w:rPr>
        <w:t>25</w:t>
      </w:r>
      <w:bookmarkStart w:id="0" w:name="_GoBack"/>
      <w:bookmarkEnd w:id="0"/>
      <w:r>
        <w:rPr>
          <w:rFonts w:ascii="Times New Roman" w:eastAsia="仿宋_GB2312" w:cs="Times New Roman" w:hAnsi="Times New Roman" w:hint="eastAsia"/>
          <w:sz w:val="32"/>
          <w:szCs w:val="32"/>
          <w:lang w:val="en-US" w:eastAsia="zh-CN"/>
        </w:rPr>
        <w:t>日</w:t>
      </w:r>
    </w:p>
    <w:sectPr>
      <w:footerReference w:type="default" r:id="rId2"/>
      <w:pgSz w:w="11906" w:h="16838"/>
      <w:pgMar w:top="1440" w:right="1800" w:bottom="1440" w:left="1800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方正小标宋简体">
    <w:panose1 w:val="02000000000000000000"/>
    <w:charset w:val="86"/>
    <w:family w:val="auto"/>
    <w:pitch w:val="variable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variable"/>
    <w:sig w:usb0="00000000" w:usb1="00000000" w:usb2="00000000" w:usb3="00000000" w:csb0="00040000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6"/>
      <w:tabs>
        <w:tab w:val="center" w:pos="4153"/>
        <w:tab w:val="right" w:pos="8306"/>
      </w:tabs>
    </w:pPr>
    <w:r>
      <w:rPr>
        <w:sz w:val="18"/>
      </w:rPr>
      <mc:AlternateContent>
        <mc:Choice Requires="wps">
          <w:drawing>
            <wp:anchor distT="0" distB="0" distL="114298" distR="114298" simplePos="0" relativeHeight="12" behindDoc="0" locked="0" layoutInCell="1" hidden="0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22300" cy="230251"/>
              <wp:effectExtent l="0" t="0" r="0" b="0"/>
              <wp:wrapNone/>
              <wp:docPr id="1" name="文本框 1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622300" cy="230251"/>
                      </a:xfrm>
                      <a:prstGeom prst="rect"/>
                      <a:noFill/>
                      <a:ln w="6350" cmpd="sng" cap="flat">
                        <a:noFill/>
                        <a:prstDash val="solid"/>
                        <a:round/>
                      </a:ln>
                    </wps:spPr>
                    <wps:txbx id="2">
                      <w:txbxContent>
                        <w:p>
                          <w:pPr>
                            <w:pStyle w:val="16"/>
                            <w:tabs>
                              <w:tab w:val="center" w:pos="4153"/>
                              <w:tab w:val="right" w:pos="8306"/>
                            </w:tabs>
                            <w:rPr>
                              <w:rFonts w:ascii="宋体" w:eastAsia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eastAsia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文本框 1 3" o:spid="_x0000_s3" filled="f" stroked="f" strokeweight="0.5pt" style="position:absolute;margin-left:0.0pt;margin-top:0.0pt;width:49.000004pt;height:18.130003pt;z-index:12;mso-position-horizontal:outside;mso-position-horizontal-relative:margin;mso-position-vertical:absolute;mso-wrap-distance-left:8.999863pt;mso-wrap-distance-right:8.999863pt;mso-wrap-style:none;">
              <v:stroke color="#000000"/>
              <v:textbox id="848" inset="0mm,0mm,0mm,0mm" o:insetmode="custom" style="layout-flow:horizontal;v-text-anchor:top;mso-fit-shape-to-text:t;">
                <w:txbxContent>
                  <w:p>
                    <w:pPr>
                      <w:pStyle w:val="16"/>
                      <w:tabs>
                        <w:tab w:val="center" w:pos="4153"/>
                        <w:tab w:val="right" w:pos="8306"/>
                      </w:tabs>
                      <w:rPr>
                        <w:rFonts w:ascii="宋体" w:eastAsia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eastAsia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12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eastAsia="Arial" w:cs="Arial" w:hAnsi="Arial"/>
      <w:snapToGrid w:val="0"/>
      <w:color w:val="000000"/>
      <w:kern w:val="0"/>
      <w:sz w:val="21"/>
      <w:szCs w:val="21"/>
      <w:lang w:val="en-US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sz w:val="32"/>
    </w:rPr>
  </w:style>
  <w:style w:type="paragraph" w:styleId="3">
    <w:name w:val="heading 3"/>
    <w:basedOn w:val="0"/>
    <w:next w:val="0"/>
    <w:pPr>
      <w:spacing w:before="0" w:beforeAutospacing="1" w:after="0" w:afterAutospacing="1"/>
      <w:jc w:val="left"/>
      <w:outlineLvl w:val="2"/>
    </w:pPr>
    <w:rPr>
      <w:rFonts w:ascii="宋体" w:eastAsia="宋体" w:cs="宋体"/>
      <w:b/>
      <w:bCs/>
      <w:kern w:val="0"/>
      <w:sz w:val="27"/>
      <w:szCs w:val="27"/>
      <w:lang w:val="en-US" w:eastAsia="zh-CN"/>
    </w:rPr>
  </w:style>
  <w:style w:type="paragraph" w:styleId="4">
    <w:name w:val="heading 4"/>
    <w:basedOn w:val="0"/>
    <w:next w:val="0"/>
    <w:pPr>
      <w:spacing w:before="0" w:beforeAutospacing="1" w:after="0" w:afterAutospacing="1"/>
      <w:jc w:val="left"/>
      <w:outlineLvl w:val="3"/>
    </w:pPr>
    <w:rPr>
      <w:rFonts w:ascii="宋体" w:eastAsia="宋体" w:cs="宋体"/>
      <w:b/>
      <w:bCs/>
      <w:kern w:val="0"/>
      <w:sz w:val="24"/>
      <w:szCs w:val="24"/>
      <w:lang w:val="en-US" w:eastAsia="zh-CN"/>
    </w:rPr>
  </w:style>
  <w:style w:type="character" w:default="1" w:styleId="10">
    <w:name w:val="Default Paragraph Font"/>
  </w:style>
  <w:style w:type="paragraph" w:styleId="15">
    <w:name w:val="Body Text"/>
    <w:basedOn w:val="0"/>
    <w:rPr>
      <w:rFonts w:ascii="Times New Roman" w:eastAsia="Times New Roman" w:cs="Times New Roman" w:hAnsi="Times New Roman"/>
      <w:sz w:val="31"/>
      <w:szCs w:val="31"/>
      <w:lang w:val="en-US" w:bidi="ar-SA"/>
    </w:rPr>
  </w:style>
  <w:style w:type="paragraph" w:styleId="16">
    <w:name w:val="footer"/>
    <w:basedOn w:val="0"/>
    <w:pPr>
      <w:tabs>
        <w:tab w:val="center" w:pos="4153"/>
        <w:tab w:val="right" w:pos="8306"/>
      </w:tabs>
      <w:adjustRightInd w:val="0"/>
      <w:snapToGrid w:val="0"/>
      <w:jc w:val="left"/>
    </w:pPr>
    <w:rPr>
      <w:sz w:val="18"/>
    </w:rPr>
  </w:style>
  <w:style w:type="paragraph" w:styleId="17">
    <w:name w:val="header"/>
    <w:basedOn w:val="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  <w:adjustRightInd w:val="0"/>
      <w:snapToGrid w:val="0"/>
      <w:spacing w:line="240" w:lineRule="auto"/>
      <w:jc w:val="both"/>
      <w:outlineLvl w:val="9"/>
    </w:pPr>
    <w:rPr>
      <w:sz w:val="18"/>
    </w:rPr>
  </w:style>
  <w:style w:type="character" w:styleId="18">
    <w:name w:val="Strong"/>
    <w:basedOn w:val="10"/>
    <w:rPr>
      <w:b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20</TotalTime>
  <Application>Yozo_Office27021597764231179</Application>
  <Pages>5</Pages>
  <Words>2304</Words>
  <Characters>2369</Characters>
  <Lines>116</Lines>
  <Paragraphs>28</Paragraphs>
  <CharactersWithSpaces>2455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Administrator</dc:creator>
  <cp:lastModifiedBy>user</cp:lastModifiedBy>
  <cp:revision>0</cp:revision>
  <dcterms:created xsi:type="dcterms:W3CDTF">2026-07-06T01:12:00Z</dcterms:created>
  <dcterms:modified xsi:type="dcterms:W3CDTF">2026-08-25T02:24:38Z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eyJoZGlkIjoiNTc5OWNlZTFjMDk5MmQ0YjI1MzJmMTUxNjA3YjYxOGMiLCJ1c2VySWQiOiIxMTc1MjE0NzU4In0=</vt:lpwstr>
  </property>
  <property fmtid="{D5CDD505-2E9C-101B-9397-08002B2CF9AE}" pid="4" name="ICV">
    <vt:lpwstr>8A9383CE46E14747A0FC4AAA22243C05_13</vt:lpwstr>
  </property>
</Properties>
</file>